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42334">
      <w:pPr>
        <w:pStyle w:val="2"/>
        <w:jc w:val="left"/>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p>
    <w:p w14:paraId="7FA02C0B">
      <w:pPr>
        <w:rPr>
          <w:rFonts w:hint="eastAsia"/>
          <w:lang w:val="en-US" w:eastAsia="zh-CN"/>
        </w:rPr>
      </w:pPr>
    </w:p>
    <w:p w14:paraId="6F7FF14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新疆维吾尔自治区 新疆生产建设兵团生态环境部门不予行政</w:t>
      </w:r>
    </w:p>
    <w:p w14:paraId="66FD24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处罚和不予行政强制事项清单(2026年版)</w:t>
      </w:r>
    </w:p>
    <w:tbl>
      <w:tblPr>
        <w:tblStyle w:val="12"/>
        <w:tblW w:w="13728"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
        <w:gridCol w:w="202"/>
        <w:gridCol w:w="773"/>
        <w:gridCol w:w="2329"/>
        <w:gridCol w:w="5953"/>
        <w:gridCol w:w="593"/>
        <w:gridCol w:w="3094"/>
      </w:tblGrid>
      <w:tr w14:paraId="38152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784" w:type="dxa"/>
            <w:tcBorders>
              <w:top w:val="single" w:color="auto" w:sz="4" w:space="0"/>
              <w:left w:val="single" w:color="auto" w:sz="4" w:space="0"/>
              <w:bottom w:val="single" w:color="auto" w:sz="4" w:space="0"/>
              <w:right w:val="single" w:color="auto" w:sz="4" w:space="0"/>
            </w:tcBorders>
            <w:noWrap w:val="0"/>
            <w:vAlign w:val="center"/>
          </w:tcPr>
          <w:p w14:paraId="12CC00FF">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19F00C7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类别</w:t>
            </w:r>
          </w:p>
        </w:tc>
        <w:tc>
          <w:tcPr>
            <w:tcW w:w="2329" w:type="dxa"/>
            <w:tcBorders>
              <w:top w:val="single" w:color="auto" w:sz="4" w:space="0"/>
              <w:left w:val="single" w:color="auto" w:sz="4" w:space="0"/>
              <w:bottom w:val="single" w:color="auto" w:sz="4" w:space="0"/>
              <w:right w:val="single" w:color="auto" w:sz="4" w:space="0"/>
            </w:tcBorders>
            <w:noWrap w:val="0"/>
            <w:vAlign w:val="center"/>
          </w:tcPr>
          <w:p w14:paraId="1A906BE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事项名称</w:t>
            </w:r>
          </w:p>
        </w:tc>
        <w:tc>
          <w:tcPr>
            <w:tcW w:w="6546" w:type="dxa"/>
            <w:gridSpan w:val="2"/>
            <w:tcBorders>
              <w:top w:val="single" w:color="auto" w:sz="4" w:space="0"/>
              <w:left w:val="single" w:color="auto" w:sz="4" w:space="0"/>
              <w:bottom w:val="single" w:color="auto" w:sz="4" w:space="0"/>
              <w:right w:val="single" w:color="auto" w:sz="4" w:space="0"/>
            </w:tcBorders>
            <w:noWrap w:val="0"/>
            <w:vAlign w:val="center"/>
          </w:tcPr>
          <w:p w14:paraId="4B84592E">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不予行政处罚情形</w:t>
            </w:r>
          </w:p>
        </w:tc>
        <w:tc>
          <w:tcPr>
            <w:tcW w:w="3094" w:type="dxa"/>
            <w:tcBorders>
              <w:top w:val="single" w:color="auto" w:sz="4" w:space="0"/>
              <w:left w:val="single" w:color="auto" w:sz="4" w:space="0"/>
              <w:bottom w:val="single" w:color="auto" w:sz="4" w:space="0"/>
              <w:right w:val="single" w:color="auto" w:sz="4" w:space="0"/>
            </w:tcBorders>
            <w:noWrap w:val="0"/>
            <w:vAlign w:val="center"/>
          </w:tcPr>
          <w:p w14:paraId="2BDBE14E">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法律依据</w:t>
            </w:r>
          </w:p>
        </w:tc>
      </w:tr>
      <w:tr w14:paraId="05AD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000000" w:sz="4" w:space="0"/>
              <w:bottom w:val="single" w:color="000000" w:sz="4" w:space="0"/>
              <w:right w:val="single" w:color="000000" w:sz="4" w:space="0"/>
            </w:tcBorders>
            <w:noWrap w:val="0"/>
            <w:vAlign w:val="center"/>
          </w:tcPr>
          <w:p w14:paraId="328CFA0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c>
          <w:tcPr>
            <w:tcW w:w="975" w:type="dxa"/>
            <w:gridSpan w:val="2"/>
            <w:vMerge w:val="restart"/>
            <w:tcBorders>
              <w:top w:val="single" w:color="auto" w:sz="4" w:space="0"/>
              <w:left w:val="single" w:color="000000" w:sz="4" w:space="0"/>
              <w:bottom w:val="single" w:color="000000" w:sz="4" w:space="0"/>
              <w:right w:val="single" w:color="000000" w:sz="4" w:space="0"/>
            </w:tcBorders>
            <w:noWrap w:val="0"/>
            <w:vAlign w:val="center"/>
          </w:tcPr>
          <w:p w14:paraId="4ED8CC3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建设项目、环境应急类</w:t>
            </w:r>
          </w:p>
        </w:tc>
        <w:tc>
          <w:tcPr>
            <w:tcW w:w="2329" w:type="dxa"/>
            <w:tcBorders>
              <w:top w:val="single" w:color="auto" w:sz="4" w:space="0"/>
              <w:left w:val="single" w:color="000000" w:sz="4" w:space="0"/>
              <w:bottom w:val="single" w:color="000000" w:sz="4" w:space="0"/>
              <w:right w:val="single" w:color="000000" w:sz="4" w:space="0"/>
            </w:tcBorders>
            <w:noWrap w:val="0"/>
            <w:vAlign w:val="center"/>
          </w:tcPr>
          <w:p w14:paraId="6214AD6B">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对建设项目“未批先建”行为的行政处罚</w:t>
            </w:r>
          </w:p>
        </w:tc>
        <w:tc>
          <w:tcPr>
            <w:tcW w:w="6546" w:type="dxa"/>
            <w:gridSpan w:val="2"/>
            <w:tcBorders>
              <w:top w:val="single" w:color="auto" w:sz="4" w:space="0"/>
              <w:left w:val="single" w:color="000000" w:sz="4" w:space="0"/>
              <w:bottom w:val="single" w:color="000000" w:sz="4" w:space="0"/>
              <w:right w:val="single" w:color="000000" w:sz="4" w:space="0"/>
            </w:tcBorders>
            <w:noWrap w:val="0"/>
            <w:vAlign w:val="center"/>
          </w:tcPr>
          <w:p w14:paraId="7728F31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初次违法，在《建设项目环境影响评价分类管理名录》第三条（一）（二）项所列环境敏感区以外，符合下列任一情形的：</w:t>
            </w:r>
          </w:p>
          <w:p w14:paraId="4E8F3DE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新建项目（需编制环境影响评价报告书的项目除外）未依法通过环评审批手续擅自开工建设，处于厂房建设阶段且主体设施未安装建设，未投产或者使用，执法人员现场检查发现违法行为后立即停止建设或者恢复原状，且没有造成环境污染的；</w:t>
            </w:r>
          </w:p>
          <w:p w14:paraId="28B520F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2.改、扩建项目未依法通过环评审批手续擅自开工建设，未投产或者使用，执法人员现场检查发现违法行为后立即停止建设或者恢复原状，且违法行为未造成生态环境破坏或造成环境污染后果的。</w:t>
            </w:r>
          </w:p>
        </w:tc>
        <w:tc>
          <w:tcPr>
            <w:tcW w:w="3094" w:type="dxa"/>
            <w:tcBorders>
              <w:top w:val="single" w:color="auto" w:sz="4" w:space="0"/>
              <w:left w:val="single" w:color="000000" w:sz="4" w:space="0"/>
              <w:bottom w:val="single" w:color="000000" w:sz="4" w:space="0"/>
              <w:right w:val="single" w:color="000000" w:sz="4" w:space="0"/>
            </w:tcBorders>
            <w:noWrap w:val="0"/>
            <w:vAlign w:val="center"/>
          </w:tcPr>
          <w:p w14:paraId="0B5CA45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《中华人民共和国生态环境法典》第八十三条第二款、第九十五条第二款第一、二项、第一百零二条第一款、第一百零六条、第一百零七条;第一千零九十五条第一款。</w:t>
            </w:r>
          </w:p>
          <w:p w14:paraId="2CBA54B6">
            <w:pPr>
              <w:pStyle w:val="2"/>
              <w:keepNext w:val="0"/>
              <w:keepLines w:val="0"/>
              <w:pageBreakBefore w:val="0"/>
              <w:kinsoku/>
              <w:wordWrap/>
              <w:overflowPunct/>
              <w:topLinePunct w:val="0"/>
              <w:autoSpaceDE/>
              <w:autoSpaceDN/>
              <w:bidi w:val="0"/>
              <w:adjustRightInd/>
              <w:snapToGrid/>
              <w:spacing w:line="396" w:lineRule="exact"/>
              <w:jc w:val="both"/>
              <w:rPr>
                <w:rFonts w:hint="eastAsia" w:ascii="仿宋_GB2312" w:hAnsi="仿宋_GB2312" w:eastAsia="仿宋_GB2312" w:cs="仿宋_GB2312"/>
                <w:b w:val="0"/>
                <w:bCs w:val="0"/>
                <w:i w:val="0"/>
                <w:color w:val="000000"/>
                <w:kern w:val="0"/>
                <w:sz w:val="24"/>
                <w:szCs w:val="24"/>
                <w:u w:val="none"/>
                <w:lang w:val="en-US" w:eastAsia="zh-CN" w:bidi="ar"/>
              </w:rPr>
            </w:pPr>
          </w:p>
        </w:tc>
      </w:tr>
      <w:tr w14:paraId="66203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22D437E8">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w:t>
            </w:r>
          </w:p>
        </w:tc>
        <w:tc>
          <w:tcPr>
            <w:tcW w:w="9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75AA77">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2C41FEB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对建设项目未依法备案行为的行政处罚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722329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建设项目未依法备案</w:t>
            </w:r>
            <w:r>
              <w:rPr>
                <w:rStyle w:val="25"/>
                <w:rFonts w:hint="eastAsia" w:ascii="仿宋_GB2312" w:hAnsi="仿宋_GB2312" w:eastAsia="仿宋_GB2312" w:cs="仿宋_GB2312"/>
                <w:b w:val="0"/>
                <w:bCs w:val="0"/>
                <w:color w:val="000000"/>
                <w:sz w:val="24"/>
                <w:szCs w:val="24"/>
                <w:lang w:val="en-US" w:eastAsia="zh-CN" w:bidi="ar"/>
              </w:rPr>
              <w:t>生态</w:t>
            </w:r>
            <w:r>
              <w:rPr>
                <w:rFonts w:hint="eastAsia" w:ascii="仿宋_GB2312" w:hAnsi="仿宋_GB2312" w:eastAsia="仿宋_GB2312" w:cs="仿宋_GB2312"/>
                <w:b w:val="0"/>
                <w:bCs w:val="0"/>
                <w:i w:val="0"/>
                <w:iCs w:val="0"/>
                <w:color w:val="000000"/>
                <w:kern w:val="0"/>
                <w:sz w:val="24"/>
                <w:szCs w:val="24"/>
                <w:u w:val="none"/>
                <w:lang w:val="en-US" w:eastAsia="zh-CN" w:bidi="ar"/>
              </w:rPr>
              <w:t>环境影响登记表，在执法人员检查发现违法行为次日起5个工作日内按要求完成备案的。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3BAFEF6B">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《中华人民共和国生态环境法典》第一百零二条第三款；第一千零九十五条第三款。</w:t>
            </w:r>
          </w:p>
        </w:tc>
      </w:tr>
      <w:tr w14:paraId="3AD8D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4244E63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w:t>
            </w:r>
          </w:p>
        </w:tc>
        <w:tc>
          <w:tcPr>
            <w:tcW w:w="9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8164BE">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396F60AA">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对建设项目“未验先投”行为的行政处罚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D3E0C6A">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建设项目已办理环评审批手续，配套建设的环境保护设施已按照环评批复要求建成并投入生产或使用，未按竣工环境保护验收制度办理环保验收,污染物达标排放，在执法人员现场检查发现违法行为次日起90日内依法完成验收并公开验收报告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290F812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《建设项目环境保护管理条例》第十九条第一款；第二十三条第一款。</w:t>
            </w:r>
          </w:p>
        </w:tc>
      </w:tr>
      <w:tr w14:paraId="4B25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7EEB3603">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w:t>
            </w:r>
          </w:p>
        </w:tc>
        <w:tc>
          <w:tcPr>
            <w:tcW w:w="9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998BAA">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1490650D">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对建设单位未落实防治环境污染和生态破坏的措施、投资概算或未依法开展环境影响后评价行为的行政处罚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5CBFE2DA">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建设单位编制建设项目初步设计未落实防治环境污染和生态破坏的措施以及环境保护设施投资概算，未将环境保护设施建设纳入施工合同，或者未依法开展环境影响后评价的，未造成环境污染后果或环境污染已主动消除、主动恢复原状，在责令改正期限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B10586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《建设项目环境保护管理条例》第十六条；第二十二条。</w:t>
            </w:r>
          </w:p>
        </w:tc>
      </w:tr>
      <w:tr w14:paraId="32084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40644EE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w:t>
            </w:r>
          </w:p>
        </w:tc>
        <w:tc>
          <w:tcPr>
            <w:tcW w:w="975" w:type="dxa"/>
            <w:gridSpan w:val="2"/>
            <w:vMerge w:val="continue"/>
            <w:tcBorders>
              <w:top w:val="single" w:color="000000" w:sz="4" w:space="0"/>
              <w:left w:val="single" w:color="000000" w:sz="4" w:space="0"/>
              <w:bottom w:val="single" w:color="auto" w:sz="4" w:space="0"/>
              <w:right w:val="single" w:color="000000" w:sz="4" w:space="0"/>
            </w:tcBorders>
            <w:noWrap w:val="0"/>
            <w:vAlign w:val="center"/>
          </w:tcPr>
          <w:p w14:paraId="54AE196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2739A5A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对未按规定报备应急预案行为的行政处罚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8457B9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已按规定制定突发环境事件应急预案但未按规定将应急预案备案，2年内未发生突发环境事件的，在执法人员现场检查发现违法行为次日起5个工作日内按要求完成整改的。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4B99DCC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《中华人民共和国生态环境法典》第一百二十三条 第二款、《突发环境事件应急管理办法》第十三条；《中华人民共和国生态环境法典》第一千二百三十五条第二项、《突发环境事件应急管理办法》第三十八条第三项。</w:t>
            </w:r>
          </w:p>
        </w:tc>
      </w:tr>
      <w:tr w14:paraId="0BEAF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7B6FF825">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6</w:t>
            </w:r>
          </w:p>
        </w:tc>
        <w:tc>
          <w:tcPr>
            <w:tcW w:w="975"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E051F4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B848AB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79628A9">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71A21EE8">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E188DC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7EC994FE">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28A31F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1A1D052">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14FCBA79">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4B4B0133">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367201D7">
            <w:pPr>
              <w:pStyle w:val="2"/>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color w:val="000000"/>
                <w:sz w:val="24"/>
                <w:szCs w:val="24"/>
                <w:lang w:val="en-US" w:eastAsia="zh-CN"/>
              </w:rPr>
            </w:pPr>
          </w:p>
          <w:p w14:paraId="78BA713F">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color w:val="000000"/>
                <w:sz w:val="24"/>
                <w:szCs w:val="24"/>
                <w:lang w:val="en-US" w:eastAsia="zh-CN"/>
              </w:rPr>
            </w:pPr>
          </w:p>
          <w:p w14:paraId="2C19BCDC">
            <w:pPr>
              <w:pStyle w:val="2"/>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color w:val="000000"/>
                <w:sz w:val="24"/>
                <w:szCs w:val="24"/>
                <w:lang w:val="en-US" w:eastAsia="zh-CN"/>
              </w:rPr>
            </w:pPr>
          </w:p>
          <w:p w14:paraId="46B5D8A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污染物排放类</w:t>
            </w: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62CA73D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对超标、</w:t>
            </w:r>
            <w:r>
              <w:rPr>
                <w:rStyle w:val="25"/>
                <w:rFonts w:hint="eastAsia" w:ascii="仿宋_GB2312" w:hAnsi="仿宋_GB2312" w:eastAsia="仿宋_GB2312" w:cs="仿宋_GB2312"/>
                <w:b w:val="0"/>
                <w:bCs w:val="0"/>
                <w:color w:val="000000"/>
                <w:sz w:val="24"/>
                <w:szCs w:val="24"/>
                <w:lang w:val="en-US" w:eastAsia="zh-CN" w:bidi="ar"/>
              </w:rPr>
              <w:t>超许可排</w:t>
            </w:r>
            <w:r>
              <w:rPr>
                <w:rFonts w:hint="eastAsia" w:ascii="仿宋_GB2312" w:hAnsi="仿宋_GB2312" w:eastAsia="仿宋_GB2312" w:cs="仿宋_GB2312"/>
                <w:b w:val="0"/>
                <w:bCs w:val="0"/>
                <w:i w:val="0"/>
                <w:iCs w:val="0"/>
                <w:color w:val="000000"/>
                <w:kern w:val="0"/>
                <w:sz w:val="24"/>
                <w:szCs w:val="24"/>
                <w:u w:val="none"/>
                <w:lang w:val="en-US" w:eastAsia="zh-CN" w:bidi="ar"/>
              </w:rPr>
              <w:t>放污染物行为的行政处罚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08EDD1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初次违法，正常生产、经营情况下，除第一类污染物、有毒有害物质、放射性物质、重金属、持久性有机污染物之外，</w:t>
            </w:r>
            <w:r>
              <w:rPr>
                <w:rStyle w:val="25"/>
                <w:rFonts w:hint="eastAsia" w:ascii="仿宋_GB2312" w:hAnsi="仿宋_GB2312" w:eastAsia="仿宋_GB2312" w:cs="仿宋_GB2312"/>
                <w:b w:val="0"/>
                <w:bCs w:val="0"/>
                <w:color w:val="000000"/>
                <w:sz w:val="24"/>
                <w:szCs w:val="24"/>
                <w:lang w:val="en-US" w:eastAsia="zh-CN" w:bidi="ar"/>
              </w:rPr>
              <w:t>超过污染物排放标准、超过排污许可证载明的许可排放标准排放水污染物(色度除外）</w:t>
            </w:r>
            <w:r>
              <w:rPr>
                <w:rFonts w:hint="eastAsia" w:ascii="仿宋_GB2312" w:hAnsi="仿宋_GB2312" w:eastAsia="仿宋_GB2312" w:cs="仿宋_GB2312"/>
                <w:b w:val="0"/>
                <w:bCs w:val="0"/>
                <w:i w:val="0"/>
                <w:iCs w:val="0"/>
                <w:color w:val="000000"/>
                <w:kern w:val="0"/>
                <w:sz w:val="24"/>
                <w:szCs w:val="24"/>
                <w:u w:val="none"/>
                <w:lang w:val="en-US" w:eastAsia="zh-CN" w:bidi="ar"/>
              </w:rPr>
              <w:t>超标倍数在10%以内</w:t>
            </w:r>
            <w:r>
              <w:rPr>
                <w:rStyle w:val="25"/>
                <w:rFonts w:hint="eastAsia" w:ascii="仿宋_GB2312" w:hAnsi="仿宋_GB2312" w:eastAsia="仿宋_GB2312" w:cs="仿宋_GB2312"/>
                <w:b w:val="0"/>
                <w:bCs w:val="0"/>
                <w:color w:val="000000"/>
                <w:sz w:val="24"/>
                <w:szCs w:val="24"/>
                <w:lang w:val="en-US" w:eastAsia="zh-CN" w:bidi="ar"/>
              </w:rPr>
              <w:t>（包含本数）</w:t>
            </w:r>
            <w:r>
              <w:rPr>
                <w:rFonts w:hint="eastAsia" w:ascii="仿宋_GB2312" w:hAnsi="仿宋_GB2312" w:eastAsia="仿宋_GB2312" w:cs="仿宋_GB2312"/>
                <w:b w:val="0"/>
                <w:bCs w:val="0"/>
                <w:i w:val="0"/>
                <w:iCs w:val="0"/>
                <w:color w:val="000000"/>
                <w:kern w:val="0"/>
                <w:sz w:val="24"/>
                <w:szCs w:val="24"/>
                <w:u w:val="none"/>
                <w:lang w:val="en-US" w:eastAsia="zh-CN" w:bidi="ar"/>
              </w:rPr>
              <w:t>，5≤pH≤6或9≤pH≤10，3日内完成整改的；大气污染物（恶臭除外）超标倍数在10%以内，1日内完成整改的；噪声超过1分贝以内，当日完成整改的。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6F7402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《中华人民共和国生态环境法典》第一百五十一条、第一百五十七条、第一百七十九条第二款、第三百零三条第一款、第三百一十条第一款、第七百九十八条第三款；第一千一百零七条 、第一千一百零三条。</w:t>
            </w:r>
          </w:p>
        </w:tc>
      </w:tr>
      <w:tr w14:paraId="4176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auto" w:sz="4" w:space="0"/>
              <w:right w:val="single" w:color="auto" w:sz="4" w:space="0"/>
            </w:tcBorders>
            <w:noWrap w:val="0"/>
            <w:vAlign w:val="center"/>
          </w:tcPr>
          <w:p w14:paraId="2BF5B09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7</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45A438">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2B67922D">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对污染防治设施运行不正常行为的行政处罚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7AF814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开停炉（机），设备检修、工艺设备运转异常等生产设施非正常工况或污染治理设施非正常工况，24小时内向属地生态环境部门备案，做好记录台账，并采取停、限产等措施减少污染物排放，未造成环境污染或环境污染已主动消除，在责令改正期限内及时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B604B8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《中华人民共和国生态环境法典》第一百六十四条第一款、第一百七十九条第二款；第一千一百零八条、第一千一百零四条第一款。</w:t>
            </w:r>
          </w:p>
        </w:tc>
      </w:tr>
      <w:tr w14:paraId="3D5A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auto" w:sz="4" w:space="0"/>
              <w:bottom w:val="single" w:color="auto" w:sz="4" w:space="0"/>
              <w:right w:val="single" w:color="auto" w:sz="4" w:space="0"/>
            </w:tcBorders>
            <w:noWrap w:val="0"/>
            <w:vAlign w:val="center"/>
          </w:tcPr>
          <w:p w14:paraId="171D588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8</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37D4ABD">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5DC62E7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对未按规定安装、使用自动监测设备或未与生态环境部门联网行为的行政处罚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52602527">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未按规定安装、使用自动监测设备或未与生态环境部门联网，且期间按要求开展自行监测，未造成环境污染或环境污染已主动消除，在执法人员检查发现违法行为次日起5个工作日内按要求安装、使用并与生态环境部门联网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625F7BA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《中华人民共和国生态环境法典》第一百八十四条第一款、第二百九十八条第二款；第</w:t>
            </w:r>
            <w:r>
              <w:rPr>
                <w:rStyle w:val="25"/>
                <w:rFonts w:hint="eastAsia" w:ascii="仿宋_GB2312" w:hAnsi="仿宋_GB2312" w:eastAsia="仿宋_GB2312" w:cs="仿宋_GB2312"/>
                <w:b w:val="0"/>
                <w:bCs w:val="0"/>
                <w:color w:val="000000"/>
                <w:sz w:val="24"/>
                <w:szCs w:val="24"/>
                <w:lang w:val="en-US" w:eastAsia="zh-CN" w:bidi="ar"/>
              </w:rPr>
              <w:t>一千零八十六条第一款第二项。</w:t>
            </w:r>
          </w:p>
        </w:tc>
      </w:tr>
      <w:tr w14:paraId="37A00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000000" w:sz="4" w:space="0"/>
              <w:bottom w:val="single" w:color="000000" w:sz="4" w:space="0"/>
              <w:right w:val="single" w:color="auto" w:sz="4" w:space="0"/>
            </w:tcBorders>
            <w:noWrap w:val="0"/>
            <w:vAlign w:val="center"/>
          </w:tcPr>
          <w:p w14:paraId="3030F96F">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9</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8BFFBA">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1D115C5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对未在密闭空间或者设备中进行产生含挥发性有机物废气的生产和服务活动行为的行政处罚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A7EA4B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产生含挥发性有机物废气的生产和服务活动，已按要求安装污染防治设施，未在密闭空间或者设备中进行，未造成环境污染或环境污染已主动消除，在执法人员现场检查发现违法行为时立即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2EE8479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《中华人民共和国生态环境法典》第二百一十四条；第一千一百二十条第一款第二项。</w:t>
            </w:r>
          </w:p>
        </w:tc>
      </w:tr>
      <w:tr w14:paraId="5D4DB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52B63BA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78F632">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369833D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对不正常使用焊烟等相关烟气收集处理设施行为的行政处罚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0397017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初次违法，焊接作业已按要求安装污染防治设施，不正常使用焊烟等相关烟气收集处理设施的行为，在执法人员现场检查发现违法行为当日按要求完成整改的。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106585A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《中华人民共和国生态环境法典》第二百一十七条；第一千一百二十条第一款第五项。</w:t>
            </w:r>
          </w:p>
        </w:tc>
      </w:tr>
      <w:tr w14:paraId="0C767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65ED6FB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11</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A69DE9">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17065087">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对未密闭易产生扬尘的物料或未采取有效措施防治扬尘污染行为的行政处罚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3A45580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对煤炭、煤矸石、煤渣、煤灰、水泥、石灰、石膏、砂土等易产生扬尘的物料未密闭或对不能密闭易产生扬尘的物料未设置不低于堆放物高度的严密围挡，或者未采取有效覆盖、喷淋等措施防治扬尘污染，堆放面积在100平方米以下，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1EA4EDCA">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《中华人民共和国生态环境法典》第二百四十三条第一款；第一千一百三十条第二项、第三项。</w:t>
            </w:r>
          </w:p>
        </w:tc>
      </w:tr>
      <w:tr w14:paraId="4337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3483C7D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12</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4A72FD1">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76A2DCE8">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对工业涂装企业未建立、保存台账的行政处罚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41D7675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初次违法，未建立、保存台账，但使用的生产原料、辅料均为低挥发性有机物含量涂料，在执法人员现场检查发现违法行为次日起3个工作日内完成整改的。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330B7E04">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《中华人民共和国生态环境法典》第一百八十三条；第一千零八十六条第一款第一项。</w:t>
            </w:r>
          </w:p>
        </w:tc>
      </w:tr>
      <w:tr w14:paraId="3DDD8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137F74DF">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lang w:val="en-US"/>
              </w:rPr>
            </w:pPr>
            <w:r>
              <w:rPr>
                <w:rFonts w:hint="eastAsia" w:ascii="仿宋_GB2312" w:hAnsi="仿宋_GB2312" w:eastAsia="仿宋_GB2312" w:cs="仿宋_GB2312"/>
                <w:b w:val="0"/>
                <w:bCs w:val="0"/>
                <w:i w:val="0"/>
                <w:iCs w:val="0"/>
                <w:color w:val="000000"/>
                <w:kern w:val="0"/>
                <w:sz w:val="24"/>
                <w:szCs w:val="24"/>
                <w:u w:val="none"/>
                <w:lang w:val="en-US" w:eastAsia="zh-CN" w:bidi="ar"/>
              </w:rPr>
              <w:t>13</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681BEA">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777711A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对未按照规定开展自行监测等行为或未保存原始监测记录行为的行政处罚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4138A1DB">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未按规定制定监测方案、未对所排放的污染物开展自行监测（监测频次缺失在1次以内或者监测因子遗漏在1项以内的）、未保存原始监测记录的，在执法人员现场检查发现违法行为次日起5个工作日内按要求完成整改的(除应对产生排放有毒有害气体应开展自行监测或保存原始监测记录以外的行为)。</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2A15034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Style w:val="26"/>
                <w:rFonts w:hint="eastAsia" w:ascii="仿宋_GB2312" w:hAnsi="仿宋_GB2312" w:eastAsia="仿宋_GB2312" w:cs="仿宋_GB2312"/>
                <w:b w:val="0"/>
                <w:bCs w:val="0"/>
                <w:color w:val="000000"/>
                <w:sz w:val="24"/>
                <w:szCs w:val="24"/>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《中华人民共和国生态环境法典》第一百八十四条第一款 、第一百九十七条、第二百九十八条第二款；</w:t>
            </w:r>
            <w:r>
              <w:rPr>
                <w:rStyle w:val="25"/>
                <w:rFonts w:hint="eastAsia" w:ascii="仿宋_GB2312" w:hAnsi="仿宋_GB2312" w:eastAsia="仿宋_GB2312" w:cs="仿宋_GB2312"/>
                <w:b w:val="0"/>
                <w:bCs w:val="0"/>
                <w:color w:val="000000"/>
                <w:sz w:val="24"/>
                <w:szCs w:val="24"/>
                <w:lang w:val="en-US" w:eastAsia="zh-CN" w:bidi="ar"/>
              </w:rPr>
              <w:t>第一千零八十六条第一款第二项</w:t>
            </w:r>
            <w:r>
              <w:rPr>
                <w:rStyle w:val="26"/>
                <w:rFonts w:hint="eastAsia" w:ascii="仿宋_GB2312" w:hAnsi="仿宋_GB2312" w:eastAsia="仿宋_GB2312" w:cs="仿宋_GB2312"/>
                <w:b w:val="0"/>
                <w:bCs w:val="0"/>
                <w:color w:val="000000"/>
                <w:sz w:val="24"/>
                <w:szCs w:val="24"/>
                <w:lang w:val="en-US" w:eastAsia="zh-CN" w:bidi="ar"/>
              </w:rPr>
              <w:t>。</w:t>
            </w:r>
          </w:p>
          <w:p w14:paraId="0BE963E6">
            <w:pPr>
              <w:keepNext w:val="0"/>
              <w:keepLines w:val="0"/>
              <w:pageBreakBefore w:val="0"/>
              <w:kinsoku/>
              <w:wordWrap/>
              <w:overflowPunct/>
              <w:topLinePunct w:val="0"/>
              <w:autoSpaceDE/>
              <w:autoSpaceDN/>
              <w:bidi w:val="0"/>
              <w:adjustRightInd/>
              <w:snapToGrid/>
              <w:spacing w:line="396" w:lineRule="exact"/>
              <w:jc w:val="both"/>
              <w:rPr>
                <w:rFonts w:hint="eastAsia" w:ascii="仿宋_GB2312" w:hAnsi="仿宋_GB2312" w:eastAsia="仿宋_GB2312" w:cs="仿宋_GB2312"/>
                <w:b w:val="0"/>
                <w:bCs w:val="0"/>
                <w:color w:val="000000"/>
                <w:sz w:val="24"/>
                <w:szCs w:val="24"/>
                <w:lang w:val="en-US" w:eastAsia="zh-CN"/>
              </w:rPr>
            </w:pPr>
          </w:p>
        </w:tc>
      </w:tr>
      <w:tr w14:paraId="1C02C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23AC25F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14</w:t>
            </w:r>
          </w:p>
        </w:tc>
        <w:tc>
          <w:tcPr>
            <w:tcW w:w="975" w:type="dxa"/>
            <w:gridSpan w:val="2"/>
            <w:vMerge w:val="restart"/>
            <w:tcBorders>
              <w:top w:val="single" w:color="auto" w:sz="4" w:space="0"/>
              <w:left w:val="single" w:color="000000" w:sz="4" w:space="0"/>
              <w:right w:val="single" w:color="000000" w:sz="4" w:space="0"/>
            </w:tcBorders>
            <w:noWrap w:val="0"/>
            <w:vAlign w:val="center"/>
          </w:tcPr>
          <w:p w14:paraId="184794BF">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3C89F217">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0BD608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5D9E29A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C630358">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5224A8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4331C2B8">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1E22B267">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E1DE76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58618DD9">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70F100F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A8CC440">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固体废物污染防治类</w:t>
            </w: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339F60D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对未按规定设置危险废物识别标志行为的行政处罚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86A1F9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初次违法，未按照规定设置危险废物识别标志，未造成环境污染或环境污染已主动消除，在执法人员现场检查发现违法行为次日起3个工作日内按要求完成整改的。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9F7A22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《中华人民共和国生态环境法典》第五百三十一条；第一千一百七十五条第一款第一项和第二款。</w:t>
            </w:r>
          </w:p>
        </w:tc>
      </w:tr>
      <w:tr w14:paraId="51A9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3217270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15</w:t>
            </w:r>
          </w:p>
        </w:tc>
        <w:tc>
          <w:tcPr>
            <w:tcW w:w="975" w:type="dxa"/>
            <w:gridSpan w:val="2"/>
            <w:vMerge w:val="continue"/>
            <w:tcBorders>
              <w:left w:val="single" w:color="000000" w:sz="4" w:space="0"/>
              <w:right w:val="single" w:color="000000" w:sz="4" w:space="0"/>
            </w:tcBorders>
            <w:noWrap w:val="0"/>
            <w:vAlign w:val="center"/>
          </w:tcPr>
          <w:p w14:paraId="4AF931C1">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2CE86D5C">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对不规范贮存危险废物行为的行政处罚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299D285D">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危险废物管理台账记录不规范不全面、贮存不规范或将危险废物混入非危险废物中贮存，所涉及危险废物量不足0.1吨（除剧毒废弃危险化学品、医疗废物、实验室产生的危险废物及易燃易爆危险废物外），未造成环境污染或环境污染已主动消除，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7974424">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《中华人民共和国生态环境法典》第五百三十二条第二款、第五百三十五条；第一千一百七十五条第一款第三项、第四项和第二款。</w:t>
            </w:r>
          </w:p>
        </w:tc>
      </w:tr>
      <w:tr w14:paraId="56E1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064B8FA7">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16</w:t>
            </w:r>
          </w:p>
        </w:tc>
        <w:tc>
          <w:tcPr>
            <w:tcW w:w="975" w:type="dxa"/>
            <w:gridSpan w:val="2"/>
            <w:vMerge w:val="continue"/>
            <w:tcBorders>
              <w:left w:val="single" w:color="000000" w:sz="4" w:space="0"/>
              <w:right w:val="single" w:color="000000" w:sz="4" w:space="0"/>
            </w:tcBorders>
            <w:noWrap w:val="0"/>
            <w:vAlign w:val="center"/>
          </w:tcPr>
          <w:p w14:paraId="5D2BB417">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50A1C787">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对贮存工业固体废物不符合要求行为的行政处罚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6DBF59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初次违法，贮存工业固体废物未采取符合国家环境保护要求的方式，现场检查时固体废物数量在100吨以内，未造成工业固体废物流失、渗漏等结果，在责令改正期限内按要求完成整改的。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35A647F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《中华人民共和国生态环境法典》第四百九十四条第一款；第一千一百七十一条第一款第五项和第二款。</w:t>
            </w:r>
          </w:p>
        </w:tc>
      </w:tr>
      <w:tr w14:paraId="387B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71BC6410">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17</w:t>
            </w:r>
          </w:p>
        </w:tc>
        <w:tc>
          <w:tcPr>
            <w:tcW w:w="975" w:type="dxa"/>
            <w:gridSpan w:val="2"/>
            <w:vMerge w:val="continue"/>
            <w:tcBorders>
              <w:left w:val="single" w:color="000000" w:sz="4" w:space="0"/>
              <w:bottom w:val="single" w:color="auto" w:sz="4" w:space="0"/>
              <w:right w:val="single" w:color="000000" w:sz="4" w:space="0"/>
            </w:tcBorders>
            <w:noWrap w:val="0"/>
            <w:vAlign w:val="center"/>
          </w:tcPr>
          <w:p w14:paraId="1C37726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7DAD831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对从事畜禽规模养殖未及时处置养殖过程中产生的畜禽粪污等固体废物行为的行政处罚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5C5F8BE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登记管理类畜禽养殖未按要求及时收集、贮存、清运、处理或者利用养殖过程中产生的畜禽粪污、尸体等废弃物，未造成畜禽养殖废弃物渗出、泄露，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736C975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《中华人民共和国生态环境法典》第一百七十一条第三款、第三百零九条第二款；第一千二百三十一条第一款第一项。</w:t>
            </w:r>
          </w:p>
          <w:p w14:paraId="7F1AFE28">
            <w:pPr>
              <w:keepNext w:val="0"/>
              <w:keepLines w:val="0"/>
              <w:pageBreakBefore w:val="0"/>
              <w:kinsoku/>
              <w:wordWrap/>
              <w:overflowPunct/>
              <w:topLinePunct w:val="0"/>
              <w:autoSpaceDE/>
              <w:autoSpaceDN/>
              <w:bidi w:val="0"/>
              <w:adjustRightInd/>
              <w:snapToGrid/>
              <w:spacing w:line="396" w:lineRule="exact"/>
              <w:jc w:val="both"/>
              <w:rPr>
                <w:rFonts w:hint="eastAsia" w:ascii="仿宋_GB2312" w:hAnsi="仿宋_GB2312" w:eastAsia="仿宋_GB2312" w:cs="仿宋_GB2312"/>
                <w:b w:val="0"/>
                <w:bCs w:val="0"/>
                <w:i w:val="0"/>
                <w:color w:val="000000"/>
                <w:kern w:val="0"/>
                <w:sz w:val="24"/>
                <w:szCs w:val="24"/>
                <w:u w:val="none"/>
                <w:lang w:val="en-US" w:eastAsia="zh-CN" w:bidi="ar"/>
              </w:rPr>
            </w:pPr>
          </w:p>
        </w:tc>
      </w:tr>
      <w:tr w14:paraId="5C08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1B0BEB5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18</w:t>
            </w:r>
          </w:p>
        </w:tc>
        <w:tc>
          <w:tcPr>
            <w:tcW w:w="975"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E3A89D3">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4B9BCD61">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3AC0A700">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31897CBE">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6C667298">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5DD047DE">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369280F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6831E5DD">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04C12C82">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6D5FCEE7">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60CDB4F0">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49A59EA2">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p>
          <w:p w14:paraId="50D903DE">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eastAsia="zh-CN"/>
              </w:rPr>
            </w:pPr>
            <w:r>
              <w:rPr>
                <w:rFonts w:hint="eastAsia" w:ascii="仿宋_GB2312" w:hAnsi="仿宋_GB2312" w:eastAsia="仿宋_GB2312" w:cs="仿宋_GB2312"/>
                <w:b w:val="0"/>
                <w:bCs w:val="0"/>
                <w:i w:val="0"/>
                <w:color w:val="000000"/>
                <w:sz w:val="24"/>
                <w:szCs w:val="24"/>
                <w:u w:val="none"/>
                <w:lang w:eastAsia="zh-CN"/>
              </w:rPr>
              <w:t>排污许可类</w:t>
            </w: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62D32594">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对依法应当重新申请取得排污许可证，未重新申请取得排污许可证排放污染物行为的行政处罚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C9212C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依法应当重新申请取得排污许可证，未重新申请取得排污许可证排放污染物，违法行为持续时间3个月以内，建设项目已经通过审批、验收，污染物处理设施正常运行，未超标且未超总量排污，变更的排放方式或者排放去向明显有利于污染防治的，在执法人员现场检查发现违法行为次日起30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2AE407B8">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《中华人民共和国生态环境法典》第一百八十二条；第一千一百零二条。</w:t>
            </w:r>
          </w:p>
        </w:tc>
      </w:tr>
      <w:tr w14:paraId="4C94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26E591C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19</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9EF9A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val="en-US" w:eastAsia="zh-CN"/>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7F0869E4">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对未按照规定填报排污登记表行为的行政处罚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022BCB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初次违法，需要填报排污登记表的企业事业单位和其他生产经营者，未依照规定填报排污信息，在执法人员现场检查发现违法行为次日起3个工作日内按要求完成整改的。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7C58563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《中华人民共和国生态环境法典》第一百八十六条第一款、《排污许可管理条例》第二十四条；</w:t>
            </w:r>
            <w:r>
              <w:rPr>
                <w:rStyle w:val="25"/>
                <w:rFonts w:hint="eastAsia" w:ascii="仿宋_GB2312" w:hAnsi="仿宋_GB2312" w:eastAsia="仿宋_GB2312" w:cs="仿宋_GB2312"/>
                <w:b w:val="0"/>
                <w:bCs w:val="0"/>
                <w:color w:val="000000"/>
                <w:sz w:val="24"/>
                <w:szCs w:val="24"/>
                <w:lang w:val="en-US" w:eastAsia="zh-CN" w:bidi="ar"/>
              </w:rPr>
              <w:t>《中华人民共和国生态环境法典》第一千一百零六条、</w:t>
            </w:r>
            <w:r>
              <w:rPr>
                <w:rFonts w:hint="eastAsia" w:ascii="仿宋_GB2312" w:hAnsi="仿宋_GB2312" w:eastAsia="仿宋_GB2312" w:cs="仿宋_GB2312"/>
                <w:b w:val="0"/>
                <w:bCs w:val="0"/>
                <w:i w:val="0"/>
                <w:iCs w:val="0"/>
                <w:color w:val="000000"/>
                <w:kern w:val="0"/>
                <w:sz w:val="24"/>
                <w:szCs w:val="24"/>
                <w:u w:val="none"/>
                <w:lang w:val="en-US" w:eastAsia="zh-CN" w:bidi="ar"/>
              </w:rPr>
              <w:t>《排污许可管理条例》第四十三条。</w:t>
            </w:r>
          </w:p>
        </w:tc>
      </w:tr>
      <w:tr w14:paraId="0E29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auto" w:sz="4" w:space="0"/>
            </w:tcBorders>
            <w:noWrap w:val="0"/>
            <w:vAlign w:val="center"/>
          </w:tcPr>
          <w:p w14:paraId="78F18689">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20</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BB2FDA">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val="en-US" w:eastAsia="zh-CN"/>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04D7590B">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对未按照排污许可证规定的格式、内容和频次记录相关信息行为的行政处罚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7061666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已建立环境管理台账记录制度，但未按照排污许可证规定的格式、内容和频次记录的或未如实记录主要生产设施及污染防治设施运行情况或者未如实记录污染物排放浓度、排放量，未超标且未超总量排放污染物的，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5440896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《中华人民共和国生态环境法典》第一百八十三条、《排污许可管理条例》第二十一条第一款；</w:t>
            </w:r>
            <w:r>
              <w:rPr>
                <w:rStyle w:val="25"/>
                <w:rFonts w:hint="eastAsia" w:ascii="仿宋_GB2312" w:hAnsi="仿宋_GB2312" w:eastAsia="仿宋_GB2312" w:cs="仿宋_GB2312"/>
                <w:b w:val="0"/>
                <w:bCs w:val="0"/>
                <w:color w:val="000000"/>
                <w:sz w:val="24"/>
                <w:szCs w:val="24"/>
                <w:lang w:val="en-US" w:eastAsia="zh-CN" w:bidi="ar"/>
              </w:rPr>
              <w:t>《中华人民共和国生态环境法典》第一千零八十六条第一款第一项、</w:t>
            </w:r>
            <w:r>
              <w:rPr>
                <w:rFonts w:hint="eastAsia" w:ascii="仿宋_GB2312" w:hAnsi="仿宋_GB2312" w:eastAsia="仿宋_GB2312" w:cs="仿宋_GB2312"/>
                <w:b w:val="0"/>
                <w:bCs w:val="0"/>
                <w:i w:val="0"/>
                <w:iCs w:val="0"/>
                <w:color w:val="000000"/>
                <w:kern w:val="0"/>
                <w:sz w:val="24"/>
                <w:szCs w:val="24"/>
                <w:u w:val="none"/>
                <w:lang w:val="en-US" w:eastAsia="zh-CN" w:bidi="ar"/>
              </w:rPr>
              <w:t>《排污许可管理条例》第三十七条第二项。</w:t>
            </w:r>
          </w:p>
        </w:tc>
      </w:tr>
      <w:tr w14:paraId="1CAE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auto" w:sz="4" w:space="0"/>
              <w:right w:val="single" w:color="auto" w:sz="4" w:space="0"/>
            </w:tcBorders>
            <w:noWrap w:val="0"/>
            <w:vAlign w:val="center"/>
          </w:tcPr>
          <w:p w14:paraId="1A50BF77">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21</w:t>
            </w:r>
          </w:p>
        </w:tc>
        <w:tc>
          <w:tcPr>
            <w:tcW w:w="97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030641">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lang w:val="en-US" w:eastAsia="zh-CN"/>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381E38A7">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对未按规定时间要求提交执行报告行为的行政处罚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E39321D">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初次违法，已核发排污许可证的排污单位未按规定时间要求提交执行报告，未造成环境污染或环境污染已主动消除，在执法人员现场检查发现违法行为次日起3个工作日内按要求完成整改的。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176959D5">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《排污许可管理条例》第二十二条第一款；第三十七条第三项。</w:t>
            </w:r>
          </w:p>
        </w:tc>
      </w:tr>
      <w:tr w14:paraId="337EA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auto" w:sz="4" w:space="0"/>
              <w:bottom w:val="single" w:color="auto" w:sz="4" w:space="0"/>
              <w:right w:val="single" w:color="000000" w:sz="4" w:space="0"/>
            </w:tcBorders>
            <w:noWrap w:val="0"/>
            <w:vAlign w:val="center"/>
          </w:tcPr>
          <w:p w14:paraId="37CABB9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22</w:t>
            </w:r>
          </w:p>
        </w:tc>
        <w:tc>
          <w:tcPr>
            <w:tcW w:w="975" w:type="dxa"/>
            <w:gridSpan w:val="2"/>
            <w:vMerge w:val="restart"/>
            <w:tcBorders>
              <w:top w:val="single" w:color="auto" w:sz="4" w:space="0"/>
              <w:left w:val="single" w:color="000000" w:sz="4" w:space="0"/>
              <w:bottom w:val="single" w:color="auto" w:sz="4" w:space="0"/>
              <w:right w:val="single" w:color="auto" w:sz="4" w:space="0"/>
            </w:tcBorders>
            <w:noWrap w:val="0"/>
            <w:vAlign w:val="center"/>
          </w:tcPr>
          <w:p w14:paraId="5FEC3FA2">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F53660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4ADE27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0F2B4D80">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74D9770">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3D3B6BB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22DD641">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1AA5FE6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80C3797">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70BD49D2">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685D102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5EC844C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3B1A800C">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29D3134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14:paraId="3690E2B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lang w:val="en-US" w:eastAsia="zh-CN"/>
              </w:rPr>
            </w:pPr>
            <w:r>
              <w:rPr>
                <w:rFonts w:hint="eastAsia" w:ascii="仿宋_GB2312" w:hAnsi="仿宋_GB2312" w:eastAsia="仿宋_GB2312" w:cs="仿宋_GB2312"/>
                <w:b w:val="0"/>
                <w:bCs w:val="0"/>
                <w:i w:val="0"/>
                <w:iCs w:val="0"/>
                <w:color w:val="000000"/>
                <w:kern w:val="0"/>
                <w:sz w:val="24"/>
                <w:szCs w:val="24"/>
                <w:u w:val="none"/>
                <w:lang w:val="en-US" w:eastAsia="zh-CN" w:bidi="ar"/>
              </w:rPr>
              <w:t>信息公开类</w:t>
            </w: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0C70AE0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对未按规定公开环境风险防范工作开展情况、突发环境事件应急预案及演练情况等环境信息行为的行政处罚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6A10BA0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企事业单位未按规定公开本单位环境风险防范工作开展情况、突发环境事件应急预案及演练情况等环境信息，已编制突发环境事件应急预案，风险评估为一般等级，近三年未发生突发环境事件，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7622F46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《突发环境事件应急管理办法》第三十四条、第三十八条第六项。</w:t>
            </w:r>
          </w:p>
        </w:tc>
      </w:tr>
      <w:tr w14:paraId="5A8D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000000" w:sz="4" w:space="0"/>
              <w:bottom w:val="single" w:color="auto" w:sz="4" w:space="0"/>
              <w:right w:val="single" w:color="000000" w:sz="4" w:space="0"/>
            </w:tcBorders>
            <w:noWrap w:val="0"/>
            <w:vAlign w:val="center"/>
          </w:tcPr>
          <w:p w14:paraId="0C08DA7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23</w:t>
            </w:r>
          </w:p>
        </w:tc>
        <w:tc>
          <w:tcPr>
            <w:tcW w:w="975"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14:paraId="1D7A2F6C">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kern w:val="0"/>
                <w:sz w:val="24"/>
                <w:szCs w:val="24"/>
                <w:u w:val="none"/>
                <w:lang w:val="en-US" w:eastAsia="zh-CN" w:bidi="ar"/>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6D72974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对企业未按照规定公开生态环境信息的行政处罚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37E2189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初次违法，在执法人员现场检查发现违法行为次日起5个工作日内完成整改，没有造成危害后果的（不含公开内容弄虚作假行为）。</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71E7279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生态环境法典》第一百四十条第二款、第一百八十五条、《企业环境信息依法披露管理办法》第五条、第十九条、《排污许可管理条例》第二十三条第一款；《中华人民共和国生态环境法典》第一千一百一十条、《企业环境信息依法披露管理办法》第二十八条、第二十九条、《排污许可管理条例》第三十六条第七项。</w:t>
            </w:r>
          </w:p>
        </w:tc>
      </w:tr>
      <w:tr w14:paraId="13E31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auto" w:sz="4" w:space="0"/>
              <w:left w:val="single" w:color="000000" w:sz="4" w:space="0"/>
              <w:bottom w:val="single" w:color="000000" w:sz="4" w:space="0"/>
              <w:right w:val="single" w:color="000000" w:sz="4" w:space="0"/>
            </w:tcBorders>
            <w:noWrap w:val="0"/>
            <w:vAlign w:val="center"/>
          </w:tcPr>
          <w:p w14:paraId="18D5A68D">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24</w:t>
            </w:r>
          </w:p>
        </w:tc>
        <w:tc>
          <w:tcPr>
            <w:tcW w:w="975"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14:paraId="5AFC33D2">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kern w:val="0"/>
                <w:sz w:val="24"/>
                <w:szCs w:val="24"/>
                <w:u w:val="none"/>
                <w:lang w:val="en-US" w:eastAsia="zh-CN" w:bidi="ar"/>
              </w:rPr>
            </w:pPr>
          </w:p>
        </w:tc>
        <w:tc>
          <w:tcPr>
            <w:tcW w:w="2329" w:type="dxa"/>
            <w:tcBorders>
              <w:top w:val="single" w:color="000000" w:sz="4" w:space="0"/>
              <w:left w:val="single" w:color="auto" w:sz="4" w:space="0"/>
              <w:bottom w:val="single" w:color="000000" w:sz="4" w:space="0"/>
              <w:right w:val="single" w:color="000000" w:sz="4" w:space="0"/>
            </w:tcBorders>
            <w:noWrap w:val="0"/>
            <w:vAlign w:val="center"/>
          </w:tcPr>
          <w:p w14:paraId="67BD945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对未依法向社会公开验收报告行为的行政处罚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1DBD2B02">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初次违法，建设项目环境保护设施验收工作已全部完成，未依法向社会公开验收报告，未造成环境污染或环境污染已主动消除，在执法人员现场检查发现违法行为次日起3个工作日内按要求完成整改的。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7933C60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《建设项目环境保护管理条例》第十七条第三款；第二十三条第二款。</w:t>
            </w:r>
          </w:p>
        </w:tc>
      </w:tr>
      <w:tr w14:paraId="7E35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48BB03E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sz w:val="24"/>
                <w:szCs w:val="24"/>
                <w:u w:val="none"/>
                <w:lang w:val="en-US" w:eastAsia="zh-CN"/>
              </w:rPr>
            </w:pPr>
            <w:r>
              <w:rPr>
                <w:rFonts w:hint="eastAsia" w:ascii="仿宋_GB2312" w:hAnsi="仿宋_GB2312" w:eastAsia="仿宋_GB2312" w:cs="仿宋_GB2312"/>
                <w:b w:val="0"/>
                <w:bCs w:val="0"/>
                <w:i w:val="0"/>
                <w:iCs w:val="0"/>
                <w:color w:val="auto"/>
                <w:kern w:val="0"/>
                <w:sz w:val="24"/>
                <w:szCs w:val="24"/>
                <w:u w:val="none"/>
                <w:lang w:val="en-US" w:eastAsia="zh-CN" w:bidi="ar"/>
              </w:rPr>
              <w:t>25</w:t>
            </w:r>
          </w:p>
        </w:tc>
        <w:tc>
          <w:tcPr>
            <w:tcW w:w="975" w:type="dxa"/>
            <w:gridSpan w:val="2"/>
            <w:tcBorders>
              <w:top w:val="single" w:color="auto" w:sz="4" w:space="0"/>
              <w:left w:val="single" w:color="000000" w:sz="4" w:space="0"/>
              <w:bottom w:val="single" w:color="auto" w:sz="4" w:space="0"/>
              <w:right w:val="single" w:color="000000" w:sz="4" w:space="0"/>
            </w:tcBorders>
            <w:noWrap w:val="0"/>
            <w:vAlign w:val="center"/>
          </w:tcPr>
          <w:p w14:paraId="5EBC525A">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sz w:val="24"/>
                <w:szCs w:val="24"/>
                <w:u w:val="none"/>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234A9E6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对未按规定变更辐射安全许可证行为的行政处罚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07EBCD7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初次违法，未按规定及时变更辐射安全许可证期间，严格按照许可要求开展辐射活动，未造成危害后果，在执法人员现场检查发现违法行为次日起5个工作日内按要求完成整改的。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3BF5AB9A">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《放射性同位素与射线装置安全和防护条例》第十一条；第五十三条</w:t>
            </w:r>
          </w:p>
        </w:tc>
      </w:tr>
      <w:tr w14:paraId="53163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74160019">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auto"/>
                <w:kern w:val="0"/>
                <w:sz w:val="24"/>
                <w:szCs w:val="24"/>
                <w:u w:val="none"/>
                <w:lang w:val="en-US" w:eastAsia="zh-CN" w:bidi="ar"/>
              </w:rPr>
              <w:t>26</w:t>
            </w:r>
          </w:p>
        </w:tc>
        <w:tc>
          <w:tcPr>
            <w:tcW w:w="975"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7FCA27AE">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其他类</w:t>
            </w: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4B09742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对未按规定时间报送安全和防护状况年度评估报告行为的行政处罚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4A5E785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初次违法，生产、销售、使用放射性同位素与射线装置的单位未按规定时间报送安全和防护状况年度评估报告，未造成环境污染或环境污染已主动消除，在执法人员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BB1736C">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《放射性同位素与射线装置安全和防护管理办法》第十二条第一款；第五十五条第二项。</w:t>
            </w:r>
          </w:p>
        </w:tc>
      </w:tr>
      <w:tr w14:paraId="1EEB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50E547AB">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27</w:t>
            </w:r>
          </w:p>
        </w:tc>
        <w:tc>
          <w:tcPr>
            <w:tcW w:w="975"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293C8D1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kern w:val="0"/>
                <w:sz w:val="24"/>
                <w:szCs w:val="24"/>
                <w:u w:val="none"/>
                <w:lang w:val="en-US" w:eastAsia="zh-CN" w:bidi="ar"/>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2616C9A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对从事消耗臭氧层物质生产等经营活动的单位应当向生态环境主管部门备案而未备案的行为的行政处罚</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7874AF8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 xml:space="preserve"> 初次违法，对从事消耗臭氧层物质生产、销售、使用、进出口、回收、再生利用、销毁等经营活动的单位，以及从事含消耗臭氧层物质的制冷设备、制冷系统或者灭火系统的维修、报废处理等经营活动的单位应当向生态环境主管部门备案而未备案，没有造成环境污染后果，在执法人员检查发现违法行为次日起3个工作日内按要求完成整改的。</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2A9663EF">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《消耗臭氧层物质管理条例》第十七条；《消耗臭氧层物质管理条例》第三十七条第一项。</w:t>
            </w:r>
          </w:p>
        </w:tc>
      </w:tr>
      <w:tr w14:paraId="51F80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noWrap w:val="0"/>
            <w:vAlign w:val="center"/>
          </w:tcPr>
          <w:p w14:paraId="6FC183A5">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28</w:t>
            </w:r>
          </w:p>
        </w:tc>
        <w:tc>
          <w:tcPr>
            <w:tcW w:w="975"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4E165F76">
            <w:pPr>
              <w:keepNext w:val="0"/>
              <w:keepLines w:val="0"/>
              <w:pageBreakBefore w:val="0"/>
              <w:kinsoku/>
              <w:wordWrap/>
              <w:overflowPunct/>
              <w:topLinePunct w:val="0"/>
              <w:autoSpaceDE/>
              <w:autoSpaceDN/>
              <w:bidi w:val="0"/>
              <w:adjustRightInd/>
              <w:snapToGrid/>
              <w:spacing w:line="396" w:lineRule="exact"/>
              <w:jc w:val="center"/>
              <w:rPr>
                <w:rFonts w:hint="eastAsia" w:ascii="仿宋_GB2312" w:hAnsi="仿宋_GB2312" w:eastAsia="仿宋_GB2312" w:cs="仿宋_GB2312"/>
                <w:b w:val="0"/>
                <w:bCs w:val="0"/>
                <w:i w:val="0"/>
                <w:color w:val="000000"/>
                <w:kern w:val="0"/>
                <w:sz w:val="24"/>
                <w:szCs w:val="24"/>
                <w:u w:val="none"/>
                <w:lang w:val="en-US" w:eastAsia="zh-CN" w:bidi="ar"/>
              </w:rPr>
            </w:pPr>
          </w:p>
        </w:tc>
        <w:tc>
          <w:tcPr>
            <w:tcW w:w="2329" w:type="dxa"/>
            <w:tcBorders>
              <w:top w:val="single" w:color="000000" w:sz="4" w:space="0"/>
              <w:left w:val="single" w:color="000000" w:sz="4" w:space="0"/>
              <w:bottom w:val="single" w:color="000000" w:sz="4" w:space="0"/>
              <w:right w:val="single" w:color="000000" w:sz="4" w:space="0"/>
            </w:tcBorders>
            <w:noWrap w:val="0"/>
            <w:vAlign w:val="center"/>
          </w:tcPr>
          <w:p w14:paraId="7B6C7C74">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法律法规规定的其他不予行政处罚情形</w:t>
            </w:r>
          </w:p>
        </w:tc>
        <w:tc>
          <w:tcPr>
            <w:tcW w:w="6546" w:type="dxa"/>
            <w:gridSpan w:val="2"/>
            <w:tcBorders>
              <w:top w:val="single" w:color="000000" w:sz="4" w:space="0"/>
              <w:left w:val="single" w:color="000000" w:sz="4" w:space="0"/>
              <w:bottom w:val="single" w:color="000000" w:sz="4" w:space="0"/>
              <w:right w:val="single" w:color="000000" w:sz="4" w:space="0"/>
            </w:tcBorders>
            <w:noWrap w:val="0"/>
            <w:vAlign w:val="center"/>
          </w:tcPr>
          <w:p w14:paraId="534CC670">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i w:val="0"/>
                <w:iCs w:val="0"/>
                <w:color w:val="000000"/>
                <w:kern w:val="0"/>
                <w:sz w:val="24"/>
                <w:szCs w:val="24"/>
                <w:u w:val="none"/>
                <w:lang w:val="en-US" w:eastAsia="zh-CN" w:bidi="ar"/>
              </w:rPr>
              <w:t>1.违法行为轻微并及时改正，没有造成生态环境危害后果的，不予行政处罚。</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2.初次违法且生态环境危害后果轻微并及时改正的，可以不予行政处罚。</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3.当事人有证据足以证明没有主观过错的，不予行政处罚。</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4.法律、行政法规另有规定的，从其规定。</w:t>
            </w:r>
          </w:p>
        </w:tc>
        <w:tc>
          <w:tcPr>
            <w:tcW w:w="3094" w:type="dxa"/>
            <w:tcBorders>
              <w:top w:val="single" w:color="000000" w:sz="4" w:space="0"/>
              <w:left w:val="single" w:color="000000" w:sz="4" w:space="0"/>
              <w:bottom w:val="single" w:color="000000" w:sz="4" w:space="0"/>
              <w:right w:val="single" w:color="000000" w:sz="4" w:space="0"/>
            </w:tcBorders>
            <w:noWrap w:val="0"/>
            <w:vAlign w:val="center"/>
          </w:tcPr>
          <w:p w14:paraId="045B4369">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b w:val="0"/>
                <w:bCs w:val="0"/>
                <w:color w:val="000000"/>
                <w:sz w:val="24"/>
                <w:szCs w:val="24"/>
                <w:lang w:val="en-US" w:eastAsia="zh-CN"/>
              </w:rPr>
            </w:pPr>
            <w:r>
              <w:rPr>
                <w:rStyle w:val="25"/>
                <w:rFonts w:hint="eastAsia" w:ascii="仿宋_GB2312" w:hAnsi="仿宋_GB2312" w:eastAsia="仿宋_GB2312" w:cs="仿宋_GB2312"/>
                <w:b w:val="0"/>
                <w:bCs w:val="0"/>
                <w:color w:val="000000"/>
                <w:sz w:val="24"/>
                <w:szCs w:val="24"/>
                <w:lang w:val="en-US" w:eastAsia="zh-CN" w:bidi="ar"/>
              </w:rPr>
              <w:t>《中华人民共和国生态环境法典》一千零五十六条第二款、</w:t>
            </w:r>
            <w:r>
              <w:rPr>
                <w:rFonts w:hint="eastAsia" w:ascii="仿宋_GB2312" w:hAnsi="仿宋_GB2312" w:eastAsia="仿宋_GB2312" w:cs="仿宋_GB2312"/>
                <w:b w:val="0"/>
                <w:bCs w:val="0"/>
                <w:i w:val="0"/>
                <w:iCs w:val="0"/>
                <w:color w:val="000000"/>
                <w:kern w:val="0"/>
                <w:sz w:val="24"/>
                <w:szCs w:val="24"/>
                <w:u w:val="none"/>
                <w:lang w:val="en-US" w:eastAsia="zh-CN" w:bidi="ar"/>
              </w:rPr>
              <w:t>《中华人民共和国行政处罚法》第三十三条第一款、第二款、《</w:t>
            </w:r>
            <w:r>
              <w:rPr>
                <w:rStyle w:val="25"/>
                <w:rFonts w:hint="eastAsia" w:ascii="仿宋_GB2312" w:hAnsi="仿宋_GB2312" w:eastAsia="仿宋_GB2312" w:cs="仿宋_GB2312"/>
                <w:b w:val="0"/>
                <w:bCs w:val="0"/>
                <w:color w:val="000000"/>
                <w:sz w:val="24"/>
                <w:szCs w:val="24"/>
                <w:lang w:val="en-US" w:eastAsia="zh-CN" w:bidi="ar"/>
              </w:rPr>
              <w:t>生态环境行政处罚办法》第四十二条第一款、第二款。</w:t>
            </w:r>
          </w:p>
        </w:tc>
      </w:tr>
      <w:tr w14:paraId="209E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6" w:type="dxa"/>
            <w:gridSpan w:val="2"/>
            <w:tcBorders>
              <w:top w:val="single" w:color="auto" w:sz="4" w:space="0"/>
              <w:left w:val="single" w:color="000000" w:sz="4" w:space="0"/>
              <w:bottom w:val="single" w:color="000000" w:sz="4" w:space="0"/>
              <w:right w:val="single" w:color="000000" w:sz="4" w:space="0"/>
            </w:tcBorders>
            <w:noWrap w:val="0"/>
            <w:vAlign w:val="center"/>
          </w:tcPr>
          <w:p w14:paraId="4E62908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kern w:val="0"/>
                <w:sz w:val="24"/>
                <w:szCs w:val="24"/>
                <w:u w:val="none"/>
                <w:lang w:val="en-US" w:eastAsia="zh-CN" w:bidi="ar"/>
              </w:rPr>
            </w:pPr>
            <w:bookmarkStart w:id="0" w:name="印发日期"/>
            <w:bookmarkEnd w:id="0"/>
            <w:r>
              <w:rPr>
                <w:rFonts w:hint="eastAsia" w:ascii="仿宋_GB2312" w:hAnsi="仿宋_GB2312" w:eastAsia="仿宋_GB2312" w:cs="仿宋_GB2312"/>
                <w:b/>
                <w:bCs/>
                <w:i w:val="0"/>
                <w:color w:val="000000"/>
                <w:kern w:val="0"/>
                <w:sz w:val="24"/>
                <w:szCs w:val="24"/>
                <w:u w:val="none"/>
                <w:lang w:val="en-US" w:eastAsia="zh-CN" w:bidi="ar"/>
              </w:rPr>
              <w:t>序号</w:t>
            </w:r>
          </w:p>
        </w:tc>
        <w:tc>
          <w:tcPr>
            <w:tcW w:w="3102" w:type="dxa"/>
            <w:gridSpan w:val="2"/>
            <w:tcBorders>
              <w:top w:val="single" w:color="auto" w:sz="4" w:space="0"/>
              <w:left w:val="single" w:color="000000" w:sz="4" w:space="0"/>
              <w:bottom w:val="single" w:color="000000" w:sz="4" w:space="0"/>
              <w:right w:val="single" w:color="000000" w:sz="4" w:space="0"/>
            </w:tcBorders>
            <w:noWrap w:val="0"/>
            <w:vAlign w:val="center"/>
          </w:tcPr>
          <w:p w14:paraId="1EC5CC52">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事项名称</w:t>
            </w:r>
          </w:p>
        </w:tc>
        <w:tc>
          <w:tcPr>
            <w:tcW w:w="5953" w:type="dxa"/>
            <w:tcBorders>
              <w:top w:val="single" w:color="auto" w:sz="4" w:space="0"/>
              <w:left w:val="single" w:color="000000" w:sz="4" w:space="0"/>
              <w:bottom w:val="single" w:color="000000" w:sz="4" w:space="0"/>
              <w:right w:val="single" w:color="000000" w:sz="4" w:space="0"/>
            </w:tcBorders>
            <w:noWrap w:val="0"/>
            <w:vAlign w:val="center"/>
          </w:tcPr>
          <w:p w14:paraId="4BC2568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不予行政强制情形</w:t>
            </w:r>
          </w:p>
        </w:tc>
        <w:tc>
          <w:tcPr>
            <w:tcW w:w="3687" w:type="dxa"/>
            <w:gridSpan w:val="2"/>
            <w:tcBorders>
              <w:top w:val="single" w:color="auto" w:sz="4" w:space="0"/>
              <w:left w:val="single" w:color="000000" w:sz="4" w:space="0"/>
              <w:bottom w:val="single" w:color="000000" w:sz="4" w:space="0"/>
              <w:right w:val="single" w:color="000000" w:sz="4" w:space="0"/>
            </w:tcBorders>
            <w:noWrap w:val="0"/>
            <w:vAlign w:val="center"/>
          </w:tcPr>
          <w:p w14:paraId="798FE80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法律依据</w:t>
            </w:r>
          </w:p>
        </w:tc>
      </w:tr>
      <w:tr w14:paraId="09AB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6" w:type="dxa"/>
            <w:gridSpan w:val="2"/>
            <w:tcBorders>
              <w:top w:val="single" w:color="auto" w:sz="4" w:space="0"/>
              <w:left w:val="single" w:color="000000" w:sz="4" w:space="0"/>
              <w:bottom w:val="single" w:color="000000" w:sz="4" w:space="0"/>
              <w:right w:val="single" w:color="000000" w:sz="4" w:space="0"/>
            </w:tcBorders>
            <w:noWrap w:val="0"/>
            <w:vAlign w:val="center"/>
          </w:tcPr>
          <w:p w14:paraId="15037466">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1</w:t>
            </w:r>
          </w:p>
        </w:tc>
        <w:tc>
          <w:tcPr>
            <w:tcW w:w="3102" w:type="dxa"/>
            <w:gridSpan w:val="2"/>
            <w:tcBorders>
              <w:top w:val="single" w:color="auto" w:sz="4" w:space="0"/>
              <w:left w:val="single" w:color="000000" w:sz="4" w:space="0"/>
              <w:bottom w:val="single" w:color="000000" w:sz="4" w:space="0"/>
              <w:right w:val="single" w:color="000000" w:sz="4" w:space="0"/>
            </w:tcBorders>
            <w:noWrap w:val="0"/>
            <w:vAlign w:val="center"/>
          </w:tcPr>
          <w:p w14:paraId="713A7666">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对公共设施的强制措施</w:t>
            </w:r>
          </w:p>
        </w:tc>
        <w:tc>
          <w:tcPr>
            <w:tcW w:w="5953" w:type="dxa"/>
            <w:tcBorders>
              <w:top w:val="single" w:color="auto" w:sz="4" w:space="0"/>
              <w:left w:val="single" w:color="000000" w:sz="4" w:space="0"/>
              <w:bottom w:val="single" w:color="000000" w:sz="4" w:space="0"/>
              <w:right w:val="single" w:color="000000" w:sz="4" w:space="0"/>
            </w:tcBorders>
            <w:noWrap w:val="0"/>
            <w:vAlign w:val="center"/>
          </w:tcPr>
          <w:p w14:paraId="42C30F1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城镇污水处理、垃圾处理、危险废物处置等公共设施的运营单位。</w:t>
            </w:r>
          </w:p>
        </w:tc>
        <w:tc>
          <w:tcPr>
            <w:tcW w:w="3687" w:type="dxa"/>
            <w:gridSpan w:val="2"/>
            <w:tcBorders>
              <w:top w:val="single" w:color="auto" w:sz="4" w:space="0"/>
              <w:left w:val="single" w:color="000000" w:sz="4" w:space="0"/>
              <w:bottom w:val="single" w:color="000000" w:sz="4" w:space="0"/>
              <w:right w:val="single" w:color="000000" w:sz="4" w:space="0"/>
            </w:tcBorders>
            <w:noWrap w:val="0"/>
            <w:vAlign w:val="center"/>
          </w:tcPr>
          <w:p w14:paraId="3BEE77F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生态环境部《环境保护主管部门实施查封、扣押办法》第六条第一项。</w:t>
            </w:r>
          </w:p>
        </w:tc>
      </w:tr>
      <w:tr w14:paraId="6AFC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6" w:type="dxa"/>
            <w:gridSpan w:val="2"/>
            <w:tcBorders>
              <w:top w:val="single" w:color="000000" w:sz="4" w:space="0"/>
              <w:left w:val="single" w:color="000000" w:sz="4" w:space="0"/>
              <w:bottom w:val="single" w:color="000000" w:sz="4" w:space="0"/>
              <w:right w:val="single" w:color="000000" w:sz="4" w:space="0"/>
            </w:tcBorders>
            <w:noWrap w:val="0"/>
            <w:vAlign w:val="center"/>
          </w:tcPr>
          <w:p w14:paraId="144A7F64">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102" w:type="dxa"/>
            <w:gridSpan w:val="2"/>
            <w:tcBorders>
              <w:top w:val="single" w:color="000000" w:sz="4" w:space="0"/>
              <w:left w:val="single" w:color="000000" w:sz="4" w:space="0"/>
              <w:bottom w:val="single" w:color="000000" w:sz="4" w:space="0"/>
              <w:right w:val="single" w:color="000000" w:sz="4" w:space="0"/>
            </w:tcBorders>
            <w:noWrap w:val="0"/>
            <w:vAlign w:val="center"/>
          </w:tcPr>
          <w:p w14:paraId="5087655C">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对基本民生、公共利益的强制措施</w:t>
            </w:r>
          </w:p>
        </w:tc>
        <w:tc>
          <w:tcPr>
            <w:tcW w:w="5953" w:type="dxa"/>
            <w:tcBorders>
              <w:top w:val="single" w:color="000000" w:sz="4" w:space="0"/>
              <w:left w:val="single" w:color="000000" w:sz="4" w:space="0"/>
              <w:bottom w:val="single" w:color="000000" w:sz="4" w:space="0"/>
              <w:right w:val="single" w:color="000000" w:sz="4" w:space="0"/>
            </w:tcBorders>
            <w:noWrap w:val="0"/>
            <w:vAlign w:val="center"/>
          </w:tcPr>
          <w:p w14:paraId="28F35963">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生产经营业务涉及基本民生、公共利益的。</w:t>
            </w:r>
          </w:p>
        </w:tc>
        <w:tc>
          <w:tcPr>
            <w:tcW w:w="3687" w:type="dxa"/>
            <w:gridSpan w:val="2"/>
            <w:tcBorders>
              <w:top w:val="single" w:color="000000" w:sz="4" w:space="0"/>
              <w:left w:val="single" w:color="000000" w:sz="4" w:space="0"/>
              <w:bottom w:val="single" w:color="000000" w:sz="4" w:space="0"/>
              <w:right w:val="single" w:color="000000" w:sz="4" w:space="0"/>
            </w:tcBorders>
            <w:noWrap w:val="0"/>
            <w:vAlign w:val="center"/>
          </w:tcPr>
          <w:p w14:paraId="69E27111">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生态环境部《环境保护主管部门实施查封、扣押办法》第六条第二项。</w:t>
            </w:r>
          </w:p>
        </w:tc>
      </w:tr>
      <w:tr w14:paraId="31C3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6" w:type="dxa"/>
            <w:gridSpan w:val="2"/>
            <w:tcBorders>
              <w:top w:val="single" w:color="000000" w:sz="4" w:space="0"/>
              <w:left w:val="single" w:color="000000" w:sz="4" w:space="0"/>
              <w:bottom w:val="single" w:color="000000" w:sz="4" w:space="0"/>
              <w:right w:val="single" w:color="000000" w:sz="4" w:space="0"/>
            </w:tcBorders>
            <w:noWrap w:val="0"/>
            <w:vAlign w:val="center"/>
          </w:tcPr>
          <w:p w14:paraId="0951006A">
            <w:pPr>
              <w:keepNext w:val="0"/>
              <w:keepLines w:val="0"/>
              <w:pageBreakBefore w:val="0"/>
              <w:widowControl/>
              <w:suppressLineNumbers w:val="0"/>
              <w:kinsoku/>
              <w:wordWrap/>
              <w:overflowPunct/>
              <w:topLinePunct w:val="0"/>
              <w:autoSpaceDE/>
              <w:autoSpaceDN/>
              <w:bidi w:val="0"/>
              <w:adjustRightInd/>
              <w:snapToGrid/>
              <w:spacing w:line="396"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3102" w:type="dxa"/>
            <w:gridSpan w:val="2"/>
            <w:tcBorders>
              <w:top w:val="single" w:color="000000" w:sz="4" w:space="0"/>
              <w:left w:val="single" w:color="000000" w:sz="4" w:space="0"/>
              <w:bottom w:val="single" w:color="000000" w:sz="4" w:space="0"/>
              <w:right w:val="single" w:color="000000" w:sz="4" w:space="0"/>
            </w:tcBorders>
            <w:noWrap w:val="0"/>
            <w:vAlign w:val="center"/>
          </w:tcPr>
          <w:p w14:paraId="1798AE47">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对影响生产安全的强制措施</w:t>
            </w:r>
          </w:p>
        </w:tc>
        <w:tc>
          <w:tcPr>
            <w:tcW w:w="5953" w:type="dxa"/>
            <w:tcBorders>
              <w:top w:val="single" w:color="000000" w:sz="4" w:space="0"/>
              <w:left w:val="single" w:color="000000" w:sz="4" w:space="0"/>
              <w:bottom w:val="single" w:color="000000" w:sz="4" w:space="0"/>
              <w:right w:val="single" w:color="000000" w:sz="4" w:space="0"/>
            </w:tcBorders>
            <w:noWrap w:val="0"/>
            <w:vAlign w:val="center"/>
          </w:tcPr>
          <w:p w14:paraId="5D602D7E">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实施查封、扣押可能影响生产安全的。</w:t>
            </w:r>
          </w:p>
        </w:tc>
        <w:tc>
          <w:tcPr>
            <w:tcW w:w="3687" w:type="dxa"/>
            <w:gridSpan w:val="2"/>
            <w:tcBorders>
              <w:top w:val="single" w:color="000000" w:sz="4" w:space="0"/>
              <w:left w:val="single" w:color="000000" w:sz="4" w:space="0"/>
              <w:bottom w:val="single" w:color="000000" w:sz="4" w:space="0"/>
              <w:right w:val="single" w:color="000000" w:sz="4" w:space="0"/>
            </w:tcBorders>
            <w:noWrap w:val="0"/>
            <w:vAlign w:val="center"/>
          </w:tcPr>
          <w:p w14:paraId="2BC21688">
            <w:pPr>
              <w:keepNext w:val="0"/>
              <w:keepLines w:val="0"/>
              <w:pageBreakBefore w:val="0"/>
              <w:widowControl/>
              <w:suppressLineNumbers w:val="0"/>
              <w:kinsoku/>
              <w:wordWrap/>
              <w:overflowPunct/>
              <w:topLinePunct w:val="0"/>
              <w:autoSpaceDE/>
              <w:autoSpaceDN/>
              <w:bidi w:val="0"/>
              <w:adjustRightInd/>
              <w:snapToGrid/>
              <w:spacing w:line="396"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生态环境部《环境保护主管部门实施查封扣押办法》第六条第三项。</w:t>
            </w:r>
          </w:p>
        </w:tc>
      </w:tr>
    </w:tbl>
    <w:p w14:paraId="182246B7">
      <w:pPr>
        <w:rPr>
          <w:rFonts w:hint="eastAsia"/>
          <w:b w:val="0"/>
          <w:bCs w:val="0"/>
        </w:rPr>
      </w:pPr>
    </w:p>
    <w:p w14:paraId="36EF2D8C">
      <w:pPr>
        <w:spacing w:line="590" w:lineRule="exact"/>
        <w:rPr>
          <w:rFonts w:eastAsia="方正黑体_GBK"/>
          <w:color w:val="000000"/>
          <w:sz w:val="32"/>
          <w:szCs w:val="32"/>
        </w:rPr>
        <w:sectPr>
          <w:headerReference r:id="rId3" w:type="default"/>
          <w:footerReference r:id="rId4" w:type="default"/>
          <w:pgSz w:w="16838" w:h="11905" w:orient="landscape"/>
          <w:pgMar w:top="1531" w:right="2098" w:bottom="1531" w:left="1984"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p>
    <w:p w14:paraId="711C9951">
      <w:pPr>
        <w:tabs>
          <w:tab w:val="left" w:pos="1050"/>
        </w:tabs>
        <w:spacing w:line="590" w:lineRule="exac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14:paraId="1FC5F242">
      <w:pPr>
        <w:pStyle w:val="8"/>
        <w:spacing w:line="590" w:lineRule="exact"/>
        <w:rPr>
          <w:rFonts w:ascii="Times New Roman" w:hAnsi="Times New Roman" w:eastAsia="方正黑体_GBK"/>
          <w:sz w:val="32"/>
          <w:szCs w:val="32"/>
        </w:rPr>
      </w:pPr>
    </w:p>
    <w:p w14:paraId="39EE53EA">
      <w:pPr>
        <w:spacing w:line="700" w:lineRule="exact"/>
        <w:jc w:val="center"/>
        <w:rPr>
          <w:rFonts w:eastAsia="方正小标宋_GBK"/>
          <w:bCs/>
          <w:color w:val="000000"/>
          <w:sz w:val="44"/>
          <w:szCs w:val="44"/>
        </w:rPr>
      </w:pPr>
      <w:r>
        <w:rPr>
          <w:rFonts w:eastAsia="方正小标宋_GBK"/>
          <w:bCs/>
          <w:color w:val="000000"/>
          <w:sz w:val="44"/>
          <w:szCs w:val="44"/>
        </w:rPr>
        <w:t>承 诺 书</w:t>
      </w:r>
    </w:p>
    <w:p w14:paraId="3F8CF74E">
      <w:pPr>
        <w:spacing w:line="300" w:lineRule="exact"/>
        <w:jc w:val="center"/>
        <w:rPr>
          <w:rFonts w:eastAsia="方正小标宋_GBK"/>
          <w:bCs/>
          <w:color w:val="000000"/>
          <w:sz w:val="44"/>
          <w:szCs w:val="44"/>
        </w:rPr>
      </w:pPr>
    </w:p>
    <w:p w14:paraId="02215DCA">
      <w:pPr>
        <w:jc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sz w:val="32"/>
          <w:szCs w:val="32"/>
          <w:lang w:val="en-US" w:eastAsia="zh-CN"/>
        </w:rPr>
        <w:t xml:space="preserve"> </w:t>
      </w:r>
    </w:p>
    <w:p w14:paraId="3D126AB8">
      <w:pPr>
        <w:spacing w:line="59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6096FF89">
      <w:pPr>
        <w:spacing w:line="59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你厅（局）执法人员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日的监督检查中发现我（单位）存在</w:t>
      </w:r>
      <w:r>
        <w:rPr>
          <w:rFonts w:hint="eastAsia" w:ascii="仿宋_GB2312" w:hAnsi="仿宋_GB2312" w:eastAsia="仿宋_GB2312" w:cs="仿宋_GB2312"/>
          <w:sz w:val="32"/>
          <w:szCs w:val="32"/>
          <w:u w:val="single"/>
        </w:rPr>
        <w:t xml:space="preserve">                        </w:t>
      </w:r>
    </w:p>
    <w:p w14:paraId="70881B47">
      <w:pPr>
        <w:spacing w:line="59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违法行为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执法人员已向我（单位）进行了相关告知和批评教育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并要求我（单位）予以改正。</w:t>
      </w:r>
    </w:p>
    <w:p w14:paraId="0BDB9A76">
      <w:pPr>
        <w:spacing w:line="59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我（单位）对以上情况确认无误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并自愿承诺：</w:t>
      </w:r>
    </w:p>
    <w:p w14:paraId="5772E6CC">
      <w:pPr>
        <w:spacing w:line="59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00A8"/>
      </w:r>
      <w:r>
        <w:rPr>
          <w:rFonts w:hint="eastAsia" w:ascii="仿宋_GB2312" w:hAnsi="仿宋_GB2312" w:eastAsia="仿宋_GB2312" w:cs="仿宋_GB2312"/>
          <w:sz w:val="32"/>
          <w:szCs w:val="32"/>
        </w:rPr>
        <w:t>1. 立即予以改正；</w:t>
      </w:r>
    </w:p>
    <w:p w14:paraId="7F44329B">
      <w:pPr>
        <w:spacing w:line="59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w:char="00A8"/>
      </w:r>
      <w:r>
        <w:rPr>
          <w:rFonts w:hint="eastAsia" w:ascii="仿宋_GB2312" w:hAnsi="仿宋_GB2312" w:eastAsia="仿宋_GB2312" w:cs="仿宋_GB2312"/>
          <w:sz w:val="32"/>
          <w:szCs w:val="32"/>
        </w:rPr>
        <w:t>2. 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日前改正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并将整改情况说明及相关证明材料送达你厅（局）。</w:t>
      </w:r>
    </w:p>
    <w:p w14:paraId="6BA7DF8A">
      <w:pPr>
        <w:spacing w:line="590" w:lineRule="exact"/>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若我（单位）未履行上述承诺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愿依法承担相应的法律责任。</w:t>
      </w:r>
    </w:p>
    <w:p w14:paraId="4AC3A216">
      <w:pPr>
        <w:spacing w:line="590" w:lineRule="exact"/>
        <w:rPr>
          <w:rFonts w:hint="eastAsia" w:ascii="仿宋_GB2312" w:hAnsi="仿宋_GB2312" w:eastAsia="仿宋_GB2312" w:cs="仿宋_GB2312"/>
          <w:sz w:val="32"/>
          <w:szCs w:val="32"/>
        </w:rPr>
      </w:pPr>
    </w:p>
    <w:p w14:paraId="22C578BF">
      <w:pPr>
        <w:spacing w:line="590" w:lineRule="exact"/>
        <w:ind w:right="840" w:rightChars="4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承诺人签名或盖章：    </w:t>
      </w:r>
    </w:p>
    <w:p w14:paraId="29F95A67">
      <w:pPr>
        <w:spacing w:line="590" w:lineRule="exact"/>
        <w:ind w:right="840" w:rightChars="4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506D4F20">
      <w:pPr>
        <w:tabs>
          <w:tab w:val="left" w:pos="567"/>
        </w:tabs>
        <w:spacing w:line="590" w:lineRule="exact"/>
        <w:rPr>
          <w:rFonts w:hint="eastAsia" w:ascii="仿宋_GB2312" w:hAnsi="仿宋_GB2312" w:eastAsia="仿宋_GB2312" w:cs="仿宋_GB2312"/>
          <w:sz w:val="32"/>
          <w:szCs w:val="32"/>
        </w:rPr>
      </w:pPr>
    </w:p>
    <w:p w14:paraId="19C8EB0C">
      <w:pPr>
        <w:pStyle w:val="2"/>
        <w:rPr>
          <w:rFonts w:hint="eastAsia"/>
        </w:rPr>
      </w:pPr>
    </w:p>
    <w:p w14:paraId="559866FF">
      <w:pPr>
        <w:spacing w:line="59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附：当事人身份证（营业执照）复印件。</w:t>
      </w:r>
    </w:p>
    <w:p w14:paraId="78E4E554">
      <w:pPr>
        <w:rPr>
          <w:rFonts w:hint="eastAsia" w:ascii="Times New Roman" w:hAnsi="Times New Roman"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sz w:val="32"/>
          <w:szCs w:val="32"/>
        </w:rPr>
        <w:t>注：本承诺书一式两份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执法部门和当事人各一份。</w:t>
      </w:r>
      <w:bookmarkStart w:id="1" w:name="_GoBack"/>
      <w:bookmarkEnd w:id="1"/>
    </w:p>
    <w:sectPr>
      <w:pgSz w:w="11905" w:h="16838"/>
      <w:pgMar w:top="2098" w:right="1531" w:bottom="1984" w:left="1531"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A42A3">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149202">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19149202">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169E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YjBmMTgwYzQ2ZmI1M2ZlMGNlZTk1NzY0MzFiOGUifQ=="/>
  </w:docVars>
  <w:rsids>
    <w:rsidRoot w:val="00FD68ED"/>
    <w:rsid w:val="00000908"/>
    <w:rsid w:val="00003D74"/>
    <w:rsid w:val="00017596"/>
    <w:rsid w:val="000403C4"/>
    <w:rsid w:val="00042620"/>
    <w:rsid w:val="00047CA0"/>
    <w:rsid w:val="000817E7"/>
    <w:rsid w:val="00086B43"/>
    <w:rsid w:val="000922B1"/>
    <w:rsid w:val="00095622"/>
    <w:rsid w:val="000A0222"/>
    <w:rsid w:val="000A616B"/>
    <w:rsid w:val="000B5C59"/>
    <w:rsid w:val="000B64AF"/>
    <w:rsid w:val="000C6076"/>
    <w:rsid w:val="000D05CA"/>
    <w:rsid w:val="000D0D32"/>
    <w:rsid w:val="000D1DAE"/>
    <w:rsid w:val="000D2319"/>
    <w:rsid w:val="000D5691"/>
    <w:rsid w:val="000D63A5"/>
    <w:rsid w:val="000F5989"/>
    <w:rsid w:val="00102057"/>
    <w:rsid w:val="0010243E"/>
    <w:rsid w:val="001053AE"/>
    <w:rsid w:val="00120428"/>
    <w:rsid w:val="00123B31"/>
    <w:rsid w:val="001332A6"/>
    <w:rsid w:val="00145DA9"/>
    <w:rsid w:val="00150096"/>
    <w:rsid w:val="0015608B"/>
    <w:rsid w:val="0016543F"/>
    <w:rsid w:val="00183624"/>
    <w:rsid w:val="00195D89"/>
    <w:rsid w:val="001A10CC"/>
    <w:rsid w:val="001A5401"/>
    <w:rsid w:val="001A78D9"/>
    <w:rsid w:val="001C3974"/>
    <w:rsid w:val="001E295E"/>
    <w:rsid w:val="001E2DB0"/>
    <w:rsid w:val="001F2665"/>
    <w:rsid w:val="001F339D"/>
    <w:rsid w:val="001F545F"/>
    <w:rsid w:val="001F61BD"/>
    <w:rsid w:val="001F78E9"/>
    <w:rsid w:val="00203F44"/>
    <w:rsid w:val="00204BC7"/>
    <w:rsid w:val="00225095"/>
    <w:rsid w:val="0023089E"/>
    <w:rsid w:val="00232197"/>
    <w:rsid w:val="002366A5"/>
    <w:rsid w:val="002509A4"/>
    <w:rsid w:val="002574BF"/>
    <w:rsid w:val="002613F2"/>
    <w:rsid w:val="0026299A"/>
    <w:rsid w:val="00263B09"/>
    <w:rsid w:val="00264606"/>
    <w:rsid w:val="0028007E"/>
    <w:rsid w:val="0028059D"/>
    <w:rsid w:val="0028095B"/>
    <w:rsid w:val="002812D3"/>
    <w:rsid w:val="00283BF3"/>
    <w:rsid w:val="00294E61"/>
    <w:rsid w:val="002965FA"/>
    <w:rsid w:val="002C2377"/>
    <w:rsid w:val="002C37D7"/>
    <w:rsid w:val="002C5CA5"/>
    <w:rsid w:val="002C63D2"/>
    <w:rsid w:val="002D358C"/>
    <w:rsid w:val="002D4B14"/>
    <w:rsid w:val="002D5C27"/>
    <w:rsid w:val="002F0C36"/>
    <w:rsid w:val="003033E9"/>
    <w:rsid w:val="00303ED7"/>
    <w:rsid w:val="0031052D"/>
    <w:rsid w:val="00310A75"/>
    <w:rsid w:val="003121AF"/>
    <w:rsid w:val="00330643"/>
    <w:rsid w:val="003344DD"/>
    <w:rsid w:val="00337BE1"/>
    <w:rsid w:val="00363219"/>
    <w:rsid w:val="003676AE"/>
    <w:rsid w:val="003869EB"/>
    <w:rsid w:val="003932BA"/>
    <w:rsid w:val="00394394"/>
    <w:rsid w:val="00396B4B"/>
    <w:rsid w:val="003A2172"/>
    <w:rsid w:val="003B6F1A"/>
    <w:rsid w:val="003C3CA3"/>
    <w:rsid w:val="003C640A"/>
    <w:rsid w:val="003D5F62"/>
    <w:rsid w:val="003E74C3"/>
    <w:rsid w:val="00405220"/>
    <w:rsid w:val="004175A0"/>
    <w:rsid w:val="0042177D"/>
    <w:rsid w:val="004233C8"/>
    <w:rsid w:val="00434EF9"/>
    <w:rsid w:val="00441C43"/>
    <w:rsid w:val="00445ED5"/>
    <w:rsid w:val="004503C9"/>
    <w:rsid w:val="00460E1D"/>
    <w:rsid w:val="00477D7A"/>
    <w:rsid w:val="004826CE"/>
    <w:rsid w:val="00487E42"/>
    <w:rsid w:val="004A148B"/>
    <w:rsid w:val="004A65C9"/>
    <w:rsid w:val="004B4591"/>
    <w:rsid w:val="004B4F05"/>
    <w:rsid w:val="004D11E9"/>
    <w:rsid w:val="004D2370"/>
    <w:rsid w:val="004D30F8"/>
    <w:rsid w:val="004D7D1A"/>
    <w:rsid w:val="004E5B19"/>
    <w:rsid w:val="004E7B60"/>
    <w:rsid w:val="004F66F5"/>
    <w:rsid w:val="004F7C80"/>
    <w:rsid w:val="00517C6D"/>
    <w:rsid w:val="00520B6C"/>
    <w:rsid w:val="00523CB2"/>
    <w:rsid w:val="0053035D"/>
    <w:rsid w:val="00535428"/>
    <w:rsid w:val="005461BB"/>
    <w:rsid w:val="005749BF"/>
    <w:rsid w:val="00581387"/>
    <w:rsid w:val="00586B3F"/>
    <w:rsid w:val="005927D6"/>
    <w:rsid w:val="00592CEC"/>
    <w:rsid w:val="00595049"/>
    <w:rsid w:val="005A08BC"/>
    <w:rsid w:val="005B7A6B"/>
    <w:rsid w:val="005C0238"/>
    <w:rsid w:val="005C0958"/>
    <w:rsid w:val="005C63EC"/>
    <w:rsid w:val="005D085E"/>
    <w:rsid w:val="005D35BF"/>
    <w:rsid w:val="005E4746"/>
    <w:rsid w:val="00623352"/>
    <w:rsid w:val="00623FEA"/>
    <w:rsid w:val="00634636"/>
    <w:rsid w:val="006369A7"/>
    <w:rsid w:val="00644BAB"/>
    <w:rsid w:val="00653880"/>
    <w:rsid w:val="006556EF"/>
    <w:rsid w:val="00662CEF"/>
    <w:rsid w:val="00673C55"/>
    <w:rsid w:val="0067639D"/>
    <w:rsid w:val="00681667"/>
    <w:rsid w:val="00695BD0"/>
    <w:rsid w:val="00695FBA"/>
    <w:rsid w:val="006A29D0"/>
    <w:rsid w:val="006A4BF6"/>
    <w:rsid w:val="006A585A"/>
    <w:rsid w:val="006C04E9"/>
    <w:rsid w:val="006C67B6"/>
    <w:rsid w:val="006D031B"/>
    <w:rsid w:val="006E7792"/>
    <w:rsid w:val="00707803"/>
    <w:rsid w:val="0071728B"/>
    <w:rsid w:val="00720410"/>
    <w:rsid w:val="00742102"/>
    <w:rsid w:val="00745F77"/>
    <w:rsid w:val="00747FA5"/>
    <w:rsid w:val="00751273"/>
    <w:rsid w:val="007542F5"/>
    <w:rsid w:val="00754F31"/>
    <w:rsid w:val="0075574E"/>
    <w:rsid w:val="0075606C"/>
    <w:rsid w:val="00756761"/>
    <w:rsid w:val="00770D43"/>
    <w:rsid w:val="00773C27"/>
    <w:rsid w:val="00786BBB"/>
    <w:rsid w:val="007A0C4C"/>
    <w:rsid w:val="007A575F"/>
    <w:rsid w:val="007B1661"/>
    <w:rsid w:val="007B2E91"/>
    <w:rsid w:val="007B44AA"/>
    <w:rsid w:val="007B78A2"/>
    <w:rsid w:val="007D1FF9"/>
    <w:rsid w:val="007D6DD5"/>
    <w:rsid w:val="0084281C"/>
    <w:rsid w:val="00846236"/>
    <w:rsid w:val="008476FE"/>
    <w:rsid w:val="00854B97"/>
    <w:rsid w:val="00855FD3"/>
    <w:rsid w:val="0085631E"/>
    <w:rsid w:val="0086243E"/>
    <w:rsid w:val="008713AE"/>
    <w:rsid w:val="00871EDC"/>
    <w:rsid w:val="0087445B"/>
    <w:rsid w:val="00887244"/>
    <w:rsid w:val="008A2C85"/>
    <w:rsid w:val="008A315B"/>
    <w:rsid w:val="008A4CE7"/>
    <w:rsid w:val="008B02D6"/>
    <w:rsid w:val="008D0618"/>
    <w:rsid w:val="008D5C0C"/>
    <w:rsid w:val="008D6C0F"/>
    <w:rsid w:val="008E0434"/>
    <w:rsid w:val="008E539C"/>
    <w:rsid w:val="008E5CCC"/>
    <w:rsid w:val="008F56B9"/>
    <w:rsid w:val="0092341D"/>
    <w:rsid w:val="009331F0"/>
    <w:rsid w:val="009446FB"/>
    <w:rsid w:val="0095112E"/>
    <w:rsid w:val="00952E5A"/>
    <w:rsid w:val="0096077D"/>
    <w:rsid w:val="009614BE"/>
    <w:rsid w:val="00962C2F"/>
    <w:rsid w:val="00973A99"/>
    <w:rsid w:val="009765B4"/>
    <w:rsid w:val="00980CB7"/>
    <w:rsid w:val="00991864"/>
    <w:rsid w:val="00992295"/>
    <w:rsid w:val="009922EC"/>
    <w:rsid w:val="00996E9E"/>
    <w:rsid w:val="009A1AFE"/>
    <w:rsid w:val="009B0AC7"/>
    <w:rsid w:val="009B2238"/>
    <w:rsid w:val="009B5521"/>
    <w:rsid w:val="009C2454"/>
    <w:rsid w:val="009C3A11"/>
    <w:rsid w:val="009E569C"/>
    <w:rsid w:val="009E6FDA"/>
    <w:rsid w:val="009F1882"/>
    <w:rsid w:val="00A00168"/>
    <w:rsid w:val="00A0432C"/>
    <w:rsid w:val="00A0546A"/>
    <w:rsid w:val="00A07A08"/>
    <w:rsid w:val="00A117E7"/>
    <w:rsid w:val="00A121B1"/>
    <w:rsid w:val="00A24DC8"/>
    <w:rsid w:val="00A26AF3"/>
    <w:rsid w:val="00A42E47"/>
    <w:rsid w:val="00A4348D"/>
    <w:rsid w:val="00A43F36"/>
    <w:rsid w:val="00A62A6B"/>
    <w:rsid w:val="00A749E6"/>
    <w:rsid w:val="00A92D9E"/>
    <w:rsid w:val="00AB16E2"/>
    <w:rsid w:val="00AB7021"/>
    <w:rsid w:val="00AC4B3C"/>
    <w:rsid w:val="00AD42E6"/>
    <w:rsid w:val="00AD7156"/>
    <w:rsid w:val="00AE31DE"/>
    <w:rsid w:val="00AF0A56"/>
    <w:rsid w:val="00B05FBB"/>
    <w:rsid w:val="00B06582"/>
    <w:rsid w:val="00B0744B"/>
    <w:rsid w:val="00B11F63"/>
    <w:rsid w:val="00B1604C"/>
    <w:rsid w:val="00B17153"/>
    <w:rsid w:val="00B20F56"/>
    <w:rsid w:val="00B22B2B"/>
    <w:rsid w:val="00B24329"/>
    <w:rsid w:val="00B262D3"/>
    <w:rsid w:val="00B32BA4"/>
    <w:rsid w:val="00B334B1"/>
    <w:rsid w:val="00B3496A"/>
    <w:rsid w:val="00B34FE8"/>
    <w:rsid w:val="00B375B7"/>
    <w:rsid w:val="00B42CD4"/>
    <w:rsid w:val="00B431E9"/>
    <w:rsid w:val="00B47F5D"/>
    <w:rsid w:val="00B53A56"/>
    <w:rsid w:val="00B67BDC"/>
    <w:rsid w:val="00B83848"/>
    <w:rsid w:val="00B868CD"/>
    <w:rsid w:val="00BC582F"/>
    <w:rsid w:val="00BC5ADB"/>
    <w:rsid w:val="00BC7127"/>
    <w:rsid w:val="00BC752D"/>
    <w:rsid w:val="00BD04A6"/>
    <w:rsid w:val="00BD3D56"/>
    <w:rsid w:val="00BD4087"/>
    <w:rsid w:val="00BD4D7D"/>
    <w:rsid w:val="00BD6863"/>
    <w:rsid w:val="00BE368B"/>
    <w:rsid w:val="00BF5E93"/>
    <w:rsid w:val="00C118EA"/>
    <w:rsid w:val="00C14A51"/>
    <w:rsid w:val="00C1523B"/>
    <w:rsid w:val="00C32AF5"/>
    <w:rsid w:val="00C33AED"/>
    <w:rsid w:val="00C417E8"/>
    <w:rsid w:val="00C50862"/>
    <w:rsid w:val="00C7686A"/>
    <w:rsid w:val="00C77BBC"/>
    <w:rsid w:val="00C80C85"/>
    <w:rsid w:val="00C845FB"/>
    <w:rsid w:val="00C91641"/>
    <w:rsid w:val="00C91AEA"/>
    <w:rsid w:val="00C92DEA"/>
    <w:rsid w:val="00C93890"/>
    <w:rsid w:val="00C93F0E"/>
    <w:rsid w:val="00C97345"/>
    <w:rsid w:val="00CA35F2"/>
    <w:rsid w:val="00CB5EEF"/>
    <w:rsid w:val="00CC56A1"/>
    <w:rsid w:val="00CD66BD"/>
    <w:rsid w:val="00CE22AA"/>
    <w:rsid w:val="00CE65BC"/>
    <w:rsid w:val="00CF1BD0"/>
    <w:rsid w:val="00CF2C6C"/>
    <w:rsid w:val="00CF5C58"/>
    <w:rsid w:val="00D00238"/>
    <w:rsid w:val="00D01198"/>
    <w:rsid w:val="00D13F35"/>
    <w:rsid w:val="00D228A4"/>
    <w:rsid w:val="00D243E2"/>
    <w:rsid w:val="00D256A0"/>
    <w:rsid w:val="00D26F70"/>
    <w:rsid w:val="00D27D67"/>
    <w:rsid w:val="00D3323C"/>
    <w:rsid w:val="00D41D33"/>
    <w:rsid w:val="00D41F97"/>
    <w:rsid w:val="00D80C00"/>
    <w:rsid w:val="00D84F0E"/>
    <w:rsid w:val="00D869AD"/>
    <w:rsid w:val="00D92178"/>
    <w:rsid w:val="00D95284"/>
    <w:rsid w:val="00DA35FF"/>
    <w:rsid w:val="00DA51A7"/>
    <w:rsid w:val="00DC776B"/>
    <w:rsid w:val="00DD154A"/>
    <w:rsid w:val="00DE5E08"/>
    <w:rsid w:val="00E01B42"/>
    <w:rsid w:val="00E2134B"/>
    <w:rsid w:val="00E26650"/>
    <w:rsid w:val="00E27EFD"/>
    <w:rsid w:val="00E306D6"/>
    <w:rsid w:val="00E30EE0"/>
    <w:rsid w:val="00E3409C"/>
    <w:rsid w:val="00E35585"/>
    <w:rsid w:val="00E36875"/>
    <w:rsid w:val="00E37D34"/>
    <w:rsid w:val="00E47B13"/>
    <w:rsid w:val="00E47F6A"/>
    <w:rsid w:val="00E52471"/>
    <w:rsid w:val="00E53029"/>
    <w:rsid w:val="00E545D9"/>
    <w:rsid w:val="00E5778D"/>
    <w:rsid w:val="00E66CB6"/>
    <w:rsid w:val="00E7183C"/>
    <w:rsid w:val="00E818B2"/>
    <w:rsid w:val="00E836F0"/>
    <w:rsid w:val="00EA0E7D"/>
    <w:rsid w:val="00EA6A07"/>
    <w:rsid w:val="00EA7520"/>
    <w:rsid w:val="00EC5817"/>
    <w:rsid w:val="00ED62B6"/>
    <w:rsid w:val="00EF1743"/>
    <w:rsid w:val="00EF4D8B"/>
    <w:rsid w:val="00EF7D5F"/>
    <w:rsid w:val="00F05B5A"/>
    <w:rsid w:val="00F077E0"/>
    <w:rsid w:val="00F15E44"/>
    <w:rsid w:val="00F20111"/>
    <w:rsid w:val="00F23F92"/>
    <w:rsid w:val="00F32F7D"/>
    <w:rsid w:val="00F367D9"/>
    <w:rsid w:val="00F4276E"/>
    <w:rsid w:val="00F51F8C"/>
    <w:rsid w:val="00F636B8"/>
    <w:rsid w:val="00F72F9E"/>
    <w:rsid w:val="00F94F45"/>
    <w:rsid w:val="00F97B6D"/>
    <w:rsid w:val="00FA3EAB"/>
    <w:rsid w:val="00FB3DB6"/>
    <w:rsid w:val="00FB6616"/>
    <w:rsid w:val="00FC115E"/>
    <w:rsid w:val="00FD0E43"/>
    <w:rsid w:val="00FD68ED"/>
    <w:rsid w:val="00FE6298"/>
    <w:rsid w:val="00FF1F07"/>
    <w:rsid w:val="06B9E71D"/>
    <w:rsid w:val="080D6E43"/>
    <w:rsid w:val="0F9BE768"/>
    <w:rsid w:val="191A0353"/>
    <w:rsid w:val="191DAA5E"/>
    <w:rsid w:val="1AE82260"/>
    <w:rsid w:val="1B7FB848"/>
    <w:rsid w:val="1D1CB08C"/>
    <w:rsid w:val="1E769C13"/>
    <w:rsid w:val="1EB7BABB"/>
    <w:rsid w:val="1FFBB752"/>
    <w:rsid w:val="27675503"/>
    <w:rsid w:val="28FFCEBA"/>
    <w:rsid w:val="2A473AAA"/>
    <w:rsid w:val="2BD58163"/>
    <w:rsid w:val="316334FA"/>
    <w:rsid w:val="39F50F1F"/>
    <w:rsid w:val="39FF8828"/>
    <w:rsid w:val="3ABAD08B"/>
    <w:rsid w:val="3BB4E613"/>
    <w:rsid w:val="3BF65765"/>
    <w:rsid w:val="3FBD3649"/>
    <w:rsid w:val="3FDE2274"/>
    <w:rsid w:val="3FF943A7"/>
    <w:rsid w:val="3FFD409F"/>
    <w:rsid w:val="3FFF4F1B"/>
    <w:rsid w:val="3FFF72F7"/>
    <w:rsid w:val="40FF8736"/>
    <w:rsid w:val="47B7B420"/>
    <w:rsid w:val="4B2C55D8"/>
    <w:rsid w:val="4D7F6F93"/>
    <w:rsid w:val="4DFE152E"/>
    <w:rsid w:val="4EEF97B9"/>
    <w:rsid w:val="4FDDFCC6"/>
    <w:rsid w:val="4FDF20FD"/>
    <w:rsid w:val="4FFF6D4B"/>
    <w:rsid w:val="52AC0CD5"/>
    <w:rsid w:val="52D2C9E4"/>
    <w:rsid w:val="52E107E7"/>
    <w:rsid w:val="53F5F24F"/>
    <w:rsid w:val="562FAD2F"/>
    <w:rsid w:val="570FD14E"/>
    <w:rsid w:val="572B2866"/>
    <w:rsid w:val="5776B19A"/>
    <w:rsid w:val="57FA1824"/>
    <w:rsid w:val="57FFF97B"/>
    <w:rsid w:val="5CABA30A"/>
    <w:rsid w:val="5DB0216C"/>
    <w:rsid w:val="5DDA242B"/>
    <w:rsid w:val="5E9EDEE2"/>
    <w:rsid w:val="5F5FCF17"/>
    <w:rsid w:val="5F6F886B"/>
    <w:rsid w:val="5FBF1A6B"/>
    <w:rsid w:val="5FE46D04"/>
    <w:rsid w:val="5FE718D7"/>
    <w:rsid w:val="5FF9593F"/>
    <w:rsid w:val="5FFB3C74"/>
    <w:rsid w:val="5FFDFA20"/>
    <w:rsid w:val="61BD3974"/>
    <w:rsid w:val="61E77571"/>
    <w:rsid w:val="63FF5D5A"/>
    <w:rsid w:val="65BA9D28"/>
    <w:rsid w:val="6767AEA9"/>
    <w:rsid w:val="67B7AB46"/>
    <w:rsid w:val="67FF928D"/>
    <w:rsid w:val="6AD67FBF"/>
    <w:rsid w:val="6B792EC1"/>
    <w:rsid w:val="6D77BD57"/>
    <w:rsid w:val="6D8ED388"/>
    <w:rsid w:val="6DF72CC8"/>
    <w:rsid w:val="6EBDBD87"/>
    <w:rsid w:val="6F5FADCD"/>
    <w:rsid w:val="6F9F1EDE"/>
    <w:rsid w:val="6FDFA021"/>
    <w:rsid w:val="6FFFD600"/>
    <w:rsid w:val="752B3698"/>
    <w:rsid w:val="75FFD273"/>
    <w:rsid w:val="76147D8F"/>
    <w:rsid w:val="76ABBE33"/>
    <w:rsid w:val="777F717C"/>
    <w:rsid w:val="77AD383B"/>
    <w:rsid w:val="785E2A1C"/>
    <w:rsid w:val="78BB74C1"/>
    <w:rsid w:val="78FF2191"/>
    <w:rsid w:val="798EB8EE"/>
    <w:rsid w:val="79FE2E71"/>
    <w:rsid w:val="79FE8754"/>
    <w:rsid w:val="7A178677"/>
    <w:rsid w:val="7A7E5B25"/>
    <w:rsid w:val="7AA72F2F"/>
    <w:rsid w:val="7AFE0C09"/>
    <w:rsid w:val="7B7F3533"/>
    <w:rsid w:val="7BB7F7A3"/>
    <w:rsid w:val="7BD5F3C9"/>
    <w:rsid w:val="7BDD398E"/>
    <w:rsid w:val="7BFFF3C0"/>
    <w:rsid w:val="7C6B96B4"/>
    <w:rsid w:val="7D256725"/>
    <w:rsid w:val="7D3B7078"/>
    <w:rsid w:val="7D7B19AF"/>
    <w:rsid w:val="7D984935"/>
    <w:rsid w:val="7DD6BDF0"/>
    <w:rsid w:val="7DF60664"/>
    <w:rsid w:val="7DFE4E31"/>
    <w:rsid w:val="7E0FE819"/>
    <w:rsid w:val="7EBD0F83"/>
    <w:rsid w:val="7ED95365"/>
    <w:rsid w:val="7F1BAAFC"/>
    <w:rsid w:val="7F6BA16C"/>
    <w:rsid w:val="7F7D0DE0"/>
    <w:rsid w:val="7F7E0640"/>
    <w:rsid w:val="7F7F67BE"/>
    <w:rsid w:val="7F864146"/>
    <w:rsid w:val="7FBF80F4"/>
    <w:rsid w:val="7FCF9B98"/>
    <w:rsid w:val="7FF590F3"/>
    <w:rsid w:val="7FF6C4BE"/>
    <w:rsid w:val="7FF85564"/>
    <w:rsid w:val="7FFD56ED"/>
    <w:rsid w:val="7FFF004E"/>
    <w:rsid w:val="7FFF4732"/>
    <w:rsid w:val="7FFF6F98"/>
    <w:rsid w:val="7FFFD888"/>
    <w:rsid w:val="8B7B3D6F"/>
    <w:rsid w:val="8F6FD2D9"/>
    <w:rsid w:val="9F75B275"/>
    <w:rsid w:val="9FF39D1C"/>
    <w:rsid w:val="A5774FC0"/>
    <w:rsid w:val="AB1B0D07"/>
    <w:rsid w:val="ADE43F06"/>
    <w:rsid w:val="AFBB4B30"/>
    <w:rsid w:val="B2D39D59"/>
    <w:rsid w:val="B369BA1E"/>
    <w:rsid w:val="B3D7848B"/>
    <w:rsid w:val="B7FF4EE2"/>
    <w:rsid w:val="B8FB608B"/>
    <w:rsid w:val="B8FF37F5"/>
    <w:rsid w:val="BA5FD5CD"/>
    <w:rsid w:val="BAAB3531"/>
    <w:rsid w:val="BCDD00E6"/>
    <w:rsid w:val="BD77C0BE"/>
    <w:rsid w:val="BDFB7363"/>
    <w:rsid w:val="BDFB818B"/>
    <w:rsid w:val="BE7AA48F"/>
    <w:rsid w:val="BECE4B98"/>
    <w:rsid w:val="BEFE1CD8"/>
    <w:rsid w:val="BF2F606A"/>
    <w:rsid w:val="BFBBC3EA"/>
    <w:rsid w:val="C2FF9A77"/>
    <w:rsid w:val="C68FF1FD"/>
    <w:rsid w:val="C6EFC454"/>
    <w:rsid w:val="C77D4ECD"/>
    <w:rsid w:val="C7AFBEB2"/>
    <w:rsid w:val="CC7EBE84"/>
    <w:rsid w:val="CDFFC504"/>
    <w:rsid w:val="D07B632D"/>
    <w:rsid w:val="D1FF8410"/>
    <w:rsid w:val="D67F480E"/>
    <w:rsid w:val="D7E3B545"/>
    <w:rsid w:val="D9FA5D88"/>
    <w:rsid w:val="D9FF4CE0"/>
    <w:rsid w:val="DBFBF7E0"/>
    <w:rsid w:val="DBFF1059"/>
    <w:rsid w:val="DBFF93ED"/>
    <w:rsid w:val="DCF6320D"/>
    <w:rsid w:val="DDFFAF2B"/>
    <w:rsid w:val="DE7F1984"/>
    <w:rsid w:val="DF4E1BC1"/>
    <w:rsid w:val="DF7F6572"/>
    <w:rsid w:val="DF9E5290"/>
    <w:rsid w:val="DFCFF190"/>
    <w:rsid w:val="DFD710BB"/>
    <w:rsid w:val="DFF72ECA"/>
    <w:rsid w:val="DFFDDFF5"/>
    <w:rsid w:val="DFFFE0BD"/>
    <w:rsid w:val="E1FB436C"/>
    <w:rsid w:val="E4FAA1AD"/>
    <w:rsid w:val="E4FB81D0"/>
    <w:rsid w:val="E54DC7C5"/>
    <w:rsid w:val="E73FFC7D"/>
    <w:rsid w:val="E77D8E02"/>
    <w:rsid w:val="E7EF2AE4"/>
    <w:rsid w:val="EAED3B4E"/>
    <w:rsid w:val="EAFBCBB5"/>
    <w:rsid w:val="EB7F6CF2"/>
    <w:rsid w:val="ECDE87D7"/>
    <w:rsid w:val="ECFE5C61"/>
    <w:rsid w:val="EEA54D8E"/>
    <w:rsid w:val="EEDD13C1"/>
    <w:rsid w:val="EFB02002"/>
    <w:rsid w:val="EFB84775"/>
    <w:rsid w:val="EFBB25A3"/>
    <w:rsid w:val="EFBF9B5D"/>
    <w:rsid w:val="F34ABC14"/>
    <w:rsid w:val="F36ED55C"/>
    <w:rsid w:val="F5EFA9EF"/>
    <w:rsid w:val="F6E70AA1"/>
    <w:rsid w:val="F7136AA7"/>
    <w:rsid w:val="F76E4F75"/>
    <w:rsid w:val="F7D9F67B"/>
    <w:rsid w:val="F7EF5E54"/>
    <w:rsid w:val="F9E7DA99"/>
    <w:rsid w:val="FA7B5C11"/>
    <w:rsid w:val="FB1E8345"/>
    <w:rsid w:val="FB1F3F68"/>
    <w:rsid w:val="FB5FE965"/>
    <w:rsid w:val="FB7F3CD1"/>
    <w:rsid w:val="FB991450"/>
    <w:rsid w:val="FBB7D374"/>
    <w:rsid w:val="FCFFF25B"/>
    <w:rsid w:val="FD3F4CEE"/>
    <w:rsid w:val="FD599845"/>
    <w:rsid w:val="FD7F6A7C"/>
    <w:rsid w:val="FDB7119D"/>
    <w:rsid w:val="FDBF73E8"/>
    <w:rsid w:val="FDDF1AE1"/>
    <w:rsid w:val="FDE63D84"/>
    <w:rsid w:val="FDF5CDDE"/>
    <w:rsid w:val="FDF5D316"/>
    <w:rsid w:val="FDF5D7C1"/>
    <w:rsid w:val="FDF81FC7"/>
    <w:rsid w:val="FE4F192A"/>
    <w:rsid w:val="FEDB5DBB"/>
    <w:rsid w:val="FEDF8BC5"/>
    <w:rsid w:val="FEFF0786"/>
    <w:rsid w:val="FEFF2AC4"/>
    <w:rsid w:val="FF073695"/>
    <w:rsid w:val="FF2F5C5B"/>
    <w:rsid w:val="FF3B3155"/>
    <w:rsid w:val="FF5FC53D"/>
    <w:rsid w:val="FF7F820B"/>
    <w:rsid w:val="FF9AECE9"/>
    <w:rsid w:val="FF9F3BF8"/>
    <w:rsid w:val="FFABEF7D"/>
    <w:rsid w:val="FFB70AB7"/>
    <w:rsid w:val="FFC2B323"/>
    <w:rsid w:val="FFC6DD2C"/>
    <w:rsid w:val="FFCFDF55"/>
    <w:rsid w:val="FFDD2C92"/>
    <w:rsid w:val="FFEFFA89"/>
    <w:rsid w:val="FFF75DD0"/>
    <w:rsid w:val="FFF7A6A4"/>
    <w:rsid w:val="FFFB4CA3"/>
    <w:rsid w:val="FFFECDEE"/>
    <w:rsid w:val="FFFF3E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line="0" w:lineRule="atLeast"/>
      <w:jc w:val="center"/>
      <w:outlineLvl w:val="1"/>
    </w:pPr>
    <w:rPr>
      <w:sz w:val="28"/>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rPr>
      <w:rFonts w:ascii="仿宋_GB2312" w:eastAsia="仿宋_GB2312"/>
      <w:sz w:val="30"/>
    </w:rPr>
  </w:style>
  <w:style w:type="paragraph" w:styleId="5">
    <w:name w:val="Balloon Text"/>
    <w:basedOn w:val="1"/>
    <w:link w:val="18"/>
    <w:qFormat/>
    <w:uiPriority w:val="0"/>
    <w:rPr>
      <w:sz w:val="18"/>
      <w:szCs w:val="18"/>
    </w:rPr>
  </w:style>
  <w:style w:type="paragraph" w:styleId="6">
    <w:name w:val="footer"/>
    <w:basedOn w:val="1"/>
    <w:link w:val="19"/>
    <w:qFormat/>
    <w:uiPriority w:val="99"/>
    <w:pPr>
      <w:tabs>
        <w:tab w:val="center" w:pos="4153"/>
        <w:tab w:val="right" w:pos="8306"/>
      </w:tabs>
      <w:snapToGrid w:val="0"/>
      <w:jc w:val="left"/>
    </w:pPr>
    <w:rPr>
      <w:rFonts w:eastAsia="仿宋_GB2312"/>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unhideWhenUsed/>
    <w:qFormat/>
    <w:uiPriority w:val="99"/>
    <w:rPr>
      <w:rFonts w:ascii="Calibri" w:hAnsi="Calibri"/>
      <w:sz w:val="18"/>
      <w:szCs w:val="18"/>
    </w:rPr>
  </w:style>
  <w:style w:type="paragraph" w:styleId="9">
    <w:name w:val="Body Text Indent 3"/>
    <w:basedOn w:val="1"/>
    <w:link w:val="20"/>
    <w:unhideWhenUsed/>
    <w:qFormat/>
    <w:uiPriority w:val="0"/>
    <w:pPr>
      <w:spacing w:line="520" w:lineRule="exact"/>
      <w:ind w:firstLine="640" w:firstLineChars="200"/>
    </w:pPr>
    <w:rPr>
      <w:rFonts w:eastAsia="楷体_GB2312"/>
      <w:sz w:val="32"/>
      <w:szCs w:val="20"/>
    </w:rPr>
  </w:style>
  <w:style w:type="paragraph" w:styleId="10">
    <w:name w:val="Normal (Web)"/>
    <w:basedOn w:val="1"/>
    <w:qFormat/>
    <w:uiPriority w:val="0"/>
    <w:pPr>
      <w:widowControl/>
      <w:jc w:val="left"/>
    </w:pPr>
    <w:rPr>
      <w:rFonts w:ascii="宋体" w:hAnsi="宋体" w:cs="宋体"/>
      <w:kern w:val="0"/>
      <w:sz w:val="24"/>
    </w:rPr>
  </w:style>
  <w:style w:type="paragraph" w:styleId="11">
    <w:name w:val="Title"/>
    <w:next w:val="1"/>
    <w:qFormat/>
    <w:uiPriority w:val="10"/>
    <w:pPr>
      <w:widowControl w:val="0"/>
      <w:spacing w:before="240" w:after="60"/>
      <w:jc w:val="center"/>
      <w:outlineLvl w:val="0"/>
    </w:pPr>
    <w:rPr>
      <w:rFonts w:ascii="Cambria" w:hAnsi="Cambria" w:eastAsia="宋体" w:cs="Times New Roman"/>
      <w:b/>
      <w:bCs/>
      <w:kern w:val="2"/>
      <w:sz w:val="32"/>
      <w:szCs w:val="32"/>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 Char Char1 Char Char"/>
    <w:basedOn w:val="3"/>
    <w:link w:val="14"/>
    <w:qFormat/>
    <w:uiPriority w:val="0"/>
    <w:pPr>
      <w:tabs>
        <w:tab w:val="left" w:pos="360"/>
        <w:tab w:val="left" w:pos="900"/>
      </w:tabs>
      <w:snapToGrid w:val="0"/>
      <w:spacing w:before="120" w:after="120" w:line="360" w:lineRule="auto"/>
      <w:ind w:left="542" w:leftChars="-12" w:firstLine="200" w:firstLineChars="200"/>
      <w:jc w:val="left"/>
    </w:pPr>
    <w:rPr>
      <w:rFonts w:eastAsia="黑体"/>
      <w:b w:val="0"/>
      <w:bCs w:val="0"/>
      <w:snapToGrid w:val="0"/>
      <w:sz w:val="24"/>
      <w:szCs w:val="24"/>
    </w:rPr>
  </w:style>
  <w:style w:type="character" w:styleId="16">
    <w:name w:val="page number"/>
    <w:basedOn w:val="14"/>
    <w:qFormat/>
    <w:uiPriority w:val="0"/>
  </w:style>
  <w:style w:type="character" w:styleId="17">
    <w:name w:val="Hyperlink"/>
    <w:basedOn w:val="14"/>
    <w:unhideWhenUsed/>
    <w:qFormat/>
    <w:uiPriority w:val="99"/>
    <w:rPr>
      <w:color w:val="0000FF"/>
      <w:u w:val="single"/>
    </w:rPr>
  </w:style>
  <w:style w:type="character" w:customStyle="1" w:styleId="18">
    <w:name w:val=" Char Char"/>
    <w:link w:val="5"/>
    <w:qFormat/>
    <w:uiPriority w:val="0"/>
    <w:rPr>
      <w:kern w:val="2"/>
      <w:sz w:val="18"/>
      <w:szCs w:val="18"/>
    </w:rPr>
  </w:style>
  <w:style w:type="character" w:customStyle="1" w:styleId="19">
    <w:name w:val=" Char Char2"/>
    <w:link w:val="6"/>
    <w:qFormat/>
    <w:uiPriority w:val="99"/>
    <w:rPr>
      <w:rFonts w:eastAsia="仿宋_GB2312"/>
      <w:kern w:val="2"/>
      <w:sz w:val="18"/>
      <w:szCs w:val="18"/>
    </w:rPr>
  </w:style>
  <w:style w:type="character" w:customStyle="1" w:styleId="20">
    <w:name w:val=" Char Char1"/>
    <w:link w:val="9"/>
    <w:semiHidden/>
    <w:qFormat/>
    <w:uiPriority w:val="0"/>
    <w:rPr>
      <w:rFonts w:eastAsia="楷体_GB2312"/>
      <w:kern w:val="2"/>
      <w:sz w:val="32"/>
      <w:lang w:val="en-US" w:eastAsia="zh-CN" w:bidi="ar-SA"/>
    </w:rPr>
  </w:style>
  <w:style w:type="character" w:customStyle="1" w:styleId="21">
    <w:name w:val="font61"/>
    <w:basedOn w:val="14"/>
    <w:qFormat/>
    <w:uiPriority w:val="0"/>
    <w:rPr>
      <w:rFonts w:ascii="Calibri" w:hAnsi="Calibri" w:cs="Calibri"/>
      <w:color w:val="000000"/>
      <w:sz w:val="22"/>
      <w:szCs w:val="22"/>
      <w:u w:val="none"/>
    </w:rPr>
  </w:style>
  <w:style w:type="character" w:customStyle="1" w:styleId="22">
    <w:name w:val="font31"/>
    <w:basedOn w:val="14"/>
    <w:qFormat/>
    <w:uiPriority w:val="0"/>
    <w:rPr>
      <w:rFonts w:ascii="方正书宋_GBK" w:hAnsi="方正书宋_GBK" w:eastAsia="方正书宋_GBK" w:cs="方正书宋_GBK"/>
      <w:color w:val="000000"/>
      <w:sz w:val="22"/>
      <w:szCs w:val="22"/>
      <w:u w:val="none"/>
    </w:rPr>
  </w:style>
  <w:style w:type="character" w:customStyle="1" w:styleId="23">
    <w:name w:val="font01"/>
    <w:basedOn w:val="14"/>
    <w:qFormat/>
    <w:uiPriority w:val="0"/>
    <w:rPr>
      <w:rFonts w:hint="eastAsia" w:ascii="宋体" w:hAnsi="宋体" w:eastAsia="宋体" w:cs="宋体"/>
      <w:color w:val="000000"/>
      <w:sz w:val="22"/>
      <w:szCs w:val="22"/>
      <w:u w:val="none"/>
    </w:rPr>
  </w:style>
  <w:style w:type="character" w:customStyle="1" w:styleId="24">
    <w:name w:val="span_sect2Title"/>
    <w:basedOn w:val="14"/>
    <w:qFormat/>
    <w:uiPriority w:val="0"/>
    <w:rPr>
      <w:b/>
      <w:bCs/>
    </w:rPr>
  </w:style>
  <w:style w:type="character" w:customStyle="1" w:styleId="25">
    <w:name w:val="font41"/>
    <w:basedOn w:val="14"/>
    <w:qFormat/>
    <w:uiPriority w:val="0"/>
    <w:rPr>
      <w:rFonts w:hint="eastAsia" w:ascii="仿宋_GB2312" w:eastAsia="仿宋_GB2312" w:cs="仿宋_GB2312"/>
      <w:b/>
      <w:bCs/>
      <w:color w:val="FF0000"/>
      <w:sz w:val="36"/>
      <w:szCs w:val="36"/>
      <w:u w:val="none"/>
    </w:rPr>
  </w:style>
  <w:style w:type="character" w:customStyle="1" w:styleId="26">
    <w:name w:val="font51"/>
    <w:basedOn w:val="14"/>
    <w:qFormat/>
    <w:uiPriority w:val="0"/>
    <w:rPr>
      <w:rFonts w:hint="eastAsia" w:ascii="仿宋_GB2312" w:eastAsia="仿宋_GB2312" w:cs="仿宋_GB2312"/>
      <w:color w:val="FF0000"/>
      <w:sz w:val="36"/>
      <w:szCs w:val="36"/>
      <w:u w:val="none"/>
    </w:rPr>
  </w:style>
  <w:style w:type="character" w:customStyle="1" w:styleId="27">
    <w:name w:val="font81"/>
    <w:basedOn w:val="14"/>
    <w:qFormat/>
    <w:uiPriority w:val="0"/>
    <w:rPr>
      <w:rFonts w:hint="eastAsia" w:ascii="黑体" w:hAnsi="宋体" w:eastAsia="黑体" w:cs="黑体"/>
      <w:b/>
      <w:bCs/>
      <w:color w:val="FF0000"/>
      <w:sz w:val="20"/>
      <w:szCs w:val="20"/>
      <w:u w:val="none"/>
    </w:rPr>
  </w:style>
  <w:style w:type="character" w:customStyle="1" w:styleId="28">
    <w:name w:val="font11"/>
    <w:basedOn w:val="14"/>
    <w:qFormat/>
    <w:uiPriority w:val="0"/>
    <w:rPr>
      <w:rFonts w:hint="eastAsia" w:ascii="黑体" w:hAnsi="宋体" w:eastAsia="黑体" w:cs="黑体"/>
      <w:color w:val="000000"/>
      <w:sz w:val="20"/>
      <w:szCs w:val="20"/>
      <w:u w:val="none"/>
    </w:rPr>
  </w:style>
  <w:style w:type="character" w:customStyle="1" w:styleId="29">
    <w:name w:val="font21"/>
    <w:basedOn w:val="14"/>
    <w:qFormat/>
    <w:uiPriority w:val="0"/>
    <w:rPr>
      <w:rFonts w:hint="eastAsia" w:ascii="仿宋_GB2312" w:eastAsia="仿宋_GB2312" w:cs="仿宋_GB2312"/>
      <w:color w:val="000000"/>
      <w:sz w:val="20"/>
      <w:szCs w:val="20"/>
      <w:u w:val="none"/>
    </w:rPr>
  </w:style>
  <w:style w:type="character" w:customStyle="1" w:styleId="30">
    <w:name w:val="font91"/>
    <w:basedOn w:val="14"/>
    <w:qFormat/>
    <w:uiPriority w:val="0"/>
    <w:rPr>
      <w:rFonts w:hint="eastAsia" w:ascii="仿宋_GB2312" w:eastAsia="仿宋_GB2312" w:cs="仿宋_GB2312"/>
      <w:b/>
      <w:bCs/>
      <w:color w:val="000000"/>
      <w:sz w:val="20"/>
      <w:szCs w:val="20"/>
      <w:u w:val="none"/>
    </w:rPr>
  </w:style>
  <w:style w:type="character" w:customStyle="1" w:styleId="31">
    <w:name w:val="font71"/>
    <w:basedOn w:val="14"/>
    <w:qFormat/>
    <w:uiPriority w:val="0"/>
    <w:rPr>
      <w:rFonts w:hint="default" w:ascii="Calibri" w:hAnsi="Calibri" w:cs="Calibri"/>
      <w:color w:val="000000"/>
      <w:sz w:val="20"/>
      <w:szCs w:val="20"/>
      <w:u w:val="none"/>
    </w:rPr>
  </w:style>
  <w:style w:type="character" w:customStyle="1" w:styleId="32">
    <w:name w:val="font101"/>
    <w:basedOn w:val="14"/>
    <w:qFormat/>
    <w:uiPriority w:val="0"/>
    <w:rPr>
      <w:rFonts w:ascii="Arial" w:hAnsi="Arial" w:cs="Arial"/>
      <w:b/>
      <w:bCs/>
      <w:color w:val="FF0000"/>
      <w:sz w:val="20"/>
      <w:szCs w:val="20"/>
      <w:u w:val="none"/>
    </w:rPr>
  </w:style>
  <w:style w:type="paragraph" w:customStyle="1" w:styleId="33">
    <w:name w:val="p"/>
    <w:basedOn w:val="1"/>
    <w:qFormat/>
    <w:uiPriority w:val="0"/>
    <w:pPr>
      <w:pBdr>
        <w:top w:val="none" w:color="auto" w:sz="0" w:space="0"/>
        <w:left w:val="none" w:color="auto" w:sz="0" w:space="0"/>
        <w:bottom w:val="none" w:color="auto" w:sz="0" w:space="0"/>
        <w:right w:val="none" w:color="auto" w:sz="0" w:space="0"/>
      </w:pBdr>
      <w:spacing w:line="390" w:lineRule="atLeast"/>
      <w:ind w:firstLine="420"/>
      <w:textAlignment w:val="center"/>
    </w:pPr>
  </w:style>
  <w:style w:type="character" w:customStyle="1" w:styleId="34">
    <w:name w:val="any"/>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新建环保局</Company>
  <Pages>10</Pages>
  <Words>21668</Words>
  <Characters>21988</Characters>
  <Lines>6</Lines>
  <Paragraphs>1</Paragraphs>
  <TotalTime>8</TotalTime>
  <ScaleCrop>false</ScaleCrop>
  <LinksUpToDate>false</LinksUpToDate>
  <CharactersWithSpaces>22197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2017-01-24T19:01:00Z</dcterms:created>
  <dc:creator>Microsoft</dc:creator>
  <cp:lastModifiedBy>周晓萌</cp:lastModifiedBy>
  <cp:lastPrinted>2026-08-12T02:29:58Z</cp:lastPrinted>
  <dcterms:modified xsi:type="dcterms:W3CDTF">2026-08-12T02:32:30Z</dcterms:modified>
  <dc:title>新环函[2002]号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51F4B5DC02B047CAB75ECB70A7BE380B_13</vt:lpwstr>
  </property>
  <property fmtid="{D5CDD505-2E9C-101B-9397-08002B2CF9AE}" pid="4" name="KSOTemplateDocerSaveRecord">
    <vt:lpwstr>eyJoZGlkIjoiNDUwMTFkMDI3ZjBmZjczM2Q3M2EwOGI5M2VjYzUzMDkifQ==</vt:lpwstr>
  </property>
</Properties>
</file>