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DBE95">
      <w:pPr>
        <w:spacing w:line="480" w:lineRule="auto"/>
        <w:ind w:firstLine="560"/>
        <w:jc w:val="center"/>
        <w:rPr>
          <w:sz w:val="28"/>
          <w:szCs w:val="28"/>
        </w:rPr>
      </w:pPr>
      <w:bookmarkStart w:id="0" w:name="_Hlk197421827"/>
    </w:p>
    <w:p w14:paraId="6B452E45">
      <w:pPr>
        <w:spacing w:line="480" w:lineRule="auto"/>
        <w:ind w:firstLine="560"/>
        <w:jc w:val="center"/>
        <w:rPr>
          <w:sz w:val="28"/>
          <w:szCs w:val="28"/>
        </w:rPr>
      </w:pPr>
    </w:p>
    <w:p w14:paraId="580D0C98">
      <w:pPr>
        <w:spacing w:line="720" w:lineRule="auto"/>
        <w:jc w:val="center"/>
        <w:rPr>
          <w:rFonts w:eastAsia="方正小标宋简体"/>
          <w:sz w:val="48"/>
          <w:szCs w:val="44"/>
        </w:rPr>
      </w:pPr>
      <w:r>
        <w:rPr>
          <w:rFonts w:eastAsia="方正小标宋简体"/>
          <w:sz w:val="48"/>
          <w:szCs w:val="44"/>
        </w:rPr>
        <w:t>新疆生产建设兵团</w:t>
      </w:r>
    </w:p>
    <w:p w14:paraId="07A9030E">
      <w:pPr>
        <w:spacing w:line="720" w:lineRule="auto"/>
        <w:jc w:val="center"/>
        <w:rPr>
          <w:rFonts w:eastAsia="方正小标宋简体"/>
          <w:bCs/>
          <w:sz w:val="52"/>
          <w:szCs w:val="44"/>
        </w:rPr>
      </w:pPr>
      <w:r>
        <w:rPr>
          <w:rFonts w:eastAsia="方正小标宋简体"/>
          <w:bCs/>
          <w:sz w:val="48"/>
          <w:szCs w:val="44"/>
        </w:rPr>
        <w:t>突发</w:t>
      </w:r>
      <w:r>
        <w:rPr>
          <w:rFonts w:hint="eastAsia" w:eastAsia="方正小标宋简体"/>
          <w:bCs/>
          <w:sz w:val="48"/>
          <w:szCs w:val="44"/>
        </w:rPr>
        <w:t>生态</w:t>
      </w:r>
      <w:r>
        <w:rPr>
          <w:rFonts w:eastAsia="方正小标宋简体"/>
          <w:bCs/>
          <w:sz w:val="48"/>
          <w:szCs w:val="44"/>
        </w:rPr>
        <w:t>环境事件应急预案</w:t>
      </w:r>
    </w:p>
    <w:p w14:paraId="79E6EFC6">
      <w:pPr>
        <w:spacing w:line="720" w:lineRule="auto"/>
        <w:jc w:val="center"/>
        <w:rPr>
          <w:rFonts w:hint="eastAsia" w:ascii="楷体_GB2312" w:hAnsi="楷体_GB2312" w:eastAsia="楷体_GB2312" w:cs="楷体_GB2312"/>
          <w:bCs/>
          <w:sz w:val="32"/>
          <w:szCs w:val="44"/>
        </w:rPr>
      </w:pPr>
      <w:r>
        <w:rPr>
          <w:rFonts w:eastAsia="楷体_GB2312"/>
          <w:bCs/>
          <w:sz w:val="32"/>
          <w:szCs w:val="44"/>
        </w:rPr>
        <w:t>（2025年</w:t>
      </w:r>
      <w:r>
        <w:rPr>
          <w:rFonts w:hint="eastAsia" w:ascii="楷体_GB2312" w:hAnsi="楷体_GB2312" w:eastAsia="楷体_GB2312" w:cs="楷体_GB2312"/>
          <w:bCs/>
          <w:sz w:val="32"/>
          <w:szCs w:val="44"/>
          <w:lang w:val="en-US" w:eastAsia="zh-CN"/>
        </w:rPr>
        <w:t>征求意见</w:t>
      </w:r>
      <w:r>
        <w:rPr>
          <w:rFonts w:ascii="楷体_GB2312" w:hAnsi="楷体_GB2312" w:eastAsia="楷体_GB2312" w:cs="楷体_GB2312"/>
          <w:bCs/>
          <w:sz w:val="32"/>
          <w:szCs w:val="44"/>
        </w:rPr>
        <w:t>稿）</w:t>
      </w:r>
    </w:p>
    <w:p w14:paraId="2B8967E8">
      <w:pPr>
        <w:spacing w:line="720" w:lineRule="auto"/>
        <w:jc w:val="center"/>
        <w:rPr>
          <w:rFonts w:eastAsia="方正小标宋简体"/>
          <w:bCs/>
          <w:sz w:val="56"/>
          <w:szCs w:val="56"/>
        </w:rPr>
      </w:pPr>
    </w:p>
    <w:p w14:paraId="5163F530">
      <w:pPr>
        <w:spacing w:line="720" w:lineRule="auto"/>
        <w:jc w:val="center"/>
        <w:rPr>
          <w:rFonts w:eastAsia="方正小标宋简体"/>
          <w:bCs/>
          <w:sz w:val="56"/>
          <w:szCs w:val="56"/>
        </w:rPr>
      </w:pPr>
    </w:p>
    <w:p w14:paraId="02C21E57">
      <w:pPr>
        <w:spacing w:line="720" w:lineRule="auto"/>
        <w:jc w:val="center"/>
        <w:rPr>
          <w:rFonts w:eastAsia="方正小标宋简体"/>
          <w:bCs/>
          <w:sz w:val="56"/>
          <w:szCs w:val="56"/>
        </w:rPr>
      </w:pPr>
    </w:p>
    <w:p w14:paraId="6C12924B">
      <w:pPr>
        <w:spacing w:line="720" w:lineRule="auto"/>
        <w:jc w:val="center"/>
        <w:rPr>
          <w:rFonts w:eastAsia="方正小标宋简体"/>
          <w:bCs/>
          <w:sz w:val="56"/>
          <w:szCs w:val="56"/>
        </w:rPr>
      </w:pPr>
    </w:p>
    <w:p w14:paraId="1F834B46">
      <w:pPr>
        <w:spacing w:line="720" w:lineRule="auto"/>
        <w:rPr>
          <w:rFonts w:eastAsia="方正小标宋简体"/>
          <w:sz w:val="72"/>
          <w:szCs w:val="72"/>
        </w:rPr>
      </w:pPr>
    </w:p>
    <w:p w14:paraId="0AEB88EF">
      <w:pPr>
        <w:spacing w:line="720" w:lineRule="auto"/>
        <w:rPr>
          <w:rFonts w:eastAsia="方正小标宋简体"/>
          <w:sz w:val="72"/>
          <w:szCs w:val="72"/>
        </w:rPr>
      </w:pPr>
    </w:p>
    <w:p w14:paraId="08F0FDC3">
      <w:pPr>
        <w:jc w:val="center"/>
        <w:rPr>
          <w:rFonts w:eastAsia="黑体"/>
          <w:bCs/>
          <w:sz w:val="30"/>
          <w:szCs w:val="30"/>
        </w:rPr>
      </w:pPr>
      <w:r>
        <w:rPr>
          <w:rFonts w:eastAsia="黑体"/>
          <w:bCs/>
          <w:sz w:val="30"/>
          <w:szCs w:val="30"/>
        </w:rPr>
        <w:t>新疆生产建设兵团</w:t>
      </w:r>
      <w:bookmarkEnd w:id="0"/>
    </w:p>
    <w:p w14:paraId="2043D984">
      <w:pPr>
        <w:jc w:val="center"/>
        <w:rPr>
          <w:rFonts w:eastAsia="黑体"/>
          <w:bCs/>
          <w:sz w:val="30"/>
          <w:szCs w:val="30"/>
        </w:rPr>
      </w:pPr>
      <w:r>
        <w:rPr>
          <w:rFonts w:eastAsia="黑体"/>
          <w:bCs/>
          <w:sz w:val="30"/>
          <w:szCs w:val="30"/>
        </w:rPr>
        <w:t>2025年</w:t>
      </w:r>
      <w:r>
        <w:rPr>
          <w:rFonts w:hint="eastAsia" w:eastAsia="黑体"/>
          <w:bCs/>
          <w:sz w:val="30"/>
          <w:szCs w:val="30"/>
        </w:rPr>
        <w:t>11</w:t>
      </w:r>
      <w:r>
        <w:rPr>
          <w:rFonts w:eastAsia="黑体"/>
          <w:bCs/>
          <w:sz w:val="30"/>
          <w:szCs w:val="30"/>
        </w:rPr>
        <w:t>月</w:t>
      </w:r>
    </w:p>
    <w:p w14:paraId="65FC4EDA">
      <w:pPr>
        <w:jc w:val="center"/>
        <w:rPr>
          <w:rFonts w:eastAsia="黑体"/>
          <w:bCs/>
          <w:sz w:val="30"/>
          <w:szCs w:val="30"/>
        </w:rPr>
      </w:pPr>
    </w:p>
    <w:p w14:paraId="1B6A005A">
      <w:pPr>
        <w:jc w:val="center"/>
        <w:rPr>
          <w:rFonts w:eastAsia="黑体"/>
          <w:bCs/>
          <w:sz w:val="30"/>
          <w:szCs w:val="30"/>
        </w:rPr>
      </w:pPr>
    </w:p>
    <w:p w14:paraId="4C9C3989">
      <w:pPr>
        <w:jc w:val="center"/>
        <w:rPr>
          <w:rFonts w:eastAsia="黑体"/>
          <w:bCs/>
          <w:sz w:val="30"/>
          <w:szCs w:val="30"/>
        </w:rPr>
      </w:pPr>
    </w:p>
    <w:p w14:paraId="2058297E">
      <w:pPr>
        <w:jc w:val="center"/>
        <w:rPr>
          <w:b/>
          <w:sz w:val="30"/>
          <w:szCs w:val="30"/>
        </w:rPr>
      </w:pPr>
      <w:r>
        <w:rPr>
          <w:b/>
          <w:sz w:val="30"/>
          <w:szCs w:val="30"/>
        </w:rPr>
        <w:br w:type="page"/>
      </w:r>
    </w:p>
    <w:sdt>
      <w:sdtPr>
        <w:rPr>
          <w:rFonts w:hint="eastAsia" w:ascii="黑体" w:hAnsi="黑体" w:eastAsia="黑体" w:cs="黑体"/>
          <w:sz w:val="32"/>
          <w:szCs w:val="32"/>
        </w:rPr>
        <w:id w:val="147456875"/>
        <w15:color w:val="DBDBDB"/>
        <w:docPartObj>
          <w:docPartGallery w:val="Table of Contents"/>
          <w:docPartUnique/>
        </w:docPartObj>
      </w:sdtPr>
      <w:sdtEndPr>
        <w:rPr>
          <w:rFonts w:hint="eastAsia" w:ascii="Times New Roman" w:hAnsi="Times New Roman" w:eastAsia="宋体" w:cs="Times New Roman"/>
          <w:spacing w:val="4"/>
          <w:sz w:val="24"/>
          <w:szCs w:val="28"/>
        </w:rPr>
      </w:sdtEndPr>
      <w:sdtContent>
        <w:p w14:paraId="713C8FC0">
          <w:pPr>
            <w:spacing w:line="240" w:lineRule="auto"/>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目  录</w:t>
          </w:r>
        </w:p>
        <w:p w14:paraId="3B63B5CE">
          <w:pPr>
            <w:pStyle w:val="29"/>
            <w:tabs>
              <w:tab w:val="right" w:leader="dot" w:pos="8834"/>
            </w:tabs>
            <w:spacing w:line="520" w:lineRule="exact"/>
            <w:rPr>
              <w:rFonts w:eastAsia="黑体"/>
              <w:sz w:val="32"/>
              <w:szCs w:val="32"/>
              <w14:ligatures w14:val="standardContextual"/>
            </w:rPr>
          </w:pPr>
          <w:r>
            <w:rPr>
              <w:spacing w:val="4"/>
              <w:sz w:val="28"/>
              <w:szCs w:val="28"/>
            </w:rPr>
            <w:fldChar w:fldCharType="begin"/>
          </w:r>
          <w:r>
            <w:rPr>
              <w:spacing w:val="4"/>
              <w:sz w:val="28"/>
              <w:szCs w:val="28"/>
            </w:rPr>
            <w:instrText xml:space="preserve">TOC \o "1-2" \h \u </w:instrText>
          </w:r>
          <w:r>
            <w:rPr>
              <w:spacing w:val="4"/>
              <w:sz w:val="28"/>
              <w:szCs w:val="28"/>
            </w:rPr>
            <w:fldChar w:fldCharType="separate"/>
          </w:r>
          <w:r>
            <w:fldChar w:fldCharType="begin"/>
          </w:r>
          <w:r>
            <w:instrText xml:space="preserve"> HYPERLINK \l "_Toc207817629" </w:instrText>
          </w:r>
          <w:r>
            <w:fldChar w:fldCharType="separate"/>
          </w:r>
          <w:r>
            <w:rPr>
              <w:rStyle w:val="50"/>
              <w:rFonts w:eastAsia="黑体"/>
              <w:bCs/>
              <w:sz w:val="32"/>
              <w:szCs w:val="32"/>
            </w:rPr>
            <w:t>1 总则</w:t>
          </w:r>
          <w:r>
            <w:rPr>
              <w:rFonts w:eastAsia="黑体"/>
              <w:sz w:val="32"/>
              <w:szCs w:val="32"/>
            </w:rPr>
            <w:tab/>
          </w:r>
          <w:r>
            <w:rPr>
              <w:rFonts w:eastAsia="黑体"/>
              <w:sz w:val="32"/>
              <w:szCs w:val="32"/>
            </w:rPr>
            <w:fldChar w:fldCharType="begin"/>
          </w:r>
          <w:r>
            <w:rPr>
              <w:rFonts w:eastAsia="黑体"/>
              <w:sz w:val="32"/>
              <w:szCs w:val="32"/>
            </w:rPr>
            <w:instrText xml:space="preserve"> PAGEREF _Toc207817629 \h </w:instrText>
          </w:r>
          <w:r>
            <w:rPr>
              <w:rFonts w:eastAsia="黑体"/>
              <w:sz w:val="32"/>
              <w:szCs w:val="32"/>
            </w:rPr>
            <w:fldChar w:fldCharType="separate"/>
          </w:r>
          <w:r>
            <w:rPr>
              <w:rFonts w:eastAsia="黑体"/>
              <w:sz w:val="32"/>
              <w:szCs w:val="32"/>
            </w:rPr>
            <w:t>1</w:t>
          </w:r>
          <w:r>
            <w:rPr>
              <w:rFonts w:eastAsia="黑体"/>
              <w:sz w:val="32"/>
              <w:szCs w:val="32"/>
            </w:rPr>
            <w:fldChar w:fldCharType="end"/>
          </w:r>
          <w:r>
            <w:rPr>
              <w:rFonts w:eastAsia="黑体"/>
              <w:sz w:val="32"/>
              <w:szCs w:val="32"/>
            </w:rPr>
            <w:fldChar w:fldCharType="end"/>
          </w:r>
        </w:p>
        <w:p w14:paraId="7B427FD1">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"_Toc207817630" </w:instrText>
          </w:r>
          <w:r>
            <w:fldChar w:fldCharType="separate"/>
          </w:r>
          <w:r>
            <w:rPr>
              <w:rStyle w:val="50"/>
              <w:rFonts w:eastAsia="楷体_GB2312"/>
              <w:bCs/>
              <w:sz w:val="32"/>
              <w:szCs w:val="32"/>
            </w:rPr>
            <w:t>1.1 编制目的</w:t>
          </w:r>
          <w:r>
            <w:rPr>
              <w:sz w:val="32"/>
              <w:szCs w:val="32"/>
            </w:rPr>
            <w:tab/>
          </w:r>
          <w:r>
            <w:rPr>
              <w:sz w:val="32"/>
              <w:szCs w:val="32"/>
            </w:rPr>
            <w:fldChar w:fldCharType="begin"/>
          </w:r>
          <w:r>
            <w:rPr>
              <w:sz w:val="32"/>
              <w:szCs w:val="32"/>
            </w:rPr>
            <w:instrText xml:space="preserve"> PAGEREF _Toc207817630 \h </w:instrText>
          </w:r>
          <w:r>
            <w:rPr>
              <w:sz w:val="32"/>
              <w:szCs w:val="32"/>
            </w:rPr>
            <w:fldChar w:fldCharType="separate"/>
          </w:r>
          <w:r>
            <w:rPr>
              <w:sz w:val="32"/>
              <w:szCs w:val="32"/>
            </w:rPr>
            <w:t>1</w:t>
          </w:r>
          <w:r>
            <w:rPr>
              <w:sz w:val="32"/>
              <w:szCs w:val="32"/>
            </w:rPr>
            <w:fldChar w:fldCharType="end"/>
          </w:r>
          <w:r>
            <w:rPr>
              <w:sz w:val="32"/>
              <w:szCs w:val="32"/>
            </w:rPr>
            <w:fldChar w:fldCharType="end"/>
          </w:r>
        </w:p>
        <w:p w14:paraId="412E68EA">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"_Toc207817631" </w:instrText>
          </w:r>
          <w:r>
            <w:fldChar w:fldCharType="separate"/>
          </w:r>
          <w:r>
            <w:rPr>
              <w:rStyle w:val="50"/>
              <w:rFonts w:eastAsia="楷体_GB2312"/>
              <w:bCs/>
              <w:sz w:val="32"/>
              <w:szCs w:val="32"/>
            </w:rPr>
            <w:t>1.2 适用范围</w:t>
          </w:r>
          <w:r>
            <w:rPr>
              <w:sz w:val="32"/>
              <w:szCs w:val="32"/>
            </w:rPr>
            <w:tab/>
          </w:r>
          <w:r>
            <w:rPr>
              <w:sz w:val="32"/>
              <w:szCs w:val="32"/>
            </w:rPr>
            <w:fldChar w:fldCharType="begin"/>
          </w:r>
          <w:r>
            <w:rPr>
              <w:sz w:val="32"/>
              <w:szCs w:val="32"/>
            </w:rPr>
            <w:instrText xml:space="preserve"> PAGEREF _Toc207817631 \h </w:instrText>
          </w:r>
          <w:r>
            <w:rPr>
              <w:sz w:val="32"/>
              <w:szCs w:val="32"/>
            </w:rPr>
            <w:fldChar w:fldCharType="separate"/>
          </w:r>
          <w:r>
            <w:rPr>
              <w:sz w:val="32"/>
              <w:szCs w:val="32"/>
            </w:rPr>
            <w:t>1</w:t>
          </w:r>
          <w:r>
            <w:rPr>
              <w:sz w:val="32"/>
              <w:szCs w:val="32"/>
            </w:rPr>
            <w:fldChar w:fldCharType="end"/>
          </w:r>
          <w:r>
            <w:rPr>
              <w:sz w:val="32"/>
              <w:szCs w:val="32"/>
            </w:rPr>
            <w:fldChar w:fldCharType="end"/>
          </w:r>
        </w:p>
        <w:p w14:paraId="2C7BB9BE">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"_Toc207817632" </w:instrText>
          </w:r>
          <w:r>
            <w:fldChar w:fldCharType="separate"/>
          </w:r>
          <w:r>
            <w:rPr>
              <w:rStyle w:val="50"/>
              <w:rFonts w:eastAsia="楷体_GB2312"/>
              <w:bCs/>
              <w:sz w:val="32"/>
              <w:szCs w:val="32"/>
            </w:rPr>
            <w:t>1.3 总体要求</w:t>
          </w:r>
          <w:r>
            <w:rPr>
              <w:sz w:val="32"/>
              <w:szCs w:val="32"/>
            </w:rPr>
            <w:tab/>
          </w:r>
          <w:r>
            <w:rPr>
              <w:sz w:val="32"/>
              <w:szCs w:val="32"/>
            </w:rPr>
            <w:fldChar w:fldCharType="begin"/>
          </w:r>
          <w:r>
            <w:rPr>
              <w:sz w:val="32"/>
              <w:szCs w:val="32"/>
            </w:rPr>
            <w:instrText xml:space="preserve"> PAGEREF _Toc207817632 \h </w:instrText>
          </w:r>
          <w:r>
            <w:rPr>
              <w:sz w:val="32"/>
              <w:szCs w:val="32"/>
            </w:rPr>
            <w:fldChar w:fldCharType="separate"/>
          </w:r>
          <w:r>
            <w:rPr>
              <w:sz w:val="32"/>
              <w:szCs w:val="32"/>
            </w:rPr>
            <w:t>2</w:t>
          </w:r>
          <w:r>
            <w:rPr>
              <w:sz w:val="32"/>
              <w:szCs w:val="32"/>
            </w:rPr>
            <w:fldChar w:fldCharType="end"/>
          </w:r>
          <w:r>
            <w:rPr>
              <w:sz w:val="32"/>
              <w:szCs w:val="32"/>
            </w:rPr>
            <w:fldChar w:fldCharType="end"/>
          </w:r>
        </w:p>
        <w:p w14:paraId="2191749C">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"_Toc207817633" </w:instrText>
          </w:r>
          <w:r>
            <w:fldChar w:fldCharType="separate"/>
          </w:r>
          <w:r>
            <w:rPr>
              <w:rStyle w:val="50"/>
              <w:rFonts w:eastAsia="楷体_GB2312"/>
              <w:bCs/>
              <w:sz w:val="32"/>
              <w:szCs w:val="32"/>
            </w:rPr>
            <w:t>1.4 事件分级</w:t>
          </w:r>
          <w:r>
            <w:rPr>
              <w:sz w:val="32"/>
              <w:szCs w:val="32"/>
            </w:rPr>
            <w:tab/>
          </w:r>
          <w:r>
            <w:rPr>
              <w:sz w:val="32"/>
              <w:szCs w:val="32"/>
            </w:rPr>
            <w:fldChar w:fldCharType="begin"/>
          </w:r>
          <w:r>
            <w:rPr>
              <w:sz w:val="32"/>
              <w:szCs w:val="32"/>
            </w:rPr>
            <w:instrText xml:space="preserve"> PAGEREF _Toc207817633 \h </w:instrText>
          </w:r>
          <w:r>
            <w:rPr>
              <w:sz w:val="32"/>
              <w:szCs w:val="32"/>
            </w:rPr>
            <w:fldChar w:fldCharType="separate"/>
          </w:r>
          <w:r>
            <w:rPr>
              <w:sz w:val="32"/>
              <w:szCs w:val="32"/>
            </w:rPr>
            <w:t>2</w:t>
          </w:r>
          <w:r>
            <w:rPr>
              <w:sz w:val="32"/>
              <w:szCs w:val="32"/>
            </w:rPr>
            <w:fldChar w:fldCharType="end"/>
          </w:r>
          <w:r>
            <w:rPr>
              <w:sz w:val="32"/>
              <w:szCs w:val="32"/>
            </w:rPr>
            <w:fldChar w:fldCharType="end"/>
          </w:r>
        </w:p>
        <w:p w14:paraId="64333C31">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"_Toc207817634" </w:instrText>
          </w:r>
          <w:r>
            <w:fldChar w:fldCharType="separate"/>
          </w:r>
          <w:r>
            <w:rPr>
              <w:rStyle w:val="50"/>
              <w:rFonts w:eastAsia="楷体_GB2312"/>
              <w:bCs/>
              <w:sz w:val="32"/>
              <w:szCs w:val="32"/>
            </w:rPr>
            <w:t>1.5 预案体系</w:t>
          </w:r>
          <w:r>
            <w:rPr>
              <w:sz w:val="32"/>
              <w:szCs w:val="32"/>
            </w:rPr>
            <w:tab/>
          </w:r>
          <w:r>
            <w:rPr>
              <w:sz w:val="32"/>
              <w:szCs w:val="32"/>
            </w:rPr>
            <w:fldChar w:fldCharType="begin"/>
          </w:r>
          <w:r>
            <w:rPr>
              <w:sz w:val="32"/>
              <w:szCs w:val="32"/>
            </w:rPr>
            <w:instrText xml:space="preserve"> PAGEREF _Toc207817634 \h </w:instrText>
          </w:r>
          <w:r>
            <w:rPr>
              <w:sz w:val="32"/>
              <w:szCs w:val="32"/>
            </w:rPr>
            <w:fldChar w:fldCharType="separate"/>
          </w:r>
          <w:r>
            <w:rPr>
              <w:sz w:val="32"/>
              <w:szCs w:val="32"/>
            </w:rPr>
            <w:t>2</w:t>
          </w:r>
          <w:r>
            <w:rPr>
              <w:sz w:val="32"/>
              <w:szCs w:val="32"/>
            </w:rPr>
            <w:fldChar w:fldCharType="end"/>
          </w:r>
          <w:r>
            <w:rPr>
              <w:sz w:val="32"/>
              <w:szCs w:val="32"/>
            </w:rPr>
            <w:fldChar w:fldCharType="end"/>
          </w:r>
        </w:p>
        <w:p w14:paraId="1C99147F">
          <w:pPr>
            <w:pStyle w:val="29"/>
            <w:tabs>
              <w:tab w:val="right" w:leader="dot" w:pos="8834"/>
            </w:tabs>
            <w:spacing w:line="520" w:lineRule="exact"/>
            <w:rPr>
              <w:rFonts w:eastAsia="黑体"/>
              <w:sz w:val="32"/>
              <w:szCs w:val="32"/>
              <w14:ligatures w14:val="standardContextual"/>
            </w:rPr>
          </w:pPr>
          <w:r>
            <w:fldChar w:fldCharType="begin"/>
          </w:r>
          <w:r>
            <w:instrText xml:space="preserve"> HYPERLINK \l "_Toc207817635" </w:instrText>
          </w:r>
          <w:r>
            <w:fldChar w:fldCharType="separate"/>
          </w:r>
          <w:r>
            <w:rPr>
              <w:rStyle w:val="50"/>
              <w:rFonts w:eastAsia="黑体"/>
              <w:sz w:val="32"/>
              <w:szCs w:val="32"/>
            </w:rPr>
            <w:t>2 组织指挥体系</w:t>
          </w:r>
          <w:r>
            <w:rPr>
              <w:rFonts w:eastAsia="黑体"/>
              <w:sz w:val="32"/>
              <w:szCs w:val="32"/>
            </w:rPr>
            <w:tab/>
          </w:r>
          <w:r>
            <w:rPr>
              <w:rFonts w:eastAsia="黑体"/>
              <w:sz w:val="32"/>
              <w:szCs w:val="32"/>
            </w:rPr>
            <w:fldChar w:fldCharType="begin"/>
          </w:r>
          <w:r>
            <w:rPr>
              <w:rFonts w:eastAsia="黑体"/>
              <w:sz w:val="32"/>
              <w:szCs w:val="32"/>
            </w:rPr>
            <w:instrText xml:space="preserve"> PAGEREF _Toc207817635 \h </w:instrText>
          </w:r>
          <w:r>
            <w:rPr>
              <w:rFonts w:eastAsia="黑体"/>
              <w:sz w:val="32"/>
              <w:szCs w:val="32"/>
            </w:rPr>
            <w:fldChar w:fldCharType="separate"/>
          </w:r>
          <w:r>
            <w:rPr>
              <w:rFonts w:eastAsia="黑体"/>
              <w:sz w:val="32"/>
              <w:szCs w:val="32"/>
            </w:rPr>
            <w:t>3</w:t>
          </w:r>
          <w:r>
            <w:rPr>
              <w:rFonts w:eastAsia="黑体"/>
              <w:sz w:val="32"/>
              <w:szCs w:val="32"/>
            </w:rPr>
            <w:fldChar w:fldCharType="end"/>
          </w:r>
          <w:r>
            <w:rPr>
              <w:rFonts w:eastAsia="黑体"/>
              <w:sz w:val="32"/>
              <w:szCs w:val="32"/>
            </w:rPr>
            <w:fldChar w:fldCharType="end"/>
          </w:r>
        </w:p>
        <w:p w14:paraId="37B406CE">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"_Toc207817636" </w:instrText>
          </w:r>
          <w:r>
            <w:fldChar w:fldCharType="separate"/>
          </w:r>
          <w:r>
            <w:rPr>
              <w:rStyle w:val="50"/>
              <w:rFonts w:eastAsia="楷体_GB2312"/>
              <w:bCs/>
              <w:sz w:val="32"/>
              <w:szCs w:val="32"/>
            </w:rPr>
            <w:t>2.1 兵团突发生态环境事件应急指挥部</w:t>
          </w:r>
          <w:r>
            <w:rPr>
              <w:sz w:val="32"/>
              <w:szCs w:val="32"/>
            </w:rPr>
            <w:tab/>
          </w:r>
          <w:r>
            <w:rPr>
              <w:sz w:val="32"/>
              <w:szCs w:val="32"/>
            </w:rPr>
            <w:fldChar w:fldCharType="begin"/>
          </w:r>
          <w:r>
            <w:rPr>
              <w:sz w:val="32"/>
              <w:szCs w:val="32"/>
            </w:rPr>
            <w:instrText xml:space="preserve"> PAGEREF _Toc207817636 \h </w:instrText>
          </w:r>
          <w:r>
            <w:rPr>
              <w:sz w:val="32"/>
              <w:szCs w:val="32"/>
            </w:rPr>
            <w:fldChar w:fldCharType="separate"/>
          </w:r>
          <w:r>
            <w:rPr>
              <w:sz w:val="32"/>
              <w:szCs w:val="32"/>
            </w:rPr>
            <w:t>3</w:t>
          </w:r>
          <w:r>
            <w:rPr>
              <w:sz w:val="32"/>
              <w:szCs w:val="32"/>
            </w:rPr>
            <w:fldChar w:fldCharType="end"/>
          </w:r>
          <w:r>
            <w:rPr>
              <w:sz w:val="32"/>
              <w:szCs w:val="32"/>
            </w:rPr>
            <w:fldChar w:fldCharType="end"/>
          </w:r>
        </w:p>
        <w:p w14:paraId="1075EF4C">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"_Toc207817637" </w:instrText>
          </w:r>
          <w:r>
            <w:fldChar w:fldCharType="separate"/>
          </w:r>
          <w:r>
            <w:rPr>
              <w:rStyle w:val="50"/>
              <w:rFonts w:eastAsia="楷体_GB2312"/>
              <w:bCs/>
              <w:sz w:val="32"/>
              <w:szCs w:val="32"/>
            </w:rPr>
            <w:t>2.2 师市生态环境事件应急指挥部</w:t>
          </w:r>
          <w:r>
            <w:rPr>
              <w:sz w:val="32"/>
              <w:szCs w:val="32"/>
            </w:rPr>
            <w:tab/>
          </w:r>
          <w:r>
            <w:rPr>
              <w:sz w:val="32"/>
              <w:szCs w:val="32"/>
            </w:rPr>
            <w:fldChar w:fldCharType="begin"/>
          </w:r>
          <w:r>
            <w:rPr>
              <w:sz w:val="32"/>
              <w:szCs w:val="32"/>
            </w:rPr>
            <w:instrText xml:space="preserve"> PAGEREF _Toc207817637 \h </w:instrText>
          </w:r>
          <w:r>
            <w:rPr>
              <w:sz w:val="32"/>
              <w:szCs w:val="32"/>
            </w:rPr>
            <w:fldChar w:fldCharType="separate"/>
          </w:r>
          <w:r>
            <w:rPr>
              <w:sz w:val="32"/>
              <w:szCs w:val="32"/>
            </w:rPr>
            <w:t>4</w:t>
          </w:r>
          <w:r>
            <w:rPr>
              <w:sz w:val="32"/>
              <w:szCs w:val="32"/>
            </w:rPr>
            <w:fldChar w:fldCharType="end"/>
          </w:r>
          <w:r>
            <w:rPr>
              <w:sz w:val="32"/>
              <w:szCs w:val="32"/>
            </w:rPr>
            <w:fldChar w:fldCharType="end"/>
          </w:r>
        </w:p>
        <w:p w14:paraId="1769DDA6">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"_Toc207817638" </w:instrText>
          </w:r>
          <w:r>
            <w:fldChar w:fldCharType="separate"/>
          </w:r>
          <w:r>
            <w:rPr>
              <w:rStyle w:val="50"/>
              <w:rFonts w:eastAsia="楷体_GB2312"/>
              <w:bCs/>
              <w:sz w:val="32"/>
              <w:szCs w:val="32"/>
            </w:rPr>
            <w:t>2.3 现场应急指挥部</w:t>
          </w:r>
          <w:r>
            <w:rPr>
              <w:sz w:val="32"/>
              <w:szCs w:val="32"/>
            </w:rPr>
            <w:tab/>
          </w:r>
          <w:r>
            <w:rPr>
              <w:sz w:val="32"/>
              <w:szCs w:val="32"/>
            </w:rPr>
            <w:fldChar w:fldCharType="begin"/>
          </w:r>
          <w:r>
            <w:rPr>
              <w:sz w:val="32"/>
              <w:szCs w:val="32"/>
            </w:rPr>
            <w:instrText xml:space="preserve"> PAGEREF _Toc207817638 \h </w:instrText>
          </w:r>
          <w:r>
            <w:rPr>
              <w:sz w:val="32"/>
              <w:szCs w:val="32"/>
            </w:rPr>
            <w:fldChar w:fldCharType="separate"/>
          </w:r>
          <w:r>
            <w:rPr>
              <w:sz w:val="32"/>
              <w:szCs w:val="32"/>
            </w:rPr>
            <w:t>4</w:t>
          </w:r>
          <w:r>
            <w:rPr>
              <w:sz w:val="32"/>
              <w:szCs w:val="32"/>
            </w:rPr>
            <w:fldChar w:fldCharType="end"/>
          </w:r>
          <w:r>
            <w:rPr>
              <w:sz w:val="32"/>
              <w:szCs w:val="32"/>
            </w:rPr>
            <w:fldChar w:fldCharType="end"/>
          </w:r>
        </w:p>
        <w:p w14:paraId="5368F522">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"_Toc207817639" </w:instrText>
          </w:r>
          <w:r>
            <w:fldChar w:fldCharType="separate"/>
          </w:r>
          <w:r>
            <w:rPr>
              <w:rStyle w:val="50"/>
              <w:rFonts w:eastAsia="楷体_GB2312"/>
              <w:sz w:val="32"/>
              <w:szCs w:val="32"/>
            </w:rPr>
            <w:t>2.4 跨兵地突发生态环境事件应对</w:t>
          </w:r>
          <w:r>
            <w:rPr>
              <w:sz w:val="32"/>
              <w:szCs w:val="32"/>
            </w:rPr>
            <w:tab/>
          </w:r>
          <w:r>
            <w:rPr>
              <w:sz w:val="32"/>
              <w:szCs w:val="32"/>
            </w:rPr>
            <w:fldChar w:fldCharType="begin"/>
          </w:r>
          <w:r>
            <w:rPr>
              <w:sz w:val="32"/>
              <w:szCs w:val="32"/>
            </w:rPr>
            <w:instrText xml:space="preserve"> PAGEREF _Toc207817639 \h </w:instrText>
          </w:r>
          <w:r>
            <w:rPr>
              <w:sz w:val="32"/>
              <w:szCs w:val="32"/>
            </w:rPr>
            <w:fldChar w:fldCharType="separate"/>
          </w:r>
          <w:r>
            <w:rPr>
              <w:sz w:val="32"/>
              <w:szCs w:val="32"/>
            </w:rPr>
            <w:t>8</w:t>
          </w:r>
          <w:r>
            <w:rPr>
              <w:sz w:val="32"/>
              <w:szCs w:val="32"/>
            </w:rPr>
            <w:fldChar w:fldCharType="end"/>
          </w:r>
          <w:r>
            <w:rPr>
              <w:sz w:val="32"/>
              <w:szCs w:val="32"/>
            </w:rPr>
            <w:fldChar w:fldCharType="end"/>
          </w:r>
        </w:p>
        <w:p w14:paraId="7C90EC4B">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"_Toc207817640" </w:instrText>
          </w:r>
          <w:r>
            <w:fldChar w:fldCharType="separate"/>
          </w:r>
          <w:r>
            <w:rPr>
              <w:rStyle w:val="50"/>
              <w:rFonts w:eastAsia="楷体_GB2312"/>
              <w:sz w:val="32"/>
              <w:szCs w:val="32"/>
            </w:rPr>
            <w:t>2.5 跨省突发生态环境事件应对</w:t>
          </w:r>
          <w:r>
            <w:rPr>
              <w:sz w:val="32"/>
              <w:szCs w:val="32"/>
            </w:rPr>
            <w:tab/>
          </w:r>
          <w:r>
            <w:rPr>
              <w:sz w:val="32"/>
              <w:szCs w:val="32"/>
            </w:rPr>
            <w:fldChar w:fldCharType="begin"/>
          </w:r>
          <w:r>
            <w:rPr>
              <w:sz w:val="32"/>
              <w:szCs w:val="32"/>
            </w:rPr>
            <w:instrText xml:space="preserve"> PAGEREF _Toc207817640 \h </w:instrText>
          </w:r>
          <w:r>
            <w:rPr>
              <w:sz w:val="32"/>
              <w:szCs w:val="32"/>
            </w:rPr>
            <w:fldChar w:fldCharType="separate"/>
          </w:r>
          <w:r>
            <w:rPr>
              <w:sz w:val="32"/>
              <w:szCs w:val="32"/>
            </w:rPr>
            <w:t>8</w:t>
          </w:r>
          <w:r>
            <w:rPr>
              <w:sz w:val="32"/>
              <w:szCs w:val="32"/>
            </w:rPr>
            <w:fldChar w:fldCharType="end"/>
          </w:r>
          <w:r>
            <w:rPr>
              <w:sz w:val="32"/>
              <w:szCs w:val="32"/>
            </w:rPr>
            <w:fldChar w:fldCharType="end"/>
          </w:r>
        </w:p>
        <w:p w14:paraId="5EC5FC5E">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"_Toc207817641" </w:instrText>
          </w:r>
          <w:r>
            <w:fldChar w:fldCharType="separate"/>
          </w:r>
          <w:r>
            <w:rPr>
              <w:rStyle w:val="50"/>
              <w:rFonts w:eastAsia="楷体_GB2312"/>
              <w:sz w:val="32"/>
              <w:szCs w:val="32"/>
            </w:rPr>
            <w:t>2.6 跨国境突发生态环境事件应对</w:t>
          </w:r>
          <w:r>
            <w:rPr>
              <w:sz w:val="32"/>
              <w:szCs w:val="32"/>
            </w:rPr>
            <w:tab/>
          </w:r>
          <w:r>
            <w:rPr>
              <w:sz w:val="32"/>
              <w:szCs w:val="32"/>
            </w:rPr>
            <w:fldChar w:fldCharType="begin"/>
          </w:r>
          <w:r>
            <w:rPr>
              <w:sz w:val="32"/>
              <w:szCs w:val="32"/>
            </w:rPr>
            <w:instrText xml:space="preserve"> PAGEREF _Toc207817641 \h </w:instrText>
          </w:r>
          <w:r>
            <w:rPr>
              <w:sz w:val="32"/>
              <w:szCs w:val="32"/>
            </w:rPr>
            <w:fldChar w:fldCharType="separate"/>
          </w:r>
          <w:r>
            <w:rPr>
              <w:sz w:val="32"/>
              <w:szCs w:val="32"/>
            </w:rPr>
            <w:t>8</w:t>
          </w:r>
          <w:r>
            <w:rPr>
              <w:sz w:val="32"/>
              <w:szCs w:val="32"/>
            </w:rPr>
            <w:fldChar w:fldCharType="end"/>
          </w:r>
          <w:r>
            <w:rPr>
              <w:sz w:val="32"/>
              <w:szCs w:val="32"/>
            </w:rPr>
            <w:fldChar w:fldCharType="end"/>
          </w:r>
        </w:p>
        <w:p w14:paraId="6C6F9D8E">
          <w:pPr>
            <w:pStyle w:val="29"/>
            <w:tabs>
              <w:tab w:val="right" w:leader="dot" w:pos="8834"/>
            </w:tabs>
            <w:spacing w:line="520" w:lineRule="exact"/>
            <w:rPr>
              <w:rFonts w:eastAsia="黑体"/>
              <w:sz w:val="32"/>
              <w:szCs w:val="32"/>
              <w14:ligatures w14:val="standardContextual"/>
            </w:rPr>
          </w:pPr>
          <w:r>
            <w:fldChar w:fldCharType="begin"/>
          </w:r>
          <w:r>
            <w:instrText xml:space="preserve"> HYPERLINK \l "_Toc207817642" </w:instrText>
          </w:r>
          <w:r>
            <w:fldChar w:fldCharType="separate"/>
          </w:r>
          <w:r>
            <w:rPr>
              <w:rStyle w:val="50"/>
              <w:rFonts w:eastAsia="黑体"/>
              <w:sz w:val="32"/>
              <w:szCs w:val="32"/>
            </w:rPr>
            <w:t>3 预防、监测和预警</w:t>
          </w:r>
          <w:r>
            <w:rPr>
              <w:rFonts w:eastAsia="黑体"/>
              <w:sz w:val="32"/>
              <w:szCs w:val="32"/>
            </w:rPr>
            <w:tab/>
          </w:r>
          <w:r>
            <w:rPr>
              <w:rFonts w:eastAsia="黑体"/>
              <w:sz w:val="32"/>
              <w:szCs w:val="32"/>
            </w:rPr>
            <w:fldChar w:fldCharType="begin"/>
          </w:r>
          <w:r>
            <w:rPr>
              <w:rFonts w:eastAsia="黑体"/>
              <w:sz w:val="32"/>
              <w:szCs w:val="32"/>
            </w:rPr>
            <w:instrText xml:space="preserve"> PAGEREF _Toc207817642 \h </w:instrText>
          </w:r>
          <w:r>
            <w:rPr>
              <w:rFonts w:eastAsia="黑体"/>
              <w:sz w:val="32"/>
              <w:szCs w:val="32"/>
            </w:rPr>
            <w:fldChar w:fldCharType="separate"/>
          </w:r>
          <w:r>
            <w:rPr>
              <w:rFonts w:eastAsia="黑体"/>
              <w:sz w:val="32"/>
              <w:szCs w:val="32"/>
            </w:rPr>
            <w:t>9</w:t>
          </w:r>
          <w:r>
            <w:rPr>
              <w:rFonts w:eastAsia="黑体"/>
              <w:sz w:val="32"/>
              <w:szCs w:val="32"/>
            </w:rPr>
            <w:fldChar w:fldCharType="end"/>
          </w:r>
          <w:r>
            <w:rPr>
              <w:rFonts w:eastAsia="黑体"/>
              <w:sz w:val="32"/>
              <w:szCs w:val="32"/>
            </w:rPr>
            <w:fldChar w:fldCharType="end"/>
          </w:r>
        </w:p>
        <w:p w14:paraId="10FC30A6">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"_Toc207817643" </w:instrText>
          </w:r>
          <w:r>
            <w:fldChar w:fldCharType="separate"/>
          </w:r>
          <w:r>
            <w:rPr>
              <w:rStyle w:val="50"/>
              <w:rFonts w:eastAsia="楷体_GB2312"/>
              <w:sz w:val="32"/>
              <w:szCs w:val="32"/>
            </w:rPr>
            <w:t>3.1 预防</w:t>
          </w:r>
          <w:r>
            <w:rPr>
              <w:sz w:val="32"/>
              <w:szCs w:val="32"/>
            </w:rPr>
            <w:tab/>
          </w:r>
          <w:r>
            <w:rPr>
              <w:sz w:val="32"/>
              <w:szCs w:val="32"/>
            </w:rPr>
            <w:fldChar w:fldCharType="begin"/>
          </w:r>
          <w:r>
            <w:rPr>
              <w:sz w:val="32"/>
              <w:szCs w:val="32"/>
            </w:rPr>
            <w:instrText xml:space="preserve"> PAGEREF _Toc207817643 \h </w:instrText>
          </w:r>
          <w:r>
            <w:rPr>
              <w:sz w:val="32"/>
              <w:szCs w:val="32"/>
            </w:rPr>
            <w:fldChar w:fldCharType="separate"/>
          </w:r>
          <w:r>
            <w:rPr>
              <w:sz w:val="32"/>
              <w:szCs w:val="32"/>
            </w:rPr>
            <w:t>9</w:t>
          </w:r>
          <w:r>
            <w:rPr>
              <w:sz w:val="32"/>
              <w:szCs w:val="32"/>
            </w:rPr>
            <w:fldChar w:fldCharType="end"/>
          </w:r>
          <w:r>
            <w:rPr>
              <w:sz w:val="32"/>
              <w:szCs w:val="32"/>
            </w:rPr>
            <w:fldChar w:fldCharType="end"/>
          </w:r>
        </w:p>
        <w:p w14:paraId="35E2FEB0">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"_Toc207817644" </w:instrText>
          </w:r>
          <w:r>
            <w:fldChar w:fldCharType="separate"/>
          </w:r>
          <w:r>
            <w:rPr>
              <w:rStyle w:val="50"/>
              <w:rFonts w:eastAsia="楷体_GB2312"/>
              <w:sz w:val="32"/>
              <w:szCs w:val="32"/>
            </w:rPr>
            <w:t>3.2 监测和风险分析</w:t>
          </w:r>
          <w:r>
            <w:rPr>
              <w:sz w:val="32"/>
              <w:szCs w:val="32"/>
            </w:rPr>
            <w:tab/>
          </w:r>
          <w:r>
            <w:rPr>
              <w:sz w:val="32"/>
              <w:szCs w:val="32"/>
            </w:rPr>
            <w:fldChar w:fldCharType="begin"/>
          </w:r>
          <w:r>
            <w:rPr>
              <w:sz w:val="32"/>
              <w:szCs w:val="32"/>
            </w:rPr>
            <w:instrText xml:space="preserve"> PAGEREF _Toc207817644 \h </w:instrText>
          </w:r>
          <w:r>
            <w:rPr>
              <w:sz w:val="32"/>
              <w:szCs w:val="32"/>
            </w:rPr>
            <w:fldChar w:fldCharType="separate"/>
          </w:r>
          <w:r>
            <w:rPr>
              <w:sz w:val="32"/>
              <w:szCs w:val="32"/>
            </w:rPr>
            <w:t>9</w:t>
          </w:r>
          <w:r>
            <w:rPr>
              <w:sz w:val="32"/>
              <w:szCs w:val="32"/>
            </w:rPr>
            <w:fldChar w:fldCharType="end"/>
          </w:r>
          <w:r>
            <w:rPr>
              <w:sz w:val="32"/>
              <w:szCs w:val="32"/>
            </w:rPr>
            <w:fldChar w:fldCharType="end"/>
          </w:r>
        </w:p>
        <w:p w14:paraId="60516A1F">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"_Toc207817645" </w:instrText>
          </w:r>
          <w:r>
            <w:fldChar w:fldCharType="separate"/>
          </w:r>
          <w:r>
            <w:rPr>
              <w:rStyle w:val="50"/>
              <w:rFonts w:eastAsia="楷体_GB2312"/>
              <w:sz w:val="32"/>
              <w:szCs w:val="32"/>
            </w:rPr>
            <w:t>3.3 预警</w:t>
          </w:r>
          <w:r>
            <w:rPr>
              <w:sz w:val="32"/>
              <w:szCs w:val="32"/>
            </w:rPr>
            <w:tab/>
          </w:r>
          <w:r>
            <w:rPr>
              <w:sz w:val="32"/>
              <w:szCs w:val="32"/>
            </w:rPr>
            <w:fldChar w:fldCharType="begin"/>
          </w:r>
          <w:r>
            <w:rPr>
              <w:sz w:val="32"/>
              <w:szCs w:val="32"/>
            </w:rPr>
            <w:instrText xml:space="preserve"> PAGEREF _Toc207817645 \h </w:instrText>
          </w:r>
          <w:r>
            <w:rPr>
              <w:sz w:val="32"/>
              <w:szCs w:val="32"/>
            </w:rPr>
            <w:fldChar w:fldCharType="separate"/>
          </w:r>
          <w:r>
            <w:rPr>
              <w:sz w:val="32"/>
              <w:szCs w:val="32"/>
            </w:rPr>
            <w:t>10</w:t>
          </w:r>
          <w:r>
            <w:rPr>
              <w:sz w:val="32"/>
              <w:szCs w:val="32"/>
            </w:rPr>
            <w:fldChar w:fldCharType="end"/>
          </w:r>
          <w:r>
            <w:rPr>
              <w:sz w:val="32"/>
              <w:szCs w:val="32"/>
            </w:rPr>
            <w:fldChar w:fldCharType="end"/>
          </w:r>
        </w:p>
        <w:p w14:paraId="2E610C57">
          <w:pPr>
            <w:pStyle w:val="29"/>
            <w:tabs>
              <w:tab w:val="right" w:leader="dot" w:pos="8834"/>
            </w:tabs>
            <w:spacing w:line="520" w:lineRule="exact"/>
            <w:rPr>
              <w:rStyle w:val="50"/>
              <w:rFonts w:eastAsia="黑体"/>
              <w:sz w:val="32"/>
              <w:szCs w:val="32"/>
            </w:rPr>
          </w:pPr>
          <w:r>
            <w:fldChar w:fldCharType="begin"/>
          </w:r>
          <w:r>
            <w:instrText xml:space="preserve"> HYPERLINK \l "_Toc207817646" </w:instrText>
          </w:r>
          <w:r>
            <w:fldChar w:fldCharType="separate"/>
          </w:r>
          <w:r>
            <w:rPr>
              <w:rStyle w:val="50"/>
              <w:rFonts w:eastAsia="黑体"/>
              <w:sz w:val="32"/>
              <w:szCs w:val="32"/>
            </w:rPr>
            <w:t>4 信息报告与通报</w:t>
          </w:r>
          <w:r>
            <w:rPr>
              <w:rStyle w:val="50"/>
              <w:rFonts w:eastAsia="黑体"/>
              <w:sz w:val="32"/>
              <w:szCs w:val="32"/>
            </w:rPr>
            <w:tab/>
          </w:r>
          <w:r>
            <w:rPr>
              <w:rStyle w:val="50"/>
              <w:rFonts w:eastAsia="黑体"/>
              <w:sz w:val="32"/>
              <w:szCs w:val="32"/>
            </w:rPr>
            <w:fldChar w:fldCharType="begin"/>
          </w:r>
          <w:r>
            <w:rPr>
              <w:rStyle w:val="50"/>
              <w:rFonts w:eastAsia="黑体"/>
              <w:sz w:val="32"/>
              <w:szCs w:val="32"/>
            </w:rPr>
            <w:instrText xml:space="preserve"> PAGEREF _Toc207817646 \h </w:instrText>
          </w:r>
          <w:r>
            <w:rPr>
              <w:rStyle w:val="50"/>
              <w:rFonts w:eastAsia="黑体"/>
              <w:sz w:val="32"/>
              <w:szCs w:val="32"/>
            </w:rPr>
            <w:fldChar w:fldCharType="separate"/>
          </w:r>
          <w:r>
            <w:rPr>
              <w:rStyle w:val="50"/>
              <w:rFonts w:eastAsia="黑体"/>
              <w:sz w:val="32"/>
              <w:szCs w:val="32"/>
            </w:rPr>
            <w:t>11</w:t>
          </w:r>
          <w:r>
            <w:rPr>
              <w:rStyle w:val="50"/>
              <w:rFonts w:eastAsia="黑体"/>
              <w:sz w:val="32"/>
              <w:szCs w:val="32"/>
            </w:rPr>
            <w:fldChar w:fldCharType="end"/>
          </w:r>
          <w:r>
            <w:rPr>
              <w:rStyle w:val="50"/>
              <w:rFonts w:eastAsia="黑体"/>
              <w:sz w:val="32"/>
              <w:szCs w:val="32"/>
            </w:rPr>
            <w:fldChar w:fldCharType="end"/>
          </w:r>
        </w:p>
        <w:p w14:paraId="5C2340B8">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"_Toc207817647" </w:instrText>
          </w:r>
          <w:r>
            <w:fldChar w:fldCharType="separate"/>
          </w:r>
          <w:r>
            <w:rPr>
              <w:rStyle w:val="50"/>
              <w:rFonts w:eastAsia="楷体_GB2312"/>
              <w:sz w:val="32"/>
              <w:szCs w:val="32"/>
            </w:rPr>
            <w:t>4.1 报送主体</w:t>
          </w:r>
          <w:r>
            <w:rPr>
              <w:sz w:val="32"/>
              <w:szCs w:val="32"/>
            </w:rPr>
            <w:tab/>
          </w:r>
          <w:r>
            <w:rPr>
              <w:sz w:val="32"/>
              <w:szCs w:val="32"/>
            </w:rPr>
            <w:fldChar w:fldCharType="begin"/>
          </w:r>
          <w:r>
            <w:rPr>
              <w:sz w:val="32"/>
              <w:szCs w:val="32"/>
            </w:rPr>
            <w:instrText xml:space="preserve"> PAGEREF _Toc207817647 \h </w:instrText>
          </w:r>
          <w:r>
            <w:rPr>
              <w:sz w:val="32"/>
              <w:szCs w:val="32"/>
            </w:rPr>
            <w:fldChar w:fldCharType="separate"/>
          </w:r>
          <w:r>
            <w:rPr>
              <w:sz w:val="32"/>
              <w:szCs w:val="32"/>
            </w:rPr>
            <w:t>11</w:t>
          </w:r>
          <w:r>
            <w:rPr>
              <w:sz w:val="32"/>
              <w:szCs w:val="32"/>
            </w:rPr>
            <w:fldChar w:fldCharType="end"/>
          </w:r>
          <w:r>
            <w:rPr>
              <w:sz w:val="32"/>
              <w:szCs w:val="32"/>
            </w:rPr>
            <w:fldChar w:fldCharType="end"/>
          </w:r>
        </w:p>
        <w:p w14:paraId="4F76A7E3">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"_Toc207817648" </w:instrText>
          </w:r>
          <w:r>
            <w:fldChar w:fldCharType="separate"/>
          </w:r>
          <w:r>
            <w:rPr>
              <w:rStyle w:val="50"/>
              <w:rFonts w:eastAsia="楷体_GB2312"/>
              <w:sz w:val="32"/>
              <w:szCs w:val="32"/>
            </w:rPr>
            <w:t>4.2 报送时效</w:t>
          </w:r>
          <w:r>
            <w:rPr>
              <w:sz w:val="32"/>
              <w:szCs w:val="32"/>
            </w:rPr>
            <w:tab/>
          </w:r>
          <w:r>
            <w:rPr>
              <w:sz w:val="32"/>
              <w:szCs w:val="32"/>
            </w:rPr>
            <w:fldChar w:fldCharType="begin"/>
          </w:r>
          <w:r>
            <w:rPr>
              <w:sz w:val="32"/>
              <w:szCs w:val="32"/>
            </w:rPr>
            <w:instrText xml:space="preserve"> PAGEREF _Toc207817648 \h </w:instrText>
          </w:r>
          <w:r>
            <w:rPr>
              <w:sz w:val="32"/>
              <w:szCs w:val="32"/>
            </w:rPr>
            <w:fldChar w:fldCharType="separate"/>
          </w:r>
          <w:r>
            <w:rPr>
              <w:sz w:val="32"/>
              <w:szCs w:val="32"/>
            </w:rPr>
            <w:t>11</w:t>
          </w:r>
          <w:r>
            <w:rPr>
              <w:sz w:val="32"/>
              <w:szCs w:val="32"/>
            </w:rPr>
            <w:fldChar w:fldCharType="end"/>
          </w:r>
          <w:r>
            <w:rPr>
              <w:sz w:val="32"/>
              <w:szCs w:val="32"/>
            </w:rPr>
            <w:fldChar w:fldCharType="end"/>
          </w:r>
        </w:p>
        <w:p w14:paraId="16138F87">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"_Toc207817649" </w:instrText>
          </w:r>
          <w:r>
            <w:fldChar w:fldCharType="separate"/>
          </w:r>
          <w:r>
            <w:rPr>
              <w:rStyle w:val="50"/>
              <w:rFonts w:eastAsia="楷体_GB2312"/>
              <w:sz w:val="32"/>
              <w:szCs w:val="32"/>
            </w:rPr>
            <w:t>4.3 报告内容</w:t>
          </w:r>
          <w:r>
            <w:rPr>
              <w:sz w:val="32"/>
              <w:szCs w:val="32"/>
            </w:rPr>
            <w:tab/>
          </w:r>
          <w:r>
            <w:rPr>
              <w:sz w:val="32"/>
              <w:szCs w:val="32"/>
            </w:rPr>
            <w:fldChar w:fldCharType="begin"/>
          </w:r>
          <w:r>
            <w:rPr>
              <w:sz w:val="32"/>
              <w:szCs w:val="32"/>
            </w:rPr>
            <w:instrText xml:space="preserve"> PAGEREF _Toc207817649 \h </w:instrText>
          </w:r>
          <w:r>
            <w:rPr>
              <w:sz w:val="32"/>
              <w:szCs w:val="32"/>
            </w:rPr>
            <w:fldChar w:fldCharType="separate"/>
          </w:r>
          <w:r>
            <w:rPr>
              <w:sz w:val="32"/>
              <w:szCs w:val="32"/>
            </w:rPr>
            <w:t>12</w:t>
          </w:r>
          <w:r>
            <w:rPr>
              <w:sz w:val="32"/>
              <w:szCs w:val="32"/>
            </w:rPr>
            <w:fldChar w:fldCharType="end"/>
          </w:r>
          <w:r>
            <w:rPr>
              <w:sz w:val="32"/>
              <w:szCs w:val="32"/>
            </w:rPr>
            <w:fldChar w:fldCharType="end"/>
          </w:r>
        </w:p>
        <w:p w14:paraId="0775DC47">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"_Toc207817650" </w:instrText>
          </w:r>
          <w:r>
            <w:fldChar w:fldCharType="separate"/>
          </w:r>
          <w:r>
            <w:rPr>
              <w:rStyle w:val="50"/>
              <w:rFonts w:eastAsia="楷体_GB2312"/>
              <w:sz w:val="32"/>
              <w:szCs w:val="32"/>
            </w:rPr>
            <w:t>4.4 信息通报</w:t>
          </w:r>
          <w:r>
            <w:rPr>
              <w:sz w:val="32"/>
              <w:szCs w:val="32"/>
            </w:rPr>
            <w:tab/>
          </w:r>
          <w:r>
            <w:rPr>
              <w:sz w:val="32"/>
              <w:szCs w:val="32"/>
            </w:rPr>
            <w:fldChar w:fldCharType="begin"/>
          </w:r>
          <w:r>
            <w:rPr>
              <w:sz w:val="32"/>
              <w:szCs w:val="32"/>
            </w:rPr>
            <w:instrText xml:space="preserve"> PAGEREF _Toc207817650 \h </w:instrText>
          </w:r>
          <w:r>
            <w:rPr>
              <w:sz w:val="32"/>
              <w:szCs w:val="32"/>
            </w:rPr>
            <w:fldChar w:fldCharType="separate"/>
          </w:r>
          <w:r>
            <w:rPr>
              <w:sz w:val="32"/>
              <w:szCs w:val="32"/>
            </w:rPr>
            <w:t>12</w:t>
          </w:r>
          <w:r>
            <w:rPr>
              <w:sz w:val="32"/>
              <w:szCs w:val="32"/>
            </w:rPr>
            <w:fldChar w:fldCharType="end"/>
          </w:r>
          <w:r>
            <w:rPr>
              <w:sz w:val="32"/>
              <w:szCs w:val="32"/>
            </w:rPr>
            <w:fldChar w:fldCharType="end"/>
          </w:r>
        </w:p>
        <w:p w14:paraId="4F90460A">
          <w:pPr>
            <w:pStyle w:val="29"/>
            <w:tabs>
              <w:tab w:val="right" w:leader="dot" w:pos="8834"/>
            </w:tabs>
            <w:spacing w:line="520" w:lineRule="exact"/>
            <w:rPr>
              <w:rStyle w:val="50"/>
              <w:rFonts w:eastAsia="黑体"/>
              <w:sz w:val="32"/>
              <w:szCs w:val="32"/>
            </w:rPr>
          </w:pPr>
          <w:r>
            <w:fldChar w:fldCharType="begin"/>
          </w:r>
          <w:r>
            <w:instrText xml:space="preserve"> HYPERLINK \l "_Toc207817651" </w:instrText>
          </w:r>
          <w:r>
            <w:fldChar w:fldCharType="separate"/>
          </w:r>
          <w:r>
            <w:rPr>
              <w:rStyle w:val="50"/>
              <w:rFonts w:eastAsia="黑体"/>
              <w:sz w:val="32"/>
              <w:szCs w:val="32"/>
            </w:rPr>
            <w:t>5 应急响应</w:t>
          </w:r>
          <w:r>
            <w:rPr>
              <w:rStyle w:val="50"/>
              <w:rFonts w:eastAsia="黑体"/>
              <w:sz w:val="32"/>
              <w:szCs w:val="32"/>
            </w:rPr>
            <w:tab/>
          </w:r>
          <w:r>
            <w:rPr>
              <w:rStyle w:val="50"/>
              <w:rFonts w:eastAsia="黑体"/>
              <w:sz w:val="32"/>
              <w:szCs w:val="32"/>
            </w:rPr>
            <w:fldChar w:fldCharType="begin"/>
          </w:r>
          <w:r>
            <w:rPr>
              <w:rStyle w:val="50"/>
              <w:rFonts w:eastAsia="黑体"/>
              <w:sz w:val="32"/>
              <w:szCs w:val="32"/>
            </w:rPr>
            <w:instrText xml:space="preserve"> PAGEREF _Toc207817651 \h </w:instrText>
          </w:r>
          <w:r>
            <w:rPr>
              <w:rStyle w:val="50"/>
              <w:rFonts w:eastAsia="黑体"/>
              <w:sz w:val="32"/>
              <w:szCs w:val="32"/>
            </w:rPr>
            <w:fldChar w:fldCharType="separate"/>
          </w:r>
          <w:r>
            <w:rPr>
              <w:rStyle w:val="50"/>
              <w:rFonts w:eastAsia="黑体"/>
              <w:sz w:val="32"/>
              <w:szCs w:val="32"/>
            </w:rPr>
            <w:t>13</w:t>
          </w:r>
          <w:r>
            <w:rPr>
              <w:rStyle w:val="50"/>
              <w:rFonts w:eastAsia="黑体"/>
              <w:sz w:val="32"/>
              <w:szCs w:val="32"/>
            </w:rPr>
            <w:fldChar w:fldCharType="end"/>
          </w:r>
          <w:r>
            <w:rPr>
              <w:rStyle w:val="50"/>
              <w:rFonts w:eastAsia="黑体"/>
              <w:sz w:val="32"/>
              <w:szCs w:val="32"/>
            </w:rPr>
            <w:fldChar w:fldCharType="end"/>
          </w:r>
        </w:p>
        <w:p w14:paraId="6CDBDAF3">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"_Toc207817652" </w:instrText>
          </w:r>
          <w:r>
            <w:fldChar w:fldCharType="separate"/>
          </w:r>
          <w:r>
            <w:rPr>
              <w:rStyle w:val="50"/>
              <w:rFonts w:eastAsia="楷体_GB2312"/>
              <w:sz w:val="32"/>
              <w:szCs w:val="32"/>
            </w:rPr>
            <w:t>5.1 先期处置</w:t>
          </w:r>
          <w:r>
            <w:rPr>
              <w:sz w:val="32"/>
              <w:szCs w:val="32"/>
            </w:rPr>
            <w:tab/>
          </w:r>
          <w:r>
            <w:rPr>
              <w:sz w:val="32"/>
              <w:szCs w:val="32"/>
            </w:rPr>
            <w:fldChar w:fldCharType="begin"/>
          </w:r>
          <w:r>
            <w:rPr>
              <w:sz w:val="32"/>
              <w:szCs w:val="32"/>
            </w:rPr>
            <w:instrText xml:space="preserve"> PAGEREF _Toc207817652 \h </w:instrText>
          </w:r>
          <w:r>
            <w:rPr>
              <w:sz w:val="32"/>
              <w:szCs w:val="32"/>
            </w:rPr>
            <w:fldChar w:fldCharType="separate"/>
          </w:r>
          <w:r>
            <w:rPr>
              <w:sz w:val="32"/>
              <w:szCs w:val="32"/>
            </w:rPr>
            <w:t>13</w:t>
          </w:r>
          <w:r>
            <w:rPr>
              <w:sz w:val="32"/>
              <w:szCs w:val="32"/>
            </w:rPr>
            <w:fldChar w:fldCharType="end"/>
          </w:r>
          <w:r>
            <w:rPr>
              <w:sz w:val="32"/>
              <w:szCs w:val="32"/>
            </w:rPr>
            <w:fldChar w:fldCharType="end"/>
          </w:r>
        </w:p>
        <w:p w14:paraId="496B9D01">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"_Toc207817653" </w:instrText>
          </w:r>
          <w:r>
            <w:fldChar w:fldCharType="separate"/>
          </w:r>
          <w:r>
            <w:rPr>
              <w:rStyle w:val="50"/>
              <w:rFonts w:eastAsia="楷体_GB2312"/>
              <w:sz w:val="32"/>
              <w:szCs w:val="32"/>
            </w:rPr>
            <w:t>5.2 响应分级</w:t>
          </w:r>
          <w:r>
            <w:rPr>
              <w:sz w:val="32"/>
              <w:szCs w:val="32"/>
            </w:rPr>
            <w:tab/>
          </w:r>
          <w:r>
            <w:rPr>
              <w:sz w:val="32"/>
              <w:szCs w:val="32"/>
            </w:rPr>
            <w:fldChar w:fldCharType="begin"/>
          </w:r>
          <w:r>
            <w:rPr>
              <w:sz w:val="32"/>
              <w:szCs w:val="32"/>
            </w:rPr>
            <w:instrText xml:space="preserve"> PAGEREF _Toc207817653 \h </w:instrText>
          </w:r>
          <w:r>
            <w:rPr>
              <w:sz w:val="32"/>
              <w:szCs w:val="32"/>
            </w:rPr>
            <w:fldChar w:fldCharType="separate"/>
          </w:r>
          <w:r>
            <w:rPr>
              <w:sz w:val="32"/>
              <w:szCs w:val="32"/>
            </w:rPr>
            <w:t>13</w:t>
          </w:r>
          <w:r>
            <w:rPr>
              <w:sz w:val="32"/>
              <w:szCs w:val="32"/>
            </w:rPr>
            <w:fldChar w:fldCharType="end"/>
          </w:r>
          <w:r>
            <w:rPr>
              <w:sz w:val="32"/>
              <w:szCs w:val="32"/>
            </w:rPr>
            <w:fldChar w:fldCharType="end"/>
          </w:r>
        </w:p>
        <w:p w14:paraId="40730B9A">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"_Toc207817654" </w:instrText>
          </w:r>
          <w:r>
            <w:fldChar w:fldCharType="separate"/>
          </w:r>
          <w:r>
            <w:rPr>
              <w:rStyle w:val="50"/>
              <w:rFonts w:eastAsia="仿宋_GB2312"/>
              <w:sz w:val="32"/>
              <w:szCs w:val="32"/>
            </w:rPr>
            <w:t>5.3 响应措施</w:t>
          </w:r>
          <w:r>
            <w:rPr>
              <w:sz w:val="32"/>
              <w:szCs w:val="32"/>
            </w:rPr>
            <w:tab/>
          </w:r>
          <w:r>
            <w:rPr>
              <w:sz w:val="32"/>
              <w:szCs w:val="32"/>
            </w:rPr>
            <w:fldChar w:fldCharType="begin"/>
          </w:r>
          <w:r>
            <w:rPr>
              <w:sz w:val="32"/>
              <w:szCs w:val="32"/>
            </w:rPr>
            <w:instrText xml:space="preserve"> PAGEREF _Toc207817654 \h </w:instrText>
          </w:r>
          <w:r>
            <w:rPr>
              <w:sz w:val="32"/>
              <w:szCs w:val="32"/>
            </w:rPr>
            <w:fldChar w:fldCharType="separate"/>
          </w:r>
          <w:r>
            <w:rPr>
              <w:sz w:val="32"/>
              <w:szCs w:val="32"/>
            </w:rPr>
            <w:t>16</w:t>
          </w:r>
          <w:r>
            <w:rPr>
              <w:sz w:val="32"/>
              <w:szCs w:val="32"/>
            </w:rPr>
            <w:fldChar w:fldCharType="end"/>
          </w:r>
          <w:r>
            <w:rPr>
              <w:sz w:val="32"/>
              <w:szCs w:val="32"/>
            </w:rPr>
            <w:fldChar w:fldCharType="end"/>
          </w:r>
        </w:p>
        <w:p w14:paraId="1890DD6D">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"_Toc207817655" </w:instrText>
          </w:r>
          <w:r>
            <w:fldChar w:fldCharType="separate"/>
          </w:r>
          <w:r>
            <w:rPr>
              <w:rStyle w:val="50"/>
              <w:rFonts w:eastAsia="楷体_GB2312"/>
              <w:sz w:val="32"/>
              <w:szCs w:val="32"/>
            </w:rPr>
            <w:t>5.4 响应终止</w:t>
          </w:r>
          <w:r>
            <w:rPr>
              <w:sz w:val="32"/>
              <w:szCs w:val="32"/>
            </w:rPr>
            <w:tab/>
          </w:r>
          <w:r>
            <w:rPr>
              <w:sz w:val="32"/>
              <w:szCs w:val="32"/>
            </w:rPr>
            <w:fldChar w:fldCharType="begin"/>
          </w:r>
          <w:r>
            <w:rPr>
              <w:sz w:val="32"/>
              <w:szCs w:val="32"/>
            </w:rPr>
            <w:instrText xml:space="preserve"> PAGEREF _Toc207817655 \h </w:instrText>
          </w:r>
          <w:r>
            <w:rPr>
              <w:sz w:val="32"/>
              <w:szCs w:val="32"/>
            </w:rPr>
            <w:fldChar w:fldCharType="separate"/>
          </w:r>
          <w:r>
            <w:rPr>
              <w:sz w:val="32"/>
              <w:szCs w:val="32"/>
            </w:rPr>
            <w:t>19</w:t>
          </w:r>
          <w:r>
            <w:rPr>
              <w:sz w:val="32"/>
              <w:szCs w:val="32"/>
            </w:rPr>
            <w:fldChar w:fldCharType="end"/>
          </w:r>
          <w:r>
            <w:rPr>
              <w:sz w:val="32"/>
              <w:szCs w:val="32"/>
            </w:rPr>
            <w:fldChar w:fldCharType="end"/>
          </w:r>
        </w:p>
        <w:p w14:paraId="088B6735">
          <w:pPr>
            <w:pStyle w:val="29"/>
            <w:tabs>
              <w:tab w:val="right" w:leader="dot" w:pos="8834"/>
            </w:tabs>
            <w:spacing w:line="520" w:lineRule="exact"/>
            <w:rPr>
              <w:rStyle w:val="50"/>
              <w:rFonts w:eastAsia="黑体"/>
              <w:sz w:val="32"/>
              <w:szCs w:val="32"/>
            </w:rPr>
          </w:pPr>
          <w:r>
            <w:fldChar w:fldCharType="begin"/>
          </w:r>
          <w:r>
            <w:instrText xml:space="preserve"> HYPERLINK \l "_Toc207817656" </w:instrText>
          </w:r>
          <w:r>
            <w:fldChar w:fldCharType="separate"/>
          </w:r>
          <w:r>
            <w:rPr>
              <w:rStyle w:val="50"/>
              <w:rFonts w:eastAsia="黑体"/>
              <w:sz w:val="32"/>
              <w:szCs w:val="32"/>
            </w:rPr>
            <w:t>6 后期工作</w:t>
          </w:r>
          <w:r>
            <w:rPr>
              <w:rStyle w:val="50"/>
              <w:rFonts w:eastAsia="黑体"/>
              <w:sz w:val="32"/>
              <w:szCs w:val="32"/>
            </w:rPr>
            <w:tab/>
          </w:r>
          <w:r>
            <w:rPr>
              <w:rStyle w:val="50"/>
              <w:rFonts w:eastAsia="黑体"/>
              <w:sz w:val="32"/>
              <w:szCs w:val="32"/>
            </w:rPr>
            <w:fldChar w:fldCharType="begin"/>
          </w:r>
          <w:r>
            <w:rPr>
              <w:rStyle w:val="50"/>
              <w:rFonts w:eastAsia="黑体"/>
              <w:sz w:val="32"/>
              <w:szCs w:val="32"/>
            </w:rPr>
            <w:instrText xml:space="preserve"> PAGEREF _Toc207817656 \h </w:instrText>
          </w:r>
          <w:r>
            <w:rPr>
              <w:rStyle w:val="50"/>
              <w:rFonts w:eastAsia="黑体"/>
              <w:sz w:val="32"/>
              <w:szCs w:val="32"/>
            </w:rPr>
            <w:fldChar w:fldCharType="separate"/>
          </w:r>
          <w:r>
            <w:rPr>
              <w:rStyle w:val="50"/>
              <w:rFonts w:eastAsia="黑体"/>
              <w:sz w:val="32"/>
              <w:szCs w:val="32"/>
            </w:rPr>
            <w:t>20</w:t>
          </w:r>
          <w:r>
            <w:rPr>
              <w:rStyle w:val="50"/>
              <w:rFonts w:eastAsia="黑体"/>
              <w:sz w:val="32"/>
              <w:szCs w:val="32"/>
            </w:rPr>
            <w:fldChar w:fldCharType="end"/>
          </w:r>
          <w:r>
            <w:rPr>
              <w:rStyle w:val="50"/>
              <w:rFonts w:eastAsia="黑体"/>
              <w:sz w:val="32"/>
              <w:szCs w:val="32"/>
            </w:rPr>
            <w:fldChar w:fldCharType="end"/>
          </w:r>
        </w:p>
        <w:p w14:paraId="6703101A">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"_Toc207817657" </w:instrText>
          </w:r>
          <w:r>
            <w:fldChar w:fldCharType="separate"/>
          </w:r>
          <w:r>
            <w:rPr>
              <w:rStyle w:val="50"/>
              <w:rFonts w:eastAsia="楷体_GB2312"/>
              <w:sz w:val="32"/>
              <w:szCs w:val="32"/>
            </w:rPr>
            <w:t>6.1 损害评估</w:t>
          </w:r>
          <w:r>
            <w:rPr>
              <w:sz w:val="32"/>
              <w:szCs w:val="32"/>
            </w:rPr>
            <w:tab/>
          </w:r>
          <w:r>
            <w:rPr>
              <w:sz w:val="32"/>
              <w:szCs w:val="32"/>
            </w:rPr>
            <w:fldChar w:fldCharType="begin"/>
          </w:r>
          <w:r>
            <w:rPr>
              <w:sz w:val="32"/>
              <w:szCs w:val="32"/>
            </w:rPr>
            <w:instrText xml:space="preserve"> PAGEREF _Toc207817657 \h </w:instrText>
          </w:r>
          <w:r>
            <w:rPr>
              <w:sz w:val="32"/>
              <w:szCs w:val="32"/>
            </w:rPr>
            <w:fldChar w:fldCharType="separate"/>
          </w:r>
          <w:r>
            <w:rPr>
              <w:sz w:val="32"/>
              <w:szCs w:val="32"/>
            </w:rPr>
            <w:t>20</w:t>
          </w:r>
          <w:r>
            <w:rPr>
              <w:sz w:val="32"/>
              <w:szCs w:val="32"/>
            </w:rPr>
            <w:fldChar w:fldCharType="end"/>
          </w:r>
          <w:r>
            <w:rPr>
              <w:sz w:val="32"/>
              <w:szCs w:val="32"/>
            </w:rPr>
            <w:fldChar w:fldCharType="end"/>
          </w:r>
        </w:p>
        <w:p w14:paraId="7B8DA9F5">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"_Toc207817658" </w:instrText>
          </w:r>
          <w:r>
            <w:fldChar w:fldCharType="separate"/>
          </w:r>
          <w:r>
            <w:rPr>
              <w:rStyle w:val="50"/>
              <w:rFonts w:eastAsia="楷体_GB2312"/>
              <w:sz w:val="32"/>
              <w:szCs w:val="32"/>
            </w:rPr>
            <w:t>6.2 事件调查</w:t>
          </w:r>
          <w:r>
            <w:rPr>
              <w:sz w:val="32"/>
              <w:szCs w:val="32"/>
            </w:rPr>
            <w:tab/>
          </w:r>
          <w:r>
            <w:rPr>
              <w:sz w:val="32"/>
              <w:szCs w:val="32"/>
            </w:rPr>
            <w:fldChar w:fldCharType="begin"/>
          </w:r>
          <w:r>
            <w:rPr>
              <w:sz w:val="32"/>
              <w:szCs w:val="32"/>
            </w:rPr>
            <w:instrText xml:space="preserve"> PAGEREF _Toc207817658 \h </w:instrText>
          </w:r>
          <w:r>
            <w:rPr>
              <w:sz w:val="32"/>
              <w:szCs w:val="32"/>
            </w:rPr>
            <w:fldChar w:fldCharType="separate"/>
          </w:r>
          <w:r>
            <w:rPr>
              <w:sz w:val="32"/>
              <w:szCs w:val="32"/>
            </w:rPr>
            <w:t>20</w:t>
          </w:r>
          <w:r>
            <w:rPr>
              <w:sz w:val="32"/>
              <w:szCs w:val="32"/>
            </w:rPr>
            <w:fldChar w:fldCharType="end"/>
          </w:r>
          <w:r>
            <w:rPr>
              <w:sz w:val="32"/>
              <w:szCs w:val="32"/>
            </w:rPr>
            <w:fldChar w:fldCharType="end"/>
          </w:r>
        </w:p>
        <w:p w14:paraId="04BE0728">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"_Toc207817659" </w:instrText>
          </w:r>
          <w:r>
            <w:fldChar w:fldCharType="separate"/>
          </w:r>
          <w:r>
            <w:rPr>
              <w:rStyle w:val="50"/>
              <w:rFonts w:eastAsia="楷体_GB2312"/>
              <w:sz w:val="32"/>
              <w:szCs w:val="32"/>
            </w:rPr>
            <w:t>6.3 善后处置</w:t>
          </w:r>
          <w:r>
            <w:rPr>
              <w:sz w:val="32"/>
              <w:szCs w:val="32"/>
            </w:rPr>
            <w:tab/>
          </w:r>
          <w:r>
            <w:rPr>
              <w:sz w:val="32"/>
              <w:szCs w:val="32"/>
            </w:rPr>
            <w:fldChar w:fldCharType="begin"/>
          </w:r>
          <w:r>
            <w:rPr>
              <w:sz w:val="32"/>
              <w:szCs w:val="32"/>
            </w:rPr>
            <w:instrText xml:space="preserve"> PAGEREF _Toc207817659 \h </w:instrText>
          </w:r>
          <w:r>
            <w:rPr>
              <w:sz w:val="32"/>
              <w:szCs w:val="32"/>
            </w:rPr>
            <w:fldChar w:fldCharType="separate"/>
          </w:r>
          <w:r>
            <w:rPr>
              <w:sz w:val="32"/>
              <w:szCs w:val="32"/>
            </w:rPr>
            <w:t>20</w:t>
          </w:r>
          <w:r>
            <w:rPr>
              <w:sz w:val="32"/>
              <w:szCs w:val="32"/>
            </w:rPr>
            <w:fldChar w:fldCharType="end"/>
          </w:r>
          <w:r>
            <w:rPr>
              <w:sz w:val="32"/>
              <w:szCs w:val="32"/>
            </w:rPr>
            <w:fldChar w:fldCharType="end"/>
          </w:r>
        </w:p>
        <w:p w14:paraId="0925336B">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"_Toc207817660" </w:instrText>
          </w:r>
          <w:r>
            <w:fldChar w:fldCharType="separate"/>
          </w:r>
          <w:r>
            <w:rPr>
              <w:rStyle w:val="50"/>
              <w:rFonts w:eastAsia="楷体_GB2312"/>
              <w:sz w:val="32"/>
              <w:szCs w:val="32"/>
            </w:rPr>
            <w:t>6.5 汇总分析</w:t>
          </w:r>
          <w:r>
            <w:rPr>
              <w:sz w:val="32"/>
              <w:szCs w:val="32"/>
            </w:rPr>
            <w:tab/>
          </w:r>
          <w:r>
            <w:rPr>
              <w:sz w:val="32"/>
              <w:szCs w:val="32"/>
            </w:rPr>
            <w:fldChar w:fldCharType="begin"/>
          </w:r>
          <w:r>
            <w:rPr>
              <w:sz w:val="32"/>
              <w:szCs w:val="32"/>
            </w:rPr>
            <w:instrText xml:space="preserve"> PAGEREF _Toc207817660 \h </w:instrText>
          </w:r>
          <w:r>
            <w:rPr>
              <w:sz w:val="32"/>
              <w:szCs w:val="32"/>
            </w:rPr>
            <w:fldChar w:fldCharType="separate"/>
          </w:r>
          <w:r>
            <w:rPr>
              <w:sz w:val="32"/>
              <w:szCs w:val="32"/>
            </w:rPr>
            <w:t>21</w:t>
          </w:r>
          <w:r>
            <w:rPr>
              <w:sz w:val="32"/>
              <w:szCs w:val="32"/>
            </w:rPr>
            <w:fldChar w:fldCharType="end"/>
          </w:r>
          <w:r>
            <w:rPr>
              <w:sz w:val="32"/>
              <w:szCs w:val="32"/>
            </w:rPr>
            <w:fldChar w:fldCharType="end"/>
          </w:r>
        </w:p>
        <w:p w14:paraId="733257F3">
          <w:pPr>
            <w:pStyle w:val="29"/>
            <w:tabs>
              <w:tab w:val="right" w:leader="dot" w:pos="8834"/>
            </w:tabs>
            <w:spacing w:line="520" w:lineRule="exact"/>
            <w:rPr>
              <w:rStyle w:val="50"/>
              <w:rFonts w:eastAsia="黑体"/>
              <w:sz w:val="32"/>
              <w:szCs w:val="32"/>
            </w:rPr>
          </w:pPr>
          <w:r>
            <w:fldChar w:fldCharType="begin"/>
          </w:r>
          <w:r>
            <w:instrText xml:space="preserve"> HYPERLINK \l "_Toc207817661" </w:instrText>
          </w:r>
          <w:r>
            <w:fldChar w:fldCharType="separate"/>
          </w:r>
          <w:r>
            <w:rPr>
              <w:rStyle w:val="50"/>
              <w:rFonts w:eastAsia="黑体"/>
              <w:sz w:val="32"/>
              <w:szCs w:val="32"/>
            </w:rPr>
            <w:t>7 应急保障</w:t>
          </w:r>
          <w:r>
            <w:rPr>
              <w:rStyle w:val="50"/>
              <w:rFonts w:eastAsia="黑体"/>
              <w:sz w:val="32"/>
              <w:szCs w:val="32"/>
            </w:rPr>
            <w:tab/>
          </w:r>
          <w:r>
            <w:rPr>
              <w:rStyle w:val="50"/>
              <w:rFonts w:eastAsia="黑体"/>
              <w:sz w:val="32"/>
              <w:szCs w:val="32"/>
            </w:rPr>
            <w:fldChar w:fldCharType="begin"/>
          </w:r>
          <w:r>
            <w:rPr>
              <w:rStyle w:val="50"/>
              <w:rFonts w:eastAsia="黑体"/>
              <w:sz w:val="32"/>
              <w:szCs w:val="32"/>
            </w:rPr>
            <w:instrText xml:space="preserve"> PAGEREF _Toc207817661 \h </w:instrText>
          </w:r>
          <w:r>
            <w:rPr>
              <w:rStyle w:val="50"/>
              <w:rFonts w:eastAsia="黑体"/>
              <w:sz w:val="32"/>
              <w:szCs w:val="32"/>
            </w:rPr>
            <w:fldChar w:fldCharType="separate"/>
          </w:r>
          <w:r>
            <w:rPr>
              <w:rStyle w:val="50"/>
              <w:rFonts w:eastAsia="黑体"/>
              <w:sz w:val="32"/>
              <w:szCs w:val="32"/>
            </w:rPr>
            <w:t>21</w:t>
          </w:r>
          <w:r>
            <w:rPr>
              <w:rStyle w:val="50"/>
              <w:rFonts w:eastAsia="黑体"/>
              <w:sz w:val="32"/>
              <w:szCs w:val="32"/>
            </w:rPr>
            <w:fldChar w:fldCharType="end"/>
          </w:r>
          <w:r>
            <w:rPr>
              <w:rStyle w:val="50"/>
              <w:rFonts w:eastAsia="黑体"/>
              <w:sz w:val="32"/>
              <w:szCs w:val="32"/>
            </w:rPr>
            <w:fldChar w:fldCharType="end"/>
          </w:r>
        </w:p>
        <w:p w14:paraId="6D64FB70">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"_Toc207817662" </w:instrText>
          </w:r>
          <w:r>
            <w:fldChar w:fldCharType="separate"/>
          </w:r>
          <w:r>
            <w:rPr>
              <w:rStyle w:val="50"/>
              <w:rFonts w:eastAsia="楷体_GB2312"/>
              <w:sz w:val="32"/>
              <w:szCs w:val="32"/>
            </w:rPr>
            <w:t>7.1 队伍保障</w:t>
          </w:r>
          <w:r>
            <w:rPr>
              <w:sz w:val="32"/>
              <w:szCs w:val="32"/>
            </w:rPr>
            <w:tab/>
          </w:r>
          <w:r>
            <w:rPr>
              <w:sz w:val="32"/>
              <w:szCs w:val="32"/>
            </w:rPr>
            <w:fldChar w:fldCharType="begin"/>
          </w:r>
          <w:r>
            <w:rPr>
              <w:sz w:val="32"/>
              <w:szCs w:val="32"/>
            </w:rPr>
            <w:instrText xml:space="preserve"> PAGEREF _Toc207817662 \h </w:instrText>
          </w:r>
          <w:r>
            <w:rPr>
              <w:sz w:val="32"/>
              <w:szCs w:val="32"/>
            </w:rPr>
            <w:fldChar w:fldCharType="separate"/>
          </w:r>
          <w:r>
            <w:rPr>
              <w:sz w:val="32"/>
              <w:szCs w:val="32"/>
            </w:rPr>
            <w:t>21</w:t>
          </w:r>
          <w:r>
            <w:rPr>
              <w:sz w:val="32"/>
              <w:szCs w:val="32"/>
            </w:rPr>
            <w:fldChar w:fldCharType="end"/>
          </w:r>
          <w:r>
            <w:rPr>
              <w:sz w:val="32"/>
              <w:szCs w:val="32"/>
            </w:rPr>
            <w:fldChar w:fldCharType="end"/>
          </w:r>
        </w:p>
        <w:p w14:paraId="560EE2C2">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"_Toc207817663" </w:instrText>
          </w:r>
          <w:r>
            <w:fldChar w:fldCharType="separate"/>
          </w:r>
          <w:r>
            <w:rPr>
              <w:rStyle w:val="50"/>
              <w:rFonts w:eastAsia="楷体_GB2312"/>
              <w:sz w:val="32"/>
              <w:szCs w:val="32"/>
            </w:rPr>
            <w:t>7.2 物资与资金保障</w:t>
          </w:r>
          <w:r>
            <w:rPr>
              <w:sz w:val="32"/>
              <w:szCs w:val="32"/>
            </w:rPr>
            <w:tab/>
          </w:r>
          <w:r>
            <w:rPr>
              <w:sz w:val="32"/>
              <w:szCs w:val="32"/>
            </w:rPr>
            <w:fldChar w:fldCharType="begin"/>
          </w:r>
          <w:r>
            <w:rPr>
              <w:sz w:val="32"/>
              <w:szCs w:val="32"/>
            </w:rPr>
            <w:instrText xml:space="preserve"> PAGEREF _Toc207817663 \h </w:instrText>
          </w:r>
          <w:r>
            <w:rPr>
              <w:sz w:val="32"/>
              <w:szCs w:val="32"/>
            </w:rPr>
            <w:fldChar w:fldCharType="separate"/>
          </w:r>
          <w:r>
            <w:rPr>
              <w:sz w:val="32"/>
              <w:szCs w:val="32"/>
            </w:rPr>
            <w:t>21</w:t>
          </w:r>
          <w:r>
            <w:rPr>
              <w:sz w:val="32"/>
              <w:szCs w:val="32"/>
            </w:rPr>
            <w:fldChar w:fldCharType="end"/>
          </w:r>
          <w:r>
            <w:rPr>
              <w:sz w:val="32"/>
              <w:szCs w:val="32"/>
            </w:rPr>
            <w:fldChar w:fldCharType="end"/>
          </w:r>
        </w:p>
        <w:p w14:paraId="141E1C0C">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"_Toc207817664" </w:instrText>
          </w:r>
          <w:r>
            <w:fldChar w:fldCharType="separate"/>
          </w:r>
          <w:r>
            <w:rPr>
              <w:rStyle w:val="50"/>
              <w:rFonts w:eastAsia="楷体_GB2312"/>
              <w:sz w:val="32"/>
              <w:szCs w:val="32"/>
            </w:rPr>
            <w:t>7.3 通信、交通与运输保障</w:t>
          </w:r>
          <w:r>
            <w:rPr>
              <w:sz w:val="32"/>
              <w:szCs w:val="32"/>
            </w:rPr>
            <w:tab/>
          </w:r>
          <w:r>
            <w:rPr>
              <w:sz w:val="32"/>
              <w:szCs w:val="32"/>
            </w:rPr>
            <w:fldChar w:fldCharType="begin"/>
          </w:r>
          <w:r>
            <w:rPr>
              <w:sz w:val="32"/>
              <w:szCs w:val="32"/>
            </w:rPr>
            <w:instrText xml:space="preserve"> PAGEREF _Toc207817664 \h </w:instrText>
          </w:r>
          <w:r>
            <w:rPr>
              <w:sz w:val="32"/>
              <w:szCs w:val="32"/>
            </w:rPr>
            <w:fldChar w:fldCharType="separate"/>
          </w:r>
          <w:r>
            <w:rPr>
              <w:sz w:val="32"/>
              <w:szCs w:val="32"/>
            </w:rPr>
            <w:t>22</w:t>
          </w:r>
          <w:r>
            <w:rPr>
              <w:sz w:val="32"/>
              <w:szCs w:val="32"/>
            </w:rPr>
            <w:fldChar w:fldCharType="end"/>
          </w:r>
          <w:r>
            <w:rPr>
              <w:sz w:val="32"/>
              <w:szCs w:val="32"/>
            </w:rPr>
            <w:fldChar w:fldCharType="end"/>
          </w:r>
        </w:p>
        <w:p w14:paraId="6226BD97">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"_Toc207817665" </w:instrText>
          </w:r>
          <w:r>
            <w:fldChar w:fldCharType="separate"/>
          </w:r>
          <w:r>
            <w:rPr>
              <w:rStyle w:val="50"/>
              <w:rFonts w:eastAsia="楷体_GB2312"/>
              <w:sz w:val="32"/>
              <w:szCs w:val="32"/>
            </w:rPr>
            <w:t>7.4 技术保障</w:t>
          </w:r>
          <w:r>
            <w:rPr>
              <w:sz w:val="32"/>
              <w:szCs w:val="32"/>
            </w:rPr>
            <w:tab/>
          </w:r>
          <w:r>
            <w:rPr>
              <w:sz w:val="32"/>
              <w:szCs w:val="32"/>
            </w:rPr>
            <w:fldChar w:fldCharType="begin"/>
          </w:r>
          <w:r>
            <w:rPr>
              <w:sz w:val="32"/>
              <w:szCs w:val="32"/>
            </w:rPr>
            <w:instrText xml:space="preserve"> PAGEREF _Toc207817665 \h </w:instrText>
          </w:r>
          <w:r>
            <w:rPr>
              <w:sz w:val="32"/>
              <w:szCs w:val="32"/>
            </w:rPr>
            <w:fldChar w:fldCharType="separate"/>
          </w:r>
          <w:r>
            <w:rPr>
              <w:sz w:val="32"/>
              <w:szCs w:val="32"/>
            </w:rPr>
            <w:t>22</w:t>
          </w:r>
          <w:r>
            <w:rPr>
              <w:sz w:val="32"/>
              <w:szCs w:val="32"/>
            </w:rPr>
            <w:fldChar w:fldCharType="end"/>
          </w:r>
          <w:r>
            <w:rPr>
              <w:sz w:val="32"/>
              <w:szCs w:val="32"/>
            </w:rPr>
            <w:fldChar w:fldCharType="end"/>
          </w:r>
        </w:p>
        <w:p w14:paraId="034443C5">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"_Toc207817666" </w:instrText>
          </w:r>
          <w:r>
            <w:fldChar w:fldCharType="separate"/>
          </w:r>
          <w:r>
            <w:rPr>
              <w:rStyle w:val="50"/>
              <w:rFonts w:eastAsia="楷体_GB2312"/>
              <w:sz w:val="32"/>
              <w:szCs w:val="32"/>
            </w:rPr>
            <w:t>7.5 培训和演练</w:t>
          </w:r>
          <w:r>
            <w:rPr>
              <w:sz w:val="32"/>
              <w:szCs w:val="32"/>
            </w:rPr>
            <w:tab/>
          </w:r>
          <w:r>
            <w:rPr>
              <w:sz w:val="32"/>
              <w:szCs w:val="32"/>
            </w:rPr>
            <w:fldChar w:fldCharType="begin"/>
          </w:r>
          <w:r>
            <w:rPr>
              <w:sz w:val="32"/>
              <w:szCs w:val="32"/>
            </w:rPr>
            <w:instrText xml:space="preserve"> PAGEREF _Toc207817666 \h </w:instrText>
          </w:r>
          <w:r>
            <w:rPr>
              <w:sz w:val="32"/>
              <w:szCs w:val="32"/>
            </w:rPr>
            <w:fldChar w:fldCharType="separate"/>
          </w:r>
          <w:r>
            <w:rPr>
              <w:sz w:val="32"/>
              <w:szCs w:val="32"/>
            </w:rPr>
            <w:t>23</w:t>
          </w:r>
          <w:r>
            <w:rPr>
              <w:sz w:val="32"/>
              <w:szCs w:val="32"/>
            </w:rPr>
            <w:fldChar w:fldCharType="end"/>
          </w:r>
          <w:r>
            <w:rPr>
              <w:sz w:val="32"/>
              <w:szCs w:val="32"/>
            </w:rPr>
            <w:fldChar w:fldCharType="end"/>
          </w:r>
        </w:p>
        <w:p w14:paraId="6CE87DFB">
          <w:pPr>
            <w:pStyle w:val="29"/>
            <w:tabs>
              <w:tab w:val="right" w:leader="dot" w:pos="8834"/>
            </w:tabs>
            <w:spacing w:line="520" w:lineRule="exact"/>
            <w:rPr>
              <w:rStyle w:val="50"/>
              <w:rFonts w:eastAsia="黑体"/>
              <w:sz w:val="32"/>
              <w:szCs w:val="32"/>
            </w:rPr>
          </w:pPr>
          <w:r>
            <w:fldChar w:fldCharType="begin"/>
          </w:r>
          <w:r>
            <w:instrText xml:space="preserve"> HYPERLINK \l "_Toc207817667" </w:instrText>
          </w:r>
          <w:r>
            <w:fldChar w:fldCharType="separate"/>
          </w:r>
          <w:r>
            <w:rPr>
              <w:rStyle w:val="50"/>
              <w:rFonts w:eastAsia="黑体"/>
              <w:sz w:val="32"/>
              <w:szCs w:val="32"/>
            </w:rPr>
            <w:t>8 附则</w:t>
          </w:r>
          <w:r>
            <w:rPr>
              <w:rStyle w:val="50"/>
              <w:rFonts w:eastAsia="黑体"/>
              <w:sz w:val="32"/>
              <w:szCs w:val="32"/>
            </w:rPr>
            <w:tab/>
          </w:r>
          <w:r>
            <w:rPr>
              <w:rStyle w:val="50"/>
              <w:rFonts w:eastAsia="黑体"/>
              <w:sz w:val="32"/>
              <w:szCs w:val="32"/>
            </w:rPr>
            <w:fldChar w:fldCharType="begin"/>
          </w:r>
          <w:r>
            <w:rPr>
              <w:rStyle w:val="50"/>
              <w:rFonts w:eastAsia="黑体"/>
              <w:sz w:val="32"/>
              <w:szCs w:val="32"/>
            </w:rPr>
            <w:instrText xml:space="preserve"> PAGEREF _Toc207817667 \h </w:instrText>
          </w:r>
          <w:r>
            <w:rPr>
              <w:rStyle w:val="50"/>
              <w:rFonts w:eastAsia="黑体"/>
              <w:sz w:val="32"/>
              <w:szCs w:val="32"/>
            </w:rPr>
            <w:fldChar w:fldCharType="separate"/>
          </w:r>
          <w:r>
            <w:rPr>
              <w:rStyle w:val="50"/>
              <w:rFonts w:eastAsia="黑体"/>
              <w:sz w:val="32"/>
              <w:szCs w:val="32"/>
            </w:rPr>
            <w:t>23</w:t>
          </w:r>
          <w:r>
            <w:rPr>
              <w:rStyle w:val="50"/>
              <w:rFonts w:eastAsia="黑体"/>
              <w:sz w:val="32"/>
              <w:szCs w:val="32"/>
            </w:rPr>
            <w:fldChar w:fldCharType="end"/>
          </w:r>
          <w:r>
            <w:rPr>
              <w:rStyle w:val="50"/>
              <w:rFonts w:eastAsia="黑体"/>
              <w:sz w:val="32"/>
              <w:szCs w:val="32"/>
            </w:rPr>
            <w:fldChar w:fldCharType="end"/>
          </w:r>
        </w:p>
        <w:p w14:paraId="2E3606D7">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"_Toc207817668" </w:instrText>
          </w:r>
          <w:r>
            <w:fldChar w:fldCharType="separate"/>
          </w:r>
          <w:r>
            <w:rPr>
              <w:rStyle w:val="50"/>
              <w:rFonts w:eastAsia="楷体_GB2312"/>
              <w:sz w:val="32"/>
              <w:szCs w:val="32"/>
            </w:rPr>
            <w:t>8.1 预案管理</w:t>
          </w:r>
          <w:r>
            <w:rPr>
              <w:sz w:val="32"/>
              <w:szCs w:val="32"/>
            </w:rPr>
            <w:tab/>
          </w:r>
          <w:r>
            <w:rPr>
              <w:sz w:val="32"/>
              <w:szCs w:val="32"/>
            </w:rPr>
            <w:fldChar w:fldCharType="begin"/>
          </w:r>
          <w:r>
            <w:rPr>
              <w:sz w:val="32"/>
              <w:szCs w:val="32"/>
            </w:rPr>
            <w:instrText xml:space="preserve"> PAGEREF _Toc207817668 \h </w:instrText>
          </w:r>
          <w:r>
            <w:rPr>
              <w:sz w:val="32"/>
              <w:szCs w:val="32"/>
            </w:rPr>
            <w:fldChar w:fldCharType="separate"/>
          </w:r>
          <w:r>
            <w:rPr>
              <w:sz w:val="32"/>
              <w:szCs w:val="32"/>
            </w:rPr>
            <w:t>23</w:t>
          </w:r>
          <w:r>
            <w:rPr>
              <w:sz w:val="32"/>
              <w:szCs w:val="32"/>
            </w:rPr>
            <w:fldChar w:fldCharType="end"/>
          </w:r>
          <w:r>
            <w:rPr>
              <w:sz w:val="32"/>
              <w:szCs w:val="32"/>
            </w:rPr>
            <w:fldChar w:fldCharType="end"/>
          </w:r>
        </w:p>
        <w:p w14:paraId="69B12BDD">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"_Toc207817669" </w:instrText>
          </w:r>
          <w:r>
            <w:fldChar w:fldCharType="separate"/>
          </w:r>
          <w:r>
            <w:rPr>
              <w:rStyle w:val="50"/>
              <w:rFonts w:eastAsia="楷体_GB2312"/>
              <w:bCs/>
              <w:sz w:val="32"/>
              <w:szCs w:val="32"/>
            </w:rPr>
            <w:t>8.2 预案解释</w:t>
          </w:r>
          <w:r>
            <w:rPr>
              <w:sz w:val="32"/>
              <w:szCs w:val="32"/>
            </w:rPr>
            <w:tab/>
          </w:r>
          <w:r>
            <w:rPr>
              <w:sz w:val="32"/>
              <w:szCs w:val="32"/>
            </w:rPr>
            <w:fldChar w:fldCharType="begin"/>
          </w:r>
          <w:r>
            <w:rPr>
              <w:sz w:val="32"/>
              <w:szCs w:val="32"/>
            </w:rPr>
            <w:instrText xml:space="preserve"> PAGEREF _Toc207817669 \h </w:instrText>
          </w:r>
          <w:r>
            <w:rPr>
              <w:sz w:val="32"/>
              <w:szCs w:val="32"/>
            </w:rPr>
            <w:fldChar w:fldCharType="separate"/>
          </w:r>
          <w:r>
            <w:rPr>
              <w:sz w:val="32"/>
              <w:szCs w:val="32"/>
            </w:rPr>
            <w:t>23</w:t>
          </w:r>
          <w:r>
            <w:rPr>
              <w:sz w:val="32"/>
              <w:szCs w:val="32"/>
            </w:rPr>
            <w:fldChar w:fldCharType="end"/>
          </w:r>
          <w:r>
            <w:rPr>
              <w:sz w:val="32"/>
              <w:szCs w:val="32"/>
            </w:rPr>
            <w:fldChar w:fldCharType="end"/>
          </w:r>
        </w:p>
        <w:p w14:paraId="4CEC9B3F">
          <w:pPr>
            <w:pStyle w:val="36"/>
            <w:tabs>
              <w:tab w:val="right" w:leader="dot" w:pos="8834"/>
            </w:tabs>
            <w:spacing w:line="520" w:lineRule="exact"/>
            <w:ind w:left="480"/>
            <w:rPr>
              <w:rFonts w:eastAsiaTheme="minorEastAsia"/>
              <w:sz w:val="32"/>
              <w:szCs w:val="32"/>
              <w14:ligatures w14:val="standardContextual"/>
            </w:rPr>
          </w:pPr>
          <w:r>
            <w:fldChar w:fldCharType="begin"/>
          </w:r>
          <w:r>
            <w:instrText xml:space="preserve"> HYPERLINK \l "_Toc207817670" </w:instrText>
          </w:r>
          <w:r>
            <w:fldChar w:fldCharType="separate"/>
          </w:r>
          <w:r>
            <w:rPr>
              <w:rStyle w:val="50"/>
              <w:rFonts w:eastAsia="楷体_GB2312"/>
              <w:bCs/>
              <w:sz w:val="32"/>
              <w:szCs w:val="32"/>
            </w:rPr>
            <w:t>8.3 预案实施</w:t>
          </w:r>
          <w:r>
            <w:rPr>
              <w:sz w:val="32"/>
              <w:szCs w:val="32"/>
            </w:rPr>
            <w:tab/>
          </w:r>
          <w:r>
            <w:rPr>
              <w:sz w:val="32"/>
              <w:szCs w:val="32"/>
            </w:rPr>
            <w:fldChar w:fldCharType="begin"/>
          </w:r>
          <w:r>
            <w:rPr>
              <w:sz w:val="32"/>
              <w:szCs w:val="32"/>
            </w:rPr>
            <w:instrText xml:space="preserve"> PAGEREF _Toc207817670 \h </w:instrText>
          </w:r>
          <w:r>
            <w:rPr>
              <w:sz w:val="32"/>
              <w:szCs w:val="32"/>
            </w:rPr>
            <w:fldChar w:fldCharType="separate"/>
          </w:r>
          <w:r>
            <w:rPr>
              <w:sz w:val="32"/>
              <w:szCs w:val="32"/>
            </w:rPr>
            <w:t>23</w:t>
          </w:r>
          <w:r>
            <w:rPr>
              <w:sz w:val="32"/>
              <w:szCs w:val="32"/>
            </w:rPr>
            <w:fldChar w:fldCharType="end"/>
          </w:r>
          <w:r>
            <w:rPr>
              <w:sz w:val="32"/>
              <w:szCs w:val="32"/>
            </w:rPr>
            <w:fldChar w:fldCharType="end"/>
          </w:r>
        </w:p>
        <w:p w14:paraId="2C0C912F">
          <w:pPr>
            <w:pStyle w:val="29"/>
            <w:tabs>
              <w:tab w:val="right" w:leader="dot" w:pos="8834"/>
            </w:tabs>
            <w:spacing w:line="520" w:lineRule="exact"/>
            <w:rPr>
              <w:rStyle w:val="50"/>
              <w:rFonts w:eastAsia="黑体"/>
              <w:sz w:val="32"/>
              <w:szCs w:val="32"/>
            </w:rPr>
          </w:pPr>
          <w:r>
            <w:fldChar w:fldCharType="begin"/>
          </w:r>
          <w:r>
            <w:instrText xml:space="preserve"> HYPERLINK \l "_Toc207817671" </w:instrText>
          </w:r>
          <w:r>
            <w:fldChar w:fldCharType="separate"/>
          </w:r>
          <w:r>
            <w:rPr>
              <w:rStyle w:val="50"/>
              <w:rFonts w:eastAsia="黑体"/>
              <w:sz w:val="32"/>
              <w:szCs w:val="32"/>
            </w:rPr>
            <w:t>附件</w:t>
          </w:r>
          <w:r>
            <w:rPr>
              <w:rStyle w:val="50"/>
              <w:rFonts w:eastAsia="黑体"/>
              <w:sz w:val="32"/>
              <w:szCs w:val="32"/>
            </w:rPr>
            <w:tab/>
          </w:r>
          <w:r>
            <w:rPr>
              <w:rStyle w:val="50"/>
              <w:rFonts w:eastAsia="黑体"/>
              <w:sz w:val="32"/>
              <w:szCs w:val="32"/>
            </w:rPr>
            <w:fldChar w:fldCharType="begin"/>
          </w:r>
          <w:r>
            <w:rPr>
              <w:rStyle w:val="50"/>
              <w:rFonts w:eastAsia="黑体"/>
              <w:sz w:val="32"/>
              <w:szCs w:val="32"/>
            </w:rPr>
            <w:instrText xml:space="preserve"> PAGEREF _Toc207817671 \h </w:instrText>
          </w:r>
          <w:r>
            <w:rPr>
              <w:rStyle w:val="50"/>
              <w:rFonts w:eastAsia="黑体"/>
              <w:sz w:val="32"/>
              <w:szCs w:val="32"/>
            </w:rPr>
            <w:fldChar w:fldCharType="separate"/>
          </w:r>
          <w:r>
            <w:rPr>
              <w:rStyle w:val="50"/>
              <w:rFonts w:eastAsia="黑体"/>
              <w:sz w:val="32"/>
              <w:szCs w:val="32"/>
            </w:rPr>
            <w:t>25</w:t>
          </w:r>
          <w:r>
            <w:rPr>
              <w:rStyle w:val="50"/>
              <w:rFonts w:eastAsia="黑体"/>
              <w:sz w:val="32"/>
              <w:szCs w:val="32"/>
            </w:rPr>
            <w:fldChar w:fldCharType="end"/>
          </w:r>
          <w:r>
            <w:rPr>
              <w:rStyle w:val="50"/>
              <w:rFonts w:eastAsia="黑体"/>
              <w:sz w:val="32"/>
              <w:szCs w:val="32"/>
            </w:rPr>
            <w:fldChar w:fldCharType="end"/>
          </w:r>
        </w:p>
        <w:p w14:paraId="792A94FB">
          <w:pPr>
            <w:spacing w:line="520" w:lineRule="exact"/>
            <w:rPr>
              <w:spacing w:val="4"/>
              <w:szCs w:val="28"/>
            </w:rPr>
          </w:pPr>
          <w:r>
            <w:rPr>
              <w:spacing w:val="4"/>
              <w:szCs w:val="28"/>
            </w:rPr>
            <w:fldChar w:fldCharType="end"/>
          </w:r>
        </w:p>
      </w:sdtContent>
    </w:sdt>
    <w:p w14:paraId="71A26A60">
      <w:pPr>
        <w:spacing w:line="720" w:lineRule="auto"/>
        <w:ind w:firstLine="602"/>
        <w:jc w:val="center"/>
        <w:rPr>
          <w:spacing w:val="4"/>
          <w:szCs w:val="28"/>
        </w:rPr>
      </w:pPr>
    </w:p>
    <w:p w14:paraId="7ED7D530">
      <w:pPr>
        <w:widowControl/>
        <w:spacing w:line="240" w:lineRule="auto"/>
        <w:jc w:val="left"/>
      </w:pPr>
      <w:r>
        <w:br w:type="page"/>
      </w:r>
    </w:p>
    <w:p w14:paraId="391A9D6E">
      <w:pPr>
        <w:sectPr>
          <w:headerReference r:id="rId7" w:type="first"/>
          <w:headerReference r:id="rId5" w:type="default"/>
          <w:footerReference r:id="rId8" w:type="default"/>
          <w:headerReference r:id="rId6" w:type="even"/>
          <w:footerReference r:id="rId9" w:type="even"/>
          <w:type w:val="continuous"/>
          <w:pgSz w:w="11906" w:h="16838"/>
          <w:pgMar w:top="2098" w:right="1474" w:bottom="1985" w:left="1588" w:header="851" w:footer="992" w:gutter="0"/>
          <w:pgNumType w:start="1"/>
          <w:cols w:space="720" w:num="1"/>
          <w:titlePg/>
          <w:docGrid w:type="lines" w:linePitch="326" w:charSpace="0"/>
        </w:sectPr>
      </w:pPr>
    </w:p>
    <w:p w14:paraId="4D165CB4">
      <w:pPr>
        <w:pStyle w:val="2"/>
        <w:spacing w:before="0" w:after="0" w:line="560" w:lineRule="exact"/>
        <w:jc w:val="center"/>
        <w:rPr>
          <w:rFonts w:eastAsia="方正小标宋简体"/>
          <w:b w:val="0"/>
          <w:bCs w:val="0"/>
          <w:sz w:val="44"/>
          <w:szCs w:val="40"/>
        </w:rPr>
      </w:pPr>
      <w:bookmarkStart w:id="1" w:name="_Toc207817626"/>
      <w:bookmarkStart w:id="2" w:name="_Toc21603"/>
      <w:bookmarkStart w:id="3" w:name="_Toc12783"/>
      <w:bookmarkStart w:id="4" w:name="_Hlk197421910"/>
      <w:bookmarkStart w:id="5" w:name="_Toc497393057"/>
      <w:bookmarkStart w:id="6" w:name="_Toc1473"/>
      <w:bookmarkStart w:id="7" w:name="_Toc427133486"/>
      <w:bookmarkStart w:id="8" w:name="_Toc10728764"/>
      <w:r>
        <w:rPr>
          <w:rFonts w:eastAsia="方正小标宋简体"/>
          <w:b w:val="0"/>
          <w:bCs w:val="0"/>
          <w:sz w:val="44"/>
          <w:szCs w:val="40"/>
        </w:rPr>
        <w:t>新疆生产建设兵团</w:t>
      </w:r>
      <w:bookmarkEnd w:id="1"/>
    </w:p>
    <w:p w14:paraId="6DEF33C3">
      <w:pPr>
        <w:pStyle w:val="2"/>
        <w:spacing w:before="0" w:after="0" w:line="560" w:lineRule="exact"/>
        <w:jc w:val="center"/>
        <w:rPr>
          <w:rFonts w:eastAsia="方正小标宋简体"/>
          <w:b w:val="0"/>
          <w:bCs w:val="0"/>
          <w:sz w:val="44"/>
          <w:szCs w:val="40"/>
        </w:rPr>
      </w:pPr>
      <w:bookmarkStart w:id="9" w:name="_Toc207817627"/>
      <w:r>
        <w:rPr>
          <w:rFonts w:eastAsia="方正小标宋简体"/>
          <w:b w:val="0"/>
          <w:bCs w:val="0"/>
          <w:sz w:val="44"/>
          <w:szCs w:val="40"/>
        </w:rPr>
        <w:t>突发</w:t>
      </w:r>
      <w:r>
        <w:rPr>
          <w:rFonts w:hint="eastAsia" w:eastAsia="方正小标宋简体"/>
          <w:b w:val="0"/>
          <w:bCs w:val="0"/>
          <w:sz w:val="44"/>
          <w:szCs w:val="40"/>
        </w:rPr>
        <w:t>生态</w:t>
      </w:r>
      <w:r>
        <w:rPr>
          <w:rFonts w:eastAsia="方正小标宋简体"/>
          <w:b w:val="0"/>
          <w:bCs w:val="0"/>
          <w:sz w:val="44"/>
          <w:szCs w:val="40"/>
        </w:rPr>
        <w:t>环境事件应急预案</w:t>
      </w:r>
      <w:bookmarkEnd w:id="2"/>
      <w:bookmarkEnd w:id="3"/>
      <w:bookmarkEnd w:id="9"/>
    </w:p>
    <w:p w14:paraId="0CA1BFE5">
      <w:pPr>
        <w:pStyle w:val="2"/>
        <w:spacing w:before="0" w:after="0" w:line="560" w:lineRule="exact"/>
        <w:jc w:val="center"/>
        <w:rPr>
          <w:rFonts w:eastAsia="楷体_GB2312"/>
          <w:b w:val="0"/>
          <w:bCs w:val="0"/>
          <w:szCs w:val="40"/>
        </w:rPr>
      </w:pPr>
      <w:bookmarkStart w:id="10" w:name="_Toc26821"/>
      <w:bookmarkStart w:id="11" w:name="_Toc207817628"/>
      <w:bookmarkStart w:id="12" w:name="_Toc2478"/>
      <w:r>
        <w:rPr>
          <w:rFonts w:hint="eastAsia" w:eastAsia="楷体_GB2312"/>
          <w:b w:val="0"/>
          <w:bCs w:val="0"/>
          <w:szCs w:val="40"/>
        </w:rPr>
        <w:t>（2025年修订稿）</w:t>
      </w:r>
      <w:bookmarkEnd w:id="10"/>
      <w:bookmarkEnd w:id="11"/>
      <w:bookmarkEnd w:id="12"/>
    </w:p>
    <w:bookmarkEnd w:id="4"/>
    <w:p w14:paraId="344B7801">
      <w:pPr>
        <w:spacing w:line="560" w:lineRule="exact"/>
        <w:rPr>
          <w:lang w:val="zh-CN"/>
        </w:rPr>
      </w:pPr>
    </w:p>
    <w:p w14:paraId="4E478099">
      <w:pPr>
        <w:pStyle w:val="280"/>
        <w:tabs>
          <w:tab w:val="clear" w:pos="720"/>
        </w:tabs>
        <w:spacing w:line="560" w:lineRule="exact"/>
        <w:ind w:firstLineChars="200"/>
        <w:rPr>
          <w:rFonts w:ascii="Times New Roman" w:hAnsi="Times New Roman"/>
          <w:b w:val="0"/>
          <w:bCs/>
          <w:color w:val="auto"/>
        </w:rPr>
      </w:pPr>
      <w:bookmarkStart w:id="13" w:name="_Toc207817629"/>
      <w:bookmarkStart w:id="14" w:name="_Hlk197422169"/>
      <w:r>
        <w:rPr>
          <w:rFonts w:ascii="Times New Roman" w:hAnsi="Times New Roman"/>
          <w:b w:val="0"/>
          <w:bCs/>
          <w:color w:val="auto"/>
        </w:rPr>
        <w:t>1 总则</w:t>
      </w:r>
      <w:bookmarkEnd w:id="5"/>
      <w:bookmarkEnd w:id="6"/>
      <w:bookmarkEnd w:id="7"/>
      <w:bookmarkEnd w:id="8"/>
      <w:bookmarkEnd w:id="13"/>
    </w:p>
    <w:p w14:paraId="281D5D4D">
      <w:pPr>
        <w:pStyle w:val="3"/>
        <w:spacing w:before="0" w:after="0" w:line="560" w:lineRule="exact"/>
        <w:ind w:firstLine="640" w:firstLineChars="200"/>
        <w:rPr>
          <w:rFonts w:eastAsia="楷体_GB2312"/>
          <w:bCs/>
          <w:color w:val="auto"/>
          <w:sz w:val="32"/>
        </w:rPr>
      </w:pPr>
      <w:bookmarkStart w:id="15" w:name="_Toc207817630"/>
      <w:bookmarkStart w:id="16" w:name="_Toc10728765"/>
      <w:bookmarkStart w:id="17" w:name="_Toc4019"/>
      <w:bookmarkStart w:id="18" w:name="_Toc416699132"/>
      <w:bookmarkStart w:id="19" w:name="_Toc416854832"/>
      <w:bookmarkStart w:id="20" w:name="_Toc418175732"/>
      <w:bookmarkStart w:id="21" w:name="_Toc416360981"/>
      <w:bookmarkStart w:id="22" w:name="_Toc416790101"/>
      <w:bookmarkStart w:id="23" w:name="_Toc497393058"/>
      <w:bookmarkStart w:id="24" w:name="_Toc416768077"/>
      <w:bookmarkStart w:id="25" w:name="_Toc416768945"/>
      <w:bookmarkStart w:id="26" w:name="_Toc416854282"/>
      <w:bookmarkStart w:id="27" w:name="_Toc417984103"/>
      <w:bookmarkStart w:id="28" w:name="_Toc416769586"/>
      <w:bookmarkStart w:id="29" w:name="_Toc417986020"/>
      <w:r>
        <w:rPr>
          <w:rFonts w:eastAsia="楷体_GB2312"/>
          <w:bCs/>
          <w:color w:val="auto"/>
          <w:sz w:val="32"/>
        </w:rPr>
        <w:t>1.1 编制目的</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09912626">
      <w:pPr>
        <w:spacing w:line="560" w:lineRule="exact"/>
        <w:ind w:firstLine="640" w:firstLineChars="200"/>
        <w:rPr>
          <w:rFonts w:hint="eastAsia" w:ascii="仿宋_GB2312" w:hAnsi="仿宋_GB2312" w:eastAsia="仿宋_GB2312" w:cs="仿宋_GB2312"/>
          <w:sz w:val="32"/>
        </w:rPr>
      </w:pPr>
      <w:bookmarkStart w:id="30" w:name="_Toc273391717"/>
      <w:bookmarkStart w:id="31" w:name="_Toc273391307"/>
      <w:bookmarkStart w:id="32" w:name="_Toc273391631"/>
      <w:bookmarkStart w:id="33" w:name="_Toc320693097"/>
      <w:r>
        <w:rPr>
          <w:rFonts w:ascii="仿宋_GB2312" w:hAnsi="仿宋_GB2312" w:eastAsia="仿宋_GB2312" w:cs="仿宋_GB2312"/>
          <w:sz w:val="32"/>
        </w:rPr>
        <w:t>坚持以习近平新时代中国特色社会主义思想</w:t>
      </w:r>
      <w:r>
        <w:rPr>
          <w:rFonts w:hint="eastAsia" w:ascii="仿宋_GB2312" w:hAnsi="仿宋_GB2312" w:eastAsia="仿宋_GB2312" w:cs="仿宋_GB2312"/>
          <w:sz w:val="32"/>
        </w:rPr>
        <w:t>特别是习近平生态文明思想为指导</w:t>
      </w:r>
      <w:r>
        <w:rPr>
          <w:rFonts w:ascii="仿宋_GB2312" w:hAnsi="仿宋_GB2312" w:eastAsia="仿宋_GB2312" w:cs="仿宋_GB2312"/>
          <w:sz w:val="32"/>
        </w:rPr>
        <w:t>，深入贯彻落实党的二十大精神和全国生态环境保护大会精神，</w:t>
      </w:r>
      <w:r>
        <w:rPr>
          <w:rFonts w:hint="eastAsia" w:ascii="仿宋_GB2312" w:hAnsi="仿宋_GB2312" w:eastAsia="仿宋_GB2312" w:cs="仿宋_GB2312"/>
          <w:sz w:val="32"/>
        </w:rPr>
        <w:t>健全兵团生态安全体系，严密防控生态环境风险，完善兵团生态环境应急体制机制，及时妥善科学应对处置各类突发生态环境事件，守牢美丽兵团建设安全底线，</w:t>
      </w:r>
      <w:r>
        <w:rPr>
          <w:rFonts w:ascii="仿宋_GB2312" w:hAnsi="仿宋_GB2312" w:eastAsia="仿宋_GB2312" w:cs="仿宋_GB2312"/>
          <w:sz w:val="32"/>
        </w:rPr>
        <w:t>保障职工人民群众生命财产安全，促进兵团经济社会全面、协调、可持续发展</w:t>
      </w:r>
      <w:r>
        <w:rPr>
          <w:rFonts w:hint="eastAsia" w:ascii="仿宋_GB2312" w:hAnsi="仿宋_GB2312" w:eastAsia="仿宋_GB2312" w:cs="仿宋_GB2312"/>
          <w:sz w:val="32"/>
        </w:rPr>
        <w:t>。依据生态环境保护、突发事件应对相关法律法规，制定本预案。</w:t>
      </w:r>
    </w:p>
    <w:p w14:paraId="207124BF">
      <w:pPr>
        <w:pStyle w:val="3"/>
        <w:spacing w:before="0" w:after="0" w:line="560" w:lineRule="exact"/>
        <w:ind w:firstLine="640" w:firstLineChars="200"/>
        <w:rPr>
          <w:rFonts w:eastAsia="楷体_GB2312"/>
          <w:bCs/>
          <w:color w:val="auto"/>
          <w:sz w:val="32"/>
        </w:rPr>
      </w:pPr>
      <w:bookmarkStart w:id="34" w:name="_Toc207817631"/>
      <w:bookmarkStart w:id="35" w:name="_Toc92300331"/>
      <w:bookmarkStart w:id="36" w:name="_Toc91841280"/>
      <w:bookmarkStart w:id="37" w:name="_Toc88738146"/>
      <w:bookmarkStart w:id="38" w:name="_Toc400723032"/>
      <w:bookmarkStart w:id="39" w:name="_Toc400723031"/>
      <w:r>
        <w:rPr>
          <w:rFonts w:eastAsia="楷体_GB2312"/>
          <w:bCs/>
          <w:color w:val="auto"/>
          <w:sz w:val="32"/>
        </w:rPr>
        <w:t>1.</w:t>
      </w:r>
      <w:r>
        <w:rPr>
          <w:rFonts w:hint="eastAsia" w:eastAsia="楷体_GB2312"/>
          <w:bCs/>
          <w:color w:val="auto"/>
          <w:sz w:val="32"/>
        </w:rPr>
        <w:t>2</w:t>
      </w:r>
      <w:r>
        <w:rPr>
          <w:rFonts w:eastAsia="楷体_GB2312"/>
          <w:bCs/>
          <w:color w:val="auto"/>
          <w:sz w:val="32"/>
        </w:rPr>
        <w:t xml:space="preserve"> 适用范围</w:t>
      </w:r>
      <w:bookmarkEnd w:id="34"/>
      <w:bookmarkEnd w:id="35"/>
      <w:bookmarkEnd w:id="36"/>
      <w:bookmarkEnd w:id="37"/>
    </w:p>
    <w:p w14:paraId="2F9B7BEB">
      <w:pPr>
        <w:snapToGrid w:val="0"/>
        <w:spacing w:line="56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本预案适用于应对兵团辖区内以下各类事件应急响应：</w:t>
      </w:r>
    </w:p>
    <w:p w14:paraId="7AEDB99D">
      <w:pPr>
        <w:snapToGrid w:val="0"/>
        <w:spacing w:line="560" w:lineRule="exact"/>
        <w:ind w:firstLine="640" w:firstLineChars="200"/>
        <w:rPr>
          <w:rFonts w:hint="eastAsia" w:ascii="仿宋_GB2312" w:hAnsi="仿宋_GB2312" w:eastAsia="仿宋_GB2312" w:cs="仿宋_GB2312"/>
          <w:sz w:val="32"/>
        </w:rPr>
      </w:pPr>
      <w:bookmarkStart w:id="40" w:name="_Hlk199407080"/>
      <w:r>
        <w:rPr>
          <w:rFonts w:ascii="仿宋_GB2312" w:hAnsi="仿宋_GB2312" w:eastAsia="仿宋_GB2312" w:cs="仿宋_GB2312"/>
          <w:sz w:val="32"/>
        </w:rPr>
        <w:t>特别重大、重大突发</w:t>
      </w:r>
      <w:r>
        <w:rPr>
          <w:rFonts w:hint="eastAsia" w:ascii="仿宋_GB2312" w:hAnsi="仿宋_GB2312" w:eastAsia="仿宋_GB2312" w:cs="仿宋_GB2312"/>
          <w:sz w:val="32"/>
        </w:rPr>
        <w:t>生态</w:t>
      </w:r>
      <w:r>
        <w:rPr>
          <w:rFonts w:ascii="仿宋_GB2312" w:hAnsi="仿宋_GB2312" w:eastAsia="仿宋_GB2312" w:cs="仿宋_GB2312"/>
          <w:sz w:val="32"/>
        </w:rPr>
        <w:t>环境事件。</w:t>
      </w:r>
    </w:p>
    <w:bookmarkEnd w:id="40"/>
    <w:p w14:paraId="0CF6B4AC">
      <w:pPr>
        <w:snapToGrid w:val="0"/>
        <w:spacing w:line="56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超出事发师市处置能力且兵团决定启动应急预案的突发</w:t>
      </w:r>
      <w:r>
        <w:rPr>
          <w:rFonts w:hint="eastAsia" w:ascii="仿宋_GB2312" w:hAnsi="仿宋_GB2312" w:eastAsia="仿宋_GB2312" w:cs="仿宋_GB2312"/>
          <w:sz w:val="32"/>
        </w:rPr>
        <w:t>生态</w:t>
      </w:r>
      <w:r>
        <w:rPr>
          <w:rFonts w:ascii="仿宋_GB2312" w:hAnsi="仿宋_GB2312" w:eastAsia="仿宋_GB2312" w:cs="仿宋_GB2312"/>
          <w:sz w:val="32"/>
        </w:rPr>
        <w:t>环境事件。</w:t>
      </w:r>
    </w:p>
    <w:p w14:paraId="6F7DEF0B">
      <w:pPr>
        <w:snapToGrid w:val="0"/>
        <w:spacing w:line="56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跨师市辖区影响且兵团决定启动应急预案的突发</w:t>
      </w:r>
      <w:r>
        <w:rPr>
          <w:rFonts w:hint="eastAsia" w:ascii="仿宋_GB2312" w:hAnsi="仿宋_GB2312" w:eastAsia="仿宋_GB2312" w:cs="仿宋_GB2312"/>
          <w:sz w:val="32"/>
        </w:rPr>
        <w:t>生态</w:t>
      </w:r>
      <w:r>
        <w:rPr>
          <w:rFonts w:ascii="仿宋_GB2312" w:hAnsi="仿宋_GB2312" w:eastAsia="仿宋_GB2312" w:cs="仿宋_GB2312"/>
          <w:sz w:val="32"/>
        </w:rPr>
        <w:t>环境事件。</w:t>
      </w:r>
    </w:p>
    <w:p w14:paraId="4D485A8D">
      <w:pPr>
        <w:snapToGrid w:val="0"/>
        <w:spacing w:line="56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兵团辖区外发生、可能影响兵团且兵团决定启动应急预案的突发生态环境事件。</w:t>
      </w:r>
    </w:p>
    <w:p w14:paraId="6BC6C03E">
      <w:pPr>
        <w:snapToGrid w:val="0"/>
        <w:spacing w:line="56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核事故及辐射事故及重污染天气的应对工作，按照相关应急预案的规定执行。</w:t>
      </w:r>
    </w:p>
    <w:p w14:paraId="42C9EF61">
      <w:pPr>
        <w:pStyle w:val="3"/>
        <w:spacing w:before="0" w:after="0" w:line="560" w:lineRule="exact"/>
        <w:ind w:firstLine="640" w:firstLineChars="200"/>
        <w:rPr>
          <w:rFonts w:eastAsia="楷体_GB2312"/>
          <w:bCs/>
          <w:color w:val="auto"/>
          <w:sz w:val="32"/>
        </w:rPr>
      </w:pPr>
      <w:bookmarkStart w:id="41" w:name="_Toc91841281"/>
      <w:bookmarkStart w:id="42" w:name="_Toc92300332"/>
      <w:bookmarkStart w:id="43" w:name="_Toc88738147"/>
      <w:bookmarkStart w:id="44" w:name="_Toc207817632"/>
      <w:r>
        <w:rPr>
          <w:rFonts w:eastAsia="楷体_GB2312"/>
          <w:bCs/>
          <w:color w:val="auto"/>
          <w:sz w:val="32"/>
        </w:rPr>
        <w:t>1.</w:t>
      </w:r>
      <w:r>
        <w:rPr>
          <w:rFonts w:hint="eastAsia" w:eastAsia="楷体_GB2312"/>
          <w:bCs/>
          <w:color w:val="auto"/>
          <w:sz w:val="32"/>
        </w:rPr>
        <w:t>3</w:t>
      </w:r>
      <w:r>
        <w:rPr>
          <w:rFonts w:eastAsia="楷体_GB2312"/>
          <w:bCs/>
          <w:color w:val="auto"/>
          <w:sz w:val="32"/>
        </w:rPr>
        <w:t xml:space="preserve"> </w:t>
      </w:r>
      <w:bookmarkEnd w:id="38"/>
      <w:bookmarkEnd w:id="41"/>
      <w:bookmarkEnd w:id="42"/>
      <w:bookmarkEnd w:id="43"/>
      <w:r>
        <w:rPr>
          <w:rFonts w:hint="eastAsia" w:eastAsia="楷体_GB2312"/>
          <w:bCs/>
          <w:color w:val="auto"/>
          <w:sz w:val="32"/>
        </w:rPr>
        <w:t>总体要求</w:t>
      </w:r>
      <w:bookmarkEnd w:id="44"/>
    </w:p>
    <w:p w14:paraId="57F12298">
      <w:pPr>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突发生态环境事件应对处置工作坚持和加强党的全面领导，健全分级负责、属地为主、部门协同的生态环境应急责任体系，完善功能齐全、反应灵敏、运转高效的应急准备和响应体系，做到信息灵、反应快、措施准、工作到位。</w:t>
      </w:r>
    </w:p>
    <w:bookmarkEnd w:id="39"/>
    <w:p w14:paraId="58C91090">
      <w:pPr>
        <w:pStyle w:val="3"/>
        <w:spacing w:before="0" w:after="0" w:line="560" w:lineRule="exact"/>
        <w:ind w:firstLine="640" w:firstLineChars="200"/>
        <w:rPr>
          <w:rFonts w:eastAsia="楷体_GB2312"/>
          <w:bCs/>
          <w:color w:val="auto"/>
          <w:sz w:val="32"/>
        </w:rPr>
      </w:pPr>
      <w:bookmarkStart w:id="45" w:name="_Toc92300333"/>
      <w:bookmarkStart w:id="46" w:name="_Toc88738148"/>
      <w:bookmarkStart w:id="47" w:name="_Toc207817633"/>
      <w:bookmarkStart w:id="48" w:name="_Toc91841282"/>
      <w:bookmarkStart w:id="49" w:name="_Toc400723026"/>
      <w:r>
        <w:rPr>
          <w:rFonts w:eastAsia="楷体_GB2312"/>
          <w:bCs/>
          <w:color w:val="auto"/>
          <w:sz w:val="32"/>
        </w:rPr>
        <w:t>1.</w:t>
      </w:r>
      <w:r>
        <w:rPr>
          <w:rFonts w:hint="eastAsia" w:eastAsia="楷体_GB2312"/>
          <w:bCs/>
          <w:color w:val="auto"/>
          <w:sz w:val="32"/>
        </w:rPr>
        <w:t xml:space="preserve">4 </w:t>
      </w:r>
      <w:r>
        <w:rPr>
          <w:rFonts w:eastAsia="楷体_GB2312"/>
          <w:bCs/>
          <w:color w:val="auto"/>
          <w:sz w:val="32"/>
        </w:rPr>
        <w:t>事件分级</w:t>
      </w:r>
      <w:bookmarkEnd w:id="45"/>
      <w:bookmarkEnd w:id="46"/>
      <w:bookmarkEnd w:id="47"/>
      <w:bookmarkEnd w:id="48"/>
      <w:bookmarkEnd w:id="49"/>
    </w:p>
    <w:p w14:paraId="348D3B01">
      <w:pPr>
        <w:snapToGrid w:val="0"/>
        <w:spacing w:line="560" w:lineRule="exact"/>
        <w:ind w:firstLine="640" w:firstLineChars="200"/>
        <w:rPr>
          <w:rFonts w:eastAsia="仿宋_GB2312"/>
          <w:sz w:val="32"/>
          <w:szCs w:val="32"/>
        </w:rPr>
      </w:pPr>
      <w:r>
        <w:rPr>
          <w:rFonts w:eastAsia="仿宋_GB2312"/>
          <w:sz w:val="32"/>
          <w:szCs w:val="32"/>
        </w:rPr>
        <w:t>按照事件严重程度，突发</w:t>
      </w:r>
      <w:r>
        <w:rPr>
          <w:rFonts w:hint="eastAsia" w:eastAsia="仿宋_GB2312"/>
          <w:sz w:val="32"/>
          <w:szCs w:val="32"/>
        </w:rPr>
        <w:t>生态</w:t>
      </w:r>
      <w:r>
        <w:rPr>
          <w:rFonts w:eastAsia="仿宋_GB2312"/>
          <w:sz w:val="32"/>
          <w:szCs w:val="32"/>
        </w:rPr>
        <w:t>环境事件分为特别重大（Ⅰ级）、重大（Ⅱ级）、较大（Ⅲ级）和一般（Ⅳ级）四级。</w:t>
      </w:r>
      <w:r>
        <w:rPr>
          <w:rFonts w:ascii="仿宋_GB2312" w:hAnsi="仿宋_GB2312" w:eastAsia="仿宋_GB2312" w:cs="仿宋_GB2312"/>
          <w:sz w:val="32"/>
        </w:rPr>
        <w:t>事件分级标准见附件</w:t>
      </w:r>
      <w:r>
        <w:rPr>
          <w:sz w:val="32"/>
        </w:rPr>
        <w:t>1</w:t>
      </w:r>
      <w:r>
        <w:rPr>
          <w:rFonts w:ascii="仿宋_GB2312" w:hAnsi="仿宋_GB2312" w:eastAsia="仿宋_GB2312" w:cs="仿宋_GB2312"/>
          <w:sz w:val="32"/>
        </w:rPr>
        <w:t>。</w:t>
      </w:r>
    </w:p>
    <w:p w14:paraId="291D7546">
      <w:pPr>
        <w:pStyle w:val="3"/>
        <w:adjustRightInd w:val="0"/>
        <w:snapToGrid w:val="0"/>
        <w:spacing w:before="0" w:after="0" w:line="560" w:lineRule="exact"/>
        <w:ind w:firstLine="640" w:firstLineChars="200"/>
        <w:rPr>
          <w:rFonts w:eastAsia="楷体_GB2312"/>
          <w:bCs/>
          <w:color w:val="auto"/>
          <w:sz w:val="32"/>
        </w:rPr>
      </w:pPr>
      <w:bookmarkStart w:id="50" w:name="_Toc207817634"/>
      <w:bookmarkStart w:id="51" w:name="_Toc91841283"/>
      <w:bookmarkStart w:id="52" w:name="_Toc92300334"/>
      <w:bookmarkStart w:id="53" w:name="_Toc88738149"/>
      <w:r>
        <w:rPr>
          <w:rFonts w:eastAsia="楷体_GB2312"/>
          <w:bCs/>
          <w:color w:val="auto"/>
          <w:sz w:val="32"/>
        </w:rPr>
        <w:t>1.</w:t>
      </w:r>
      <w:r>
        <w:rPr>
          <w:rFonts w:hint="eastAsia" w:eastAsia="楷体_GB2312"/>
          <w:bCs/>
          <w:color w:val="auto"/>
          <w:sz w:val="32"/>
        </w:rPr>
        <w:t xml:space="preserve">5 </w:t>
      </w:r>
      <w:r>
        <w:rPr>
          <w:rFonts w:eastAsia="楷体_GB2312"/>
          <w:bCs/>
          <w:color w:val="auto"/>
          <w:sz w:val="32"/>
        </w:rPr>
        <w:t>预案体系</w:t>
      </w:r>
      <w:bookmarkEnd w:id="50"/>
      <w:bookmarkEnd w:id="51"/>
      <w:bookmarkEnd w:id="52"/>
      <w:bookmarkEnd w:id="53"/>
    </w:p>
    <w:p w14:paraId="6A28C516">
      <w:pPr>
        <w:spacing w:line="560" w:lineRule="exact"/>
        <w:ind w:firstLine="640" w:firstLineChars="200"/>
      </w:pPr>
      <w:r>
        <w:rPr>
          <w:rFonts w:ascii="仿宋_GB2312" w:hAnsi="仿宋_GB2312" w:eastAsia="仿宋_GB2312" w:cs="仿宋_GB2312"/>
          <w:sz w:val="32"/>
        </w:rPr>
        <w:t>本预案与《兵团突发事件总体应急预案》衔接，与其他相关兵团专项预案相互配合。</w:t>
      </w:r>
    </w:p>
    <w:p w14:paraId="391DC1D9">
      <w:pPr>
        <w:snapToGrid w:val="0"/>
        <w:spacing w:line="560" w:lineRule="exact"/>
        <w:ind w:firstLine="640" w:firstLineChars="200"/>
        <w:rPr>
          <w:rFonts w:eastAsia="仿宋_GB2312"/>
          <w:sz w:val="32"/>
          <w:szCs w:val="32"/>
        </w:rPr>
      </w:pPr>
      <w:r>
        <w:rPr>
          <w:rFonts w:eastAsia="仿宋_GB2312"/>
          <w:sz w:val="32"/>
          <w:szCs w:val="32"/>
        </w:rPr>
        <w:t>兵团突发</w:t>
      </w:r>
      <w:r>
        <w:rPr>
          <w:rFonts w:hint="eastAsia" w:eastAsia="仿宋_GB2312"/>
          <w:sz w:val="32"/>
          <w:szCs w:val="32"/>
        </w:rPr>
        <w:t>生态</w:t>
      </w:r>
      <w:r>
        <w:rPr>
          <w:rFonts w:eastAsia="仿宋_GB2312"/>
          <w:sz w:val="32"/>
          <w:szCs w:val="32"/>
        </w:rPr>
        <w:t>环境事件应急预案</w:t>
      </w:r>
      <w:r>
        <w:rPr>
          <w:rFonts w:hint="eastAsia" w:eastAsia="仿宋_GB2312"/>
          <w:sz w:val="32"/>
          <w:szCs w:val="32"/>
        </w:rPr>
        <w:t>体系</w:t>
      </w:r>
      <w:r>
        <w:rPr>
          <w:rFonts w:eastAsia="仿宋_GB2312"/>
          <w:sz w:val="32"/>
          <w:szCs w:val="32"/>
        </w:rPr>
        <w:t>包括：</w:t>
      </w:r>
      <w:r>
        <w:rPr>
          <w:rFonts w:hint="eastAsia" w:eastAsia="仿宋_GB2312"/>
          <w:sz w:val="32"/>
          <w:szCs w:val="32"/>
        </w:rPr>
        <w:t>兵团、各师市、各团场及其有关部门、企事业单位、工业园区等制定的突发生态环境事件应急预案，形成“横向到边、纵向到底”的应急预案体系。兵团各级生态环境部门根据职责，制定应急响应手册，落实相关任务，细化工作流程，明确岗位人员职责与措施。</w:t>
      </w:r>
    </w:p>
    <w:p w14:paraId="45A2680A">
      <w:pPr>
        <w:snapToGrid w:val="0"/>
        <w:spacing w:line="240" w:lineRule="auto"/>
        <w:jc w:val="center"/>
        <w:rPr>
          <w:rFonts w:eastAsia="仿宋"/>
          <w:sz w:val="32"/>
          <w:szCs w:val="32"/>
        </w:rPr>
      </w:pPr>
      <w:r>
        <w:rPr>
          <w:rFonts w:hint="eastAsia"/>
        </w:rPr>
        <w:object>
          <v:shape id="_x0000_i1025" o:spt="75" type="#_x0000_t75" style="height:376.1pt;width:398.1pt;" o:ole="t" filled="f" o:preferrelative="t" stroked="f" coordsize="21600,21600">
            <v:path/>
            <v:fill on="f" focussize="0,0"/>
            <v:stroke on="f" joinstyle="miter"/>
            <v:imagedata r:id="rId17" o:title=""/>
            <o:lock v:ext="edit" aspectratio="t"/>
            <w10:wrap type="none"/>
            <w10:anchorlock/>
          </v:shape>
          <o:OLEObject Type="Embed" ProgID="Visio.Drawing.15" ShapeID="_x0000_i1025" DrawAspect="Content" ObjectID="_1468075725" r:id="rId16">
            <o:LockedField>false</o:LockedField>
          </o:OLEObject>
        </w:object>
      </w:r>
    </w:p>
    <w:p w14:paraId="027E290B">
      <w:pPr>
        <w:snapToGrid w:val="0"/>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图1  兵团突发生态环境事件应急预案体系图</w:t>
      </w:r>
    </w:p>
    <w:p w14:paraId="3CF94391">
      <w:pPr>
        <w:snapToGrid w:val="0"/>
        <w:spacing w:line="560" w:lineRule="exact"/>
        <w:jc w:val="center"/>
        <w:rPr>
          <w:rFonts w:hint="eastAsia" w:ascii="仿宋_GB2312" w:hAnsi="仿宋_GB2312" w:eastAsia="仿宋_GB2312" w:cs="仿宋_GB2312"/>
          <w:b/>
          <w:sz w:val="32"/>
          <w:szCs w:val="32"/>
        </w:rPr>
      </w:pPr>
    </w:p>
    <w:p w14:paraId="41A1F0D6">
      <w:pPr>
        <w:spacing w:line="560" w:lineRule="exact"/>
        <w:sectPr>
          <w:footerReference r:id="rId12" w:type="first"/>
          <w:footerReference r:id="rId10" w:type="default"/>
          <w:footerReference r:id="rId11" w:type="even"/>
          <w:type w:val="continuous"/>
          <w:pgSz w:w="11906" w:h="16838"/>
          <w:pgMar w:top="2098" w:right="1474" w:bottom="1985" w:left="1588" w:header="737" w:footer="992" w:gutter="0"/>
          <w:pgNumType w:start="1"/>
          <w:cols w:space="425" w:num="1"/>
          <w:titlePg/>
          <w:docGrid w:type="lines" w:linePitch="326" w:charSpace="0"/>
        </w:sectPr>
      </w:pPr>
      <w:bookmarkStart w:id="54" w:name="_Toc13569"/>
      <w:bookmarkStart w:id="55" w:name="_Toc91841284"/>
      <w:bookmarkStart w:id="56" w:name="_Toc88738150"/>
      <w:bookmarkStart w:id="57" w:name="_Toc400723033"/>
      <w:bookmarkStart w:id="58" w:name="_Toc92300335"/>
    </w:p>
    <w:p w14:paraId="7CA12671">
      <w:pPr>
        <w:pStyle w:val="2"/>
        <w:adjustRightInd w:val="0"/>
        <w:snapToGrid w:val="0"/>
        <w:spacing w:before="0" w:after="0" w:line="560" w:lineRule="exact"/>
        <w:ind w:firstLine="640" w:firstLineChars="200"/>
        <w:rPr>
          <w:b w:val="0"/>
          <w:bCs w:val="0"/>
          <w:lang w:val="en-US"/>
        </w:rPr>
      </w:pPr>
      <w:bookmarkStart w:id="59" w:name="_Toc207817635"/>
      <w:r>
        <w:rPr>
          <w:b w:val="0"/>
          <w:bCs w:val="0"/>
          <w:lang w:val="en-US"/>
        </w:rPr>
        <w:t>2</w:t>
      </w:r>
      <w:r>
        <w:rPr>
          <w:rFonts w:hint="eastAsia"/>
          <w:b w:val="0"/>
          <w:bCs w:val="0"/>
          <w:lang w:val="en-US"/>
        </w:rPr>
        <w:t xml:space="preserve"> </w:t>
      </w:r>
      <w:r>
        <w:rPr>
          <w:b w:val="0"/>
          <w:bCs w:val="0"/>
          <w:lang w:val="en-US"/>
        </w:rPr>
        <w:t>组织指挥体系</w:t>
      </w:r>
      <w:bookmarkEnd w:id="54"/>
      <w:bookmarkEnd w:id="55"/>
      <w:bookmarkEnd w:id="56"/>
      <w:bookmarkEnd w:id="57"/>
      <w:bookmarkEnd w:id="58"/>
      <w:bookmarkEnd w:id="59"/>
    </w:p>
    <w:p w14:paraId="4D4CC20C">
      <w:pPr>
        <w:pStyle w:val="3"/>
        <w:adjustRightInd w:val="0"/>
        <w:snapToGrid w:val="0"/>
        <w:spacing w:before="0" w:after="0" w:line="560" w:lineRule="exact"/>
        <w:ind w:firstLine="640" w:firstLineChars="200"/>
        <w:rPr>
          <w:rFonts w:eastAsia="楷体_GB2312"/>
          <w:bCs/>
          <w:color w:val="auto"/>
          <w:sz w:val="32"/>
        </w:rPr>
      </w:pPr>
      <w:bookmarkStart w:id="60" w:name="_Toc207817636"/>
      <w:bookmarkStart w:id="61" w:name="_Toc92300336"/>
      <w:bookmarkStart w:id="62" w:name="_Toc88738151"/>
      <w:bookmarkStart w:id="63" w:name="_Toc91841285"/>
      <w:r>
        <w:rPr>
          <w:rFonts w:eastAsia="楷体_GB2312"/>
          <w:bCs/>
          <w:color w:val="auto"/>
          <w:sz w:val="32"/>
        </w:rPr>
        <w:t>2.1</w:t>
      </w:r>
      <w:r>
        <w:rPr>
          <w:rFonts w:hint="eastAsia" w:eastAsia="楷体_GB2312"/>
          <w:bCs/>
          <w:color w:val="auto"/>
          <w:sz w:val="32"/>
        </w:rPr>
        <w:t xml:space="preserve"> </w:t>
      </w:r>
      <w:r>
        <w:rPr>
          <w:rFonts w:eastAsia="楷体_GB2312"/>
          <w:bCs/>
          <w:color w:val="auto"/>
          <w:sz w:val="32"/>
        </w:rPr>
        <w:t>兵团突发</w:t>
      </w:r>
      <w:r>
        <w:rPr>
          <w:rFonts w:hint="eastAsia" w:eastAsia="楷体_GB2312"/>
          <w:bCs/>
          <w:color w:val="auto"/>
          <w:sz w:val="32"/>
        </w:rPr>
        <w:t>生态</w:t>
      </w:r>
      <w:r>
        <w:rPr>
          <w:rFonts w:eastAsia="楷体_GB2312"/>
          <w:bCs/>
          <w:color w:val="auto"/>
          <w:sz w:val="32"/>
        </w:rPr>
        <w:t>环境事件应急指挥部</w:t>
      </w:r>
      <w:bookmarkEnd w:id="60"/>
      <w:bookmarkEnd w:id="61"/>
      <w:bookmarkEnd w:id="62"/>
      <w:bookmarkEnd w:id="63"/>
    </w:p>
    <w:p w14:paraId="14BD3016">
      <w:pPr>
        <w:snapToGrid w:val="0"/>
        <w:spacing w:line="560" w:lineRule="exact"/>
        <w:ind w:firstLine="640" w:firstLineChars="200"/>
        <w:rPr>
          <w:rFonts w:eastAsia="仿宋_GB2312"/>
          <w:sz w:val="32"/>
          <w:szCs w:val="32"/>
        </w:rPr>
      </w:pPr>
      <w:r>
        <w:rPr>
          <w:rFonts w:hint="eastAsia" w:eastAsia="仿宋_GB2312"/>
          <w:sz w:val="32"/>
          <w:szCs w:val="32"/>
        </w:rPr>
        <w:t>在兵团应急指挥部的统一领导下，设立兵团突发生态环境事件应急指挥部。</w:t>
      </w:r>
    </w:p>
    <w:p w14:paraId="38EA7AC8">
      <w:pPr>
        <w:snapToGrid w:val="0"/>
        <w:spacing w:line="560" w:lineRule="exact"/>
        <w:ind w:firstLine="640" w:firstLineChars="200"/>
        <w:rPr>
          <w:rFonts w:hint="eastAsia" w:ascii="仿宋_GB2312" w:hAnsi="仿宋_GB2312" w:eastAsia="仿宋_GB2312" w:cs="仿宋_GB2312"/>
          <w:sz w:val="32"/>
        </w:rPr>
      </w:pPr>
      <w:r>
        <w:rPr>
          <w:rFonts w:eastAsia="仿宋_GB2312"/>
          <w:sz w:val="32"/>
          <w:szCs w:val="32"/>
        </w:rPr>
        <w:t>兵团突发</w:t>
      </w:r>
      <w:r>
        <w:rPr>
          <w:rFonts w:hint="eastAsia" w:eastAsia="仿宋_GB2312"/>
          <w:sz w:val="32"/>
          <w:szCs w:val="32"/>
        </w:rPr>
        <w:t>生态</w:t>
      </w:r>
      <w:r>
        <w:rPr>
          <w:rFonts w:eastAsia="仿宋_GB2312"/>
          <w:sz w:val="32"/>
          <w:szCs w:val="32"/>
        </w:rPr>
        <w:t>环境事件应急指挥部</w:t>
      </w:r>
      <w:r>
        <w:rPr>
          <w:rFonts w:ascii="仿宋_GB2312" w:hAnsi="仿宋_GB2312" w:eastAsia="仿宋_GB2312" w:cs="仿宋_GB2312"/>
          <w:sz w:val="32"/>
        </w:rPr>
        <w:t>负责综合协调工作，指挥特别重大、重大突发</w:t>
      </w:r>
      <w:r>
        <w:rPr>
          <w:rFonts w:hint="eastAsia" w:ascii="仿宋_GB2312" w:hAnsi="仿宋_GB2312" w:eastAsia="仿宋_GB2312" w:cs="仿宋_GB2312"/>
          <w:sz w:val="32"/>
        </w:rPr>
        <w:t>生态</w:t>
      </w:r>
      <w:r>
        <w:rPr>
          <w:rFonts w:ascii="仿宋_GB2312" w:hAnsi="仿宋_GB2312" w:eastAsia="仿宋_GB2312" w:cs="仿宋_GB2312"/>
          <w:sz w:val="32"/>
        </w:rPr>
        <w:t>环境事件应急处置工作；指导师市及其有关部门做好较大及以下突发</w:t>
      </w:r>
      <w:r>
        <w:rPr>
          <w:rFonts w:hint="eastAsia" w:ascii="仿宋_GB2312" w:hAnsi="仿宋_GB2312" w:eastAsia="仿宋_GB2312" w:cs="仿宋_GB2312"/>
          <w:sz w:val="32"/>
        </w:rPr>
        <w:t>生态</w:t>
      </w:r>
      <w:r>
        <w:rPr>
          <w:rFonts w:ascii="仿宋_GB2312" w:hAnsi="仿宋_GB2312" w:eastAsia="仿宋_GB2312" w:cs="仿宋_GB2312"/>
          <w:sz w:val="32"/>
        </w:rPr>
        <w:t>环境事件应急处置工作；查明事件原因，确定应急救援处置工作方案；</w:t>
      </w:r>
      <w:r>
        <w:rPr>
          <w:rFonts w:eastAsia="仿宋_GB2312"/>
          <w:sz w:val="32"/>
          <w:szCs w:val="32"/>
        </w:rPr>
        <w:t>对影响到自治区范围，跨省、跨国</w:t>
      </w:r>
      <w:r>
        <w:rPr>
          <w:rFonts w:hint="eastAsia" w:eastAsia="仿宋_GB2312"/>
          <w:sz w:val="32"/>
          <w:szCs w:val="32"/>
        </w:rPr>
        <w:t>界</w:t>
      </w:r>
      <w:r>
        <w:rPr>
          <w:rFonts w:eastAsia="仿宋_GB2312"/>
          <w:sz w:val="32"/>
          <w:szCs w:val="32"/>
        </w:rPr>
        <w:t>的突发</w:t>
      </w:r>
      <w:r>
        <w:rPr>
          <w:rFonts w:hint="eastAsia" w:ascii="仿宋_GB2312" w:hAnsi="仿宋_GB2312" w:eastAsia="仿宋_GB2312" w:cs="仿宋_GB2312"/>
          <w:sz w:val="32"/>
        </w:rPr>
        <w:t>生态</w:t>
      </w:r>
      <w:r>
        <w:rPr>
          <w:rFonts w:eastAsia="仿宋_GB2312"/>
          <w:sz w:val="32"/>
          <w:szCs w:val="32"/>
        </w:rPr>
        <w:t>环境事件，建立联络协调机制；</w:t>
      </w:r>
      <w:r>
        <w:rPr>
          <w:rFonts w:ascii="仿宋_GB2312" w:hAnsi="仿宋_GB2312" w:eastAsia="仿宋_GB2312" w:cs="仿宋_GB2312"/>
          <w:sz w:val="32"/>
        </w:rPr>
        <w:t>向国务院、生态环境部及自治区党委、兵团报送相关信息；</w:t>
      </w:r>
      <w:r>
        <w:rPr>
          <w:rFonts w:hint="eastAsia" w:ascii="仿宋_GB2312" w:hAnsi="仿宋_GB2312" w:eastAsia="仿宋_GB2312" w:cs="仿宋_GB2312"/>
          <w:sz w:val="32"/>
        </w:rPr>
        <w:t>落实</w:t>
      </w:r>
      <w:r>
        <w:rPr>
          <w:rFonts w:ascii="仿宋_GB2312" w:hAnsi="仿宋_GB2312" w:eastAsia="仿宋_GB2312" w:cs="仿宋_GB2312"/>
          <w:sz w:val="32"/>
        </w:rPr>
        <w:t>兵团安排的其他工作。</w:t>
      </w:r>
    </w:p>
    <w:p w14:paraId="16752CBE">
      <w:pPr>
        <w:snapToGrid w:val="0"/>
        <w:spacing w:line="560" w:lineRule="exact"/>
        <w:ind w:firstLine="640" w:firstLineChars="200"/>
        <w:rPr>
          <w:rFonts w:hint="eastAsia" w:ascii="仿宋_GB2312" w:hAnsi="仿宋_GB2312" w:eastAsia="仿宋_GB2312" w:cs="仿宋_GB2312"/>
          <w:sz w:val="32"/>
        </w:rPr>
      </w:pPr>
      <w:r>
        <w:rPr>
          <w:rFonts w:eastAsia="仿宋_GB2312"/>
          <w:sz w:val="32"/>
          <w:szCs w:val="32"/>
        </w:rPr>
        <w:t>兵团突发</w:t>
      </w:r>
      <w:r>
        <w:rPr>
          <w:rFonts w:hint="eastAsia" w:eastAsia="仿宋_GB2312"/>
          <w:sz w:val="32"/>
          <w:szCs w:val="32"/>
        </w:rPr>
        <w:t>生态</w:t>
      </w:r>
      <w:r>
        <w:rPr>
          <w:rFonts w:eastAsia="仿宋_GB2312"/>
          <w:sz w:val="32"/>
          <w:szCs w:val="32"/>
        </w:rPr>
        <w:t>环境事件应急指挥部</w:t>
      </w:r>
      <w:r>
        <w:rPr>
          <w:rFonts w:hint="eastAsia" w:ascii="仿宋_GB2312" w:hAnsi="仿宋_GB2312" w:eastAsia="仿宋_GB2312" w:cs="仿宋_GB2312"/>
          <w:sz w:val="32"/>
        </w:rPr>
        <w:t>下设兵团生态环境应急指挥部办公室</w:t>
      </w:r>
      <w:r>
        <w:rPr>
          <w:rFonts w:ascii="仿宋_GB2312" w:hAnsi="仿宋_GB2312" w:eastAsia="仿宋_GB2312" w:cs="仿宋_GB2312"/>
          <w:sz w:val="32"/>
        </w:rPr>
        <w:t>（详见附件</w:t>
      </w:r>
      <w:r>
        <w:rPr>
          <w:rFonts w:eastAsia="仿宋_GB2312"/>
          <w:sz w:val="32"/>
        </w:rPr>
        <w:t>2</w:t>
      </w:r>
      <w:r>
        <w:rPr>
          <w:rFonts w:ascii="仿宋_GB2312" w:hAnsi="仿宋_GB2312" w:eastAsia="仿宋_GB2312" w:cs="仿宋_GB2312"/>
          <w:sz w:val="32"/>
        </w:rPr>
        <w:t>）</w:t>
      </w:r>
      <w:r>
        <w:rPr>
          <w:rFonts w:hint="eastAsia" w:ascii="仿宋_GB2312" w:hAnsi="仿宋_GB2312" w:eastAsia="仿宋_GB2312" w:cs="仿宋_GB2312"/>
          <w:sz w:val="32"/>
        </w:rPr>
        <w:t>。</w:t>
      </w:r>
    </w:p>
    <w:p w14:paraId="28421F96">
      <w:pPr>
        <w:pStyle w:val="3"/>
        <w:adjustRightInd w:val="0"/>
        <w:snapToGrid w:val="0"/>
        <w:spacing w:before="0" w:after="0" w:line="560" w:lineRule="exact"/>
        <w:ind w:firstLine="640" w:firstLineChars="200"/>
        <w:rPr>
          <w:rFonts w:eastAsia="楷体_GB2312"/>
          <w:bCs/>
          <w:color w:val="auto"/>
          <w:sz w:val="32"/>
        </w:rPr>
      </w:pPr>
      <w:bookmarkStart w:id="64" w:name="_Toc207817637"/>
      <w:r>
        <w:rPr>
          <w:rFonts w:eastAsia="楷体_GB2312"/>
          <w:bCs/>
          <w:color w:val="auto"/>
          <w:sz w:val="32"/>
        </w:rPr>
        <w:t>2.</w:t>
      </w:r>
      <w:r>
        <w:rPr>
          <w:rFonts w:hint="eastAsia" w:eastAsia="楷体_GB2312"/>
          <w:bCs/>
          <w:color w:val="auto"/>
          <w:sz w:val="32"/>
        </w:rPr>
        <w:t>2</w:t>
      </w:r>
      <w:r>
        <w:rPr>
          <w:rFonts w:eastAsia="楷体_GB2312"/>
          <w:bCs/>
          <w:color w:val="auto"/>
          <w:sz w:val="32"/>
        </w:rPr>
        <w:t xml:space="preserve"> 师市生态环境</w:t>
      </w:r>
      <w:r>
        <w:rPr>
          <w:rFonts w:hint="eastAsia" w:eastAsia="楷体_GB2312"/>
          <w:bCs/>
          <w:color w:val="auto"/>
          <w:sz w:val="32"/>
        </w:rPr>
        <w:t>事件</w:t>
      </w:r>
      <w:r>
        <w:rPr>
          <w:rFonts w:eastAsia="楷体_GB2312"/>
          <w:bCs/>
          <w:color w:val="auto"/>
          <w:sz w:val="32"/>
        </w:rPr>
        <w:t>应急指挥</w:t>
      </w:r>
      <w:r>
        <w:rPr>
          <w:rFonts w:hint="eastAsia" w:eastAsia="楷体_GB2312"/>
          <w:bCs/>
          <w:color w:val="auto"/>
          <w:sz w:val="32"/>
        </w:rPr>
        <w:t>部</w:t>
      </w:r>
      <w:bookmarkEnd w:id="64"/>
    </w:p>
    <w:p w14:paraId="0BC27791">
      <w:pPr>
        <w:snapToGrid w:val="0"/>
        <w:spacing w:line="560" w:lineRule="exact"/>
        <w:ind w:firstLine="640" w:firstLineChars="200"/>
        <w:rPr>
          <w:rFonts w:eastAsia="仿宋_GB2312"/>
          <w:sz w:val="32"/>
          <w:szCs w:val="32"/>
        </w:rPr>
      </w:pPr>
      <w:r>
        <w:rPr>
          <w:rFonts w:eastAsia="仿宋_GB2312"/>
          <w:sz w:val="32"/>
          <w:szCs w:val="32"/>
        </w:rPr>
        <w:t>各师市成立本级生态环境应急指挥部，制定各师市突发</w:t>
      </w:r>
      <w:r>
        <w:rPr>
          <w:rFonts w:hint="eastAsia" w:ascii="仿宋_GB2312" w:hAnsi="仿宋_GB2312" w:eastAsia="仿宋_GB2312" w:cs="仿宋_GB2312"/>
          <w:sz w:val="32"/>
        </w:rPr>
        <w:t>生态</w:t>
      </w:r>
      <w:r>
        <w:rPr>
          <w:rFonts w:eastAsia="仿宋_GB2312"/>
          <w:sz w:val="32"/>
          <w:szCs w:val="32"/>
        </w:rPr>
        <w:t>环境事件应急预案，负责本辖区内突发</w:t>
      </w:r>
      <w:r>
        <w:rPr>
          <w:rFonts w:hint="eastAsia" w:ascii="仿宋_GB2312" w:hAnsi="仿宋_GB2312" w:eastAsia="仿宋_GB2312" w:cs="仿宋_GB2312"/>
          <w:sz w:val="32"/>
        </w:rPr>
        <w:t>生态</w:t>
      </w:r>
      <w:r>
        <w:rPr>
          <w:rFonts w:eastAsia="仿宋_GB2312"/>
          <w:sz w:val="32"/>
          <w:szCs w:val="32"/>
        </w:rPr>
        <w:t>环境事件应对工作的领导、组织和协调</w:t>
      </w:r>
      <w:r>
        <w:rPr>
          <w:rFonts w:hint="eastAsia" w:eastAsia="仿宋_GB2312"/>
          <w:sz w:val="32"/>
          <w:szCs w:val="32"/>
        </w:rPr>
        <w:t>；</w:t>
      </w:r>
      <w:r>
        <w:rPr>
          <w:rFonts w:eastAsia="仿宋_GB2312"/>
          <w:sz w:val="32"/>
          <w:szCs w:val="32"/>
        </w:rPr>
        <w:t>制定现场应急处置方案，组织</w:t>
      </w:r>
      <w:r>
        <w:rPr>
          <w:rFonts w:hint="eastAsia" w:eastAsia="仿宋_GB2312"/>
          <w:sz w:val="32"/>
          <w:szCs w:val="32"/>
        </w:rPr>
        <w:t>开展</w:t>
      </w:r>
      <w:r>
        <w:rPr>
          <w:rFonts w:eastAsia="仿宋_GB2312"/>
          <w:sz w:val="32"/>
          <w:szCs w:val="32"/>
        </w:rPr>
        <w:t>本辖区突发生态环境事件的预防、预警、应急处置与救援、事后恢复与重建等应对工作。</w:t>
      </w:r>
    </w:p>
    <w:p w14:paraId="3E71A063">
      <w:pPr>
        <w:pStyle w:val="3"/>
        <w:adjustRightInd w:val="0"/>
        <w:snapToGrid w:val="0"/>
        <w:spacing w:before="0" w:after="0" w:line="560" w:lineRule="exact"/>
        <w:ind w:firstLine="640" w:firstLineChars="200"/>
        <w:rPr>
          <w:rFonts w:eastAsia="楷体_GB2312"/>
          <w:bCs/>
          <w:color w:val="auto"/>
          <w:sz w:val="32"/>
        </w:rPr>
      </w:pPr>
      <w:bookmarkStart w:id="65" w:name="_Toc207817638"/>
      <w:r>
        <w:rPr>
          <w:rFonts w:eastAsia="楷体_GB2312"/>
          <w:bCs/>
          <w:color w:val="auto"/>
          <w:sz w:val="32"/>
        </w:rPr>
        <w:t>2.</w:t>
      </w:r>
      <w:r>
        <w:rPr>
          <w:rFonts w:hint="eastAsia" w:eastAsia="楷体_GB2312"/>
          <w:bCs/>
          <w:color w:val="auto"/>
          <w:sz w:val="32"/>
        </w:rPr>
        <w:t>3</w:t>
      </w:r>
      <w:r>
        <w:rPr>
          <w:rFonts w:eastAsia="楷体_GB2312"/>
          <w:bCs/>
          <w:color w:val="auto"/>
          <w:sz w:val="32"/>
        </w:rPr>
        <w:t xml:space="preserve"> 现场</w:t>
      </w:r>
      <w:r>
        <w:rPr>
          <w:rFonts w:hint="eastAsia" w:eastAsia="楷体_GB2312"/>
          <w:bCs/>
          <w:color w:val="auto"/>
          <w:sz w:val="32"/>
        </w:rPr>
        <w:t>应急</w:t>
      </w:r>
      <w:r>
        <w:rPr>
          <w:rFonts w:eastAsia="楷体_GB2312"/>
          <w:bCs/>
          <w:color w:val="auto"/>
          <w:sz w:val="32"/>
        </w:rPr>
        <w:t>指挥部</w:t>
      </w:r>
      <w:bookmarkEnd w:id="65"/>
    </w:p>
    <w:p w14:paraId="2822BDF9">
      <w:pPr>
        <w:spacing w:line="560" w:lineRule="exact"/>
        <w:ind w:firstLine="640" w:firstLineChars="200"/>
        <w:rPr>
          <w:rFonts w:eastAsia="仿宋_GB2312"/>
          <w:sz w:val="32"/>
          <w:szCs w:val="32"/>
        </w:rPr>
      </w:pPr>
      <w:r>
        <w:rPr>
          <w:rFonts w:hint="eastAsia" w:ascii="仿宋_GB2312" w:hAnsi="仿宋_GB2312" w:eastAsia="仿宋_GB2312" w:cs="仿宋_GB2312"/>
          <w:sz w:val="32"/>
        </w:rPr>
        <w:t>发生一般、较大突发生态环境事件时，</w:t>
      </w:r>
      <w:r>
        <w:rPr>
          <w:rFonts w:ascii="仿宋_GB2312" w:hAnsi="仿宋_GB2312" w:eastAsia="仿宋_GB2312" w:cs="仿宋_GB2312"/>
          <w:sz w:val="32"/>
        </w:rPr>
        <w:t>事发地所在师市负责成立现场应急指挥</w:t>
      </w:r>
      <w:r>
        <w:rPr>
          <w:rFonts w:hint="eastAsia" w:ascii="仿宋_GB2312" w:hAnsi="仿宋_GB2312" w:eastAsia="仿宋_GB2312" w:cs="仿宋_GB2312"/>
          <w:sz w:val="32"/>
        </w:rPr>
        <w:t>部</w:t>
      </w:r>
      <w:r>
        <w:rPr>
          <w:rFonts w:ascii="仿宋_GB2312" w:hAnsi="仿宋_GB2312" w:eastAsia="仿宋_GB2312" w:cs="仿宋_GB2312"/>
          <w:sz w:val="32"/>
        </w:rPr>
        <w:t>，负责现场的应急处置工作；</w:t>
      </w:r>
      <w:r>
        <w:rPr>
          <w:rFonts w:eastAsia="仿宋_GB2312"/>
          <w:sz w:val="32"/>
          <w:szCs w:val="32"/>
        </w:rPr>
        <w:t>发生重大</w:t>
      </w:r>
      <w:r>
        <w:rPr>
          <w:rFonts w:hint="eastAsia" w:eastAsia="仿宋_GB2312"/>
          <w:sz w:val="32"/>
          <w:szCs w:val="32"/>
        </w:rPr>
        <w:t>、</w:t>
      </w:r>
      <w:r>
        <w:rPr>
          <w:rFonts w:eastAsia="仿宋_GB2312"/>
          <w:sz w:val="32"/>
          <w:szCs w:val="32"/>
        </w:rPr>
        <w:t>特别重大突发</w:t>
      </w:r>
      <w:r>
        <w:rPr>
          <w:rFonts w:hint="eastAsia" w:ascii="仿宋_GB2312" w:hAnsi="仿宋_GB2312" w:eastAsia="仿宋_GB2312" w:cs="仿宋_GB2312"/>
          <w:sz w:val="32"/>
        </w:rPr>
        <w:t>生态</w:t>
      </w:r>
      <w:r>
        <w:rPr>
          <w:rFonts w:eastAsia="仿宋_GB2312"/>
          <w:sz w:val="32"/>
          <w:szCs w:val="32"/>
        </w:rPr>
        <w:t>环境事件时</w:t>
      </w:r>
      <w:r>
        <w:rPr>
          <w:rFonts w:ascii="仿宋_GB2312" w:hAnsi="仿宋_GB2312" w:eastAsia="仿宋_GB2312" w:cs="仿宋_GB2312"/>
          <w:sz w:val="32"/>
        </w:rPr>
        <w:t>，</w:t>
      </w:r>
      <w:r>
        <w:rPr>
          <w:rFonts w:eastAsia="仿宋_GB2312"/>
          <w:sz w:val="32"/>
          <w:szCs w:val="32"/>
        </w:rPr>
        <w:t>兵团生态环境应急指挥部派出工作组与事发地师市组成现场</w:t>
      </w:r>
      <w:r>
        <w:rPr>
          <w:rFonts w:hint="eastAsia" w:eastAsia="仿宋_GB2312"/>
          <w:sz w:val="32"/>
          <w:szCs w:val="32"/>
        </w:rPr>
        <w:t>应急</w:t>
      </w:r>
      <w:r>
        <w:rPr>
          <w:rFonts w:eastAsia="仿宋_GB2312"/>
          <w:sz w:val="32"/>
          <w:szCs w:val="32"/>
        </w:rPr>
        <w:t>指挥部</w:t>
      </w:r>
      <w:r>
        <w:rPr>
          <w:rFonts w:ascii="仿宋_GB2312" w:hAnsi="仿宋_GB2312" w:eastAsia="仿宋_GB2312" w:cs="仿宋_GB2312"/>
          <w:sz w:val="32"/>
        </w:rPr>
        <w:t>，并根据需要设立相应工作组。</w:t>
      </w:r>
      <w:r>
        <w:rPr>
          <w:rFonts w:eastAsia="仿宋_GB2312"/>
          <w:sz w:val="32"/>
          <w:szCs w:val="32"/>
        </w:rPr>
        <w:t>指挥部下设综合协调组、污染处置组、应急监测组、医疗救援组、应急保障组、宣传报道组、治安维护组、调查评估组、应急专家组等9个应急处置工作组</w:t>
      </w:r>
      <w:r>
        <w:rPr>
          <w:rFonts w:hint="eastAsia" w:eastAsia="仿宋_GB2312"/>
          <w:sz w:val="32"/>
          <w:szCs w:val="32"/>
        </w:rPr>
        <w:t>，</w:t>
      </w:r>
      <w:r>
        <w:rPr>
          <w:rFonts w:ascii="仿宋_GB2312" w:hAnsi="仿宋_GB2312" w:eastAsia="仿宋_GB2312" w:cs="仿宋_GB2312"/>
          <w:sz w:val="32"/>
        </w:rPr>
        <w:t>职责分工如下：</w:t>
      </w:r>
    </w:p>
    <w:p w14:paraId="57DEC249">
      <w:pPr>
        <w:snapToGrid w:val="0"/>
        <w:spacing w:line="560" w:lineRule="exact"/>
        <w:ind w:firstLine="643" w:firstLineChars="200"/>
        <w:rPr>
          <w:rFonts w:eastAsia="仿宋_GB2312"/>
          <w:b/>
          <w:bCs/>
          <w:sz w:val="32"/>
          <w:szCs w:val="32"/>
        </w:rPr>
      </w:pPr>
      <w:r>
        <w:rPr>
          <w:rFonts w:hint="eastAsia" w:eastAsia="仿宋"/>
          <w:b/>
          <w:bCs/>
          <w:sz w:val="32"/>
        </w:rPr>
        <w:t>（一）</w:t>
      </w:r>
      <w:r>
        <w:rPr>
          <w:rFonts w:eastAsia="仿宋_GB2312"/>
          <w:b/>
          <w:bCs/>
          <w:sz w:val="32"/>
          <w:szCs w:val="32"/>
        </w:rPr>
        <w:t>综合协调组</w:t>
      </w:r>
    </w:p>
    <w:p w14:paraId="17D059A4">
      <w:pPr>
        <w:snapToGrid w:val="0"/>
        <w:spacing w:line="560" w:lineRule="exact"/>
        <w:ind w:firstLine="640" w:firstLineChars="200"/>
        <w:rPr>
          <w:rFonts w:eastAsia="仿宋_GB2312"/>
          <w:sz w:val="32"/>
          <w:szCs w:val="32"/>
        </w:rPr>
      </w:pPr>
      <w:r>
        <w:rPr>
          <w:rFonts w:eastAsia="仿宋_GB2312"/>
          <w:sz w:val="32"/>
          <w:szCs w:val="32"/>
        </w:rPr>
        <w:t>牵头部门：兵团生态环境局</w:t>
      </w:r>
    </w:p>
    <w:p w14:paraId="2F0BAA5E">
      <w:pPr>
        <w:snapToGrid w:val="0"/>
        <w:spacing w:line="560" w:lineRule="exact"/>
        <w:ind w:firstLine="640" w:firstLineChars="200"/>
        <w:rPr>
          <w:rFonts w:eastAsia="仿宋_GB2312"/>
          <w:sz w:val="32"/>
          <w:szCs w:val="32"/>
        </w:rPr>
      </w:pPr>
      <w:r>
        <w:rPr>
          <w:rFonts w:eastAsia="仿宋_GB2312"/>
          <w:sz w:val="32"/>
          <w:szCs w:val="32"/>
        </w:rPr>
        <w:t>组成部门：兵团应急管理局、发展</w:t>
      </w:r>
      <w:r>
        <w:rPr>
          <w:rFonts w:hint="eastAsia" w:eastAsia="仿宋_GB2312"/>
          <w:sz w:val="32"/>
          <w:szCs w:val="32"/>
        </w:rPr>
        <w:t>和</w:t>
      </w:r>
      <w:r>
        <w:rPr>
          <w:rFonts w:eastAsia="仿宋_GB2312"/>
          <w:sz w:val="32"/>
          <w:szCs w:val="32"/>
        </w:rPr>
        <w:t>改革</w:t>
      </w:r>
      <w:r>
        <w:rPr>
          <w:rFonts w:hint="eastAsia" w:eastAsia="仿宋_GB2312"/>
          <w:sz w:val="32"/>
          <w:szCs w:val="32"/>
        </w:rPr>
        <w:t>委员会</w:t>
      </w:r>
      <w:r>
        <w:rPr>
          <w:rFonts w:eastAsia="仿宋_GB2312"/>
          <w:sz w:val="32"/>
          <w:szCs w:val="32"/>
        </w:rPr>
        <w:t>、</w:t>
      </w:r>
      <w:r>
        <w:rPr>
          <w:rFonts w:hint="eastAsia" w:eastAsia="仿宋_GB2312"/>
          <w:sz w:val="32"/>
          <w:szCs w:val="32"/>
        </w:rPr>
        <w:t>外事办公室</w:t>
      </w:r>
      <w:r>
        <w:rPr>
          <w:rFonts w:eastAsia="仿宋_GB2312"/>
          <w:sz w:val="32"/>
          <w:szCs w:val="32"/>
        </w:rPr>
        <w:t>，事发地师市等。</w:t>
      </w:r>
    </w:p>
    <w:p w14:paraId="6D939E0E">
      <w:pPr>
        <w:snapToGrid w:val="0"/>
        <w:spacing w:line="560" w:lineRule="exact"/>
        <w:ind w:firstLine="640" w:firstLineChars="200"/>
        <w:rPr>
          <w:rFonts w:eastAsia="仿宋_GB2312"/>
          <w:sz w:val="32"/>
          <w:szCs w:val="32"/>
        </w:rPr>
      </w:pPr>
      <w:r>
        <w:rPr>
          <w:rFonts w:eastAsia="仿宋_GB2312"/>
          <w:sz w:val="32"/>
          <w:szCs w:val="32"/>
        </w:rPr>
        <w:t>主要职责：</w:t>
      </w:r>
      <w:r>
        <w:rPr>
          <w:rFonts w:eastAsia="仿宋_GB2312"/>
          <w:color w:val="000000" w:themeColor="text1"/>
          <w:sz w:val="32"/>
          <w:szCs w:val="32"/>
          <w14:textFill>
            <w14:solidFill>
              <w14:schemeClr w14:val="tx1"/>
            </w14:solidFill>
          </w14:textFill>
        </w:rPr>
        <w:t>协助现场</w:t>
      </w:r>
      <w:r>
        <w:rPr>
          <w:rFonts w:hint="eastAsia" w:eastAsia="仿宋_GB2312"/>
          <w:color w:val="000000" w:themeColor="text1"/>
          <w:sz w:val="32"/>
          <w:szCs w:val="32"/>
          <w14:textFill>
            <w14:solidFill>
              <w14:schemeClr w14:val="tx1"/>
            </w14:solidFill>
          </w14:textFill>
        </w:rPr>
        <w:t>应急</w:t>
      </w:r>
      <w:r>
        <w:rPr>
          <w:rFonts w:eastAsia="仿宋_GB2312"/>
          <w:color w:val="000000" w:themeColor="text1"/>
          <w:sz w:val="32"/>
          <w:szCs w:val="32"/>
          <w14:textFill>
            <w14:solidFill>
              <w14:schemeClr w14:val="tx1"/>
            </w14:solidFill>
          </w14:textFill>
        </w:rPr>
        <w:t>指挥部指挥长开展现场处置</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指挥调度</w:t>
      </w:r>
      <w:r>
        <w:rPr>
          <w:rFonts w:hint="eastAsia" w:eastAsia="仿宋_GB2312"/>
          <w:sz w:val="32"/>
          <w:szCs w:val="32"/>
        </w:rPr>
        <w:t>，</w:t>
      </w:r>
      <w:r>
        <w:rPr>
          <w:rFonts w:eastAsia="仿宋_GB2312"/>
          <w:color w:val="000000" w:themeColor="text1"/>
          <w:sz w:val="32"/>
          <w:szCs w:val="32"/>
          <w14:textFill>
            <w14:solidFill>
              <w14:schemeClr w14:val="tx1"/>
            </w14:solidFill>
          </w14:textFill>
        </w:rPr>
        <w:t>协调调动</w:t>
      </w:r>
      <w:r>
        <w:rPr>
          <w:rFonts w:hint="eastAsia" w:eastAsia="仿宋_GB2312"/>
          <w:color w:val="000000" w:themeColor="text1"/>
          <w:sz w:val="32"/>
          <w:szCs w:val="32"/>
          <w14:textFill>
            <w14:solidFill>
              <w14:schemeClr w14:val="tx1"/>
            </w14:solidFill>
          </w14:textFill>
        </w:rPr>
        <w:t>环境应急救援物资，</w:t>
      </w:r>
      <w:r>
        <w:rPr>
          <w:rFonts w:hint="eastAsia" w:eastAsia="仿宋_GB2312"/>
          <w:sz w:val="32"/>
          <w:szCs w:val="32"/>
        </w:rPr>
        <w:t>负责会议组织、会议纪要、信息汇总报送、资料管理，完成指挥部交办的各项任务，为应急处置工作提供保障服务。</w:t>
      </w:r>
    </w:p>
    <w:p w14:paraId="53236AFB">
      <w:pPr>
        <w:snapToGrid w:val="0"/>
        <w:spacing w:line="560" w:lineRule="exact"/>
        <w:ind w:firstLine="643" w:firstLineChars="200"/>
        <w:rPr>
          <w:rFonts w:eastAsia="仿宋_GB2312"/>
          <w:b/>
          <w:bCs/>
          <w:sz w:val="32"/>
          <w:szCs w:val="32"/>
        </w:rPr>
      </w:pPr>
      <w:r>
        <w:rPr>
          <w:rFonts w:hint="eastAsia" w:eastAsia="仿宋_GB2312"/>
          <w:b/>
          <w:bCs/>
          <w:sz w:val="32"/>
          <w:szCs w:val="32"/>
        </w:rPr>
        <w:t>（二）</w:t>
      </w:r>
      <w:r>
        <w:rPr>
          <w:rFonts w:eastAsia="仿宋_GB2312"/>
          <w:b/>
          <w:bCs/>
          <w:sz w:val="32"/>
          <w:szCs w:val="32"/>
        </w:rPr>
        <w:t>污染处置组</w:t>
      </w:r>
    </w:p>
    <w:p w14:paraId="10CC0E9B">
      <w:pPr>
        <w:snapToGrid w:val="0"/>
        <w:spacing w:line="560" w:lineRule="exact"/>
        <w:ind w:firstLine="640" w:firstLineChars="200"/>
        <w:rPr>
          <w:rFonts w:eastAsia="仿宋_GB2312"/>
          <w:sz w:val="32"/>
          <w:szCs w:val="32"/>
        </w:rPr>
      </w:pPr>
      <w:r>
        <w:rPr>
          <w:rFonts w:eastAsia="仿宋_GB2312"/>
          <w:sz w:val="32"/>
          <w:szCs w:val="32"/>
        </w:rPr>
        <w:t>牵头单位：兵团生态环境局</w:t>
      </w:r>
      <w:r>
        <w:rPr>
          <w:rFonts w:hint="eastAsia" w:eastAsia="仿宋_GB2312"/>
          <w:sz w:val="32"/>
          <w:szCs w:val="32"/>
        </w:rPr>
        <w:t>、</w:t>
      </w:r>
      <w:r>
        <w:rPr>
          <w:rFonts w:eastAsia="仿宋_GB2312"/>
          <w:sz w:val="32"/>
          <w:szCs w:val="32"/>
        </w:rPr>
        <w:t>兵团应急管理局</w:t>
      </w:r>
    </w:p>
    <w:p w14:paraId="7F59079A">
      <w:pPr>
        <w:snapToGrid w:val="0"/>
        <w:spacing w:line="560" w:lineRule="exact"/>
        <w:ind w:firstLine="640" w:firstLineChars="200"/>
        <w:rPr>
          <w:rFonts w:eastAsia="仿宋_GB2312"/>
          <w:sz w:val="32"/>
          <w:szCs w:val="32"/>
        </w:rPr>
      </w:pPr>
      <w:r>
        <w:rPr>
          <w:rFonts w:eastAsia="仿宋_GB2312"/>
          <w:sz w:val="32"/>
          <w:szCs w:val="32"/>
        </w:rPr>
        <w:t>组成单位：</w:t>
      </w:r>
      <w:r>
        <w:rPr>
          <w:rFonts w:hint="eastAsia" w:eastAsia="仿宋_GB2312"/>
          <w:sz w:val="32"/>
          <w:szCs w:val="32"/>
        </w:rPr>
        <w:t>兵团</w:t>
      </w:r>
      <w:r>
        <w:rPr>
          <w:rFonts w:eastAsia="仿宋_GB2312"/>
          <w:sz w:val="32"/>
          <w:szCs w:val="32"/>
        </w:rPr>
        <w:t>公安局、工业和信息化局、水利局、农业农村局（畜牧兽医局）、自然资源局、住房城乡建设局、交通运输局、教育局、兵团军事部、武警兵团总队</w:t>
      </w:r>
      <w:r>
        <w:rPr>
          <w:rFonts w:hint="eastAsia" w:eastAsia="仿宋_GB2312"/>
          <w:sz w:val="32"/>
          <w:szCs w:val="32"/>
        </w:rPr>
        <w:t>、</w:t>
      </w:r>
      <w:r>
        <w:rPr>
          <w:rFonts w:eastAsia="仿宋_GB2312"/>
          <w:sz w:val="32"/>
          <w:szCs w:val="32"/>
        </w:rPr>
        <w:t>事发地师市等。</w:t>
      </w:r>
    </w:p>
    <w:p w14:paraId="1585A119">
      <w:pPr>
        <w:snapToGrid w:val="0"/>
        <w:spacing w:line="560" w:lineRule="exact"/>
        <w:ind w:firstLine="640" w:firstLineChars="200"/>
        <w:rPr>
          <w:rFonts w:eastAsia="仿宋_GB2312"/>
          <w:sz w:val="32"/>
          <w:szCs w:val="32"/>
        </w:rPr>
      </w:pPr>
      <w:r>
        <w:rPr>
          <w:rFonts w:eastAsia="仿宋_GB2312"/>
          <w:sz w:val="32"/>
          <w:szCs w:val="32"/>
        </w:rPr>
        <w:t>主要职责：</w:t>
      </w:r>
      <w:r>
        <w:rPr>
          <w:rFonts w:hint="eastAsia" w:eastAsia="仿宋_GB2312"/>
          <w:sz w:val="32"/>
          <w:szCs w:val="32"/>
        </w:rPr>
        <w:t>组织污染源排查，</w:t>
      </w:r>
      <w:r>
        <w:rPr>
          <w:rFonts w:eastAsia="仿宋_GB2312"/>
          <w:sz w:val="32"/>
          <w:szCs w:val="32"/>
        </w:rPr>
        <w:t>划定现场警戒和交通管制区域，确定重点防护区域</w:t>
      </w:r>
      <w:r>
        <w:rPr>
          <w:rFonts w:hint="eastAsia" w:eastAsia="仿宋_GB2312"/>
          <w:sz w:val="32"/>
          <w:szCs w:val="32"/>
        </w:rPr>
        <w:t>，组织人员有序疏散，开展污染处置，</w:t>
      </w:r>
      <w:r>
        <w:rPr>
          <w:rFonts w:eastAsia="仿宋_GB2312"/>
          <w:sz w:val="32"/>
          <w:szCs w:val="32"/>
        </w:rPr>
        <w:t>必要时协调军队、武警有关力量参与应急处置</w:t>
      </w:r>
      <w:r>
        <w:rPr>
          <w:rFonts w:hint="eastAsia" w:eastAsia="仿宋_GB2312"/>
          <w:sz w:val="32"/>
          <w:szCs w:val="32"/>
        </w:rPr>
        <w:t>。</w:t>
      </w:r>
    </w:p>
    <w:p w14:paraId="42820330">
      <w:pPr>
        <w:snapToGrid w:val="0"/>
        <w:spacing w:line="560" w:lineRule="exact"/>
        <w:ind w:firstLine="643" w:firstLineChars="200"/>
        <w:rPr>
          <w:rFonts w:eastAsia="仿宋_GB2312"/>
          <w:b/>
          <w:bCs/>
          <w:sz w:val="32"/>
          <w:szCs w:val="32"/>
        </w:rPr>
      </w:pPr>
      <w:r>
        <w:rPr>
          <w:rFonts w:hint="eastAsia" w:eastAsia="仿宋_GB2312"/>
          <w:b/>
          <w:bCs/>
          <w:sz w:val="32"/>
          <w:szCs w:val="32"/>
        </w:rPr>
        <w:t>（三）</w:t>
      </w:r>
      <w:r>
        <w:rPr>
          <w:rFonts w:eastAsia="仿宋_GB2312"/>
          <w:b/>
          <w:bCs/>
          <w:sz w:val="32"/>
          <w:szCs w:val="32"/>
        </w:rPr>
        <w:t>应急监测组</w:t>
      </w:r>
    </w:p>
    <w:p w14:paraId="10C130BE">
      <w:pPr>
        <w:snapToGrid w:val="0"/>
        <w:spacing w:line="560" w:lineRule="exact"/>
        <w:ind w:firstLine="640" w:firstLineChars="200"/>
        <w:rPr>
          <w:rFonts w:eastAsia="仿宋_GB2312"/>
          <w:sz w:val="32"/>
          <w:szCs w:val="32"/>
        </w:rPr>
      </w:pPr>
      <w:r>
        <w:rPr>
          <w:rFonts w:eastAsia="仿宋_GB2312"/>
          <w:sz w:val="32"/>
          <w:szCs w:val="32"/>
        </w:rPr>
        <w:t>牵头单位：兵团生态环境局</w:t>
      </w:r>
    </w:p>
    <w:p w14:paraId="5E779681">
      <w:pPr>
        <w:snapToGrid w:val="0"/>
        <w:spacing w:line="560" w:lineRule="exact"/>
        <w:ind w:firstLine="640" w:firstLineChars="200"/>
        <w:rPr>
          <w:rFonts w:eastAsia="仿宋_GB2312"/>
          <w:sz w:val="32"/>
          <w:szCs w:val="32"/>
        </w:rPr>
      </w:pPr>
      <w:r>
        <w:rPr>
          <w:rFonts w:eastAsia="仿宋_GB2312"/>
          <w:sz w:val="32"/>
          <w:szCs w:val="32"/>
        </w:rPr>
        <w:t>组成单位：兵团</w:t>
      </w:r>
      <w:r>
        <w:rPr>
          <w:rFonts w:hint="eastAsia" w:eastAsia="仿宋_GB2312"/>
          <w:sz w:val="32"/>
          <w:szCs w:val="32"/>
        </w:rPr>
        <w:t>应急管理局、</w:t>
      </w:r>
      <w:r>
        <w:rPr>
          <w:rFonts w:eastAsia="仿宋_GB2312"/>
          <w:sz w:val="32"/>
          <w:szCs w:val="32"/>
        </w:rPr>
        <w:t>水利局、农业农村局（畜牧兽医局）、自然资源局</w:t>
      </w:r>
      <w:r>
        <w:rPr>
          <w:rFonts w:hint="eastAsia" w:eastAsia="仿宋_GB2312"/>
          <w:sz w:val="32"/>
          <w:szCs w:val="32"/>
        </w:rPr>
        <w:t>、</w:t>
      </w:r>
      <w:r>
        <w:rPr>
          <w:rFonts w:eastAsia="仿宋_GB2312"/>
          <w:sz w:val="32"/>
          <w:szCs w:val="32"/>
        </w:rPr>
        <w:t>事发地师市等。</w:t>
      </w:r>
    </w:p>
    <w:p w14:paraId="2CD5B685">
      <w:pPr>
        <w:snapToGrid w:val="0"/>
        <w:spacing w:line="560" w:lineRule="exact"/>
        <w:ind w:firstLine="640" w:firstLineChars="200"/>
        <w:rPr>
          <w:rFonts w:eastAsia="仿宋_GB2312"/>
          <w:sz w:val="32"/>
          <w:szCs w:val="32"/>
        </w:rPr>
      </w:pPr>
      <w:r>
        <w:rPr>
          <w:rFonts w:eastAsia="仿宋_GB2312"/>
          <w:sz w:val="32"/>
          <w:szCs w:val="32"/>
        </w:rPr>
        <w:t>主要职责：根据突发生态环境事件的污染物种类、性质以及当地气象、自然、社会环境状况等，明确相应的应急监测方案及监测方法，确定监测点位、频次，掌握污染物浓度变化，确定污染影响范围和程度，做好大气、水体、土壤等应急监测，为突发生态环境事件应急决策提供依据。</w:t>
      </w:r>
    </w:p>
    <w:p w14:paraId="1DC7D620">
      <w:pPr>
        <w:snapToGrid w:val="0"/>
        <w:spacing w:line="560" w:lineRule="exact"/>
        <w:ind w:firstLine="643" w:firstLineChars="200"/>
        <w:rPr>
          <w:rFonts w:eastAsia="仿宋_GB2312"/>
          <w:b/>
          <w:bCs/>
          <w:sz w:val="32"/>
          <w:szCs w:val="32"/>
        </w:rPr>
      </w:pPr>
      <w:r>
        <w:rPr>
          <w:rFonts w:hint="eastAsia" w:eastAsia="仿宋_GB2312"/>
          <w:b/>
          <w:bCs/>
          <w:sz w:val="32"/>
          <w:szCs w:val="32"/>
        </w:rPr>
        <w:t>（四）</w:t>
      </w:r>
      <w:r>
        <w:rPr>
          <w:rFonts w:eastAsia="仿宋_GB2312"/>
          <w:b/>
          <w:bCs/>
          <w:sz w:val="32"/>
          <w:szCs w:val="32"/>
        </w:rPr>
        <w:t>医疗救援组</w:t>
      </w:r>
    </w:p>
    <w:p w14:paraId="166E39E2">
      <w:pPr>
        <w:snapToGrid w:val="0"/>
        <w:spacing w:line="560" w:lineRule="exact"/>
        <w:ind w:firstLine="640" w:firstLineChars="200"/>
        <w:rPr>
          <w:rFonts w:eastAsia="仿宋_GB2312"/>
          <w:sz w:val="32"/>
          <w:szCs w:val="32"/>
        </w:rPr>
      </w:pPr>
      <w:r>
        <w:rPr>
          <w:rFonts w:eastAsia="仿宋_GB2312"/>
          <w:sz w:val="32"/>
          <w:szCs w:val="32"/>
        </w:rPr>
        <w:t>牵头单位：兵团卫生健康委</w:t>
      </w:r>
    </w:p>
    <w:p w14:paraId="1DAF45AE">
      <w:pPr>
        <w:snapToGrid w:val="0"/>
        <w:spacing w:line="560" w:lineRule="exact"/>
        <w:ind w:firstLine="640" w:firstLineChars="200"/>
        <w:rPr>
          <w:rFonts w:eastAsia="仿宋_GB2312"/>
          <w:sz w:val="32"/>
          <w:szCs w:val="32"/>
        </w:rPr>
      </w:pPr>
      <w:r>
        <w:rPr>
          <w:rFonts w:eastAsia="仿宋_GB2312"/>
          <w:sz w:val="32"/>
          <w:szCs w:val="32"/>
        </w:rPr>
        <w:t>组成单位：</w:t>
      </w:r>
      <w:r>
        <w:rPr>
          <w:rFonts w:hint="eastAsia" w:eastAsia="仿宋_GB2312"/>
          <w:sz w:val="32"/>
          <w:szCs w:val="32"/>
        </w:rPr>
        <w:t>兵团市场监督管理局、</w:t>
      </w:r>
      <w:r>
        <w:rPr>
          <w:rFonts w:eastAsia="仿宋_GB2312"/>
          <w:sz w:val="32"/>
          <w:szCs w:val="32"/>
        </w:rPr>
        <w:t>红十字会</w:t>
      </w:r>
      <w:r>
        <w:rPr>
          <w:rFonts w:hint="eastAsia" w:eastAsia="仿宋_GB2312"/>
          <w:sz w:val="32"/>
          <w:szCs w:val="32"/>
        </w:rPr>
        <w:t>、</w:t>
      </w:r>
      <w:r>
        <w:rPr>
          <w:rFonts w:eastAsia="仿宋_GB2312"/>
          <w:sz w:val="32"/>
          <w:szCs w:val="32"/>
        </w:rPr>
        <w:t>事发地师市等。</w:t>
      </w:r>
    </w:p>
    <w:p w14:paraId="6810EEFD">
      <w:pPr>
        <w:snapToGrid w:val="0"/>
        <w:spacing w:line="560" w:lineRule="exact"/>
        <w:ind w:firstLine="640" w:firstLineChars="200"/>
        <w:rPr>
          <w:rFonts w:eastAsia="仿宋_GB2312"/>
          <w:sz w:val="32"/>
          <w:szCs w:val="32"/>
        </w:rPr>
      </w:pPr>
      <w:r>
        <w:rPr>
          <w:rFonts w:eastAsia="仿宋_GB2312"/>
          <w:sz w:val="32"/>
          <w:szCs w:val="32"/>
        </w:rPr>
        <w:t>主要职责：</w:t>
      </w:r>
      <w:r>
        <w:rPr>
          <w:rFonts w:hint="eastAsia" w:eastAsia="仿宋_GB2312"/>
          <w:sz w:val="32"/>
          <w:szCs w:val="32"/>
        </w:rPr>
        <w:t>组织开展伤病员医疗救治、应急心理援助；指导和协助开展受污染人员的去污洗消工作；提出保护公众健康的措施建议；禁止或限制受污染食品和饮用水的生产、加工、流通和食用，防范因突发生态环境事件造成的集体中毒等。</w:t>
      </w:r>
    </w:p>
    <w:p w14:paraId="6CAD4463">
      <w:pPr>
        <w:snapToGrid w:val="0"/>
        <w:spacing w:line="560" w:lineRule="exact"/>
        <w:ind w:firstLine="643" w:firstLineChars="200"/>
        <w:rPr>
          <w:rFonts w:eastAsia="仿宋_GB2312"/>
          <w:b/>
          <w:bCs/>
          <w:sz w:val="32"/>
          <w:szCs w:val="32"/>
        </w:rPr>
      </w:pPr>
      <w:r>
        <w:rPr>
          <w:rFonts w:hint="eastAsia" w:eastAsia="仿宋_GB2312"/>
          <w:b/>
          <w:bCs/>
          <w:sz w:val="32"/>
          <w:szCs w:val="32"/>
        </w:rPr>
        <w:t>（五）</w:t>
      </w:r>
      <w:r>
        <w:rPr>
          <w:rFonts w:eastAsia="仿宋_GB2312"/>
          <w:b/>
          <w:bCs/>
          <w:sz w:val="32"/>
          <w:szCs w:val="32"/>
        </w:rPr>
        <w:t>应急保障组</w:t>
      </w:r>
    </w:p>
    <w:p w14:paraId="4E257A0F">
      <w:pPr>
        <w:snapToGrid w:val="0"/>
        <w:spacing w:line="560" w:lineRule="exact"/>
        <w:ind w:firstLine="640" w:firstLineChars="200"/>
        <w:rPr>
          <w:rFonts w:eastAsia="仿宋_GB2312"/>
          <w:sz w:val="32"/>
          <w:szCs w:val="32"/>
        </w:rPr>
      </w:pPr>
      <w:r>
        <w:rPr>
          <w:rFonts w:eastAsia="仿宋_GB2312"/>
          <w:sz w:val="32"/>
          <w:szCs w:val="32"/>
        </w:rPr>
        <w:t>牵头单位：兵团发展</w:t>
      </w:r>
      <w:r>
        <w:rPr>
          <w:rFonts w:hint="eastAsia" w:eastAsia="仿宋_GB2312"/>
          <w:sz w:val="32"/>
          <w:szCs w:val="32"/>
        </w:rPr>
        <w:t>和</w:t>
      </w:r>
      <w:r>
        <w:rPr>
          <w:rFonts w:eastAsia="仿宋_GB2312"/>
          <w:sz w:val="32"/>
          <w:szCs w:val="32"/>
        </w:rPr>
        <w:t>改革</w:t>
      </w:r>
      <w:r>
        <w:rPr>
          <w:rFonts w:hint="eastAsia" w:eastAsia="仿宋_GB2312"/>
          <w:sz w:val="32"/>
          <w:szCs w:val="32"/>
        </w:rPr>
        <w:t>委员会、</w:t>
      </w:r>
      <w:r>
        <w:rPr>
          <w:rFonts w:eastAsia="仿宋_GB2312"/>
          <w:sz w:val="32"/>
          <w:szCs w:val="32"/>
        </w:rPr>
        <w:t>应急管理局</w:t>
      </w:r>
    </w:p>
    <w:p w14:paraId="0EC8611A">
      <w:pPr>
        <w:snapToGrid w:val="0"/>
        <w:spacing w:line="560" w:lineRule="exact"/>
        <w:ind w:firstLine="640" w:firstLineChars="200"/>
        <w:rPr>
          <w:rFonts w:eastAsia="仿宋_GB2312"/>
          <w:sz w:val="32"/>
          <w:szCs w:val="32"/>
        </w:rPr>
      </w:pPr>
      <w:r>
        <w:rPr>
          <w:rFonts w:eastAsia="仿宋_GB2312"/>
          <w:sz w:val="32"/>
          <w:szCs w:val="32"/>
        </w:rPr>
        <w:t>组成单位：兵团工业和信息化局</w:t>
      </w:r>
      <w:r>
        <w:rPr>
          <w:rFonts w:hint="eastAsia" w:eastAsia="仿宋_GB2312"/>
          <w:sz w:val="32"/>
          <w:szCs w:val="32"/>
        </w:rPr>
        <w:t>、</w:t>
      </w:r>
      <w:r>
        <w:rPr>
          <w:rFonts w:eastAsia="仿宋_GB2312"/>
          <w:sz w:val="32"/>
          <w:szCs w:val="32"/>
        </w:rPr>
        <w:t>公安局、民政局</w:t>
      </w:r>
      <w:r>
        <w:rPr>
          <w:rFonts w:hint="eastAsia" w:eastAsia="仿宋_GB2312"/>
          <w:sz w:val="32"/>
          <w:szCs w:val="32"/>
        </w:rPr>
        <w:t>、</w:t>
      </w:r>
      <w:r>
        <w:rPr>
          <w:rFonts w:eastAsia="仿宋_GB2312"/>
          <w:sz w:val="32"/>
          <w:szCs w:val="32"/>
        </w:rPr>
        <w:t>财政局</w:t>
      </w:r>
      <w:r>
        <w:rPr>
          <w:rFonts w:hint="eastAsia" w:eastAsia="仿宋_GB2312"/>
          <w:sz w:val="32"/>
          <w:szCs w:val="32"/>
        </w:rPr>
        <w:t>、</w:t>
      </w:r>
      <w:r>
        <w:rPr>
          <w:rFonts w:eastAsia="仿宋_GB2312"/>
          <w:sz w:val="32"/>
          <w:szCs w:val="32"/>
        </w:rPr>
        <w:t>生态环境局</w:t>
      </w:r>
      <w:r>
        <w:rPr>
          <w:rFonts w:hint="eastAsia" w:eastAsia="仿宋_GB2312"/>
          <w:sz w:val="32"/>
          <w:szCs w:val="32"/>
        </w:rPr>
        <w:t>、</w:t>
      </w:r>
      <w:r>
        <w:rPr>
          <w:rFonts w:eastAsia="仿宋_GB2312"/>
          <w:sz w:val="32"/>
          <w:szCs w:val="32"/>
        </w:rPr>
        <w:t>住房城乡建设局</w:t>
      </w:r>
      <w:r>
        <w:rPr>
          <w:rFonts w:hint="eastAsia" w:eastAsia="仿宋_GB2312"/>
          <w:sz w:val="32"/>
          <w:szCs w:val="32"/>
        </w:rPr>
        <w:t>、</w:t>
      </w:r>
      <w:r>
        <w:rPr>
          <w:rFonts w:eastAsia="仿宋_GB2312"/>
          <w:sz w:val="32"/>
          <w:szCs w:val="32"/>
        </w:rPr>
        <w:t>交通运输局、水利局</w:t>
      </w:r>
      <w:r>
        <w:rPr>
          <w:rFonts w:hint="eastAsia" w:eastAsia="仿宋_GB2312"/>
          <w:sz w:val="32"/>
          <w:szCs w:val="32"/>
        </w:rPr>
        <w:t>、</w:t>
      </w:r>
      <w:r>
        <w:rPr>
          <w:rFonts w:eastAsia="仿宋_GB2312"/>
          <w:sz w:val="32"/>
          <w:szCs w:val="32"/>
        </w:rPr>
        <w:t>商务局、自然资源局</w:t>
      </w:r>
      <w:r>
        <w:rPr>
          <w:rFonts w:hint="eastAsia" w:eastAsia="仿宋_GB2312"/>
          <w:sz w:val="32"/>
          <w:szCs w:val="32"/>
        </w:rPr>
        <w:t>、</w:t>
      </w:r>
      <w:r>
        <w:rPr>
          <w:rFonts w:eastAsia="仿宋_GB2312"/>
          <w:sz w:val="32"/>
          <w:szCs w:val="32"/>
        </w:rPr>
        <w:t>人力资源社会保障局</w:t>
      </w:r>
      <w:r>
        <w:rPr>
          <w:rFonts w:hint="eastAsia" w:eastAsia="仿宋_GB2312"/>
          <w:sz w:val="32"/>
          <w:szCs w:val="32"/>
        </w:rPr>
        <w:t>、</w:t>
      </w:r>
      <w:r>
        <w:rPr>
          <w:rFonts w:eastAsia="仿宋_GB2312"/>
          <w:sz w:val="32"/>
          <w:szCs w:val="32"/>
        </w:rPr>
        <w:t>事发地师市等。</w:t>
      </w:r>
    </w:p>
    <w:p w14:paraId="3841D925">
      <w:pPr>
        <w:snapToGrid w:val="0"/>
        <w:spacing w:line="560" w:lineRule="exact"/>
        <w:ind w:firstLine="640" w:firstLineChars="200"/>
        <w:rPr>
          <w:rFonts w:eastAsia="仿宋_GB2312"/>
          <w:sz w:val="32"/>
          <w:szCs w:val="32"/>
        </w:rPr>
      </w:pPr>
      <w:r>
        <w:rPr>
          <w:rFonts w:eastAsia="仿宋_GB2312"/>
          <w:sz w:val="32"/>
          <w:szCs w:val="32"/>
        </w:rPr>
        <w:t>主要职责：指导做好事件影响区域有关人员的紧急转移和临时安置工作；组织做好环境应急救援物资及临时安置重要物资的紧急生产、储备调拨和紧急配送工作；及时组织调运重要生活必需品，保障群众基本生活和市场供应；负责组织协调应急处置工作所</w:t>
      </w:r>
      <w:r>
        <w:rPr>
          <w:rFonts w:hint="eastAsia" w:eastAsia="仿宋_GB2312"/>
          <w:sz w:val="32"/>
          <w:szCs w:val="32"/>
        </w:rPr>
        <w:t>需的</w:t>
      </w:r>
      <w:r>
        <w:rPr>
          <w:rFonts w:eastAsia="仿宋_GB2312"/>
          <w:sz w:val="32"/>
          <w:szCs w:val="32"/>
        </w:rPr>
        <w:t>应急电力、</w:t>
      </w:r>
      <w:r>
        <w:rPr>
          <w:rFonts w:hint="eastAsia" w:eastAsia="仿宋_GB2312"/>
          <w:sz w:val="32"/>
          <w:szCs w:val="32"/>
        </w:rPr>
        <w:t>通信保障</w:t>
      </w:r>
      <w:r>
        <w:rPr>
          <w:rFonts w:eastAsia="仿宋_GB2312"/>
          <w:sz w:val="32"/>
          <w:szCs w:val="32"/>
        </w:rPr>
        <w:t>工作；开展应急测绘</w:t>
      </w:r>
      <w:r>
        <w:rPr>
          <w:rFonts w:hint="eastAsia" w:eastAsia="仿宋_GB2312"/>
          <w:sz w:val="32"/>
          <w:szCs w:val="32"/>
        </w:rPr>
        <w:t>，</w:t>
      </w:r>
      <w:r>
        <w:rPr>
          <w:rFonts w:eastAsia="仿宋_GB2312"/>
          <w:sz w:val="32"/>
          <w:szCs w:val="32"/>
        </w:rPr>
        <w:t>为突发生态环境事件</w:t>
      </w:r>
      <w:r>
        <w:rPr>
          <w:rFonts w:hint="eastAsia" w:eastAsia="仿宋_GB2312"/>
          <w:sz w:val="32"/>
          <w:szCs w:val="32"/>
        </w:rPr>
        <w:t>应急处置</w:t>
      </w:r>
      <w:r>
        <w:rPr>
          <w:rFonts w:eastAsia="仿宋_GB2312"/>
          <w:sz w:val="32"/>
          <w:szCs w:val="32"/>
        </w:rPr>
        <w:t>提供</w:t>
      </w:r>
      <w:r>
        <w:rPr>
          <w:rFonts w:hint="eastAsia" w:eastAsia="仿宋_GB2312"/>
          <w:sz w:val="32"/>
          <w:szCs w:val="32"/>
        </w:rPr>
        <w:t>基础</w:t>
      </w:r>
      <w:r>
        <w:rPr>
          <w:rFonts w:eastAsia="仿宋_GB2312"/>
          <w:sz w:val="32"/>
          <w:szCs w:val="32"/>
        </w:rPr>
        <w:t>信息资料；做好伤亡人员工伤认定及工伤保险相关待遇的支付工作。</w:t>
      </w:r>
    </w:p>
    <w:p w14:paraId="51342AD8">
      <w:pPr>
        <w:snapToGrid w:val="0"/>
        <w:spacing w:line="560" w:lineRule="exact"/>
        <w:ind w:firstLine="643" w:firstLineChars="200"/>
        <w:rPr>
          <w:rFonts w:eastAsia="仿宋_GB2312"/>
          <w:b/>
          <w:bCs/>
          <w:sz w:val="32"/>
          <w:szCs w:val="32"/>
        </w:rPr>
      </w:pPr>
      <w:r>
        <w:rPr>
          <w:rFonts w:hint="eastAsia" w:eastAsia="仿宋_GB2312"/>
          <w:b/>
          <w:bCs/>
          <w:sz w:val="32"/>
          <w:szCs w:val="32"/>
        </w:rPr>
        <w:t>（六）</w:t>
      </w:r>
      <w:r>
        <w:rPr>
          <w:rFonts w:eastAsia="仿宋_GB2312"/>
          <w:b/>
          <w:bCs/>
          <w:sz w:val="32"/>
          <w:szCs w:val="32"/>
        </w:rPr>
        <w:t>宣传报道组</w:t>
      </w:r>
    </w:p>
    <w:p w14:paraId="595C8878">
      <w:pPr>
        <w:snapToGrid w:val="0"/>
        <w:spacing w:line="560" w:lineRule="exact"/>
        <w:ind w:firstLine="640" w:firstLineChars="200"/>
        <w:rPr>
          <w:rFonts w:eastAsia="仿宋_GB2312"/>
          <w:sz w:val="32"/>
          <w:szCs w:val="32"/>
        </w:rPr>
      </w:pPr>
      <w:r>
        <w:rPr>
          <w:rFonts w:eastAsia="仿宋_GB2312"/>
          <w:sz w:val="32"/>
          <w:szCs w:val="32"/>
        </w:rPr>
        <w:t>牵头单位：兵团党委宣传部</w:t>
      </w:r>
    </w:p>
    <w:p w14:paraId="4DEC41EE">
      <w:pPr>
        <w:snapToGrid w:val="0"/>
        <w:spacing w:line="560" w:lineRule="exact"/>
        <w:ind w:firstLine="640" w:firstLineChars="200"/>
        <w:rPr>
          <w:rFonts w:eastAsia="仿宋_GB2312"/>
          <w:sz w:val="32"/>
          <w:szCs w:val="32"/>
        </w:rPr>
      </w:pPr>
      <w:r>
        <w:rPr>
          <w:rFonts w:eastAsia="仿宋_GB2312"/>
          <w:sz w:val="32"/>
          <w:szCs w:val="32"/>
        </w:rPr>
        <w:t>组成单位：兵团党委网信办，兵团文体广电和旅游局、生态环境局，事发地师市等。</w:t>
      </w:r>
    </w:p>
    <w:p w14:paraId="7BAA153C">
      <w:pPr>
        <w:snapToGrid w:val="0"/>
        <w:spacing w:line="560" w:lineRule="exact"/>
        <w:ind w:firstLine="640" w:firstLineChars="200"/>
        <w:rPr>
          <w:rFonts w:eastAsia="仿宋_GB2312"/>
          <w:sz w:val="32"/>
          <w:szCs w:val="32"/>
        </w:rPr>
      </w:pPr>
      <w:r>
        <w:rPr>
          <w:rFonts w:eastAsia="仿宋_GB2312"/>
          <w:sz w:val="32"/>
          <w:szCs w:val="32"/>
        </w:rPr>
        <w:t>主要职责：</w:t>
      </w:r>
      <w:r>
        <w:rPr>
          <w:rFonts w:hint="eastAsia" w:eastAsia="仿宋_GB2312"/>
          <w:sz w:val="32"/>
          <w:szCs w:val="32"/>
        </w:rPr>
        <w:t>组织开展事件进展、应急工作情况等权威信息发布，加强新闻宣传报道；收集分析舆情和社会公众动态，加强媒体、电信和互联网管理，正确引导舆论；通过多种方式，通俗、权威、全面、前瞻地做好相关知识普及；及时澄清不实信息，回应社会关切。</w:t>
      </w:r>
    </w:p>
    <w:p w14:paraId="46FD8D77">
      <w:pPr>
        <w:snapToGrid w:val="0"/>
        <w:spacing w:line="560" w:lineRule="exact"/>
        <w:ind w:firstLine="643" w:firstLineChars="200"/>
        <w:rPr>
          <w:rFonts w:eastAsia="仿宋_GB2312"/>
          <w:b/>
          <w:bCs/>
          <w:sz w:val="32"/>
          <w:szCs w:val="32"/>
        </w:rPr>
      </w:pPr>
      <w:r>
        <w:rPr>
          <w:rFonts w:hint="eastAsia" w:eastAsia="仿宋_GB2312"/>
          <w:b/>
          <w:bCs/>
          <w:sz w:val="32"/>
          <w:szCs w:val="32"/>
        </w:rPr>
        <w:t>（七）</w:t>
      </w:r>
      <w:r>
        <w:rPr>
          <w:rFonts w:eastAsia="仿宋_GB2312"/>
          <w:b/>
          <w:bCs/>
          <w:sz w:val="32"/>
          <w:szCs w:val="32"/>
        </w:rPr>
        <w:t>社会稳定组</w:t>
      </w:r>
    </w:p>
    <w:p w14:paraId="0828F303">
      <w:pPr>
        <w:snapToGrid w:val="0"/>
        <w:spacing w:line="560" w:lineRule="exact"/>
        <w:ind w:firstLine="640" w:firstLineChars="200"/>
        <w:rPr>
          <w:rFonts w:eastAsia="仿宋_GB2312"/>
          <w:sz w:val="32"/>
          <w:szCs w:val="32"/>
        </w:rPr>
      </w:pPr>
      <w:r>
        <w:rPr>
          <w:rFonts w:eastAsia="仿宋_GB2312"/>
          <w:sz w:val="32"/>
          <w:szCs w:val="32"/>
        </w:rPr>
        <w:t>牵头单位：兵团党委政法委</w:t>
      </w:r>
    </w:p>
    <w:p w14:paraId="25FF7955">
      <w:pPr>
        <w:snapToGrid w:val="0"/>
        <w:spacing w:line="560" w:lineRule="exact"/>
        <w:ind w:firstLine="640" w:firstLineChars="200"/>
        <w:rPr>
          <w:rFonts w:eastAsia="仿宋_GB2312"/>
          <w:sz w:val="32"/>
          <w:szCs w:val="32"/>
        </w:rPr>
      </w:pPr>
      <w:r>
        <w:rPr>
          <w:rFonts w:eastAsia="仿宋_GB2312"/>
          <w:sz w:val="32"/>
          <w:szCs w:val="32"/>
        </w:rPr>
        <w:t>组成单位：兵团党委网信办</w:t>
      </w:r>
      <w:r>
        <w:rPr>
          <w:rFonts w:hint="eastAsia" w:eastAsia="仿宋_GB2312"/>
          <w:sz w:val="32"/>
          <w:szCs w:val="32"/>
        </w:rPr>
        <w:t>、民兵办，</w:t>
      </w:r>
      <w:r>
        <w:rPr>
          <w:rFonts w:eastAsia="仿宋_GB2312"/>
          <w:sz w:val="32"/>
          <w:szCs w:val="32"/>
        </w:rPr>
        <w:t>兵团公安局、司法局</w:t>
      </w:r>
      <w:r>
        <w:rPr>
          <w:rFonts w:hint="eastAsia" w:eastAsia="仿宋_GB2312"/>
          <w:sz w:val="32"/>
          <w:szCs w:val="32"/>
        </w:rPr>
        <w:t>、</w:t>
      </w:r>
      <w:r>
        <w:rPr>
          <w:rFonts w:eastAsia="仿宋_GB2312"/>
          <w:sz w:val="32"/>
          <w:szCs w:val="32"/>
        </w:rPr>
        <w:t>交通运输局、军事部、武警兵团总队、事发地师市等。</w:t>
      </w:r>
    </w:p>
    <w:p w14:paraId="54DE710B">
      <w:pPr>
        <w:snapToGrid w:val="0"/>
        <w:spacing w:line="560" w:lineRule="exact"/>
        <w:ind w:firstLine="640" w:firstLineChars="200"/>
        <w:rPr>
          <w:rFonts w:eastAsia="仿宋_GB2312"/>
          <w:sz w:val="32"/>
          <w:szCs w:val="32"/>
        </w:rPr>
      </w:pPr>
      <w:r>
        <w:rPr>
          <w:rFonts w:eastAsia="仿宋_GB2312"/>
          <w:sz w:val="32"/>
          <w:szCs w:val="32"/>
        </w:rPr>
        <w:t>主要职责：加强受影响地区社会治安管理，严厉打击借机传播谣言制造社会恐慌、哄抢物资等违法犯罪行为；加强转移人员安置点、救灾物资存放点等重点区域治安管控；做好受影响人员与涉事单位、地方政府及有关部门矛盾纠纷化解和法律服务工作，防止出现群体性事件，维护社会稳定。</w:t>
      </w:r>
    </w:p>
    <w:p w14:paraId="74A3918D">
      <w:pPr>
        <w:snapToGrid w:val="0"/>
        <w:spacing w:line="560" w:lineRule="exact"/>
        <w:ind w:firstLine="643" w:firstLineChars="200"/>
        <w:rPr>
          <w:rFonts w:eastAsia="仿宋_GB2312"/>
          <w:b/>
          <w:bCs/>
          <w:sz w:val="32"/>
          <w:szCs w:val="32"/>
        </w:rPr>
      </w:pPr>
      <w:r>
        <w:rPr>
          <w:rFonts w:hint="eastAsia" w:eastAsia="仿宋_GB2312"/>
          <w:b/>
          <w:bCs/>
          <w:sz w:val="32"/>
          <w:szCs w:val="32"/>
        </w:rPr>
        <w:t>（八）</w:t>
      </w:r>
      <w:r>
        <w:rPr>
          <w:rFonts w:eastAsia="仿宋_GB2312"/>
          <w:b/>
          <w:bCs/>
          <w:sz w:val="32"/>
          <w:szCs w:val="32"/>
        </w:rPr>
        <w:t>调查评估组</w:t>
      </w:r>
    </w:p>
    <w:p w14:paraId="4213D744">
      <w:pPr>
        <w:snapToGrid w:val="0"/>
        <w:spacing w:line="560" w:lineRule="exact"/>
        <w:ind w:firstLine="640" w:firstLineChars="200"/>
        <w:rPr>
          <w:rFonts w:eastAsia="仿宋_GB2312"/>
          <w:sz w:val="32"/>
          <w:szCs w:val="32"/>
        </w:rPr>
      </w:pPr>
      <w:r>
        <w:rPr>
          <w:rFonts w:eastAsia="仿宋_GB2312"/>
          <w:sz w:val="32"/>
          <w:szCs w:val="32"/>
        </w:rPr>
        <w:t>牵头单位：</w:t>
      </w:r>
      <w:r>
        <w:rPr>
          <w:rFonts w:hint="eastAsia" w:eastAsia="仿宋_GB2312"/>
          <w:sz w:val="32"/>
          <w:szCs w:val="32"/>
        </w:rPr>
        <w:t>兵团生态环境局、应急管理局</w:t>
      </w:r>
    </w:p>
    <w:p w14:paraId="0E362E16">
      <w:pPr>
        <w:snapToGrid w:val="0"/>
        <w:spacing w:line="560" w:lineRule="exact"/>
        <w:ind w:firstLine="640" w:firstLineChars="200"/>
        <w:rPr>
          <w:rFonts w:eastAsia="仿宋_GB2312"/>
          <w:sz w:val="32"/>
          <w:szCs w:val="32"/>
        </w:rPr>
      </w:pPr>
      <w:r>
        <w:rPr>
          <w:rFonts w:eastAsia="仿宋_GB2312"/>
          <w:sz w:val="32"/>
          <w:szCs w:val="32"/>
        </w:rPr>
        <w:t>组成单位：兵团发展</w:t>
      </w:r>
      <w:r>
        <w:rPr>
          <w:rFonts w:hint="eastAsia" w:eastAsia="仿宋_GB2312"/>
          <w:sz w:val="32"/>
          <w:szCs w:val="32"/>
        </w:rPr>
        <w:t>和</w:t>
      </w:r>
      <w:r>
        <w:rPr>
          <w:rFonts w:eastAsia="仿宋_GB2312"/>
          <w:sz w:val="32"/>
          <w:szCs w:val="32"/>
        </w:rPr>
        <w:t>改革</w:t>
      </w:r>
      <w:r>
        <w:rPr>
          <w:rFonts w:hint="eastAsia" w:eastAsia="仿宋_GB2312"/>
          <w:sz w:val="32"/>
          <w:szCs w:val="32"/>
        </w:rPr>
        <w:t>委员会、司法局、</w:t>
      </w:r>
      <w:r>
        <w:rPr>
          <w:rFonts w:eastAsia="仿宋_GB2312"/>
          <w:sz w:val="32"/>
          <w:szCs w:val="32"/>
        </w:rPr>
        <w:t>工业和信息化局、交通运输局、水利局、农业农村局（畜牧兽医局）、自然资源局、事发地师市等。</w:t>
      </w:r>
    </w:p>
    <w:p w14:paraId="4F92C86D">
      <w:pPr>
        <w:snapToGrid w:val="0"/>
        <w:spacing w:line="560" w:lineRule="exact"/>
        <w:ind w:firstLine="640" w:firstLineChars="200"/>
        <w:rPr>
          <w:rFonts w:eastAsia="仿宋_GB2312"/>
          <w:sz w:val="32"/>
          <w:szCs w:val="32"/>
        </w:rPr>
      </w:pPr>
      <w:r>
        <w:rPr>
          <w:rFonts w:eastAsia="仿宋_GB2312"/>
          <w:sz w:val="32"/>
          <w:szCs w:val="32"/>
        </w:rPr>
        <w:t>主要职责：</w:t>
      </w:r>
      <w:r>
        <w:rPr>
          <w:rFonts w:hint="eastAsia" w:eastAsia="仿宋_GB2312"/>
          <w:sz w:val="32"/>
          <w:szCs w:val="32"/>
        </w:rPr>
        <w:t>开展突发生态环境事件环境污染损害调查，评估、核实事件造成的损失情况；对较大突发生态环境事件的起因、性质、影响、责任、经验教训和恢复重建等问题进行调查评估及分析；对应急处置过程、有关人员的责任、应急处置工作、存在的问题等情况进行分析，必要时负责追究造成突发生态环境事件责任单位和责任人的行政责任。</w:t>
      </w:r>
    </w:p>
    <w:p w14:paraId="4D1FCD8C">
      <w:pPr>
        <w:tabs>
          <w:tab w:val="center" w:pos="4743"/>
        </w:tabs>
        <w:snapToGrid w:val="0"/>
        <w:spacing w:line="560" w:lineRule="exact"/>
        <w:ind w:firstLine="643" w:firstLineChars="200"/>
        <w:rPr>
          <w:rFonts w:eastAsia="仿宋_GB2312"/>
          <w:b/>
          <w:bCs/>
          <w:sz w:val="32"/>
          <w:szCs w:val="32"/>
        </w:rPr>
      </w:pPr>
      <w:bookmarkStart w:id="66" w:name="_Toc30197"/>
      <w:bookmarkStart w:id="67" w:name="_Toc400723049"/>
      <w:r>
        <w:rPr>
          <w:rFonts w:hint="eastAsia" w:eastAsia="仿宋_GB2312"/>
          <w:b/>
          <w:bCs/>
          <w:sz w:val="32"/>
          <w:szCs w:val="32"/>
        </w:rPr>
        <w:t>（九）</w:t>
      </w:r>
      <w:r>
        <w:rPr>
          <w:rFonts w:eastAsia="仿宋_GB2312"/>
          <w:b/>
          <w:bCs/>
          <w:sz w:val="32"/>
          <w:szCs w:val="32"/>
        </w:rPr>
        <w:t>应急专家组</w:t>
      </w:r>
      <w:bookmarkEnd w:id="66"/>
      <w:bookmarkEnd w:id="67"/>
    </w:p>
    <w:p w14:paraId="581D466E">
      <w:pPr>
        <w:snapToGrid w:val="0"/>
        <w:spacing w:line="560" w:lineRule="exact"/>
        <w:ind w:firstLine="640" w:firstLineChars="200"/>
        <w:rPr>
          <w:rFonts w:eastAsia="仿宋_GB2312"/>
          <w:sz w:val="32"/>
          <w:szCs w:val="32"/>
        </w:rPr>
      </w:pPr>
      <w:r>
        <w:rPr>
          <w:rFonts w:eastAsia="仿宋_GB2312"/>
          <w:sz w:val="32"/>
          <w:szCs w:val="32"/>
        </w:rPr>
        <w:t>牵头单位：兵团生态环境</w:t>
      </w:r>
      <w:r>
        <w:rPr>
          <w:rFonts w:hint="eastAsia" w:eastAsia="仿宋_GB2312"/>
          <w:sz w:val="32"/>
          <w:szCs w:val="32"/>
        </w:rPr>
        <w:t>局</w:t>
      </w:r>
    </w:p>
    <w:p w14:paraId="7623CA3E">
      <w:pPr>
        <w:snapToGrid w:val="0"/>
        <w:spacing w:line="560" w:lineRule="exact"/>
        <w:ind w:firstLine="640" w:firstLineChars="200"/>
        <w:rPr>
          <w:rFonts w:eastAsia="仿宋_GB2312"/>
          <w:sz w:val="32"/>
          <w:szCs w:val="32"/>
        </w:rPr>
      </w:pPr>
      <w:r>
        <w:rPr>
          <w:rFonts w:eastAsia="仿宋_GB2312"/>
          <w:sz w:val="32"/>
          <w:szCs w:val="32"/>
        </w:rPr>
        <w:t>主要职责：</w:t>
      </w:r>
      <w:r>
        <w:rPr>
          <w:rFonts w:hint="eastAsia" w:eastAsia="仿宋_GB2312"/>
          <w:sz w:val="32"/>
          <w:szCs w:val="32"/>
        </w:rPr>
        <w:t>聘请科研单位、高等院校、企业等有关技术人员组成应急专家组，对污染趋势进行分析研判，指导制定污染处置等工作方案，为生态环境应急管理及事件处置提供支持。</w:t>
      </w:r>
    </w:p>
    <w:p w14:paraId="56129605">
      <w:pPr>
        <w:pStyle w:val="3"/>
        <w:adjustRightInd w:val="0"/>
        <w:snapToGrid w:val="0"/>
        <w:spacing w:before="0" w:after="0" w:line="560" w:lineRule="exact"/>
        <w:ind w:firstLine="640" w:firstLineChars="200"/>
        <w:rPr>
          <w:rFonts w:eastAsia="楷体_GB2312"/>
          <w:color w:val="auto"/>
          <w:sz w:val="32"/>
        </w:rPr>
      </w:pPr>
      <w:bookmarkStart w:id="68" w:name="_Toc92300340"/>
      <w:bookmarkStart w:id="69" w:name="_Toc207817639"/>
      <w:bookmarkStart w:id="70" w:name="_Toc91841289"/>
      <w:bookmarkStart w:id="71" w:name="_Toc88738155"/>
      <w:bookmarkStart w:id="72" w:name="_Toc30211"/>
      <w:bookmarkStart w:id="73" w:name="_Toc400723050"/>
      <w:r>
        <w:rPr>
          <w:rFonts w:eastAsia="楷体_GB2312"/>
          <w:color w:val="auto"/>
          <w:sz w:val="32"/>
        </w:rPr>
        <w:t>2.</w:t>
      </w:r>
      <w:r>
        <w:rPr>
          <w:rFonts w:hint="eastAsia" w:eastAsia="楷体_GB2312"/>
          <w:color w:val="auto"/>
          <w:sz w:val="32"/>
        </w:rPr>
        <w:t>4</w:t>
      </w:r>
      <w:r>
        <w:rPr>
          <w:rFonts w:eastAsia="楷体_GB2312"/>
          <w:color w:val="auto"/>
          <w:sz w:val="32"/>
        </w:rPr>
        <w:t xml:space="preserve"> 跨兵地突发</w:t>
      </w:r>
      <w:r>
        <w:rPr>
          <w:rFonts w:hint="eastAsia" w:eastAsia="楷体_GB2312"/>
          <w:color w:val="auto"/>
          <w:sz w:val="32"/>
        </w:rPr>
        <w:t>生态</w:t>
      </w:r>
      <w:r>
        <w:rPr>
          <w:rFonts w:eastAsia="楷体_GB2312"/>
          <w:color w:val="auto"/>
          <w:sz w:val="32"/>
        </w:rPr>
        <w:t>环境事件应对</w:t>
      </w:r>
      <w:bookmarkEnd w:id="68"/>
      <w:bookmarkEnd w:id="69"/>
      <w:bookmarkEnd w:id="70"/>
      <w:bookmarkEnd w:id="71"/>
    </w:p>
    <w:p w14:paraId="2212346E">
      <w:pPr>
        <w:snapToGrid w:val="0"/>
        <w:spacing w:line="560" w:lineRule="exact"/>
        <w:ind w:firstLine="640" w:firstLineChars="200"/>
        <w:rPr>
          <w:rFonts w:eastAsia="仿宋_GB2312"/>
          <w:sz w:val="32"/>
          <w:szCs w:val="32"/>
        </w:rPr>
      </w:pPr>
      <w:r>
        <w:rPr>
          <w:rFonts w:hint="eastAsia" w:eastAsia="仿宋_GB2312"/>
          <w:sz w:val="32"/>
          <w:szCs w:val="32"/>
        </w:rPr>
        <w:t>对跨兵地突发生态环境事件，按照自治区生态环境厅和兵团生态环境局签订的《关于建立突发环境事件应急联动工作机制的协议》开展应急响应。</w:t>
      </w:r>
    </w:p>
    <w:p w14:paraId="2F72280B">
      <w:pPr>
        <w:pStyle w:val="3"/>
        <w:adjustRightInd w:val="0"/>
        <w:snapToGrid w:val="0"/>
        <w:spacing w:before="0" w:after="0" w:line="560" w:lineRule="exact"/>
        <w:ind w:firstLine="640" w:firstLineChars="200"/>
        <w:rPr>
          <w:rFonts w:eastAsia="楷体_GB2312"/>
          <w:color w:val="auto"/>
          <w:sz w:val="32"/>
        </w:rPr>
      </w:pPr>
      <w:bookmarkStart w:id="74" w:name="_Toc91841290"/>
      <w:bookmarkStart w:id="75" w:name="_Toc92300341"/>
      <w:bookmarkStart w:id="76" w:name="_Toc207817640"/>
      <w:bookmarkStart w:id="77" w:name="_Toc88738156"/>
      <w:r>
        <w:rPr>
          <w:rFonts w:eastAsia="楷体_GB2312"/>
          <w:color w:val="auto"/>
          <w:sz w:val="32"/>
        </w:rPr>
        <w:t>2.</w:t>
      </w:r>
      <w:r>
        <w:rPr>
          <w:rFonts w:hint="eastAsia" w:eastAsia="楷体_GB2312"/>
          <w:color w:val="auto"/>
          <w:sz w:val="32"/>
        </w:rPr>
        <w:t>5</w:t>
      </w:r>
      <w:r>
        <w:rPr>
          <w:rFonts w:eastAsia="楷体_GB2312"/>
          <w:color w:val="auto"/>
          <w:sz w:val="32"/>
        </w:rPr>
        <w:t xml:space="preserve"> 跨省突发</w:t>
      </w:r>
      <w:r>
        <w:rPr>
          <w:rFonts w:hint="eastAsia" w:eastAsia="楷体_GB2312"/>
          <w:color w:val="auto"/>
          <w:sz w:val="32"/>
        </w:rPr>
        <w:t>生态</w:t>
      </w:r>
      <w:r>
        <w:rPr>
          <w:rFonts w:eastAsia="楷体_GB2312"/>
          <w:color w:val="auto"/>
          <w:sz w:val="32"/>
        </w:rPr>
        <w:t>环境事件应对</w:t>
      </w:r>
      <w:bookmarkEnd w:id="74"/>
      <w:bookmarkEnd w:id="75"/>
      <w:bookmarkEnd w:id="76"/>
      <w:bookmarkEnd w:id="77"/>
    </w:p>
    <w:p w14:paraId="4976FDCB">
      <w:pPr>
        <w:snapToGrid w:val="0"/>
        <w:spacing w:line="560" w:lineRule="exact"/>
        <w:ind w:firstLine="640" w:firstLineChars="200"/>
        <w:rPr>
          <w:rFonts w:eastAsia="仿宋_GB2312"/>
          <w:sz w:val="32"/>
          <w:szCs w:val="32"/>
        </w:rPr>
      </w:pPr>
      <w:r>
        <w:rPr>
          <w:rFonts w:hint="eastAsia" w:eastAsia="仿宋_GB2312"/>
          <w:sz w:val="32"/>
          <w:szCs w:val="32"/>
        </w:rPr>
        <w:t>涉及跨省（自治区）级行政区域或超出兵团应对能力的特别重大突发生态环境事件，在做好先期处置的同时，</w:t>
      </w:r>
      <w:r>
        <w:rPr>
          <w:rFonts w:eastAsia="仿宋_GB2312"/>
          <w:sz w:val="32"/>
          <w:szCs w:val="32"/>
        </w:rPr>
        <w:t>兵团</w:t>
      </w:r>
      <w:r>
        <w:rPr>
          <w:rFonts w:hint="eastAsia" w:eastAsia="仿宋_GB2312"/>
          <w:sz w:val="32"/>
          <w:szCs w:val="32"/>
        </w:rPr>
        <w:t>应立即</w:t>
      </w:r>
      <w:r>
        <w:rPr>
          <w:rFonts w:eastAsia="仿宋_GB2312"/>
          <w:sz w:val="32"/>
          <w:szCs w:val="32"/>
        </w:rPr>
        <w:t>向</w:t>
      </w:r>
      <w:r>
        <w:rPr>
          <w:rFonts w:hint="eastAsia" w:eastAsia="仿宋_GB2312"/>
          <w:sz w:val="32"/>
          <w:szCs w:val="32"/>
        </w:rPr>
        <w:t>生态环境部和</w:t>
      </w:r>
      <w:r>
        <w:rPr>
          <w:rFonts w:eastAsia="仿宋_GB2312"/>
          <w:sz w:val="32"/>
          <w:szCs w:val="32"/>
        </w:rPr>
        <w:t>国务院报告，并在国家环境应急指挥部或国务院派出的工作组</w:t>
      </w:r>
      <w:r>
        <w:rPr>
          <w:rFonts w:hint="eastAsia" w:eastAsia="仿宋_GB2312"/>
          <w:sz w:val="32"/>
          <w:szCs w:val="32"/>
        </w:rPr>
        <w:t>领导</w:t>
      </w:r>
      <w:r>
        <w:rPr>
          <w:rFonts w:eastAsia="仿宋_GB2312"/>
          <w:sz w:val="32"/>
          <w:szCs w:val="32"/>
        </w:rPr>
        <w:t>下开展突发生态环境事件的应对工作。</w:t>
      </w:r>
    </w:p>
    <w:p w14:paraId="74F33FBE">
      <w:pPr>
        <w:pStyle w:val="3"/>
        <w:adjustRightInd w:val="0"/>
        <w:snapToGrid w:val="0"/>
        <w:spacing w:before="0" w:after="0" w:line="560" w:lineRule="exact"/>
        <w:ind w:firstLine="640" w:firstLineChars="200"/>
        <w:rPr>
          <w:rFonts w:eastAsia="楷体_GB2312"/>
          <w:color w:val="auto"/>
          <w:sz w:val="32"/>
        </w:rPr>
      </w:pPr>
      <w:bookmarkStart w:id="78" w:name="_Toc91841291"/>
      <w:bookmarkStart w:id="79" w:name="_Toc92300342"/>
      <w:bookmarkStart w:id="80" w:name="_Toc207817641"/>
      <w:bookmarkStart w:id="81" w:name="_Toc88738157"/>
      <w:r>
        <w:rPr>
          <w:rFonts w:eastAsia="楷体_GB2312"/>
          <w:color w:val="auto"/>
          <w:sz w:val="32"/>
        </w:rPr>
        <w:t>2.</w:t>
      </w:r>
      <w:r>
        <w:rPr>
          <w:rFonts w:hint="eastAsia" w:eastAsia="楷体_GB2312"/>
          <w:color w:val="auto"/>
          <w:sz w:val="32"/>
        </w:rPr>
        <w:t>6</w:t>
      </w:r>
      <w:r>
        <w:rPr>
          <w:rFonts w:eastAsia="楷体_GB2312"/>
          <w:color w:val="auto"/>
          <w:sz w:val="32"/>
        </w:rPr>
        <w:t xml:space="preserve"> 跨国境突发</w:t>
      </w:r>
      <w:r>
        <w:rPr>
          <w:rFonts w:hint="eastAsia" w:eastAsia="楷体_GB2312"/>
          <w:color w:val="auto"/>
          <w:sz w:val="32"/>
        </w:rPr>
        <w:t>生态</w:t>
      </w:r>
      <w:r>
        <w:rPr>
          <w:rFonts w:eastAsia="楷体_GB2312"/>
          <w:color w:val="auto"/>
          <w:sz w:val="32"/>
        </w:rPr>
        <w:t>环境事件应对</w:t>
      </w:r>
      <w:bookmarkEnd w:id="78"/>
      <w:bookmarkEnd w:id="79"/>
      <w:bookmarkEnd w:id="80"/>
      <w:bookmarkEnd w:id="81"/>
    </w:p>
    <w:p w14:paraId="32E1448D">
      <w:pPr>
        <w:spacing w:line="560" w:lineRule="exact"/>
        <w:ind w:firstLine="640" w:firstLineChars="200"/>
        <w:rPr>
          <w:rFonts w:eastAsia="仿宋_GB2312"/>
          <w:sz w:val="32"/>
          <w:szCs w:val="32"/>
        </w:rPr>
      </w:pPr>
      <w:r>
        <w:rPr>
          <w:rFonts w:eastAsia="仿宋_GB2312"/>
          <w:sz w:val="32"/>
          <w:szCs w:val="32"/>
        </w:rPr>
        <w:t>对可能造成国际影响的境内突发生态环境事件，或可能引发跨国境污染的突发生态环境事件，兵团</w:t>
      </w:r>
      <w:r>
        <w:rPr>
          <w:rFonts w:hint="eastAsia" w:eastAsia="仿宋_GB2312"/>
          <w:sz w:val="32"/>
          <w:szCs w:val="32"/>
        </w:rPr>
        <w:t>应立即</w:t>
      </w:r>
      <w:r>
        <w:rPr>
          <w:rFonts w:eastAsia="仿宋_GB2312"/>
          <w:sz w:val="32"/>
          <w:szCs w:val="32"/>
        </w:rPr>
        <w:t>向</w:t>
      </w:r>
      <w:r>
        <w:rPr>
          <w:rFonts w:hint="eastAsia" w:eastAsia="仿宋_GB2312"/>
          <w:sz w:val="32"/>
          <w:szCs w:val="32"/>
        </w:rPr>
        <w:t>生态环境部和</w:t>
      </w:r>
      <w:r>
        <w:rPr>
          <w:rFonts w:eastAsia="仿宋_GB2312"/>
          <w:sz w:val="32"/>
          <w:szCs w:val="32"/>
        </w:rPr>
        <w:t>国务院报告，并在国家环境应急指挥部或国务院派出的工作组</w:t>
      </w:r>
      <w:r>
        <w:rPr>
          <w:rFonts w:hint="eastAsia" w:eastAsia="仿宋_GB2312"/>
          <w:sz w:val="32"/>
          <w:szCs w:val="32"/>
        </w:rPr>
        <w:t>领导</w:t>
      </w:r>
      <w:r>
        <w:rPr>
          <w:rFonts w:eastAsia="仿宋_GB2312"/>
          <w:sz w:val="32"/>
          <w:szCs w:val="32"/>
        </w:rPr>
        <w:t>下开展突发生态环境事件的应对工作。</w:t>
      </w:r>
      <w:bookmarkEnd w:id="72"/>
      <w:bookmarkEnd w:id="73"/>
    </w:p>
    <w:p w14:paraId="070F97B0">
      <w:pPr>
        <w:pStyle w:val="2"/>
        <w:adjustRightInd w:val="0"/>
        <w:snapToGrid w:val="0"/>
        <w:spacing w:before="0" w:after="0" w:line="560" w:lineRule="exact"/>
        <w:ind w:firstLine="640" w:firstLineChars="200"/>
        <w:rPr>
          <w:b w:val="0"/>
          <w:bCs w:val="0"/>
          <w:lang w:val="en-US"/>
        </w:rPr>
      </w:pPr>
      <w:bookmarkStart w:id="82" w:name="_Toc92300343"/>
      <w:bookmarkStart w:id="83" w:name="_Toc207817642"/>
      <w:r>
        <w:rPr>
          <w:b w:val="0"/>
          <w:bCs w:val="0"/>
          <w:lang w:val="en-US"/>
        </w:rPr>
        <w:t>3 预防、监测和预警</w:t>
      </w:r>
      <w:bookmarkEnd w:id="82"/>
      <w:bookmarkEnd w:id="83"/>
    </w:p>
    <w:p w14:paraId="7C3AF2D5">
      <w:pPr>
        <w:pStyle w:val="3"/>
        <w:adjustRightInd w:val="0"/>
        <w:snapToGrid w:val="0"/>
        <w:spacing w:before="0" w:after="0" w:line="560" w:lineRule="exact"/>
        <w:ind w:firstLine="640" w:firstLineChars="200"/>
        <w:rPr>
          <w:rFonts w:eastAsia="楷体_GB2312"/>
          <w:color w:val="auto"/>
          <w:sz w:val="32"/>
        </w:rPr>
      </w:pPr>
      <w:bookmarkStart w:id="84" w:name="_Toc92300344"/>
      <w:bookmarkStart w:id="85" w:name="_Toc88738159"/>
      <w:bookmarkStart w:id="86" w:name="_Toc91841293"/>
      <w:bookmarkStart w:id="87" w:name="_Toc207817643"/>
      <w:r>
        <w:rPr>
          <w:rFonts w:eastAsia="楷体_GB2312"/>
          <w:color w:val="auto"/>
          <w:sz w:val="32"/>
        </w:rPr>
        <w:t xml:space="preserve">3.1 </w:t>
      </w:r>
      <w:bookmarkEnd w:id="84"/>
      <w:bookmarkEnd w:id="85"/>
      <w:bookmarkEnd w:id="86"/>
      <w:r>
        <w:rPr>
          <w:rFonts w:eastAsia="楷体_GB2312"/>
          <w:color w:val="auto"/>
          <w:sz w:val="32"/>
        </w:rPr>
        <w:t>预防</w:t>
      </w:r>
      <w:bookmarkEnd w:id="87"/>
    </w:p>
    <w:p w14:paraId="7C82C28C">
      <w:pPr>
        <w:spacing w:line="560" w:lineRule="exact"/>
        <w:ind w:firstLine="640" w:firstLineChars="200"/>
        <w:rPr>
          <w:rFonts w:eastAsia="仿宋_GB2312"/>
          <w:sz w:val="32"/>
          <w:szCs w:val="32"/>
        </w:rPr>
      </w:pPr>
      <w:r>
        <w:rPr>
          <w:rFonts w:hint="eastAsia" w:eastAsia="仿宋_GB2312"/>
          <w:sz w:val="32"/>
          <w:szCs w:val="32"/>
        </w:rPr>
        <w:t>兵团</w:t>
      </w:r>
      <w:r>
        <w:rPr>
          <w:rFonts w:eastAsia="仿宋_GB2312"/>
          <w:sz w:val="32"/>
          <w:szCs w:val="32"/>
        </w:rPr>
        <w:t>及各师市有关部门按照职责开展突发生态环境事件的预防工作</w:t>
      </w:r>
      <w:r>
        <w:rPr>
          <w:rFonts w:hint="eastAsia" w:eastAsia="仿宋_GB2312"/>
          <w:sz w:val="32"/>
          <w:szCs w:val="32"/>
        </w:rPr>
        <w:t>。加强环境风险常态化管理，组织并开展环境安全隐患排查，加强集中式饮用水源地等重要环境敏感目标环境风险评估，强化环境应急空间与设施准备等</w:t>
      </w:r>
      <w:r>
        <w:rPr>
          <w:rFonts w:eastAsia="仿宋_GB2312"/>
          <w:sz w:val="32"/>
          <w:szCs w:val="32"/>
        </w:rPr>
        <w:t>。建立健全环境安全管理制度，做好突发生态环境事件风险识别、评估和防控工作，定期排查治理环境安全隐患，配备相应的物资、装备、器材、工具，定期开展</w:t>
      </w:r>
      <w:r>
        <w:rPr>
          <w:rFonts w:hint="eastAsia" w:eastAsia="仿宋_GB2312"/>
          <w:sz w:val="32"/>
          <w:szCs w:val="32"/>
        </w:rPr>
        <w:t>突发生态环境事件应急</w:t>
      </w:r>
      <w:r>
        <w:rPr>
          <w:rFonts w:eastAsia="仿宋_GB2312"/>
          <w:sz w:val="32"/>
          <w:szCs w:val="32"/>
        </w:rPr>
        <w:t>演练，整改存在问题。</w:t>
      </w:r>
    </w:p>
    <w:p w14:paraId="3F6E67BA">
      <w:pPr>
        <w:pStyle w:val="3"/>
        <w:adjustRightInd w:val="0"/>
        <w:snapToGrid w:val="0"/>
        <w:spacing w:before="0" w:after="0" w:line="560" w:lineRule="exact"/>
        <w:ind w:firstLine="640" w:firstLineChars="200"/>
        <w:rPr>
          <w:rFonts w:eastAsia="楷体_GB2312"/>
          <w:color w:val="auto"/>
          <w:sz w:val="32"/>
        </w:rPr>
      </w:pPr>
      <w:bookmarkStart w:id="88" w:name="_Toc207817644"/>
      <w:r>
        <w:rPr>
          <w:rFonts w:eastAsia="楷体_GB2312"/>
          <w:color w:val="auto"/>
          <w:sz w:val="32"/>
        </w:rPr>
        <w:t>3.2 监测和风险分析</w:t>
      </w:r>
      <w:bookmarkEnd w:id="88"/>
    </w:p>
    <w:p w14:paraId="098E0F95">
      <w:pPr>
        <w:spacing w:line="560" w:lineRule="exact"/>
        <w:ind w:firstLine="640" w:firstLineChars="200"/>
        <w:rPr>
          <w:rFonts w:eastAsia="仿宋_GB2312"/>
          <w:sz w:val="32"/>
          <w:szCs w:val="32"/>
        </w:rPr>
      </w:pPr>
      <w:r>
        <w:rPr>
          <w:rFonts w:hint="eastAsia" w:eastAsia="仿宋_GB2312"/>
          <w:sz w:val="32"/>
          <w:szCs w:val="32"/>
        </w:rPr>
        <w:t>兵团</w:t>
      </w:r>
      <w:r>
        <w:rPr>
          <w:rFonts w:eastAsia="仿宋_GB2312"/>
          <w:sz w:val="32"/>
          <w:szCs w:val="32"/>
        </w:rPr>
        <w:t>及各师市有关部门要加强日常监测，并对可能导致突发生态环境事件的风险信息加强收集、分析和研判。应急管理、交通运输、公安、住房城乡建设、水利、</w:t>
      </w:r>
      <w:r>
        <w:rPr>
          <w:rFonts w:hint="eastAsia" w:eastAsia="仿宋_GB2312"/>
          <w:sz w:val="32"/>
          <w:szCs w:val="32"/>
        </w:rPr>
        <w:t>自然资源、</w:t>
      </w:r>
      <w:r>
        <w:rPr>
          <w:rFonts w:eastAsia="仿宋_GB2312"/>
          <w:sz w:val="32"/>
          <w:szCs w:val="32"/>
        </w:rPr>
        <w:t>农业农村、卫生健康、气象</w:t>
      </w:r>
      <w:r>
        <w:rPr>
          <w:rFonts w:hint="eastAsia" w:eastAsia="仿宋_GB2312"/>
          <w:sz w:val="32"/>
          <w:szCs w:val="32"/>
        </w:rPr>
        <w:t>、消防救援</w:t>
      </w:r>
      <w:r>
        <w:rPr>
          <w:rFonts w:eastAsia="仿宋_GB2312"/>
          <w:sz w:val="32"/>
          <w:szCs w:val="32"/>
        </w:rPr>
        <w:t>等有关部门按照职责分工，应当及时将可能导致突发</w:t>
      </w:r>
      <w:r>
        <w:rPr>
          <w:rFonts w:hint="eastAsia" w:eastAsia="仿宋_GB2312"/>
          <w:sz w:val="32"/>
          <w:szCs w:val="32"/>
        </w:rPr>
        <w:t>生态</w:t>
      </w:r>
      <w:r>
        <w:rPr>
          <w:rFonts w:eastAsia="仿宋_GB2312"/>
          <w:sz w:val="32"/>
          <w:szCs w:val="32"/>
        </w:rPr>
        <w:t>环境事件的信息通报同级生态环境主管部门。</w:t>
      </w:r>
    </w:p>
    <w:p w14:paraId="29F885C5">
      <w:pPr>
        <w:spacing w:line="560" w:lineRule="exact"/>
        <w:ind w:firstLine="640" w:firstLineChars="200"/>
        <w:rPr>
          <w:rFonts w:eastAsia="仿宋_GB2312"/>
          <w:sz w:val="32"/>
          <w:szCs w:val="32"/>
        </w:rPr>
      </w:pPr>
      <w:r>
        <w:rPr>
          <w:rFonts w:eastAsia="仿宋_GB2312"/>
          <w:sz w:val="32"/>
          <w:szCs w:val="32"/>
        </w:rPr>
        <w:t>企事业单位和其他生产经营者应当落实环境安全主体责任，定期排查环境安全隐患，开展环境风险评估，健全风险防控措施。当出现可能导致突发</w:t>
      </w:r>
      <w:r>
        <w:rPr>
          <w:rFonts w:hint="eastAsia" w:eastAsia="仿宋_GB2312"/>
          <w:sz w:val="32"/>
          <w:szCs w:val="32"/>
        </w:rPr>
        <w:t>生态</w:t>
      </w:r>
      <w:r>
        <w:rPr>
          <w:rFonts w:eastAsia="仿宋_GB2312"/>
          <w:sz w:val="32"/>
          <w:szCs w:val="32"/>
        </w:rPr>
        <w:t>环境事件的情况时，要立即报告当地生态环境主管部门。</w:t>
      </w:r>
    </w:p>
    <w:p w14:paraId="3E30AAB6">
      <w:pPr>
        <w:pStyle w:val="3"/>
        <w:adjustRightInd w:val="0"/>
        <w:snapToGrid w:val="0"/>
        <w:spacing w:before="0" w:after="0" w:line="560" w:lineRule="exact"/>
        <w:ind w:firstLine="640" w:firstLineChars="200"/>
        <w:rPr>
          <w:rFonts w:eastAsia="楷体_GB2312"/>
          <w:color w:val="auto"/>
          <w:sz w:val="32"/>
        </w:rPr>
      </w:pPr>
      <w:bookmarkStart w:id="89" w:name="_Toc92300346"/>
      <w:bookmarkStart w:id="90" w:name="_Toc88738161"/>
      <w:bookmarkStart w:id="91" w:name="_Toc400723059"/>
      <w:bookmarkStart w:id="92" w:name="_Toc91841295"/>
      <w:bookmarkStart w:id="93" w:name="_Toc27467"/>
      <w:bookmarkStart w:id="94" w:name="_Toc207817645"/>
      <w:r>
        <w:rPr>
          <w:rFonts w:eastAsia="楷体_GB2312"/>
          <w:color w:val="auto"/>
          <w:sz w:val="32"/>
        </w:rPr>
        <w:t>3.3 预警</w:t>
      </w:r>
      <w:bookmarkEnd w:id="89"/>
      <w:bookmarkEnd w:id="90"/>
      <w:bookmarkEnd w:id="91"/>
      <w:bookmarkEnd w:id="92"/>
      <w:bookmarkEnd w:id="93"/>
      <w:bookmarkEnd w:id="94"/>
    </w:p>
    <w:p w14:paraId="6C11E148">
      <w:pPr>
        <w:snapToGrid w:val="0"/>
        <w:spacing w:line="560" w:lineRule="exact"/>
        <w:ind w:firstLine="640" w:firstLineChars="200"/>
        <w:rPr>
          <w:rFonts w:eastAsia="仿宋_GB2312"/>
          <w:sz w:val="32"/>
        </w:rPr>
      </w:pPr>
      <w:r>
        <w:rPr>
          <w:rFonts w:eastAsia="仿宋_GB2312"/>
          <w:sz w:val="32"/>
        </w:rPr>
        <w:t>按照突发生态环境事件发生的可能性大小、紧急程度和可能造成的危害程度，突发生态环境事件的预警分为四级，由高到低，依次为红色（Ⅰ级）、橙色（Ⅱ级）、黄色（Ⅲ级）和蓝色（Ⅳ级）。</w:t>
      </w:r>
    </w:p>
    <w:p w14:paraId="04FC66D8">
      <w:pPr>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生态环境主管部门对可能引发突发生态环境事件的苗头性信息，及时向事发地所在师市报告并提出处置措施建议，同时通报同级相关部门和单位。上级生态环境主管部门要将监测到的可能导致突发生态环境事件的有关信息，及时通报可能受影响地区的生态环境主管部门。</w:t>
      </w:r>
    </w:p>
    <w:p w14:paraId="62021E4B">
      <w:pPr>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对生产安全事故、交通运输事故、自然灾害等引发的次生突发生态环境事件，</w:t>
      </w:r>
      <w:r>
        <w:rPr>
          <w:rFonts w:hint="eastAsia" w:eastAsia="仿宋_GB2312"/>
          <w:sz w:val="32"/>
          <w:szCs w:val="32"/>
        </w:rPr>
        <w:t>兵团</w:t>
      </w:r>
      <w:r>
        <w:rPr>
          <w:rFonts w:eastAsia="仿宋_GB2312"/>
          <w:sz w:val="32"/>
          <w:szCs w:val="32"/>
        </w:rPr>
        <w:t>及各师市</w:t>
      </w:r>
      <w:r>
        <w:rPr>
          <w:rFonts w:hint="eastAsia" w:ascii="仿宋_GB2312" w:hAnsi="仿宋_GB2312" w:eastAsia="仿宋_GB2312" w:cs="仿宋_GB2312"/>
          <w:sz w:val="32"/>
        </w:rPr>
        <w:t>要及时组织有关部门和机构、专业技术人员及专家进行分析研判，预估可能的影响范围和危害程度，视情况采取以下措施：</w:t>
      </w:r>
    </w:p>
    <w:p w14:paraId="06511B6F">
      <w:pPr>
        <w:snapToGrid w:val="0"/>
        <w:spacing w:line="560" w:lineRule="exact"/>
        <w:ind w:firstLine="640" w:firstLineChars="200"/>
        <w:rPr>
          <w:rFonts w:eastAsia="仿宋_GB2312"/>
          <w:sz w:val="32"/>
        </w:rPr>
      </w:pPr>
      <w:r>
        <w:rPr>
          <w:rFonts w:eastAsia="仿宋_GB2312"/>
          <w:sz w:val="32"/>
        </w:rPr>
        <w:t>（1）监测排查。组织对周边环境和可能受影响的集中式饮用水水源地、居民</w:t>
      </w:r>
      <w:r>
        <w:rPr>
          <w:rFonts w:hint="eastAsia" w:eastAsia="仿宋_GB2312"/>
          <w:sz w:val="32"/>
        </w:rPr>
        <w:t>聚集</w:t>
      </w:r>
      <w:r>
        <w:rPr>
          <w:rFonts w:eastAsia="仿宋_GB2312"/>
          <w:sz w:val="32"/>
        </w:rPr>
        <w:t>区等重要环境敏感目标开展环境监测，排查</w:t>
      </w:r>
      <w:r>
        <w:rPr>
          <w:rFonts w:hint="eastAsia" w:eastAsia="仿宋_GB2312"/>
          <w:sz w:val="32"/>
        </w:rPr>
        <w:t>企事业单位、工业园区等</w:t>
      </w:r>
      <w:r>
        <w:rPr>
          <w:rFonts w:eastAsia="仿宋_GB2312"/>
          <w:sz w:val="32"/>
        </w:rPr>
        <w:t>可能出现的环境安全隐患，分析研判可能次生的环境污染和生态破坏。</w:t>
      </w:r>
    </w:p>
    <w:p w14:paraId="70963249">
      <w:pPr>
        <w:snapToGrid w:val="0"/>
        <w:spacing w:line="560" w:lineRule="exact"/>
        <w:ind w:firstLine="640" w:firstLineChars="200"/>
        <w:rPr>
          <w:rFonts w:eastAsia="仿宋_GB2312"/>
          <w:sz w:val="32"/>
        </w:rPr>
      </w:pPr>
      <w:r>
        <w:rPr>
          <w:rFonts w:eastAsia="仿宋_GB2312"/>
          <w:sz w:val="32"/>
        </w:rPr>
        <w:t>（2）防范处置。迅速采取有效处置措施，控制事件苗头。在涉险区域设置注意事项提示或事件危害警告标志，利用各种渠道增加宣传频次，告知公众避险和减轻危害的常识、需采取的必要的健康防护措施。</w:t>
      </w:r>
    </w:p>
    <w:p w14:paraId="4D1406DE">
      <w:pPr>
        <w:snapToGrid w:val="0"/>
        <w:spacing w:line="560" w:lineRule="exact"/>
        <w:ind w:firstLine="640" w:firstLineChars="200"/>
        <w:rPr>
          <w:rFonts w:eastAsia="仿宋_GB2312"/>
          <w:sz w:val="32"/>
        </w:rPr>
      </w:pPr>
      <w:r>
        <w:rPr>
          <w:rFonts w:eastAsia="仿宋_GB2312"/>
          <w:sz w:val="32"/>
        </w:rPr>
        <w:t>（3）应急准备。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生态环境事件发生的</w:t>
      </w:r>
      <w:bookmarkStart w:id="95" w:name="OLE_LINK1"/>
      <w:r>
        <w:rPr>
          <w:rFonts w:hint="eastAsia" w:eastAsia="仿宋_GB2312"/>
          <w:sz w:val="32"/>
        </w:rPr>
        <w:t>企事业单位、工业园区</w:t>
      </w:r>
      <w:bookmarkEnd w:id="95"/>
      <w:r>
        <w:rPr>
          <w:rFonts w:hint="eastAsia" w:eastAsia="仿宋_GB2312"/>
          <w:sz w:val="32"/>
        </w:rPr>
        <w:t>等</w:t>
      </w:r>
      <w:r>
        <w:rPr>
          <w:rFonts w:eastAsia="仿宋_GB2312"/>
          <w:sz w:val="32"/>
        </w:rPr>
        <w:t>加强环境监管。</w:t>
      </w:r>
    </w:p>
    <w:p w14:paraId="14583F4E">
      <w:pPr>
        <w:snapToGrid w:val="0"/>
        <w:spacing w:line="560" w:lineRule="exact"/>
        <w:ind w:firstLine="640" w:firstLineChars="200"/>
        <w:rPr>
          <w:rFonts w:eastAsia="仿宋_GB2312"/>
          <w:sz w:val="32"/>
        </w:rPr>
      </w:pPr>
      <w:r>
        <w:rPr>
          <w:rFonts w:eastAsia="仿宋_GB2312"/>
          <w:sz w:val="32"/>
        </w:rPr>
        <w:t>（4）舆论引导。及时准确发布事态最新情况，公布咨询电话，组织专家解读。加强相关舆情监测，做好舆论引导工作。</w:t>
      </w:r>
    </w:p>
    <w:p w14:paraId="18813FD9">
      <w:pPr>
        <w:snapToGrid w:val="0"/>
        <w:spacing w:line="560" w:lineRule="exact"/>
        <w:ind w:firstLine="640" w:firstLineChars="200"/>
        <w:rPr>
          <w:rFonts w:eastAsia="仿宋_GB2312"/>
          <w:sz w:val="32"/>
        </w:rPr>
      </w:pPr>
      <w:r>
        <w:rPr>
          <w:rFonts w:hint="eastAsia" w:eastAsia="仿宋_GB2312"/>
          <w:sz w:val="32"/>
        </w:rPr>
        <w:t>应急指挥部根据预警信息中事态的情况、发展趋势和采取措施的效果，调整预警级别或解除预警。</w:t>
      </w:r>
    </w:p>
    <w:p w14:paraId="317B1743">
      <w:pPr>
        <w:pStyle w:val="2"/>
        <w:adjustRightInd w:val="0"/>
        <w:snapToGrid w:val="0"/>
        <w:spacing w:before="0" w:after="0" w:line="560" w:lineRule="exact"/>
        <w:ind w:firstLine="640" w:firstLineChars="200"/>
        <w:rPr>
          <w:b w:val="0"/>
          <w:bCs w:val="0"/>
          <w:lang w:val="en-US"/>
        </w:rPr>
      </w:pPr>
      <w:bookmarkStart w:id="96" w:name="_Toc207817646"/>
      <w:bookmarkStart w:id="97" w:name="_Toc92300351"/>
      <w:r>
        <w:rPr>
          <w:rFonts w:hint="eastAsia"/>
          <w:b w:val="0"/>
          <w:bCs w:val="0"/>
          <w:lang w:val="en-US"/>
        </w:rPr>
        <w:t>4</w:t>
      </w:r>
      <w:r>
        <w:rPr>
          <w:b w:val="0"/>
          <w:bCs w:val="0"/>
          <w:lang w:val="en-US"/>
        </w:rPr>
        <w:t xml:space="preserve"> 信息报告与通报</w:t>
      </w:r>
      <w:bookmarkEnd w:id="96"/>
      <w:bookmarkEnd w:id="97"/>
    </w:p>
    <w:p w14:paraId="5A383E5A">
      <w:pPr>
        <w:pStyle w:val="3"/>
        <w:adjustRightInd w:val="0"/>
        <w:snapToGrid w:val="0"/>
        <w:spacing w:before="0" w:after="0" w:line="560" w:lineRule="exact"/>
        <w:ind w:firstLine="640" w:firstLineChars="200"/>
        <w:rPr>
          <w:rFonts w:eastAsia="仿宋_GB2312"/>
          <w:sz w:val="32"/>
        </w:rPr>
      </w:pPr>
      <w:bookmarkStart w:id="98" w:name="_Toc207817647"/>
      <w:bookmarkStart w:id="99" w:name="_Hlk203729720"/>
      <w:r>
        <w:rPr>
          <w:rFonts w:hint="eastAsia" w:eastAsia="楷体_GB2312"/>
          <w:color w:val="auto"/>
          <w:sz w:val="32"/>
        </w:rPr>
        <w:t>4</w:t>
      </w:r>
      <w:r>
        <w:rPr>
          <w:rFonts w:eastAsia="楷体_GB2312"/>
          <w:color w:val="auto"/>
          <w:sz w:val="32"/>
        </w:rPr>
        <w:t xml:space="preserve">.1 </w:t>
      </w:r>
      <w:r>
        <w:rPr>
          <w:rFonts w:hint="eastAsia" w:eastAsia="楷体_GB2312"/>
          <w:color w:val="auto"/>
          <w:sz w:val="32"/>
        </w:rPr>
        <w:t>报送主体</w:t>
      </w:r>
      <w:bookmarkEnd w:id="98"/>
    </w:p>
    <w:p w14:paraId="3ABCFACE">
      <w:pPr>
        <w:snapToGrid w:val="0"/>
        <w:spacing w:line="560" w:lineRule="exact"/>
        <w:ind w:firstLine="640" w:firstLineChars="200"/>
        <w:rPr>
          <w:rFonts w:eastAsia="仿宋_GB2312"/>
          <w:sz w:val="32"/>
          <w:szCs w:val="32"/>
        </w:rPr>
      </w:pPr>
      <w:r>
        <w:rPr>
          <w:rFonts w:hint="eastAsia" w:eastAsia="仿宋_GB2312"/>
          <w:sz w:val="32"/>
          <w:szCs w:val="32"/>
        </w:rPr>
        <w:t>突发生态环境事件发生后，涉事企事业单位和工业园区立即向事发地师市生态环境局和相关部门报告，同时通报可能受到污染危害的单位和居民。因安全生产事故、危险货物运输事故引发的次生突发生态环境事件，应急管理、公安、交通运输及其他负有安全监管职责的部门接报后，要</w:t>
      </w:r>
      <w:r>
        <w:rPr>
          <w:rFonts w:hint="eastAsia" w:eastAsia="仿宋_GB2312"/>
          <w:sz w:val="32"/>
          <w:szCs w:val="32"/>
          <w:lang w:val="en-US" w:eastAsia="zh-CN"/>
        </w:rPr>
        <w:t>及时</w:t>
      </w:r>
      <w:r>
        <w:rPr>
          <w:rFonts w:hint="eastAsia" w:eastAsia="仿宋_GB2312"/>
          <w:sz w:val="32"/>
          <w:szCs w:val="32"/>
        </w:rPr>
        <w:t>通报同级生态环境部门。事发地师市生态环境局接报或监测到相关信息后，要向所在师市及兵团生态环境局报告。初判发生重大或特别重大突发生态环境事件时，事发地师市和兵团生态环境局向兵团报告，由兵团和兵团生态环境局分别向国务院、生态环境部报告。</w:t>
      </w:r>
    </w:p>
    <w:p w14:paraId="7EEE9131">
      <w:pPr>
        <w:pStyle w:val="3"/>
        <w:adjustRightInd w:val="0"/>
        <w:snapToGrid w:val="0"/>
        <w:spacing w:before="0" w:after="0" w:line="560" w:lineRule="exact"/>
        <w:ind w:firstLine="640" w:firstLineChars="200"/>
        <w:rPr>
          <w:rFonts w:eastAsia="楷体_GB2312"/>
          <w:color w:val="auto"/>
          <w:sz w:val="32"/>
        </w:rPr>
      </w:pPr>
      <w:bookmarkStart w:id="100" w:name="_Toc207817648"/>
      <w:r>
        <w:rPr>
          <w:rFonts w:hint="eastAsia" w:eastAsia="楷体_GB2312"/>
          <w:color w:val="auto"/>
          <w:sz w:val="32"/>
        </w:rPr>
        <w:t>4</w:t>
      </w:r>
      <w:r>
        <w:rPr>
          <w:rFonts w:eastAsia="楷体_GB2312"/>
          <w:color w:val="auto"/>
          <w:sz w:val="32"/>
        </w:rPr>
        <w:t>.2 报送</w:t>
      </w:r>
      <w:r>
        <w:rPr>
          <w:rFonts w:hint="eastAsia" w:eastAsia="楷体_GB2312"/>
          <w:color w:val="auto"/>
          <w:sz w:val="32"/>
        </w:rPr>
        <w:t>时效</w:t>
      </w:r>
      <w:bookmarkEnd w:id="100"/>
    </w:p>
    <w:p w14:paraId="6D822444">
      <w:pPr>
        <w:snapToGrid w:val="0"/>
        <w:spacing w:line="560" w:lineRule="exact"/>
        <w:ind w:firstLine="640" w:firstLineChars="200"/>
        <w:rPr>
          <w:rFonts w:hint="eastAsia" w:ascii="仿宋_GB2312" w:hAnsi="仿宋_GB2312" w:eastAsia="仿宋_GB2312" w:cs="仿宋_GB2312"/>
          <w:sz w:val="32"/>
        </w:rPr>
      </w:pPr>
      <w:r>
        <w:rPr>
          <w:rFonts w:hint="eastAsia" w:eastAsia="仿宋_GB2312"/>
          <w:sz w:val="32"/>
          <w:szCs w:val="32"/>
        </w:rPr>
        <w:t>初判为一般（Ⅳ级）或者较大（Ⅲ级）突发生态环境事件的，事发地师市生态环境局应当立即向所在师市及兵团生态环境局报告，</w:t>
      </w:r>
      <w:r>
        <w:rPr>
          <w:rFonts w:eastAsia="仿宋_GB2312"/>
          <w:sz w:val="32"/>
        </w:rPr>
        <w:t>兵团生态环境局了解事件情况</w:t>
      </w:r>
      <w:r>
        <w:rPr>
          <w:rFonts w:hint="eastAsia" w:eastAsia="仿宋_GB2312"/>
          <w:sz w:val="32"/>
        </w:rPr>
        <w:t>后</w:t>
      </w:r>
      <w:r>
        <w:rPr>
          <w:rFonts w:eastAsia="仿宋_GB2312"/>
          <w:sz w:val="32"/>
        </w:rPr>
        <w:t>，</w:t>
      </w:r>
      <w:r>
        <w:rPr>
          <w:rFonts w:hint="eastAsia" w:eastAsia="仿宋_GB2312"/>
          <w:sz w:val="32"/>
        </w:rPr>
        <w:t>第一时间</w:t>
      </w:r>
      <w:r>
        <w:rPr>
          <w:rFonts w:hint="eastAsia" w:eastAsia="仿宋_GB2312"/>
          <w:sz w:val="32"/>
          <w:lang w:eastAsia="zh-CN"/>
        </w:rPr>
        <w:t>（</w:t>
      </w:r>
      <w:r>
        <w:rPr>
          <w:rFonts w:hint="eastAsia" w:eastAsia="仿宋_GB2312"/>
          <w:sz w:val="32"/>
          <w:lang w:val="en-US" w:eastAsia="zh-CN"/>
        </w:rPr>
        <w:t>1小时内</w:t>
      </w:r>
      <w:r>
        <w:rPr>
          <w:rFonts w:hint="eastAsia" w:eastAsia="仿宋_GB2312"/>
          <w:sz w:val="32"/>
          <w:lang w:eastAsia="zh-CN"/>
        </w:rPr>
        <w:t>）</w:t>
      </w:r>
      <w:r>
        <w:rPr>
          <w:rFonts w:ascii="仿宋_GB2312" w:hAnsi="仿宋_GB2312" w:eastAsia="仿宋_GB2312" w:cs="仿宋_GB2312"/>
          <w:sz w:val="32"/>
        </w:rPr>
        <w:t>向兵团报告</w:t>
      </w:r>
      <w:r>
        <w:rPr>
          <w:rFonts w:hint="eastAsia" w:ascii="仿宋_GB2312" w:hAnsi="仿宋_GB2312" w:eastAsia="仿宋_GB2312" w:cs="仿宋_GB2312"/>
          <w:sz w:val="32"/>
        </w:rPr>
        <w:t>。</w:t>
      </w:r>
      <w:r>
        <w:rPr>
          <w:rFonts w:hint="eastAsia" w:eastAsia="仿宋_GB2312"/>
          <w:sz w:val="32"/>
          <w:szCs w:val="32"/>
        </w:rPr>
        <w:t>初判为重大或特别重大突发生态环境事件，或可能（已经）引发大规模群体性事件，或可能造成国际影响的，事发地师</w:t>
      </w:r>
      <w:r>
        <w:rPr>
          <w:rFonts w:eastAsia="仿宋_GB2312"/>
          <w:sz w:val="32"/>
          <w:szCs w:val="32"/>
        </w:rPr>
        <w:t>市要采取一切措施尽快掌握情况，</w:t>
      </w:r>
      <w:r>
        <w:rPr>
          <w:rFonts w:hint="eastAsia" w:eastAsia="仿宋_GB2312"/>
          <w:sz w:val="32"/>
          <w:szCs w:val="32"/>
          <w:lang w:val="en-US" w:eastAsia="zh-CN"/>
        </w:rPr>
        <w:t>立即</w:t>
      </w:r>
      <w:r>
        <w:rPr>
          <w:rFonts w:eastAsia="仿宋_GB2312"/>
          <w:sz w:val="32"/>
        </w:rPr>
        <w:t>报告</w:t>
      </w:r>
      <w:r>
        <w:rPr>
          <w:rFonts w:hint="eastAsia" w:eastAsia="仿宋_GB2312"/>
          <w:sz w:val="32"/>
          <w:szCs w:val="32"/>
        </w:rPr>
        <w:t>所在师市及</w:t>
      </w:r>
      <w:r>
        <w:rPr>
          <w:rFonts w:eastAsia="仿宋_GB2312"/>
          <w:sz w:val="32"/>
        </w:rPr>
        <w:t>兵团生态环境局。兵团生态环境局了解事件情况</w:t>
      </w:r>
      <w:r>
        <w:rPr>
          <w:rFonts w:hint="eastAsia" w:eastAsia="仿宋_GB2312"/>
          <w:sz w:val="32"/>
        </w:rPr>
        <w:t>后</w:t>
      </w:r>
      <w:r>
        <w:rPr>
          <w:rFonts w:eastAsia="仿宋_GB2312"/>
          <w:sz w:val="32"/>
        </w:rPr>
        <w:t>，</w:t>
      </w:r>
      <w:r>
        <w:rPr>
          <w:rFonts w:hint="eastAsia" w:eastAsia="仿宋_GB2312"/>
          <w:sz w:val="32"/>
        </w:rPr>
        <w:t>第一时间</w:t>
      </w:r>
      <w:r>
        <w:rPr>
          <w:rFonts w:hint="eastAsia" w:eastAsia="仿宋_GB2312"/>
          <w:sz w:val="32"/>
          <w:lang w:eastAsia="zh-CN"/>
        </w:rPr>
        <w:t>（</w:t>
      </w:r>
      <w:r>
        <w:rPr>
          <w:rFonts w:hint="eastAsia" w:eastAsia="仿宋_GB2312"/>
          <w:sz w:val="32"/>
          <w:lang w:val="en-US" w:eastAsia="zh-CN"/>
        </w:rPr>
        <w:t>1小时内</w:t>
      </w:r>
      <w:r>
        <w:rPr>
          <w:rFonts w:hint="eastAsia" w:eastAsia="仿宋_GB2312"/>
          <w:sz w:val="32"/>
          <w:lang w:eastAsia="zh-CN"/>
        </w:rPr>
        <w:t>）</w:t>
      </w:r>
      <w:r>
        <w:rPr>
          <w:rFonts w:ascii="仿宋_GB2312" w:hAnsi="仿宋_GB2312" w:eastAsia="仿宋_GB2312" w:cs="仿宋_GB2312"/>
          <w:sz w:val="32"/>
        </w:rPr>
        <w:t>向兵团报告，</w:t>
      </w:r>
      <w:r>
        <w:rPr>
          <w:rFonts w:hint="eastAsia" w:ascii="仿宋_GB2312" w:hAnsi="仿宋_GB2312" w:eastAsia="仿宋_GB2312" w:cs="仿宋_GB2312"/>
          <w:sz w:val="32"/>
        </w:rPr>
        <w:t>同时按有关规定</w:t>
      </w:r>
      <w:r>
        <w:rPr>
          <w:rFonts w:ascii="仿宋_GB2312" w:hAnsi="仿宋_GB2312" w:eastAsia="仿宋_GB2312" w:cs="仿宋_GB2312"/>
          <w:sz w:val="32"/>
        </w:rPr>
        <w:t>向生态环境部报告。</w:t>
      </w:r>
    </w:p>
    <w:p w14:paraId="34B63A7E">
      <w:pPr>
        <w:snapToGrid w:val="0"/>
        <w:spacing w:line="560" w:lineRule="exact"/>
        <w:ind w:firstLine="640" w:firstLineChars="200"/>
        <w:rPr>
          <w:rFonts w:eastAsia="仿宋_GB2312"/>
          <w:sz w:val="32"/>
          <w:szCs w:val="32"/>
        </w:rPr>
      </w:pPr>
      <w:r>
        <w:rPr>
          <w:rFonts w:hint="eastAsia" w:ascii="仿宋_GB2312" w:hAnsi="仿宋_GB2312" w:eastAsia="仿宋_GB2312" w:cs="仿宋_GB2312"/>
          <w:sz w:val="32"/>
        </w:rPr>
        <w:t>事件本身比较敏感或者发生在重点地区、重点时段，或者可能演化为特别重大、重大突发事件的，应立即上报，不受事件分级标准限制。</w:t>
      </w:r>
    </w:p>
    <w:p w14:paraId="4DEEBBEE">
      <w:pPr>
        <w:pStyle w:val="3"/>
        <w:adjustRightInd w:val="0"/>
        <w:snapToGrid w:val="0"/>
        <w:spacing w:before="0" w:after="0" w:line="560" w:lineRule="exact"/>
        <w:ind w:firstLine="640" w:firstLineChars="200"/>
        <w:rPr>
          <w:rFonts w:eastAsia="楷体_GB2312"/>
          <w:color w:val="auto"/>
          <w:sz w:val="32"/>
        </w:rPr>
      </w:pPr>
      <w:bookmarkStart w:id="101" w:name="_Toc207817649"/>
      <w:r>
        <w:rPr>
          <w:rFonts w:hint="eastAsia" w:eastAsia="楷体_GB2312"/>
          <w:color w:val="auto"/>
          <w:sz w:val="32"/>
        </w:rPr>
        <w:t>4</w:t>
      </w:r>
      <w:r>
        <w:rPr>
          <w:rFonts w:eastAsia="楷体_GB2312"/>
          <w:color w:val="auto"/>
          <w:sz w:val="32"/>
        </w:rPr>
        <w:t xml:space="preserve">.3 </w:t>
      </w:r>
      <w:r>
        <w:rPr>
          <w:rFonts w:hint="eastAsia" w:eastAsia="楷体_GB2312"/>
          <w:color w:val="auto"/>
          <w:sz w:val="32"/>
        </w:rPr>
        <w:t>报告</w:t>
      </w:r>
      <w:r>
        <w:rPr>
          <w:rFonts w:eastAsia="楷体_GB2312"/>
          <w:color w:val="auto"/>
          <w:sz w:val="32"/>
        </w:rPr>
        <w:t>内容</w:t>
      </w:r>
      <w:bookmarkEnd w:id="101"/>
    </w:p>
    <w:p w14:paraId="6D8A3373">
      <w:pPr>
        <w:snapToGrid w:val="0"/>
        <w:spacing w:line="560" w:lineRule="exact"/>
        <w:ind w:firstLine="640" w:firstLineChars="200"/>
        <w:rPr>
          <w:rFonts w:hint="eastAsia" w:eastAsia="仿宋_GB2312"/>
          <w:sz w:val="32"/>
          <w:szCs w:val="32"/>
          <w:lang w:val="en-US" w:eastAsia="zh-CN"/>
        </w:rPr>
      </w:pPr>
      <w:r>
        <w:rPr>
          <w:rFonts w:hint="eastAsia" w:eastAsia="仿宋_GB2312"/>
          <w:sz w:val="32"/>
          <w:szCs w:val="32"/>
        </w:rPr>
        <w:t>突发生态环境事件的报告分为初报、续报和处理结果报告。初报应当报告突发生态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生态环境事件影响的环境敏感点的分布示意图。续报应当在初报的基础上，报告有关处置进展情况。处理结果报告应当在初报和续报的基础上，报告处理突发生态环境事件的措施、过程和结果，突发生态环境事件潜在或者间接危害以及损失、社会影响、处理后的遗留问题、责任追究等详细情况。</w:t>
      </w:r>
      <w:bookmarkStart w:id="102" w:name="_Toc207817650"/>
      <w:r>
        <w:rPr>
          <w:rFonts w:hint="eastAsia" w:eastAsia="仿宋_GB2312"/>
          <w:sz w:val="32"/>
          <w:szCs w:val="32"/>
          <w:lang w:val="en-US" w:eastAsia="zh-CN"/>
        </w:rPr>
        <w:t xml:space="preserve">    </w:t>
      </w:r>
    </w:p>
    <w:p w14:paraId="245A47F3">
      <w:pPr>
        <w:snapToGrid w:val="0"/>
        <w:spacing w:line="560" w:lineRule="exact"/>
        <w:ind w:firstLine="640" w:firstLineChars="200"/>
        <w:rPr>
          <w:rFonts w:eastAsia="仿宋_GB2312"/>
          <w:sz w:val="32"/>
        </w:rPr>
      </w:pPr>
      <w:r>
        <w:rPr>
          <w:rFonts w:hint="eastAsia" w:eastAsia="楷体_GB2312"/>
          <w:color w:val="auto"/>
          <w:sz w:val="32"/>
        </w:rPr>
        <w:t>4</w:t>
      </w:r>
      <w:r>
        <w:rPr>
          <w:rFonts w:eastAsia="楷体_GB2312"/>
          <w:color w:val="auto"/>
          <w:sz w:val="32"/>
        </w:rPr>
        <w:t>.4 信息通报</w:t>
      </w:r>
      <w:bookmarkEnd w:id="102"/>
    </w:p>
    <w:p w14:paraId="3686F7D1">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突发生态环境事件已经或者可能涉及相邻行政区域的，事发地师市或生态环境主管部门应当及时通报</w:t>
      </w:r>
      <w:r>
        <w:rPr>
          <w:rFonts w:hint="eastAsia" w:ascii="仿宋_GB2312" w:hAnsi="仿宋_GB2312" w:eastAsia="仿宋_GB2312" w:cs="仿宋_GB2312"/>
          <w:sz w:val="32"/>
        </w:rPr>
        <w:t>相邻的行政区域人民政府</w:t>
      </w:r>
      <w:r>
        <w:rPr>
          <w:rFonts w:hint="eastAsia" w:ascii="仿宋_GB2312" w:hAnsi="仿宋_GB2312" w:eastAsia="仿宋_GB2312" w:cs="仿宋_GB2312"/>
          <w:sz w:val="32"/>
          <w:szCs w:val="32"/>
        </w:rPr>
        <w:t>或生态环境主管部门。</w:t>
      </w:r>
    </w:p>
    <w:bookmarkEnd w:id="99"/>
    <w:p w14:paraId="72DDCBCA">
      <w:pPr>
        <w:pStyle w:val="2"/>
        <w:adjustRightInd w:val="0"/>
        <w:snapToGrid w:val="0"/>
        <w:spacing w:before="0" w:after="0" w:line="560" w:lineRule="exact"/>
        <w:ind w:firstLine="640" w:firstLineChars="200"/>
        <w:rPr>
          <w:b w:val="0"/>
          <w:bCs w:val="0"/>
          <w:lang w:val="en-US"/>
        </w:rPr>
      </w:pPr>
      <w:bookmarkStart w:id="103" w:name="_Toc92300347"/>
      <w:bookmarkStart w:id="104" w:name="_Toc207817651"/>
      <w:r>
        <w:rPr>
          <w:rFonts w:hint="eastAsia"/>
          <w:b w:val="0"/>
          <w:bCs w:val="0"/>
          <w:lang w:val="en-US"/>
        </w:rPr>
        <w:t>5</w:t>
      </w:r>
      <w:r>
        <w:rPr>
          <w:b w:val="0"/>
          <w:bCs w:val="0"/>
          <w:lang w:val="en-US"/>
        </w:rPr>
        <w:t xml:space="preserve"> 应急响应</w:t>
      </w:r>
      <w:bookmarkEnd w:id="103"/>
      <w:bookmarkEnd w:id="104"/>
    </w:p>
    <w:p w14:paraId="41DFED6F">
      <w:pPr>
        <w:pStyle w:val="3"/>
        <w:adjustRightInd w:val="0"/>
        <w:snapToGrid w:val="0"/>
        <w:spacing w:before="0" w:after="0" w:line="560" w:lineRule="exact"/>
        <w:ind w:firstLine="640" w:firstLineChars="200"/>
        <w:rPr>
          <w:rFonts w:eastAsia="楷体_GB2312"/>
          <w:color w:val="auto"/>
          <w:sz w:val="32"/>
        </w:rPr>
      </w:pPr>
      <w:bookmarkStart w:id="105" w:name="_Toc207817652"/>
      <w:bookmarkStart w:id="106" w:name="_Toc91841297"/>
      <w:bookmarkStart w:id="107" w:name="_Toc92300348"/>
      <w:bookmarkStart w:id="108" w:name="_Toc88738163"/>
      <w:bookmarkStart w:id="109" w:name="_Toc400723065"/>
      <w:r>
        <w:rPr>
          <w:rFonts w:hint="eastAsia" w:eastAsia="楷体_GB2312"/>
          <w:color w:val="auto"/>
          <w:sz w:val="32"/>
        </w:rPr>
        <w:t>5</w:t>
      </w:r>
      <w:r>
        <w:rPr>
          <w:rFonts w:eastAsia="楷体_GB2312"/>
          <w:color w:val="auto"/>
          <w:sz w:val="32"/>
        </w:rPr>
        <w:t>.1 先期处置</w:t>
      </w:r>
      <w:bookmarkEnd w:id="105"/>
      <w:bookmarkEnd w:id="106"/>
      <w:bookmarkEnd w:id="107"/>
      <w:bookmarkEnd w:id="108"/>
    </w:p>
    <w:p w14:paraId="46A48847">
      <w:pPr>
        <w:snapToGrid w:val="0"/>
        <w:spacing w:line="560" w:lineRule="exact"/>
        <w:ind w:firstLine="640" w:firstLineChars="200"/>
        <w:rPr>
          <w:rFonts w:eastAsia="仿宋_GB2312"/>
          <w:sz w:val="32"/>
        </w:rPr>
      </w:pPr>
      <w:r>
        <w:rPr>
          <w:rFonts w:ascii="仿宋_GB2312" w:hAnsi="仿宋_GB2312" w:eastAsia="仿宋_GB2312" w:cs="仿宋_GB2312"/>
          <w:sz w:val="32"/>
        </w:rPr>
        <w:t>发生突发生态环境事件的</w:t>
      </w:r>
      <w:r>
        <w:rPr>
          <w:rFonts w:hint="eastAsia" w:eastAsia="仿宋_GB2312"/>
          <w:sz w:val="32"/>
        </w:rPr>
        <w:t>企事业单位、工业园区等</w:t>
      </w:r>
      <w:r>
        <w:rPr>
          <w:rFonts w:ascii="仿宋_GB2312" w:hAnsi="仿宋_GB2312" w:eastAsia="仿宋_GB2312" w:cs="仿宋_GB2312"/>
          <w:sz w:val="32"/>
        </w:rPr>
        <w:t>应当启动本单位突发生态环境事件应急预案，开展先期处置。事发地所在师市接报、核实事件信息后，立即按本级应急预案启动相关应急响应措施，按规定向</w:t>
      </w:r>
      <w:r>
        <w:rPr>
          <w:rFonts w:hint="eastAsia" w:ascii="仿宋_GB2312" w:hAnsi="仿宋_GB2312" w:eastAsia="仿宋_GB2312" w:cs="仿宋_GB2312"/>
          <w:sz w:val="32"/>
        </w:rPr>
        <w:t>兵团</w:t>
      </w:r>
      <w:r>
        <w:rPr>
          <w:rFonts w:ascii="仿宋_GB2312" w:hAnsi="仿宋_GB2312" w:eastAsia="仿宋_GB2312" w:cs="仿宋_GB2312"/>
          <w:sz w:val="32"/>
        </w:rPr>
        <w:t>和有关部门报告，向可能受到污染的本辖区内企事业单位和居民</w:t>
      </w:r>
      <w:r>
        <w:rPr>
          <w:rFonts w:hint="eastAsia" w:ascii="仿宋_GB2312" w:hAnsi="仿宋_GB2312" w:eastAsia="仿宋_GB2312" w:cs="仿宋_GB2312"/>
          <w:sz w:val="32"/>
        </w:rPr>
        <w:t>以及相邻的行政区域人民政府</w:t>
      </w:r>
      <w:r>
        <w:rPr>
          <w:rFonts w:ascii="仿宋_GB2312" w:hAnsi="仿宋_GB2312" w:eastAsia="仿宋_GB2312" w:cs="仿宋_GB2312"/>
          <w:sz w:val="32"/>
        </w:rPr>
        <w:t>通报相关信息；救助伤员或疏散、</w:t>
      </w:r>
      <w:r>
        <w:rPr>
          <w:rFonts w:hint="eastAsia" w:ascii="仿宋_GB2312" w:hAnsi="仿宋_GB2312" w:eastAsia="仿宋_GB2312" w:cs="仿宋_GB2312"/>
          <w:sz w:val="32"/>
        </w:rPr>
        <w:t>撤离</w:t>
      </w:r>
      <w:r>
        <w:rPr>
          <w:rFonts w:ascii="仿宋_GB2312" w:hAnsi="仿宋_GB2312" w:eastAsia="仿宋_GB2312" w:cs="仿宋_GB2312"/>
          <w:sz w:val="32"/>
        </w:rPr>
        <w:t>可能受影响的群众；切断污染源，处置、清理污染物，防止污染扩散。</w:t>
      </w:r>
    </w:p>
    <w:p w14:paraId="310CD42D">
      <w:pPr>
        <w:pStyle w:val="3"/>
        <w:adjustRightInd w:val="0"/>
        <w:snapToGrid w:val="0"/>
        <w:spacing w:before="0" w:after="0" w:line="560" w:lineRule="exact"/>
        <w:ind w:firstLine="640" w:firstLineChars="200"/>
        <w:rPr>
          <w:rFonts w:eastAsia="楷体_GB2312"/>
          <w:color w:val="auto"/>
          <w:sz w:val="32"/>
        </w:rPr>
      </w:pPr>
      <w:bookmarkStart w:id="110" w:name="_Toc92300349"/>
      <w:bookmarkStart w:id="111" w:name="_Toc91841298"/>
      <w:bookmarkStart w:id="112" w:name="_Toc88738164"/>
      <w:bookmarkStart w:id="113" w:name="_Toc207817653"/>
      <w:r>
        <w:rPr>
          <w:rFonts w:hint="eastAsia" w:eastAsia="楷体_GB2312"/>
          <w:color w:val="auto"/>
          <w:sz w:val="32"/>
        </w:rPr>
        <w:t>5</w:t>
      </w:r>
      <w:r>
        <w:rPr>
          <w:rFonts w:eastAsia="楷体_GB2312"/>
          <w:color w:val="auto"/>
          <w:sz w:val="32"/>
        </w:rPr>
        <w:t>.2 响应分级</w:t>
      </w:r>
      <w:bookmarkEnd w:id="109"/>
      <w:bookmarkEnd w:id="110"/>
      <w:bookmarkEnd w:id="111"/>
      <w:bookmarkEnd w:id="112"/>
      <w:bookmarkEnd w:id="113"/>
    </w:p>
    <w:p w14:paraId="543487A8">
      <w:pPr>
        <w:snapToGrid w:val="0"/>
        <w:spacing w:line="560" w:lineRule="exact"/>
        <w:ind w:firstLine="640" w:firstLineChars="200"/>
        <w:rPr>
          <w:rFonts w:eastAsia="仿宋_GB2312"/>
          <w:sz w:val="32"/>
        </w:rPr>
      </w:pPr>
      <w:bookmarkStart w:id="114" w:name="_Toc400723067"/>
      <w:r>
        <w:rPr>
          <w:rFonts w:eastAsia="仿宋_GB2312"/>
          <w:sz w:val="32"/>
        </w:rPr>
        <w:t>根据突发生态环境事件的严重程度和发展态势，将应急响应设定为I级、Ⅱ级、Ⅲ级和Ⅳ级四个等级。初判发生特别重大、重大突发生态环境事件，分别启动I级、Ⅱ级应急响应，由兵团负责应对工作；初判发生较大</w:t>
      </w:r>
      <w:r>
        <w:rPr>
          <w:rFonts w:hint="eastAsia" w:eastAsia="仿宋_GB2312"/>
          <w:sz w:val="32"/>
        </w:rPr>
        <w:t>、一般</w:t>
      </w:r>
      <w:r>
        <w:rPr>
          <w:rFonts w:eastAsia="仿宋_GB2312"/>
          <w:sz w:val="32"/>
        </w:rPr>
        <w:t>突发生态环境事件，启动Ⅲ、Ⅳ级应急响应，由事发地所在师市负责应对工作。</w:t>
      </w:r>
    </w:p>
    <w:p w14:paraId="7E45128B">
      <w:pPr>
        <w:snapToGrid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应急响应启动后，可根据事态发展情况及时调整响应级别。对于小概率、高风险、超常规的极端事件要果断提级响应，确保快速有效控制事态发展。</w:t>
      </w:r>
      <w:r>
        <w:rPr>
          <w:rFonts w:ascii="仿宋_GB2312" w:hAnsi="仿宋_GB2312" w:eastAsia="仿宋_GB2312" w:cs="仿宋_GB2312"/>
          <w:sz w:val="32"/>
        </w:rPr>
        <w:t>突发生态环境事件发生在易造成重大影响的地区或重要时段时，可适当提高响应级别。应急响应启动后，可视事件损失情况及其发展趋势调整响应级别，避免响应不足或响应过度。</w:t>
      </w:r>
    </w:p>
    <w:p w14:paraId="3AE54885">
      <w:pPr>
        <w:snapToGrid w:val="0"/>
        <w:spacing w:line="560" w:lineRule="exact"/>
        <w:ind w:firstLine="640" w:firstLineChars="200"/>
        <w:rPr>
          <w:rFonts w:eastAsia="仿宋_GB2312"/>
          <w:sz w:val="32"/>
        </w:rPr>
      </w:pPr>
      <w:r>
        <w:rPr>
          <w:rFonts w:eastAsia="仿宋_GB2312"/>
          <w:sz w:val="32"/>
        </w:rPr>
        <w:t>事态发展到需向国务院、生态环境部以及军队、武警部队请求支援时，由兵团协调。</w:t>
      </w:r>
      <w:bookmarkEnd w:id="114"/>
    </w:p>
    <w:p w14:paraId="091BF10F">
      <w:pPr>
        <w:snapToGrid w:val="0"/>
        <w:spacing w:line="560" w:lineRule="exact"/>
        <w:ind w:firstLine="640" w:firstLineChars="200"/>
        <w:rPr>
          <w:rFonts w:eastAsia="仿宋_GB2312"/>
          <w:sz w:val="32"/>
        </w:rPr>
      </w:pPr>
      <w:r>
        <w:rPr>
          <w:rFonts w:hint="eastAsia" w:eastAsia="仿宋_GB2312"/>
          <w:sz w:val="32"/>
        </w:rPr>
        <w:t>5</w:t>
      </w:r>
      <w:r>
        <w:rPr>
          <w:rFonts w:eastAsia="仿宋_GB2312"/>
          <w:sz w:val="32"/>
        </w:rPr>
        <w:t>.2.1 Ⅰ级响应</w:t>
      </w:r>
    </w:p>
    <w:p w14:paraId="0FFB7EA8">
      <w:pPr>
        <w:snapToGrid w:val="0"/>
        <w:spacing w:line="560" w:lineRule="exact"/>
        <w:ind w:firstLine="640" w:firstLineChars="200"/>
        <w:rPr>
          <w:rFonts w:eastAsia="仿宋_GB2312"/>
          <w:sz w:val="32"/>
        </w:rPr>
      </w:pPr>
      <w:r>
        <w:rPr>
          <w:rFonts w:eastAsia="仿宋_GB2312"/>
          <w:sz w:val="32"/>
        </w:rPr>
        <w:t>初判发生特别重大突发生态环境事件，兵团生态环境应急指挥部</w:t>
      </w:r>
      <w:bookmarkStart w:id="115" w:name="_Hlk203757976"/>
      <w:r>
        <w:rPr>
          <w:rFonts w:eastAsia="仿宋_GB2312"/>
          <w:sz w:val="32"/>
        </w:rPr>
        <w:t>建议兵团启动I级响应</w:t>
      </w:r>
      <w:bookmarkEnd w:id="115"/>
      <w:r>
        <w:rPr>
          <w:rFonts w:eastAsia="仿宋_GB2312"/>
          <w:sz w:val="32"/>
        </w:rPr>
        <w:t>，立即开展以下先期处置工作并向</w:t>
      </w:r>
      <w:r>
        <w:rPr>
          <w:rFonts w:hint="eastAsia" w:eastAsia="仿宋_GB2312"/>
          <w:sz w:val="32"/>
        </w:rPr>
        <w:t>生态环境部和</w:t>
      </w:r>
      <w:r>
        <w:rPr>
          <w:rFonts w:eastAsia="仿宋_GB2312"/>
          <w:sz w:val="32"/>
        </w:rPr>
        <w:t>国务院报告：</w:t>
      </w:r>
    </w:p>
    <w:p w14:paraId="3E369AF8">
      <w:pPr>
        <w:snapToGrid w:val="0"/>
        <w:spacing w:line="560" w:lineRule="exact"/>
        <w:ind w:firstLine="640" w:firstLineChars="200"/>
        <w:rPr>
          <w:rFonts w:eastAsia="仿宋_GB2312"/>
          <w:sz w:val="32"/>
        </w:rPr>
      </w:pPr>
      <w:r>
        <w:rPr>
          <w:rFonts w:eastAsia="仿宋_GB2312"/>
          <w:sz w:val="32"/>
        </w:rPr>
        <w:t>（1）组织指挥部成员单位、专家组会商，研究分析事态，部署应急处置工作；</w:t>
      </w:r>
    </w:p>
    <w:p w14:paraId="4FE3EED0">
      <w:pPr>
        <w:snapToGrid w:val="0"/>
        <w:spacing w:line="560" w:lineRule="exact"/>
        <w:ind w:firstLine="640" w:firstLineChars="200"/>
        <w:rPr>
          <w:rFonts w:eastAsia="仿宋_GB2312"/>
          <w:sz w:val="32"/>
        </w:rPr>
      </w:pPr>
      <w:r>
        <w:rPr>
          <w:rFonts w:eastAsia="仿宋_GB2312"/>
          <w:sz w:val="32"/>
        </w:rPr>
        <w:t>（2）兵团领导率工作组赴事发现场协调开展应对工作；</w:t>
      </w:r>
    </w:p>
    <w:p w14:paraId="764D8FC7">
      <w:pPr>
        <w:snapToGrid w:val="0"/>
        <w:spacing w:line="560" w:lineRule="exact"/>
        <w:ind w:firstLine="640" w:firstLineChars="200"/>
        <w:rPr>
          <w:rFonts w:eastAsia="仿宋_GB2312"/>
          <w:sz w:val="32"/>
        </w:rPr>
      </w:pPr>
      <w:r>
        <w:rPr>
          <w:rFonts w:eastAsia="仿宋_GB2312"/>
          <w:sz w:val="32"/>
        </w:rPr>
        <w:t>（3）配合国家环境应急指挥部或工作组开展应急处置工作；</w:t>
      </w:r>
    </w:p>
    <w:p w14:paraId="1891CCEA">
      <w:pPr>
        <w:snapToGrid w:val="0"/>
        <w:spacing w:line="560" w:lineRule="exact"/>
        <w:ind w:firstLine="640" w:firstLineChars="200"/>
        <w:rPr>
          <w:rFonts w:eastAsia="仿宋_GB2312"/>
          <w:sz w:val="32"/>
        </w:rPr>
      </w:pPr>
      <w:r>
        <w:rPr>
          <w:rFonts w:eastAsia="仿宋_GB2312"/>
          <w:sz w:val="32"/>
        </w:rPr>
        <w:t>（4）研究决定涉事师市和有关部门提出的请求事项；</w:t>
      </w:r>
    </w:p>
    <w:p w14:paraId="2C6EFE28">
      <w:pPr>
        <w:snapToGrid w:val="0"/>
        <w:spacing w:line="560" w:lineRule="exact"/>
        <w:ind w:firstLine="640" w:firstLineChars="200"/>
        <w:rPr>
          <w:rFonts w:eastAsia="仿宋_GB2312"/>
          <w:sz w:val="32"/>
        </w:rPr>
      </w:pPr>
      <w:r>
        <w:rPr>
          <w:rFonts w:eastAsia="仿宋_GB2312"/>
          <w:sz w:val="32"/>
        </w:rPr>
        <w:t>（5）对跨兵地、跨省（自治区）行政区域突发生态环境事件应对工作进行协调；</w:t>
      </w:r>
    </w:p>
    <w:p w14:paraId="39191382">
      <w:pPr>
        <w:snapToGrid w:val="0"/>
        <w:spacing w:line="560" w:lineRule="exact"/>
        <w:ind w:firstLine="640" w:firstLineChars="200"/>
        <w:rPr>
          <w:rFonts w:eastAsia="仿宋_GB2312"/>
          <w:sz w:val="32"/>
        </w:rPr>
      </w:pPr>
      <w:r>
        <w:rPr>
          <w:rFonts w:eastAsia="仿宋_GB2312"/>
          <w:sz w:val="32"/>
        </w:rPr>
        <w:t>（6）统一组织信息发布和舆论引导；</w:t>
      </w:r>
    </w:p>
    <w:p w14:paraId="120E26F0">
      <w:pPr>
        <w:snapToGrid w:val="0"/>
        <w:spacing w:line="560" w:lineRule="exact"/>
        <w:ind w:firstLine="640" w:firstLineChars="200"/>
        <w:rPr>
          <w:rFonts w:eastAsia="仿宋_GB2312"/>
          <w:sz w:val="32"/>
        </w:rPr>
      </w:pPr>
      <w:r>
        <w:rPr>
          <w:rFonts w:eastAsia="仿宋_GB2312"/>
          <w:sz w:val="32"/>
        </w:rPr>
        <w:t>（7）视</w:t>
      </w:r>
      <w:r>
        <w:rPr>
          <w:rFonts w:hint="eastAsia" w:eastAsia="仿宋_GB2312"/>
          <w:sz w:val="32"/>
        </w:rPr>
        <w:t>情况</w:t>
      </w:r>
      <w:r>
        <w:rPr>
          <w:rFonts w:eastAsia="仿宋_GB2312"/>
          <w:sz w:val="32"/>
        </w:rPr>
        <w:t>向相关方面通报情况；</w:t>
      </w:r>
    </w:p>
    <w:p w14:paraId="43F88E51">
      <w:pPr>
        <w:snapToGrid w:val="0"/>
        <w:spacing w:line="560" w:lineRule="exact"/>
        <w:ind w:firstLine="640" w:firstLineChars="200"/>
        <w:rPr>
          <w:rFonts w:eastAsia="仿宋_GB2312"/>
          <w:sz w:val="32"/>
        </w:rPr>
      </w:pPr>
      <w:r>
        <w:rPr>
          <w:rFonts w:eastAsia="仿宋_GB2312"/>
          <w:sz w:val="32"/>
        </w:rPr>
        <w:t>（8）组织开展事件调查。</w:t>
      </w:r>
    </w:p>
    <w:p w14:paraId="31789E0E">
      <w:pPr>
        <w:snapToGrid w:val="0"/>
        <w:spacing w:line="560" w:lineRule="exact"/>
        <w:ind w:firstLine="640" w:firstLineChars="200"/>
        <w:rPr>
          <w:rFonts w:eastAsia="仿宋_GB2312"/>
          <w:sz w:val="32"/>
        </w:rPr>
      </w:pPr>
      <w:r>
        <w:rPr>
          <w:rFonts w:hint="eastAsia" w:eastAsia="仿宋_GB2312"/>
          <w:sz w:val="32"/>
        </w:rPr>
        <w:t>5</w:t>
      </w:r>
      <w:r>
        <w:rPr>
          <w:rFonts w:eastAsia="仿宋_GB2312"/>
          <w:sz w:val="32"/>
        </w:rPr>
        <w:t>.2.2 Ⅱ级响应</w:t>
      </w:r>
    </w:p>
    <w:p w14:paraId="7B5456C0">
      <w:pPr>
        <w:snapToGrid w:val="0"/>
        <w:spacing w:line="560" w:lineRule="exact"/>
        <w:ind w:firstLine="640" w:firstLineChars="200"/>
        <w:rPr>
          <w:rFonts w:eastAsia="仿宋_GB2312"/>
          <w:sz w:val="32"/>
        </w:rPr>
      </w:pPr>
      <w:r>
        <w:rPr>
          <w:rFonts w:eastAsia="仿宋_GB2312"/>
          <w:sz w:val="32"/>
        </w:rPr>
        <w:t>初判发生重大突发生态环境事件时，兵团生态环境应急指挥部建议兵团启动Ⅱ级响应，立即开展以下处置工作并向</w:t>
      </w:r>
      <w:r>
        <w:rPr>
          <w:rFonts w:hint="eastAsia" w:eastAsia="仿宋_GB2312"/>
          <w:sz w:val="32"/>
        </w:rPr>
        <w:t>生态环境部和</w:t>
      </w:r>
      <w:r>
        <w:rPr>
          <w:rFonts w:eastAsia="仿宋_GB2312"/>
          <w:sz w:val="32"/>
        </w:rPr>
        <w:t>国务院报告：</w:t>
      </w:r>
    </w:p>
    <w:p w14:paraId="6D90F184">
      <w:pPr>
        <w:snapToGrid w:val="0"/>
        <w:spacing w:line="560" w:lineRule="exact"/>
        <w:ind w:firstLine="640" w:firstLineChars="200"/>
        <w:rPr>
          <w:rFonts w:eastAsia="仿宋_GB2312"/>
          <w:sz w:val="32"/>
        </w:rPr>
      </w:pPr>
      <w:r>
        <w:rPr>
          <w:rFonts w:eastAsia="仿宋_GB2312"/>
          <w:sz w:val="32"/>
        </w:rPr>
        <w:t>（1）派兵团生态环境局主要负责人赴事发现场指导督促当地开展应急处置、应急监测、事件调查等工作；</w:t>
      </w:r>
    </w:p>
    <w:p w14:paraId="6C8E5933">
      <w:pPr>
        <w:snapToGrid w:val="0"/>
        <w:spacing w:line="560" w:lineRule="exact"/>
        <w:ind w:firstLine="640" w:firstLineChars="200"/>
        <w:rPr>
          <w:rFonts w:eastAsia="仿宋_GB2312"/>
          <w:sz w:val="32"/>
        </w:rPr>
      </w:pPr>
      <w:r>
        <w:rPr>
          <w:rFonts w:eastAsia="仿宋_GB2312"/>
          <w:sz w:val="32"/>
        </w:rPr>
        <w:t>（2）派相关工作组与事发地成立现场指挥部开展应对工作；</w:t>
      </w:r>
    </w:p>
    <w:p w14:paraId="2C00EA4C">
      <w:pPr>
        <w:snapToGrid w:val="0"/>
        <w:spacing w:line="560" w:lineRule="exact"/>
        <w:ind w:firstLine="640" w:firstLineChars="200"/>
        <w:rPr>
          <w:rFonts w:eastAsia="仿宋_GB2312"/>
          <w:sz w:val="32"/>
        </w:rPr>
      </w:pPr>
      <w:r>
        <w:rPr>
          <w:rFonts w:eastAsia="仿宋_GB2312"/>
          <w:sz w:val="32"/>
        </w:rPr>
        <w:t>（3）根据涉事师市和有关部门请求，组织协调相关应急队伍、物资、装备等，为应急处置提供支援和技术支持；</w:t>
      </w:r>
    </w:p>
    <w:p w14:paraId="3A292752">
      <w:pPr>
        <w:snapToGrid w:val="0"/>
        <w:spacing w:line="560" w:lineRule="exact"/>
        <w:ind w:firstLine="640" w:firstLineChars="200"/>
        <w:rPr>
          <w:rFonts w:eastAsia="仿宋_GB2312"/>
          <w:sz w:val="32"/>
        </w:rPr>
      </w:pPr>
      <w:r>
        <w:rPr>
          <w:rFonts w:eastAsia="仿宋_GB2312"/>
          <w:sz w:val="32"/>
        </w:rPr>
        <w:t>（4）对跨师市行政区域突发生态环境事件应对工作进行协调；</w:t>
      </w:r>
    </w:p>
    <w:p w14:paraId="57D65A17">
      <w:pPr>
        <w:snapToGrid w:val="0"/>
        <w:spacing w:line="560" w:lineRule="exact"/>
        <w:ind w:firstLine="640" w:firstLineChars="200"/>
        <w:rPr>
          <w:rFonts w:eastAsia="仿宋_GB2312"/>
          <w:sz w:val="32"/>
        </w:rPr>
      </w:pPr>
      <w:r>
        <w:rPr>
          <w:rFonts w:eastAsia="仿宋_GB2312"/>
          <w:sz w:val="32"/>
        </w:rPr>
        <w:t>（5）统一组织信息发布和舆论引导；</w:t>
      </w:r>
    </w:p>
    <w:p w14:paraId="554B145F">
      <w:pPr>
        <w:snapToGrid w:val="0"/>
        <w:spacing w:line="560" w:lineRule="exact"/>
        <w:ind w:firstLine="640" w:firstLineChars="200"/>
        <w:rPr>
          <w:rFonts w:eastAsia="仿宋_GB2312"/>
          <w:sz w:val="32"/>
        </w:rPr>
      </w:pPr>
      <w:r>
        <w:rPr>
          <w:rFonts w:eastAsia="仿宋_GB2312"/>
          <w:sz w:val="32"/>
        </w:rPr>
        <w:t>（6）开展事件调查及损害评估工作。</w:t>
      </w:r>
    </w:p>
    <w:p w14:paraId="3C596F8E">
      <w:pPr>
        <w:snapToGrid w:val="0"/>
        <w:spacing w:line="560" w:lineRule="exact"/>
        <w:ind w:firstLine="640" w:firstLineChars="200"/>
        <w:rPr>
          <w:rFonts w:eastAsia="仿宋_GB2312"/>
          <w:sz w:val="32"/>
        </w:rPr>
      </w:pPr>
      <w:r>
        <w:rPr>
          <w:rFonts w:hint="eastAsia" w:eastAsia="仿宋_GB2312"/>
          <w:sz w:val="32"/>
        </w:rPr>
        <w:t>5</w:t>
      </w:r>
      <w:r>
        <w:rPr>
          <w:rFonts w:eastAsia="仿宋_GB2312"/>
          <w:sz w:val="32"/>
        </w:rPr>
        <w:t>.2.3 Ⅲ级响应</w:t>
      </w:r>
    </w:p>
    <w:p w14:paraId="4E197BC4">
      <w:pPr>
        <w:snapToGrid w:val="0"/>
        <w:spacing w:line="560" w:lineRule="exact"/>
        <w:ind w:firstLine="640" w:firstLineChars="200"/>
        <w:rPr>
          <w:rFonts w:eastAsia="仿宋_GB2312"/>
          <w:sz w:val="32"/>
        </w:rPr>
      </w:pPr>
      <w:r>
        <w:rPr>
          <w:rFonts w:eastAsia="仿宋_GB2312"/>
          <w:sz w:val="32"/>
        </w:rPr>
        <w:t>初判发生较大突发生态环境事件时，事发地师市启动Ⅲ级应急响应，负责应对工作。兵团生态环境应急指挥部根据需要派出工作组赴现场指导当地开展应急处置、应急监测、事件调查等工作。</w:t>
      </w:r>
    </w:p>
    <w:p w14:paraId="42ADFE99">
      <w:pPr>
        <w:snapToGrid w:val="0"/>
        <w:spacing w:line="560" w:lineRule="exact"/>
        <w:ind w:firstLine="640" w:firstLineChars="200"/>
        <w:rPr>
          <w:rFonts w:eastAsia="仿宋_GB2312"/>
          <w:sz w:val="32"/>
        </w:rPr>
      </w:pPr>
      <w:r>
        <w:rPr>
          <w:rFonts w:eastAsia="仿宋_GB2312"/>
          <w:sz w:val="32"/>
        </w:rPr>
        <w:t>（1）事发地师市立即启动应急响应，组织实施应急处置。根据应急需要，成立现场应急指挥部，统一指挥、协调应急处置工作，并及时向兵团、兵团生态环境应急指挥部报告突发生态环境事件情况和应急救援实施情况；</w:t>
      </w:r>
    </w:p>
    <w:p w14:paraId="280CF8BE">
      <w:pPr>
        <w:snapToGrid w:val="0"/>
        <w:spacing w:line="560" w:lineRule="exact"/>
        <w:ind w:firstLine="640" w:firstLineChars="200"/>
        <w:rPr>
          <w:rFonts w:eastAsia="仿宋_GB2312"/>
          <w:sz w:val="32"/>
        </w:rPr>
      </w:pPr>
      <w:r>
        <w:rPr>
          <w:rFonts w:eastAsia="仿宋_GB2312"/>
          <w:sz w:val="32"/>
        </w:rPr>
        <w:t>（2）事发地师市生态环境应急指挥机构、现场应急指挥部保持与兵团生态环境应急指挥部的通信联络，及时掌握事件动态情况；</w:t>
      </w:r>
    </w:p>
    <w:p w14:paraId="14AF5D9A">
      <w:pPr>
        <w:snapToGrid w:val="0"/>
        <w:spacing w:line="560" w:lineRule="exact"/>
        <w:ind w:firstLine="640" w:firstLineChars="200"/>
        <w:rPr>
          <w:rFonts w:eastAsia="仿宋_GB2312"/>
          <w:sz w:val="32"/>
        </w:rPr>
      </w:pPr>
      <w:r>
        <w:rPr>
          <w:rFonts w:eastAsia="仿宋_GB2312"/>
          <w:sz w:val="32"/>
        </w:rPr>
        <w:t>（3）师市生态环境应急指挥部组织有关专家分析情况，组织相关应急救援力量和专家赶赴现场参与指挥现场应急救援；</w:t>
      </w:r>
    </w:p>
    <w:p w14:paraId="26A6A8D9">
      <w:pPr>
        <w:snapToGrid w:val="0"/>
        <w:spacing w:line="560" w:lineRule="exact"/>
        <w:ind w:firstLine="640" w:firstLineChars="200"/>
        <w:rPr>
          <w:rFonts w:eastAsia="仿宋_GB2312"/>
          <w:sz w:val="32"/>
        </w:rPr>
      </w:pPr>
      <w:r>
        <w:rPr>
          <w:rFonts w:eastAsia="仿宋_GB2312"/>
          <w:sz w:val="32"/>
        </w:rPr>
        <w:t>（4）师市统一组织信息发布和舆论引导并及时上报相关情况；</w:t>
      </w:r>
    </w:p>
    <w:p w14:paraId="62A866BF">
      <w:pPr>
        <w:snapToGrid w:val="0"/>
        <w:spacing w:line="560" w:lineRule="exact"/>
        <w:ind w:firstLine="640" w:firstLineChars="200"/>
        <w:rPr>
          <w:rFonts w:eastAsia="仿宋_GB2312"/>
          <w:sz w:val="32"/>
        </w:rPr>
      </w:pPr>
      <w:r>
        <w:rPr>
          <w:rFonts w:eastAsia="仿宋_GB2312"/>
          <w:sz w:val="32"/>
        </w:rPr>
        <w:t>（5）师市开展事件调查及损害评估工作并及时上报。</w:t>
      </w:r>
    </w:p>
    <w:p w14:paraId="717A8606">
      <w:pPr>
        <w:snapToGrid w:val="0"/>
        <w:spacing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.2.4 Ⅳ级响应</w:t>
      </w:r>
    </w:p>
    <w:p w14:paraId="04748FD1">
      <w:pPr>
        <w:snapToGrid w:val="0"/>
        <w:spacing w:line="560" w:lineRule="exact"/>
        <w:ind w:firstLine="640" w:firstLineChars="200"/>
        <w:rPr>
          <w:rFonts w:eastAsia="仿宋_GB2312"/>
          <w:sz w:val="32"/>
          <w:szCs w:val="32"/>
        </w:rPr>
      </w:pPr>
      <w:r>
        <w:rPr>
          <w:rFonts w:eastAsia="仿宋_GB2312"/>
          <w:sz w:val="32"/>
          <w:szCs w:val="32"/>
        </w:rPr>
        <w:t>初判发生一般突发生态环境事件时，由事发地师市启动Ⅳ级应急响应，负责应对工作。</w:t>
      </w:r>
    </w:p>
    <w:p w14:paraId="06BDED51">
      <w:pPr>
        <w:snapToGrid w:val="0"/>
        <w:spacing w:line="560" w:lineRule="exact"/>
        <w:ind w:firstLine="640" w:firstLineChars="200"/>
        <w:rPr>
          <w:rFonts w:eastAsia="仿宋_GB2312"/>
          <w:sz w:val="32"/>
          <w:szCs w:val="32"/>
        </w:rPr>
      </w:pPr>
      <w:r>
        <w:rPr>
          <w:rFonts w:eastAsia="仿宋_GB2312"/>
          <w:sz w:val="32"/>
          <w:szCs w:val="32"/>
        </w:rPr>
        <w:t>（1）事发地师市立即启动应急响应，组织实施应急处置。根据应急需要，成立现场应急指挥部，统一指挥、协调应急处置工作，并及时向兵团、兵团生态环境应急指挥部报告突发生态环境事件情况和应急救援实施情况；</w:t>
      </w:r>
    </w:p>
    <w:p w14:paraId="3F45EC3B">
      <w:pPr>
        <w:snapToGrid w:val="0"/>
        <w:spacing w:line="560" w:lineRule="exact"/>
        <w:ind w:firstLine="640" w:firstLineChars="200"/>
        <w:rPr>
          <w:rFonts w:eastAsia="仿宋_GB2312"/>
          <w:sz w:val="32"/>
          <w:szCs w:val="32"/>
        </w:rPr>
      </w:pPr>
      <w:r>
        <w:rPr>
          <w:rFonts w:eastAsia="仿宋_GB2312"/>
          <w:sz w:val="32"/>
          <w:szCs w:val="32"/>
        </w:rPr>
        <w:t>（2）事发地师市生态环境应急指挥机构、现场应急指挥部保持与兵团生态环境应急指挥部的通信联络，及时掌握事件动态情况；</w:t>
      </w:r>
    </w:p>
    <w:p w14:paraId="788468EC">
      <w:pPr>
        <w:snapToGrid w:val="0"/>
        <w:spacing w:line="560" w:lineRule="exact"/>
        <w:ind w:firstLine="640" w:firstLineChars="200"/>
        <w:rPr>
          <w:rFonts w:eastAsia="仿宋_GB2312"/>
          <w:sz w:val="32"/>
          <w:szCs w:val="32"/>
        </w:rPr>
      </w:pPr>
      <w:r>
        <w:rPr>
          <w:rFonts w:eastAsia="仿宋_GB2312"/>
          <w:sz w:val="32"/>
          <w:szCs w:val="32"/>
        </w:rPr>
        <w:t>（3）师市生态环境应急指挥部组织有关专家分析情况，组织相关应急救援力量和专家赶赴现场参与指挥现场应急救援；</w:t>
      </w:r>
    </w:p>
    <w:p w14:paraId="0ABA2F9B">
      <w:pPr>
        <w:snapToGrid w:val="0"/>
        <w:spacing w:line="560" w:lineRule="exact"/>
        <w:ind w:firstLine="640" w:firstLineChars="200"/>
        <w:rPr>
          <w:rFonts w:eastAsia="仿宋_GB2312"/>
          <w:sz w:val="32"/>
          <w:szCs w:val="32"/>
        </w:rPr>
      </w:pPr>
      <w:r>
        <w:rPr>
          <w:rFonts w:eastAsia="仿宋_GB2312"/>
          <w:sz w:val="32"/>
          <w:szCs w:val="32"/>
        </w:rPr>
        <w:t>（4）师市统一组织信息发布和舆论引导并及时上报相关情况；</w:t>
      </w:r>
    </w:p>
    <w:p w14:paraId="23C1092E">
      <w:pPr>
        <w:snapToGrid w:val="0"/>
        <w:spacing w:line="560" w:lineRule="exact"/>
        <w:ind w:firstLine="640" w:firstLineChars="200"/>
        <w:rPr>
          <w:rFonts w:eastAsia="仿宋_GB2312"/>
          <w:sz w:val="32"/>
          <w:szCs w:val="32"/>
        </w:rPr>
      </w:pPr>
      <w:r>
        <w:rPr>
          <w:rFonts w:eastAsia="仿宋_GB2312"/>
          <w:sz w:val="32"/>
          <w:szCs w:val="32"/>
        </w:rPr>
        <w:t>（5）师市开展事件调查及损害评估工作并及时上报。</w:t>
      </w:r>
    </w:p>
    <w:p w14:paraId="3F89E235">
      <w:pPr>
        <w:pStyle w:val="3"/>
        <w:adjustRightInd w:val="0"/>
        <w:snapToGrid w:val="0"/>
        <w:spacing w:before="0" w:after="0" w:line="560" w:lineRule="exact"/>
        <w:ind w:firstLine="640" w:firstLineChars="200"/>
        <w:rPr>
          <w:rFonts w:eastAsia="仿宋_GB2312"/>
          <w:color w:val="auto"/>
          <w:sz w:val="32"/>
        </w:rPr>
      </w:pPr>
      <w:bookmarkStart w:id="116" w:name="_Toc92300350"/>
      <w:bookmarkStart w:id="117" w:name="_Toc88738165"/>
      <w:bookmarkStart w:id="118" w:name="_Toc207817654"/>
      <w:bookmarkStart w:id="119" w:name="_Toc91841299"/>
      <w:r>
        <w:rPr>
          <w:rFonts w:hint="eastAsia" w:eastAsia="仿宋_GB2312"/>
          <w:color w:val="auto"/>
          <w:sz w:val="32"/>
        </w:rPr>
        <w:t>5</w:t>
      </w:r>
      <w:r>
        <w:rPr>
          <w:rFonts w:eastAsia="仿宋_GB2312"/>
          <w:color w:val="auto"/>
          <w:sz w:val="32"/>
        </w:rPr>
        <w:t>.3 响应措施</w:t>
      </w:r>
      <w:bookmarkEnd w:id="116"/>
      <w:bookmarkEnd w:id="117"/>
      <w:bookmarkEnd w:id="118"/>
      <w:bookmarkEnd w:id="119"/>
    </w:p>
    <w:p w14:paraId="27B7E372">
      <w:pPr>
        <w:snapToGrid w:val="0"/>
        <w:spacing w:line="560" w:lineRule="exact"/>
        <w:ind w:firstLine="640" w:firstLineChars="200"/>
        <w:rPr>
          <w:rFonts w:eastAsia="仿宋_GB2312"/>
          <w:sz w:val="32"/>
          <w:szCs w:val="32"/>
        </w:rPr>
      </w:pPr>
      <w:r>
        <w:rPr>
          <w:rFonts w:eastAsia="仿宋_GB2312"/>
          <w:sz w:val="32"/>
          <w:szCs w:val="32"/>
        </w:rPr>
        <w:t>突发生态环境事件发生后，</w:t>
      </w:r>
      <w:r>
        <w:rPr>
          <w:rFonts w:hint="eastAsia" w:eastAsia="仿宋_GB2312"/>
          <w:sz w:val="32"/>
          <w:szCs w:val="32"/>
        </w:rPr>
        <w:t>兵团及各师市</w:t>
      </w:r>
      <w:r>
        <w:rPr>
          <w:rFonts w:eastAsia="仿宋_GB2312"/>
          <w:sz w:val="32"/>
          <w:szCs w:val="32"/>
        </w:rPr>
        <w:t>有关部门和单位根据工作需要，按照最大限度减少环境影响、保障生态环境安全的原则，综合考虑事件污染态势、危害影响、处置难易程度等，采取以下措施。</w:t>
      </w:r>
    </w:p>
    <w:p w14:paraId="549D5E3C">
      <w:pPr>
        <w:snapToGrid w:val="0"/>
        <w:spacing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.3.1 现场污染处置</w:t>
      </w:r>
    </w:p>
    <w:p w14:paraId="34350B20">
      <w:pPr>
        <w:snapToGrid w:val="0"/>
        <w:spacing w:line="560" w:lineRule="exact"/>
        <w:ind w:firstLine="640" w:firstLineChars="200"/>
        <w:rPr>
          <w:rFonts w:eastAsia="仿宋_GB2312"/>
          <w:sz w:val="32"/>
          <w:szCs w:val="32"/>
        </w:rPr>
      </w:pPr>
      <w:r>
        <w:rPr>
          <w:rFonts w:eastAsia="仿宋_GB2312"/>
          <w:sz w:val="32"/>
          <w:szCs w:val="32"/>
        </w:rPr>
        <w:t>涉事企事业单位要立即采取关闭、停产、封堵、围挡、喷淋、转移等措施，切断和控制污染源，防止污染蔓延扩散。做好有毒有害物质和消防废水、废液等的收集、清理和安全处置工作。当污染来源不明时，由事发地师市生态环境局组织开展调查，查明并切断污染源，确定污染物种类和污染范围。</w:t>
      </w:r>
    </w:p>
    <w:p w14:paraId="71F8909B">
      <w:pPr>
        <w:snapToGrid w:val="0"/>
        <w:spacing w:line="560" w:lineRule="exact"/>
        <w:ind w:firstLine="640" w:firstLineChars="200"/>
        <w:rPr>
          <w:rFonts w:eastAsia="仿宋_GB2312"/>
          <w:sz w:val="32"/>
          <w:szCs w:val="32"/>
        </w:rPr>
      </w:pPr>
      <w:r>
        <w:rPr>
          <w:rFonts w:eastAsia="仿宋_GB2312"/>
          <w:sz w:val="32"/>
          <w:szCs w:val="32"/>
        </w:rPr>
        <w:t>事发地所在师市应组织制订综合治污方案，采用监测和模拟等手段研判、追踪污染扩散途径和范围；采取拦截、导流、疏浚、临时收贮等形式防止水体污染扩大；采取吸附、打捞、氧化还原、中和、沉淀、消毒、微生物消解、调水稀释等方法降低污染物浓度；利用转移异地处置、临时改造污染处置工艺或临时建设污染处置工程等方式处置污染物。必要时，要求其他相关排污单位配合采取措施，减轻环境污染负荷。威胁或影响到重要环境敏感目标时，应采取保护保障措施，防止或减轻污染影响。</w:t>
      </w:r>
    </w:p>
    <w:p w14:paraId="67D07D2C">
      <w:pPr>
        <w:snapToGrid w:val="0"/>
        <w:spacing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.3.2 转移安置人员</w:t>
      </w:r>
    </w:p>
    <w:p w14:paraId="445EEC5B">
      <w:pPr>
        <w:snapToGrid w:val="0"/>
        <w:spacing w:line="560" w:lineRule="exact"/>
        <w:ind w:firstLine="640" w:firstLineChars="200"/>
        <w:rPr>
          <w:rFonts w:eastAsia="仿宋_GB2312"/>
          <w:sz w:val="32"/>
          <w:szCs w:val="32"/>
        </w:rPr>
      </w:pPr>
      <w:r>
        <w:rPr>
          <w:rFonts w:eastAsia="仿宋_GB2312"/>
          <w:sz w:val="32"/>
          <w:szCs w:val="32"/>
        </w:rPr>
        <w:t>根据突发生态环境事件影响及事发当地的气象、地理环境、人员密集度等，建立现场警戒区、交通管制区和重点防护区，确定受威胁人员疏散的方式和途径，有组织、有秩序地及时疏散转移受威胁人员和可能受影响居民，确保其生命安全。妥善做好转移人员安置工作，确保转移人员有饭吃、有水喝、有衣穿、有住处和必要的医疗条件。</w:t>
      </w:r>
    </w:p>
    <w:p w14:paraId="089E4411">
      <w:pPr>
        <w:snapToGrid w:val="0"/>
        <w:spacing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.3.3</w:t>
      </w:r>
      <w:r>
        <w:rPr>
          <w:rFonts w:hint="eastAsia" w:eastAsia="仿宋_GB2312"/>
          <w:sz w:val="32"/>
          <w:szCs w:val="32"/>
        </w:rPr>
        <w:t xml:space="preserve"> </w:t>
      </w:r>
      <w:r>
        <w:rPr>
          <w:rFonts w:eastAsia="仿宋_GB2312"/>
          <w:sz w:val="32"/>
          <w:szCs w:val="32"/>
        </w:rPr>
        <w:t>医学救援</w:t>
      </w:r>
    </w:p>
    <w:p w14:paraId="3AA5EDF5">
      <w:pPr>
        <w:snapToGrid w:val="0"/>
        <w:spacing w:line="560" w:lineRule="exact"/>
        <w:ind w:firstLine="640" w:firstLineChars="200"/>
        <w:rPr>
          <w:rFonts w:eastAsia="仿宋_GB2312"/>
          <w:sz w:val="32"/>
          <w:szCs w:val="32"/>
        </w:rPr>
      </w:pPr>
      <w:r>
        <w:rPr>
          <w:rFonts w:eastAsia="仿宋_GB2312"/>
          <w:sz w:val="32"/>
          <w:szCs w:val="32"/>
        </w:rPr>
        <w:t>迅速组织当地医疗资源和力量，对伤病员进行诊断治疗，根据需要及时、安全地将重症伤病员转运到有条件的医疗机构救治。指导和协助开展受污染人员的去污洗消工作，提出保护公众健康的措施建议。</w:t>
      </w:r>
      <w:r>
        <w:rPr>
          <w:rFonts w:hint="eastAsia" w:eastAsia="仿宋_GB2312"/>
          <w:sz w:val="32"/>
          <w:szCs w:val="32"/>
        </w:rPr>
        <w:t>视情况</w:t>
      </w:r>
      <w:r>
        <w:rPr>
          <w:rFonts w:eastAsia="仿宋_GB2312"/>
          <w:sz w:val="32"/>
          <w:szCs w:val="32"/>
        </w:rPr>
        <w:t>增派医疗卫生专家和卫生应急队伍、调配急需医药物资，支持事发地医学救援工作。做好受影响人员的心理援助。</w:t>
      </w:r>
    </w:p>
    <w:p w14:paraId="0AA6A92C">
      <w:pPr>
        <w:snapToGrid w:val="0"/>
        <w:spacing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.3.</w:t>
      </w:r>
      <w:r>
        <w:rPr>
          <w:rFonts w:hint="eastAsia" w:eastAsia="仿宋_GB2312"/>
          <w:sz w:val="32"/>
          <w:szCs w:val="32"/>
        </w:rPr>
        <w:t xml:space="preserve">4 </w:t>
      </w:r>
      <w:r>
        <w:rPr>
          <w:rFonts w:eastAsia="仿宋_GB2312"/>
          <w:sz w:val="32"/>
          <w:szCs w:val="32"/>
        </w:rPr>
        <w:t>应急监测</w:t>
      </w:r>
    </w:p>
    <w:p w14:paraId="36B4B64E">
      <w:pPr>
        <w:snapToGrid w:val="0"/>
        <w:spacing w:line="560" w:lineRule="exact"/>
        <w:ind w:firstLine="640" w:firstLineChars="200"/>
        <w:rPr>
          <w:rFonts w:eastAsia="仿宋_GB2312"/>
          <w:sz w:val="32"/>
          <w:szCs w:val="32"/>
        </w:rPr>
      </w:pPr>
      <w:r>
        <w:rPr>
          <w:rFonts w:hint="eastAsia" w:eastAsia="仿宋_GB2312"/>
          <w:sz w:val="32"/>
          <w:szCs w:val="32"/>
        </w:rPr>
        <w:t>加强大气、水体、土壤等应急监测工作。根据突发生态环境事件的污染物种类、性质以及当地自然、社会环境状况等，明确相应的应急监测方案及监测方法，确定监测布点和频次，调配应急监测设备、车辆及人员，根据需要布设现场实验室，及时科学准确监测，为突发生态环境事件应急决策提供依据。水利、气象等部门根据需要开展水文、气象等监测。</w:t>
      </w:r>
    </w:p>
    <w:p w14:paraId="4DC2A673">
      <w:pPr>
        <w:snapToGrid w:val="0"/>
        <w:spacing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.3.</w:t>
      </w:r>
      <w:r>
        <w:rPr>
          <w:rFonts w:hint="eastAsia" w:eastAsia="仿宋_GB2312"/>
          <w:sz w:val="32"/>
          <w:szCs w:val="32"/>
        </w:rPr>
        <w:t xml:space="preserve">5 </w:t>
      </w:r>
      <w:r>
        <w:rPr>
          <w:rFonts w:eastAsia="仿宋_GB2312"/>
          <w:sz w:val="32"/>
          <w:szCs w:val="32"/>
        </w:rPr>
        <w:t>市场监管和调控</w:t>
      </w:r>
    </w:p>
    <w:p w14:paraId="3F787AFF">
      <w:pPr>
        <w:snapToGrid w:val="0"/>
        <w:spacing w:line="560" w:lineRule="exact"/>
        <w:ind w:firstLine="640" w:firstLineChars="200"/>
        <w:rPr>
          <w:rFonts w:eastAsia="仿宋_GB2312"/>
          <w:sz w:val="32"/>
          <w:szCs w:val="32"/>
        </w:rPr>
      </w:pPr>
      <w:r>
        <w:rPr>
          <w:rFonts w:eastAsia="仿宋_GB2312"/>
          <w:sz w:val="32"/>
          <w:szCs w:val="32"/>
        </w:rPr>
        <w:t>密切关注受事件影响地区市场供应情况及公众反应，加强对重要生活必需品等商品的市场监管和调控。禁止或限制受污染食品和饮用水的生产、加工、流通和食用，防范因突发生态环境事件造成的集体中毒等。</w:t>
      </w:r>
    </w:p>
    <w:p w14:paraId="0C134DB9">
      <w:pPr>
        <w:snapToGrid w:val="0"/>
        <w:spacing w:line="560" w:lineRule="exact"/>
        <w:ind w:firstLine="640" w:firstLineChars="200"/>
        <w:rPr>
          <w:rFonts w:eastAsia="仿宋_GB2312"/>
          <w:sz w:val="32"/>
          <w:szCs w:val="32"/>
        </w:rPr>
      </w:pPr>
      <w:bookmarkStart w:id="120" w:name="_Toc400723082"/>
      <w:r>
        <w:rPr>
          <w:rFonts w:hint="eastAsia" w:eastAsia="仿宋_GB2312"/>
          <w:sz w:val="32"/>
          <w:szCs w:val="32"/>
        </w:rPr>
        <w:t>5</w:t>
      </w:r>
      <w:r>
        <w:rPr>
          <w:rFonts w:eastAsia="仿宋_GB2312"/>
          <w:sz w:val="32"/>
          <w:szCs w:val="32"/>
        </w:rPr>
        <w:t>.3.</w:t>
      </w:r>
      <w:r>
        <w:rPr>
          <w:rFonts w:hint="eastAsia" w:eastAsia="仿宋_GB2312"/>
          <w:sz w:val="32"/>
          <w:szCs w:val="32"/>
        </w:rPr>
        <w:t xml:space="preserve">6 </w:t>
      </w:r>
      <w:r>
        <w:rPr>
          <w:rFonts w:eastAsia="仿宋_GB2312"/>
          <w:sz w:val="32"/>
          <w:szCs w:val="32"/>
        </w:rPr>
        <w:t>信息发布和舆论引导</w:t>
      </w:r>
      <w:bookmarkEnd w:id="120"/>
    </w:p>
    <w:p w14:paraId="5B9977D0">
      <w:pPr>
        <w:snapToGrid w:val="0"/>
        <w:spacing w:line="560" w:lineRule="exact"/>
        <w:ind w:firstLine="640" w:firstLineChars="200"/>
        <w:rPr>
          <w:rFonts w:eastAsia="仿宋_GB2312"/>
          <w:sz w:val="32"/>
          <w:szCs w:val="32"/>
        </w:rPr>
      </w:pPr>
      <w:r>
        <w:rPr>
          <w:rFonts w:hint="eastAsia" w:eastAsia="仿宋_GB2312"/>
          <w:sz w:val="32"/>
          <w:szCs w:val="32"/>
        </w:rPr>
        <w:t>通过政府授权发布、发新闻稿、接受记者采访、举行新闻发布会、组织专家解读等方式，借助政府网站或者其他互联网政务媒体以及电视、广播、报纸等多种途径，主动、及时、准确、客观向社会发布突发生态环境事件和应对工作信息，回应社会关切，澄清不实信息，正确引导社会舆论。信息发布内容包括事件原因、污染程度、影响范围、应对措施、需要公众配合采取的措施、公众防范常识和事件调查处理进展情况等。</w:t>
      </w:r>
    </w:p>
    <w:p w14:paraId="29965CF3">
      <w:pPr>
        <w:snapToGrid w:val="0"/>
        <w:spacing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.3.</w:t>
      </w:r>
      <w:r>
        <w:rPr>
          <w:rFonts w:hint="eastAsia" w:eastAsia="仿宋_GB2312"/>
          <w:sz w:val="32"/>
          <w:szCs w:val="32"/>
        </w:rPr>
        <w:t xml:space="preserve">7 </w:t>
      </w:r>
      <w:r>
        <w:rPr>
          <w:rFonts w:eastAsia="仿宋_GB2312"/>
          <w:sz w:val="32"/>
          <w:szCs w:val="32"/>
        </w:rPr>
        <w:t>维护社会稳定</w:t>
      </w:r>
    </w:p>
    <w:p w14:paraId="0878AFD2">
      <w:pPr>
        <w:snapToGrid w:val="0"/>
        <w:spacing w:line="560" w:lineRule="exact"/>
        <w:ind w:firstLine="640" w:firstLineChars="200"/>
        <w:rPr>
          <w:rFonts w:eastAsia="仿宋_GB2312"/>
          <w:sz w:val="32"/>
          <w:szCs w:val="32"/>
        </w:rPr>
      </w:pPr>
      <w:r>
        <w:rPr>
          <w:rFonts w:eastAsia="仿宋_GB2312"/>
          <w:sz w:val="32"/>
          <w:szCs w:val="32"/>
        </w:rPr>
        <w:t>加强受影响地区社会治安管理，严厉打击借机传播谣言制造社会恐慌、哄抢救灾物资等违法犯罪行为；加强转移人员安置点、救灾物资存放点等重点地区治安管控；做好受影响人员与涉事单位、事发地师市及有关部门矛盾纠纷化解和法律服务工作，防止出现群体性事件，维护社会稳定。</w:t>
      </w:r>
    </w:p>
    <w:p w14:paraId="18FDC117">
      <w:pPr>
        <w:snapToGrid w:val="0"/>
        <w:spacing w:line="560" w:lineRule="exact"/>
        <w:ind w:firstLine="640" w:firstLineChars="200"/>
        <w:rPr>
          <w:rFonts w:eastAsia="仿宋_GB2312"/>
          <w:sz w:val="32"/>
          <w:szCs w:val="32"/>
        </w:rPr>
      </w:pPr>
      <w:bookmarkStart w:id="121" w:name="_Toc400723083"/>
      <w:r>
        <w:rPr>
          <w:rFonts w:hint="eastAsia" w:eastAsia="仿宋_GB2312"/>
          <w:sz w:val="32"/>
          <w:szCs w:val="32"/>
        </w:rPr>
        <w:t>5</w:t>
      </w:r>
      <w:r>
        <w:rPr>
          <w:rFonts w:eastAsia="仿宋_GB2312"/>
          <w:sz w:val="32"/>
          <w:szCs w:val="32"/>
        </w:rPr>
        <w:t>.3.</w:t>
      </w:r>
      <w:r>
        <w:rPr>
          <w:rFonts w:hint="eastAsia" w:eastAsia="仿宋_GB2312"/>
          <w:sz w:val="32"/>
          <w:szCs w:val="32"/>
        </w:rPr>
        <w:t xml:space="preserve">8 </w:t>
      </w:r>
      <w:r>
        <w:rPr>
          <w:rFonts w:eastAsia="仿宋_GB2312"/>
          <w:sz w:val="32"/>
          <w:szCs w:val="32"/>
        </w:rPr>
        <w:t>安全防护</w:t>
      </w:r>
      <w:bookmarkEnd w:id="121"/>
    </w:p>
    <w:p w14:paraId="59E552DD">
      <w:pPr>
        <w:snapToGrid w:val="0"/>
        <w:spacing w:line="560" w:lineRule="exact"/>
        <w:ind w:firstLine="640" w:firstLineChars="200"/>
        <w:rPr>
          <w:rFonts w:eastAsia="仿宋_GB2312"/>
          <w:sz w:val="32"/>
          <w:szCs w:val="32"/>
        </w:rPr>
      </w:pPr>
      <w:r>
        <w:rPr>
          <w:rFonts w:eastAsia="仿宋_GB2312"/>
          <w:sz w:val="32"/>
          <w:szCs w:val="32"/>
        </w:rPr>
        <w:t>现场处置人员应根据突发生态环境事件的特点，配备相应的专业防护装备，采取必要的安全防护措施，严格执行应急人员出入事发现场程序和范围。</w:t>
      </w:r>
    </w:p>
    <w:p w14:paraId="4DA8DB60">
      <w:pPr>
        <w:pStyle w:val="3"/>
        <w:adjustRightInd w:val="0"/>
        <w:snapToGrid w:val="0"/>
        <w:spacing w:before="0" w:after="0" w:line="560" w:lineRule="exact"/>
        <w:ind w:firstLine="640" w:firstLineChars="200"/>
        <w:rPr>
          <w:rFonts w:eastAsia="楷体_GB2312"/>
          <w:color w:val="auto"/>
          <w:sz w:val="32"/>
        </w:rPr>
      </w:pPr>
      <w:bookmarkStart w:id="122" w:name="_Toc207817655"/>
      <w:r>
        <w:rPr>
          <w:rFonts w:hint="eastAsia" w:eastAsia="楷体_GB2312"/>
          <w:color w:val="auto"/>
          <w:sz w:val="32"/>
        </w:rPr>
        <w:t>5.</w:t>
      </w:r>
      <w:r>
        <w:rPr>
          <w:rFonts w:eastAsia="楷体_GB2312"/>
          <w:color w:val="auto"/>
          <w:sz w:val="32"/>
        </w:rPr>
        <w:t>4 响应终止</w:t>
      </w:r>
      <w:bookmarkEnd w:id="122"/>
    </w:p>
    <w:p w14:paraId="61F4CBB6">
      <w:pPr>
        <w:snapToGrid w:val="0"/>
        <w:spacing w:line="560" w:lineRule="exact"/>
        <w:ind w:firstLine="640" w:firstLineChars="200"/>
        <w:rPr>
          <w:rFonts w:eastAsia="仿宋_GB2312"/>
          <w:sz w:val="32"/>
          <w:szCs w:val="32"/>
        </w:rPr>
      </w:pPr>
      <w:r>
        <w:rPr>
          <w:rFonts w:hint="eastAsia" w:eastAsia="仿宋_GB2312"/>
          <w:sz w:val="32"/>
          <w:szCs w:val="32"/>
        </w:rPr>
        <w:t>当事件条件已经排除、污染物质已降至规定限值以内、所造成的危害得到控制或基本消除时，终止应急响应。</w:t>
      </w:r>
    </w:p>
    <w:p w14:paraId="0737FD28">
      <w:pPr>
        <w:snapToGrid w:val="0"/>
        <w:spacing w:line="560" w:lineRule="exact"/>
        <w:ind w:firstLine="640" w:firstLineChars="200"/>
        <w:rPr>
          <w:rFonts w:eastAsia="仿宋_GB2312"/>
          <w:sz w:val="32"/>
          <w:szCs w:val="32"/>
        </w:rPr>
      </w:pPr>
      <w:bookmarkStart w:id="123" w:name="_Hlk203731916"/>
      <w:r>
        <w:rPr>
          <w:rFonts w:hint="eastAsia" w:eastAsia="仿宋_GB2312"/>
          <w:sz w:val="32"/>
          <w:szCs w:val="32"/>
        </w:rPr>
        <w:t>现场指挥部组织综合评估、研判，经指挥长同意后，向各</w:t>
      </w:r>
      <w:r>
        <w:rPr>
          <w:rFonts w:eastAsia="仿宋_GB2312"/>
          <w:sz w:val="32"/>
          <w:szCs w:val="32"/>
        </w:rPr>
        <w:t>应急处置工作组</w:t>
      </w:r>
      <w:r>
        <w:rPr>
          <w:rFonts w:hint="eastAsia" w:eastAsia="仿宋_GB2312"/>
          <w:sz w:val="32"/>
          <w:szCs w:val="32"/>
        </w:rPr>
        <w:t>下达应急终止命令，并组织做好跟踪监测和后期工作。</w:t>
      </w:r>
      <w:bookmarkEnd w:id="123"/>
    </w:p>
    <w:p w14:paraId="09F79A90">
      <w:pPr>
        <w:pStyle w:val="2"/>
        <w:adjustRightInd w:val="0"/>
        <w:snapToGrid w:val="0"/>
        <w:spacing w:before="0" w:after="0" w:line="560" w:lineRule="exact"/>
        <w:ind w:firstLine="640" w:firstLineChars="200"/>
        <w:rPr>
          <w:b w:val="0"/>
          <w:bCs w:val="0"/>
          <w:lang w:val="en-US"/>
        </w:rPr>
      </w:pPr>
      <w:bookmarkStart w:id="124" w:name="_Toc92300356"/>
      <w:bookmarkStart w:id="125" w:name="_Toc207817656"/>
      <w:bookmarkStart w:id="126" w:name="_Toc92300363"/>
      <w:r>
        <w:rPr>
          <w:b w:val="0"/>
          <w:bCs w:val="0"/>
          <w:lang w:val="en-US"/>
        </w:rPr>
        <w:t>6 后期工作</w:t>
      </w:r>
      <w:bookmarkEnd w:id="124"/>
      <w:bookmarkEnd w:id="125"/>
    </w:p>
    <w:p w14:paraId="7AF12E2C">
      <w:pPr>
        <w:pStyle w:val="3"/>
        <w:adjustRightInd w:val="0"/>
        <w:snapToGrid w:val="0"/>
        <w:spacing w:before="0" w:after="0" w:line="560" w:lineRule="exact"/>
        <w:ind w:firstLine="640" w:firstLineChars="200"/>
        <w:rPr>
          <w:rFonts w:eastAsia="楷体_GB2312"/>
          <w:color w:val="auto"/>
          <w:sz w:val="32"/>
        </w:rPr>
      </w:pPr>
      <w:bookmarkStart w:id="127" w:name="_Toc91841305"/>
      <w:bookmarkStart w:id="128" w:name="_Toc207817657"/>
      <w:bookmarkStart w:id="129" w:name="_Toc92300357"/>
      <w:bookmarkStart w:id="130" w:name="_Toc88738171"/>
      <w:bookmarkStart w:id="131" w:name="_Toc400723088"/>
      <w:r>
        <w:rPr>
          <w:rFonts w:eastAsia="楷体_GB2312"/>
          <w:color w:val="auto"/>
          <w:sz w:val="32"/>
        </w:rPr>
        <w:t>6.1 损害评估</w:t>
      </w:r>
      <w:bookmarkEnd w:id="127"/>
      <w:bookmarkEnd w:id="128"/>
      <w:bookmarkEnd w:id="129"/>
      <w:bookmarkEnd w:id="130"/>
      <w:bookmarkEnd w:id="131"/>
    </w:p>
    <w:p w14:paraId="1185401A">
      <w:pPr>
        <w:snapToGrid w:val="0"/>
        <w:spacing w:line="560" w:lineRule="exact"/>
        <w:ind w:firstLine="640" w:firstLineChars="200"/>
        <w:rPr>
          <w:rFonts w:eastAsia="仿宋_GB2312"/>
          <w:sz w:val="32"/>
          <w:szCs w:val="32"/>
        </w:rPr>
      </w:pPr>
      <w:r>
        <w:rPr>
          <w:rFonts w:hint="eastAsia" w:eastAsia="仿宋_GB2312"/>
          <w:sz w:val="32"/>
          <w:szCs w:val="32"/>
        </w:rPr>
        <w:t>突发生态环境事件应急响应终止后，要按照相关规定，及时组织开展污染损害评估，并做好信息公开。评估结论作为事件调查处理、损害赔偿、环境修复和生态恢复重建的依据。</w:t>
      </w:r>
    </w:p>
    <w:p w14:paraId="3FF8F17F">
      <w:pPr>
        <w:pStyle w:val="3"/>
        <w:adjustRightInd w:val="0"/>
        <w:snapToGrid w:val="0"/>
        <w:spacing w:before="0" w:after="0" w:line="560" w:lineRule="exact"/>
        <w:ind w:firstLine="640" w:firstLineChars="200"/>
        <w:rPr>
          <w:rFonts w:eastAsia="楷体_GB2312"/>
          <w:color w:val="auto"/>
          <w:sz w:val="32"/>
        </w:rPr>
      </w:pPr>
      <w:bookmarkStart w:id="132" w:name="_Toc92300358"/>
      <w:bookmarkStart w:id="133" w:name="_Toc88738172"/>
      <w:bookmarkStart w:id="134" w:name="_Toc91841306"/>
      <w:bookmarkStart w:id="135" w:name="_Toc207817658"/>
      <w:r>
        <w:rPr>
          <w:rFonts w:eastAsia="楷体_GB2312"/>
          <w:color w:val="auto"/>
          <w:sz w:val="32"/>
        </w:rPr>
        <w:t>6.2 事件调查</w:t>
      </w:r>
      <w:bookmarkEnd w:id="132"/>
      <w:bookmarkEnd w:id="133"/>
      <w:bookmarkEnd w:id="134"/>
      <w:bookmarkEnd w:id="135"/>
    </w:p>
    <w:p w14:paraId="4C557CFD">
      <w:pPr>
        <w:snapToGrid w:val="0"/>
        <w:spacing w:line="560" w:lineRule="exact"/>
        <w:ind w:firstLine="640" w:firstLineChars="200"/>
        <w:rPr>
          <w:rFonts w:eastAsia="仿宋_GB2312"/>
          <w:sz w:val="32"/>
        </w:rPr>
      </w:pPr>
      <w:r>
        <w:rPr>
          <w:rFonts w:hint="eastAsia" w:eastAsia="仿宋_GB2312"/>
          <w:sz w:val="32"/>
        </w:rPr>
        <w:t>特别重大突发事件由兵团党委、兵团配合国务院或党中央、国务院授权的机构开展调查评估工作，重大突发事件由兵团党委、兵团开展调查评估工作，较大、一般突发事件的调查评估工作由事发地师市负责。</w:t>
      </w:r>
    </w:p>
    <w:p w14:paraId="06A8C650">
      <w:pPr>
        <w:pStyle w:val="3"/>
        <w:adjustRightInd w:val="0"/>
        <w:snapToGrid w:val="0"/>
        <w:spacing w:before="0" w:after="0" w:line="560" w:lineRule="exact"/>
        <w:ind w:firstLine="640" w:firstLineChars="200"/>
        <w:rPr>
          <w:rFonts w:eastAsia="楷体_GB2312"/>
          <w:color w:val="auto"/>
          <w:sz w:val="32"/>
        </w:rPr>
      </w:pPr>
      <w:bookmarkStart w:id="136" w:name="_Toc91841307"/>
      <w:bookmarkStart w:id="137" w:name="_Toc400723090"/>
      <w:bookmarkStart w:id="138" w:name="_Toc88738173"/>
      <w:bookmarkStart w:id="139" w:name="_Toc207817659"/>
      <w:bookmarkStart w:id="140" w:name="_Toc92300359"/>
      <w:r>
        <w:rPr>
          <w:rFonts w:eastAsia="楷体_GB2312"/>
          <w:color w:val="auto"/>
          <w:sz w:val="32"/>
        </w:rPr>
        <w:t>6.3 善后处置</w:t>
      </w:r>
      <w:bookmarkEnd w:id="136"/>
      <w:bookmarkEnd w:id="137"/>
      <w:bookmarkEnd w:id="138"/>
      <w:bookmarkEnd w:id="139"/>
      <w:bookmarkEnd w:id="140"/>
    </w:p>
    <w:p w14:paraId="13CC9AB8">
      <w:pPr>
        <w:snapToGrid w:val="0"/>
        <w:spacing w:line="560" w:lineRule="exact"/>
        <w:ind w:firstLine="640" w:firstLineChars="200"/>
        <w:rPr>
          <w:rFonts w:eastAsia="仿宋_GB2312"/>
          <w:sz w:val="32"/>
        </w:rPr>
      </w:pPr>
      <w:r>
        <w:rPr>
          <w:rFonts w:hint="eastAsia" w:eastAsia="仿宋_GB2312"/>
          <w:sz w:val="32"/>
        </w:rPr>
        <w:t>特别重大、重大突发事件的恢复重建工作由兵团党委、兵团负责，较大、一般突发事件的恢复重建工作由事发地师市负责。</w:t>
      </w:r>
    </w:p>
    <w:p w14:paraId="2B584C67">
      <w:pPr>
        <w:snapToGrid w:val="0"/>
        <w:spacing w:line="560" w:lineRule="exact"/>
        <w:ind w:firstLine="640" w:firstLineChars="200"/>
        <w:rPr>
          <w:rFonts w:eastAsia="仿宋_GB2312"/>
          <w:sz w:val="32"/>
        </w:rPr>
      </w:pPr>
      <w:r>
        <w:rPr>
          <w:rFonts w:hint="eastAsia" w:eastAsia="仿宋_GB2312"/>
          <w:sz w:val="32"/>
        </w:rPr>
        <w:t>事发地师市要及时组织制订补助、补偿、抚慰、抚恤、安置和生态环境跟踪监测、风险管控、修复恢复等善后工作方案并组织实施。保险机构要及时开展相关理赔工作。</w:t>
      </w:r>
    </w:p>
    <w:p w14:paraId="7577D0CC">
      <w:pPr>
        <w:snapToGrid w:val="0"/>
        <w:spacing w:line="560" w:lineRule="exact"/>
        <w:ind w:firstLine="640" w:firstLineChars="200"/>
        <w:rPr>
          <w:rFonts w:eastAsia="仿宋_GB2312"/>
          <w:sz w:val="32"/>
        </w:rPr>
      </w:pPr>
      <w:r>
        <w:rPr>
          <w:rFonts w:hint="eastAsia" w:eastAsia="仿宋_GB2312"/>
          <w:sz w:val="32"/>
        </w:rPr>
        <w:t>针对重特大及敏感突发生态环境事件，必要时组织对整改防范措施落实、生态环境恢复等情况进行后评估。</w:t>
      </w:r>
    </w:p>
    <w:p w14:paraId="109229F5">
      <w:pPr>
        <w:snapToGrid w:val="0"/>
        <w:spacing w:line="560" w:lineRule="exact"/>
        <w:ind w:firstLine="640" w:firstLineChars="200"/>
        <w:rPr>
          <w:rFonts w:eastAsia="仿宋_GB2312"/>
          <w:sz w:val="32"/>
        </w:rPr>
      </w:pPr>
      <w:bookmarkStart w:id="141" w:name="_Toc91841308"/>
      <w:bookmarkStart w:id="142" w:name="_Toc88738174"/>
      <w:bookmarkStart w:id="143" w:name="_Toc92300360"/>
      <w:r>
        <w:rPr>
          <w:rFonts w:eastAsia="楷体_GB2312"/>
          <w:sz w:val="32"/>
        </w:rPr>
        <w:t>6.4 监督问责</w:t>
      </w:r>
      <w:bookmarkEnd w:id="141"/>
      <w:bookmarkEnd w:id="142"/>
      <w:bookmarkEnd w:id="143"/>
    </w:p>
    <w:p w14:paraId="52605B9E">
      <w:pPr>
        <w:snapToGrid w:val="0"/>
        <w:spacing w:line="560" w:lineRule="exact"/>
        <w:ind w:firstLine="640" w:firstLineChars="200"/>
        <w:rPr>
          <w:rFonts w:eastAsia="仿宋_GB2312"/>
          <w:sz w:val="32"/>
        </w:rPr>
      </w:pPr>
      <w:r>
        <w:rPr>
          <w:rFonts w:eastAsia="仿宋_GB2312"/>
          <w:sz w:val="32"/>
        </w:rPr>
        <w:t>兵团生态环境应急指挥部各成员单位要认真落实兵团突发生态环境事件应急预案中规定的工作职责</w:t>
      </w:r>
      <w:r>
        <w:rPr>
          <w:rFonts w:hint="eastAsia" w:eastAsia="仿宋_GB2312"/>
          <w:sz w:val="32"/>
        </w:rPr>
        <w:t>，</w:t>
      </w:r>
      <w:r>
        <w:rPr>
          <w:rFonts w:eastAsia="仿宋_GB2312"/>
          <w:sz w:val="32"/>
        </w:rPr>
        <w:t>加大对应急响应措施落实情况的督察力度，对未做好应急响应工作的，依法依规追究责任。</w:t>
      </w:r>
    </w:p>
    <w:p w14:paraId="55A79E67">
      <w:pPr>
        <w:snapToGrid w:val="0"/>
        <w:spacing w:line="560" w:lineRule="exact"/>
        <w:ind w:firstLine="640" w:firstLineChars="200"/>
        <w:rPr>
          <w:rFonts w:eastAsia="仿宋"/>
          <w:sz w:val="32"/>
        </w:rPr>
      </w:pPr>
      <w:r>
        <w:rPr>
          <w:rFonts w:eastAsia="仿宋_GB2312"/>
          <w:sz w:val="32"/>
        </w:rPr>
        <w:t>突发生态环境事件应急处置过程中，对</w:t>
      </w:r>
      <w:r>
        <w:rPr>
          <w:rFonts w:hint="eastAsia" w:eastAsia="仿宋_GB2312"/>
          <w:sz w:val="32"/>
        </w:rPr>
        <w:t>兵团生态环境</w:t>
      </w:r>
      <w:r>
        <w:rPr>
          <w:rFonts w:eastAsia="仿宋_GB2312"/>
          <w:sz w:val="32"/>
        </w:rPr>
        <w:t>应急指挥部成员单位在突发生态环境事件中应急准备、监测、预警、响应、处置、信息报告等职责落实情况进行监督考核，对工作不力的部门或单位</w:t>
      </w:r>
      <w:r>
        <w:rPr>
          <w:rFonts w:hint="eastAsia" w:eastAsia="仿宋_GB2312"/>
          <w:sz w:val="32"/>
        </w:rPr>
        <w:t>及其</w:t>
      </w:r>
      <w:r>
        <w:rPr>
          <w:rFonts w:eastAsia="仿宋_GB2312"/>
          <w:sz w:val="32"/>
        </w:rPr>
        <w:t>责任人采取约谈、党纪政纪责任追究等问责措施。构成犯罪的，移送司法机关依法追究刑事责任。</w:t>
      </w:r>
    </w:p>
    <w:p w14:paraId="1A74C5BD">
      <w:pPr>
        <w:pStyle w:val="3"/>
        <w:adjustRightInd w:val="0"/>
        <w:snapToGrid w:val="0"/>
        <w:spacing w:before="0" w:after="0" w:line="560" w:lineRule="exact"/>
        <w:ind w:firstLine="640" w:firstLineChars="200"/>
        <w:rPr>
          <w:rFonts w:eastAsia="楷体_GB2312"/>
          <w:color w:val="auto"/>
          <w:sz w:val="32"/>
        </w:rPr>
      </w:pPr>
      <w:bookmarkStart w:id="144" w:name="_Toc92300361"/>
      <w:bookmarkStart w:id="145" w:name="_Toc91841309"/>
      <w:bookmarkStart w:id="146" w:name="_Toc88738175"/>
      <w:bookmarkStart w:id="147" w:name="_Toc207817660"/>
      <w:r>
        <w:rPr>
          <w:rFonts w:eastAsia="楷体_GB2312"/>
          <w:color w:val="auto"/>
          <w:sz w:val="32"/>
        </w:rPr>
        <w:t>6.5</w:t>
      </w:r>
      <w:bookmarkEnd w:id="144"/>
      <w:bookmarkEnd w:id="145"/>
      <w:bookmarkEnd w:id="146"/>
      <w:r>
        <w:rPr>
          <w:rFonts w:eastAsia="楷体_GB2312"/>
          <w:color w:val="auto"/>
          <w:sz w:val="32"/>
        </w:rPr>
        <w:t xml:space="preserve"> </w:t>
      </w:r>
      <w:r>
        <w:rPr>
          <w:rFonts w:hint="eastAsia" w:eastAsia="楷体_GB2312"/>
          <w:color w:val="auto"/>
          <w:sz w:val="32"/>
        </w:rPr>
        <w:t>汇总分析</w:t>
      </w:r>
      <w:bookmarkEnd w:id="147"/>
    </w:p>
    <w:p w14:paraId="0CD2A1DB">
      <w:pPr>
        <w:snapToGrid w:val="0"/>
        <w:spacing w:line="560" w:lineRule="exact"/>
        <w:ind w:firstLine="640" w:firstLineChars="200"/>
        <w:rPr>
          <w:rFonts w:eastAsia="仿宋_GB2312"/>
          <w:sz w:val="32"/>
        </w:rPr>
      </w:pPr>
      <w:r>
        <w:rPr>
          <w:rFonts w:hint="eastAsia" w:eastAsia="仿宋_GB2312"/>
          <w:sz w:val="32"/>
        </w:rPr>
        <w:t>调查评估组应当及时对本行政区域突发生态环境事件进行总结评估，对重大及敏感事件及时进行复盘总结，总结经验教训，完善长效机制。</w:t>
      </w:r>
    </w:p>
    <w:p w14:paraId="0797F8E6">
      <w:pPr>
        <w:pStyle w:val="2"/>
        <w:adjustRightInd w:val="0"/>
        <w:snapToGrid w:val="0"/>
        <w:spacing w:before="0" w:after="0" w:line="560" w:lineRule="exact"/>
        <w:ind w:firstLine="640" w:firstLineChars="200"/>
        <w:rPr>
          <w:b w:val="0"/>
          <w:bCs w:val="0"/>
          <w:szCs w:val="32"/>
          <w:lang w:val="en-US"/>
        </w:rPr>
      </w:pPr>
      <w:bookmarkStart w:id="148" w:name="_Toc207817661"/>
      <w:r>
        <w:rPr>
          <w:b w:val="0"/>
          <w:bCs w:val="0"/>
          <w:szCs w:val="32"/>
          <w:lang w:val="en-US"/>
        </w:rPr>
        <w:t>7 应急保障</w:t>
      </w:r>
      <w:bookmarkEnd w:id="126"/>
      <w:bookmarkEnd w:id="148"/>
    </w:p>
    <w:p w14:paraId="6C3434B7">
      <w:pPr>
        <w:pStyle w:val="3"/>
        <w:adjustRightInd w:val="0"/>
        <w:snapToGrid w:val="0"/>
        <w:spacing w:before="0" w:after="0" w:line="560" w:lineRule="exact"/>
        <w:ind w:firstLine="640" w:firstLineChars="200"/>
        <w:rPr>
          <w:rFonts w:eastAsia="楷体_GB2312"/>
          <w:color w:val="auto"/>
          <w:sz w:val="32"/>
        </w:rPr>
      </w:pPr>
      <w:bookmarkStart w:id="149" w:name="_Toc88738178"/>
      <w:bookmarkStart w:id="150" w:name="_Toc400723096"/>
      <w:bookmarkStart w:id="151" w:name="_Toc92300364"/>
      <w:bookmarkStart w:id="152" w:name="_Toc207817662"/>
      <w:bookmarkStart w:id="153" w:name="_Toc91841312"/>
      <w:bookmarkStart w:id="154" w:name="_Toc400723093"/>
      <w:r>
        <w:rPr>
          <w:rFonts w:eastAsia="楷体_GB2312"/>
          <w:color w:val="auto"/>
          <w:sz w:val="32"/>
        </w:rPr>
        <w:t>7.1 队伍保障</w:t>
      </w:r>
      <w:bookmarkEnd w:id="149"/>
      <w:bookmarkEnd w:id="150"/>
      <w:bookmarkEnd w:id="151"/>
      <w:bookmarkEnd w:id="152"/>
      <w:bookmarkEnd w:id="153"/>
    </w:p>
    <w:p w14:paraId="29D75448">
      <w:pPr>
        <w:snapToGrid w:val="0"/>
        <w:spacing w:line="560" w:lineRule="exact"/>
        <w:ind w:firstLine="640" w:firstLineChars="200"/>
        <w:rPr>
          <w:rFonts w:eastAsia="仿宋_GB2312"/>
          <w:sz w:val="32"/>
          <w:szCs w:val="32"/>
        </w:rPr>
      </w:pPr>
      <w:r>
        <w:rPr>
          <w:rFonts w:eastAsia="仿宋_GB2312"/>
          <w:sz w:val="32"/>
          <w:szCs w:val="32"/>
        </w:rPr>
        <w:t>加强环境应急队伍的建设。建立健全</w:t>
      </w:r>
      <w:r>
        <w:rPr>
          <w:rFonts w:hint="eastAsia" w:eastAsia="仿宋_GB2312"/>
          <w:sz w:val="32"/>
          <w:szCs w:val="32"/>
        </w:rPr>
        <w:t>兵团、各师市、各团场及其有关部门、企事业单位、工业园区等</w:t>
      </w:r>
      <w:r>
        <w:rPr>
          <w:rFonts w:eastAsia="仿宋_GB2312"/>
          <w:sz w:val="32"/>
          <w:szCs w:val="32"/>
        </w:rPr>
        <w:t>环境应急队伍，提高应对突发生态环境事件的水平和能力；定期进行突发生态环境事件培训学习，熟悉环境应急知识、充分掌握突发生态环境事件处置措施。加强兵团、师市、团场（</w:t>
      </w:r>
      <w:r>
        <w:rPr>
          <w:rFonts w:hint="eastAsia" w:eastAsia="仿宋_GB2312"/>
          <w:sz w:val="32"/>
          <w:szCs w:val="32"/>
        </w:rPr>
        <w:t>工业园区</w:t>
      </w:r>
      <w:r>
        <w:rPr>
          <w:rFonts w:eastAsia="仿宋_GB2312"/>
          <w:sz w:val="32"/>
          <w:szCs w:val="32"/>
        </w:rPr>
        <w:t>）三级环境应急队伍建设，</w:t>
      </w:r>
      <w:r>
        <w:rPr>
          <w:rFonts w:hint="eastAsia" w:eastAsia="仿宋_GB2312"/>
          <w:sz w:val="32"/>
          <w:szCs w:val="32"/>
        </w:rPr>
        <w:t>积极参加突发生态环境事件应急监测、应急处置与救援、调查处理等工作任务。</w:t>
      </w:r>
    </w:p>
    <w:p w14:paraId="44C9151D">
      <w:pPr>
        <w:pStyle w:val="3"/>
        <w:adjustRightInd w:val="0"/>
        <w:snapToGrid w:val="0"/>
        <w:spacing w:before="0" w:after="0" w:line="560" w:lineRule="exact"/>
        <w:ind w:firstLine="640" w:firstLineChars="200"/>
        <w:rPr>
          <w:rFonts w:eastAsia="楷体_GB2312"/>
          <w:color w:val="auto"/>
          <w:sz w:val="32"/>
        </w:rPr>
      </w:pPr>
      <w:bookmarkStart w:id="155" w:name="_Toc88738179"/>
      <w:bookmarkStart w:id="156" w:name="_Toc91841313"/>
      <w:bookmarkStart w:id="157" w:name="_Toc92300365"/>
      <w:bookmarkStart w:id="158" w:name="_Toc207817663"/>
      <w:r>
        <w:rPr>
          <w:rFonts w:eastAsia="楷体_GB2312"/>
          <w:color w:val="auto"/>
          <w:sz w:val="32"/>
        </w:rPr>
        <w:t>7.2 物资</w:t>
      </w:r>
      <w:r>
        <w:rPr>
          <w:rFonts w:hint="eastAsia" w:eastAsia="楷体_GB2312"/>
          <w:color w:val="auto"/>
          <w:sz w:val="32"/>
        </w:rPr>
        <w:t>与资金</w:t>
      </w:r>
      <w:r>
        <w:rPr>
          <w:rFonts w:eastAsia="楷体_GB2312"/>
          <w:color w:val="auto"/>
          <w:sz w:val="32"/>
        </w:rPr>
        <w:t>保障</w:t>
      </w:r>
      <w:bookmarkEnd w:id="154"/>
      <w:bookmarkEnd w:id="155"/>
      <w:bookmarkEnd w:id="156"/>
      <w:bookmarkEnd w:id="157"/>
      <w:bookmarkEnd w:id="158"/>
    </w:p>
    <w:p w14:paraId="713BD3E5">
      <w:pPr>
        <w:snapToGrid w:val="0"/>
        <w:spacing w:line="560" w:lineRule="exact"/>
        <w:ind w:firstLine="640" w:firstLineChars="200"/>
        <w:rPr>
          <w:sz w:val="32"/>
          <w:szCs w:val="32"/>
        </w:rPr>
      </w:pPr>
      <w:bookmarkStart w:id="159" w:name="_Toc92300366"/>
      <w:bookmarkStart w:id="160" w:name="_Toc91841314"/>
      <w:bookmarkStart w:id="161" w:name="_Toc88738180"/>
      <w:bookmarkStart w:id="162" w:name="_Toc400723094"/>
      <w:r>
        <w:rPr>
          <w:rFonts w:ascii="仿宋_GB2312" w:hAnsi="仿宋_GB2312" w:eastAsia="仿宋_GB2312" w:cs="仿宋_GB2312"/>
          <w:sz w:val="32"/>
          <w:szCs w:val="32"/>
        </w:rPr>
        <w:t>各级</w:t>
      </w:r>
      <w:r>
        <w:rPr>
          <w:rFonts w:hint="eastAsia" w:ascii="仿宋_GB2312" w:hAnsi="仿宋_GB2312" w:eastAsia="仿宋_GB2312" w:cs="仿宋_GB2312"/>
          <w:sz w:val="32"/>
          <w:szCs w:val="32"/>
        </w:rPr>
        <w:t>生态环境主管部门</w:t>
      </w:r>
      <w:r>
        <w:rPr>
          <w:rFonts w:ascii="仿宋_GB2312" w:hAnsi="仿宋_GB2312" w:eastAsia="仿宋_GB2312" w:cs="仿宋_GB2312"/>
          <w:sz w:val="32"/>
          <w:szCs w:val="32"/>
        </w:rPr>
        <w:t>会同有关部门组织应急物资的监管、生产、储存、更新、补充、调拨和紧急配送等工作，保障支援突发生态环境事件应急处置和环境恢复治理工作的需要。鼓励支持社会化应急物资储备。生态环境主管部门要建立环境应急物资储备信息库，加强对当地环境应急物资储备信息的动态管理。</w:t>
      </w:r>
    </w:p>
    <w:p w14:paraId="1F3CFAA5">
      <w:pPr>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突发生态环境事件应急处置</w:t>
      </w:r>
      <w:r>
        <w:rPr>
          <w:rFonts w:hint="eastAsia" w:ascii="仿宋_GB2312" w:hAnsi="仿宋_GB2312" w:eastAsia="仿宋_GB2312" w:cs="仿宋_GB2312"/>
          <w:sz w:val="32"/>
          <w:szCs w:val="32"/>
        </w:rPr>
        <w:t>过程中产生的</w:t>
      </w:r>
      <w:r>
        <w:rPr>
          <w:rFonts w:ascii="仿宋_GB2312" w:hAnsi="仿宋_GB2312" w:eastAsia="仿宋_GB2312" w:cs="仿宋_GB2312"/>
          <w:sz w:val="32"/>
          <w:szCs w:val="32"/>
        </w:rPr>
        <w:t>经费首先由事件责任单位承担。</w:t>
      </w:r>
      <w:r>
        <w:rPr>
          <w:rFonts w:hint="eastAsia" w:ascii="仿宋_GB2312" w:hAnsi="仿宋_GB2312" w:eastAsia="仿宋_GB2312" w:cs="仿宋_GB2312"/>
          <w:sz w:val="32"/>
          <w:szCs w:val="32"/>
        </w:rPr>
        <w:t>兵团及各师市应当将突发生态环境事件防范和应对工作所需经费纳入同级财政预算，为应急处置工作提供资金保障</w:t>
      </w:r>
      <w:r>
        <w:rPr>
          <w:rFonts w:ascii="仿宋_GB2312" w:hAnsi="仿宋_GB2312" w:eastAsia="仿宋_GB2312" w:cs="仿宋_GB2312"/>
          <w:sz w:val="32"/>
          <w:szCs w:val="32"/>
        </w:rPr>
        <w:t>。</w:t>
      </w:r>
    </w:p>
    <w:p w14:paraId="01684890">
      <w:pPr>
        <w:pStyle w:val="3"/>
        <w:adjustRightInd w:val="0"/>
        <w:snapToGrid w:val="0"/>
        <w:spacing w:before="0" w:after="0" w:line="560" w:lineRule="exact"/>
        <w:ind w:firstLine="640" w:firstLineChars="200"/>
        <w:rPr>
          <w:rFonts w:eastAsia="楷体_GB2312"/>
          <w:color w:val="auto"/>
          <w:sz w:val="32"/>
        </w:rPr>
      </w:pPr>
      <w:bookmarkStart w:id="163" w:name="_Toc207817664"/>
      <w:r>
        <w:rPr>
          <w:rFonts w:eastAsia="楷体_GB2312"/>
          <w:color w:val="auto"/>
          <w:sz w:val="32"/>
        </w:rPr>
        <w:t>7.3 通信、交通与运输保障</w:t>
      </w:r>
      <w:bookmarkEnd w:id="159"/>
      <w:bookmarkEnd w:id="160"/>
      <w:bookmarkEnd w:id="161"/>
      <w:bookmarkEnd w:id="163"/>
    </w:p>
    <w:p w14:paraId="18B46DC5">
      <w:pPr>
        <w:snapToGrid w:val="0"/>
        <w:spacing w:line="560" w:lineRule="exact"/>
        <w:ind w:firstLine="640" w:firstLineChars="200"/>
        <w:rPr>
          <w:sz w:val="32"/>
          <w:szCs w:val="32"/>
        </w:rPr>
      </w:pPr>
      <w:bookmarkStart w:id="164" w:name="_Hlk203735800"/>
      <w:bookmarkStart w:id="165" w:name="_Toc91841315"/>
      <w:bookmarkStart w:id="166" w:name="_Toc92300367"/>
      <w:bookmarkStart w:id="167" w:name="_Toc88738181"/>
      <w:bookmarkStart w:id="168" w:name="_Toc400723097"/>
      <w:r>
        <w:rPr>
          <w:rFonts w:ascii="仿宋_GB2312" w:hAnsi="仿宋_GB2312" w:eastAsia="仿宋_GB2312" w:cs="仿宋_GB2312"/>
          <w:sz w:val="32"/>
          <w:szCs w:val="32"/>
        </w:rPr>
        <w:t>兵团</w:t>
      </w:r>
      <w:r>
        <w:rPr>
          <w:rFonts w:hint="eastAsia" w:ascii="仿宋_GB2312" w:hAnsi="仿宋_GB2312" w:eastAsia="仿宋_GB2312" w:cs="仿宋_GB2312"/>
          <w:sz w:val="32"/>
          <w:szCs w:val="32"/>
        </w:rPr>
        <w:t>及各师市应</w:t>
      </w:r>
      <w:r>
        <w:rPr>
          <w:rFonts w:ascii="仿宋_GB2312" w:hAnsi="仿宋_GB2312" w:eastAsia="仿宋_GB2312" w:cs="仿宋_GB2312"/>
          <w:sz w:val="32"/>
          <w:szCs w:val="32"/>
        </w:rPr>
        <w:t>建立健全突发生态环境事件应急通信保障体系，确保应急期间通信联络和信息传递需要。兵团各级生态环境部门设立专门的环境应急报警电话，</w:t>
      </w:r>
      <w:r>
        <w:rPr>
          <w:rFonts w:hint="eastAsia" w:ascii="仿宋_GB2312" w:hAnsi="仿宋_GB2312" w:eastAsia="仿宋_GB2312" w:cs="仿宋_GB2312"/>
          <w:sz w:val="32"/>
          <w:szCs w:val="32"/>
        </w:rPr>
        <w:t>应急响应期间</w:t>
      </w:r>
      <w:r>
        <w:rPr>
          <w:rFonts w:ascii="仿宋_GB2312" w:hAnsi="仿宋_GB2312" w:eastAsia="仿宋_GB2312" w:cs="仿宋_GB2312"/>
          <w:sz w:val="32"/>
          <w:szCs w:val="32"/>
        </w:rPr>
        <w:t>安排人员</w:t>
      </w:r>
      <w:r>
        <w:rPr>
          <w:sz w:val="32"/>
          <w:szCs w:val="32"/>
        </w:rPr>
        <w:t>24</w:t>
      </w:r>
      <w:r>
        <w:rPr>
          <w:rFonts w:ascii="仿宋_GB2312" w:hAnsi="仿宋_GB2312" w:eastAsia="仿宋_GB2312" w:cs="仿宋_GB2312"/>
          <w:sz w:val="32"/>
          <w:szCs w:val="32"/>
        </w:rPr>
        <w:t>小时值班。配备必要的有线、无线通信器材，确保本应急预案启动时生态环境应急指挥部和现场有关应急单位联络畅通。</w:t>
      </w:r>
      <w:bookmarkEnd w:id="164"/>
    </w:p>
    <w:p w14:paraId="5CE3CD8C">
      <w:pPr>
        <w:snapToGrid w:val="0"/>
        <w:spacing w:line="560" w:lineRule="exact"/>
        <w:ind w:firstLine="640" w:firstLineChars="200"/>
        <w:rPr>
          <w:rFonts w:eastAsia="仿宋_GB2312"/>
          <w:sz w:val="32"/>
          <w:szCs w:val="32"/>
        </w:rPr>
      </w:pPr>
      <w:r>
        <w:rPr>
          <w:rFonts w:ascii="仿宋_GB2312" w:hAnsi="仿宋_GB2312" w:eastAsia="仿宋_GB2312" w:cs="仿宋_GB2312"/>
          <w:sz w:val="32"/>
          <w:szCs w:val="32"/>
        </w:rPr>
        <w:t>兵团交通运输部门保障应急响应所需人员、物资、装备、器材等的运输。公安部门加强保障应急交通管理，保障运送伤病员、应急救援人员、物资、装备、器材车辆的优先通行。</w:t>
      </w:r>
    </w:p>
    <w:p w14:paraId="2A5154EE">
      <w:pPr>
        <w:pStyle w:val="3"/>
        <w:adjustRightInd w:val="0"/>
        <w:snapToGrid w:val="0"/>
        <w:spacing w:before="0" w:after="0" w:line="560" w:lineRule="exact"/>
        <w:ind w:firstLine="640" w:firstLineChars="200"/>
        <w:rPr>
          <w:rFonts w:eastAsia="楷体_GB2312"/>
          <w:color w:val="auto"/>
          <w:sz w:val="32"/>
        </w:rPr>
      </w:pPr>
      <w:bookmarkStart w:id="169" w:name="_Toc207817665"/>
      <w:r>
        <w:rPr>
          <w:rFonts w:eastAsia="楷体_GB2312"/>
          <w:color w:val="auto"/>
          <w:sz w:val="32"/>
        </w:rPr>
        <w:t>7.4 技术保障</w:t>
      </w:r>
      <w:bookmarkEnd w:id="165"/>
      <w:bookmarkEnd w:id="166"/>
      <w:bookmarkEnd w:id="167"/>
      <w:bookmarkEnd w:id="168"/>
      <w:bookmarkEnd w:id="169"/>
    </w:p>
    <w:p w14:paraId="0D34012F">
      <w:pPr>
        <w:snapToGrid w:val="0"/>
        <w:spacing w:line="560" w:lineRule="exact"/>
        <w:ind w:firstLine="640" w:firstLineChars="200"/>
        <w:rPr>
          <w:rFonts w:eastAsia="仿宋_GB2312"/>
          <w:sz w:val="32"/>
          <w:szCs w:val="32"/>
        </w:rPr>
      </w:pPr>
      <w:bookmarkStart w:id="170" w:name="_Hlk203735818"/>
      <w:bookmarkStart w:id="171" w:name="_Hlk203760972"/>
      <w:r>
        <w:rPr>
          <w:rFonts w:hint="eastAsia" w:eastAsia="仿宋_GB2312"/>
          <w:sz w:val="32"/>
          <w:szCs w:val="32"/>
        </w:rPr>
        <w:t>兵团及各师市有关部门应当加强科研和应急能力建设，鼓励和支持高等院校、科研院所和有关机构等开展研究用于突发生态环境事件预防、监测、预警、应急处置与救援的新技术、新工艺、新设备和新材料，为事件应急救援提供技术支持和保障。</w:t>
      </w:r>
      <w:bookmarkEnd w:id="170"/>
    </w:p>
    <w:bookmarkEnd w:id="162"/>
    <w:bookmarkEnd w:id="171"/>
    <w:p w14:paraId="1F1E2FEF">
      <w:pPr>
        <w:pStyle w:val="3"/>
        <w:adjustRightInd w:val="0"/>
        <w:snapToGrid w:val="0"/>
        <w:spacing w:before="0" w:after="0" w:line="560" w:lineRule="exact"/>
        <w:ind w:firstLine="640" w:firstLineChars="200"/>
        <w:rPr>
          <w:rFonts w:eastAsia="楷体_GB2312"/>
          <w:color w:val="auto"/>
          <w:sz w:val="32"/>
        </w:rPr>
      </w:pPr>
      <w:bookmarkStart w:id="172" w:name="_Toc88738182"/>
      <w:bookmarkStart w:id="173" w:name="_Toc92300368"/>
      <w:bookmarkStart w:id="174" w:name="_Toc91841316"/>
      <w:bookmarkStart w:id="175" w:name="_Toc400723099"/>
      <w:bookmarkStart w:id="176" w:name="_Toc207817666"/>
      <w:r>
        <w:rPr>
          <w:rFonts w:eastAsia="楷体_GB2312"/>
          <w:color w:val="auto"/>
          <w:sz w:val="32"/>
        </w:rPr>
        <w:t xml:space="preserve">7.5 </w:t>
      </w:r>
      <w:bookmarkEnd w:id="172"/>
      <w:bookmarkEnd w:id="173"/>
      <w:bookmarkEnd w:id="174"/>
      <w:bookmarkEnd w:id="175"/>
      <w:r>
        <w:rPr>
          <w:rFonts w:eastAsia="楷体_GB2312"/>
          <w:color w:val="auto"/>
          <w:sz w:val="32"/>
        </w:rPr>
        <w:t>培训和演练</w:t>
      </w:r>
      <w:bookmarkEnd w:id="176"/>
    </w:p>
    <w:p w14:paraId="64219EB7">
      <w:pPr>
        <w:snapToGrid w:val="0"/>
        <w:spacing w:line="560" w:lineRule="exact"/>
        <w:ind w:firstLine="640" w:firstLineChars="200"/>
        <w:rPr>
          <w:rFonts w:hint="eastAsia" w:ascii="仿宋_GB2312" w:hAnsi="仿宋_GB2312" w:eastAsia="仿宋_GB2312" w:cs="仿宋_GB2312"/>
          <w:sz w:val="32"/>
          <w:szCs w:val="32"/>
        </w:rPr>
      </w:pPr>
      <w:bookmarkStart w:id="177" w:name="_Hlk203735842"/>
      <w:r>
        <w:rPr>
          <w:rFonts w:ascii="仿宋_GB2312" w:hAnsi="仿宋_GB2312" w:eastAsia="仿宋_GB2312" w:cs="仿宋_GB2312"/>
          <w:sz w:val="32"/>
          <w:szCs w:val="32"/>
        </w:rPr>
        <w:t>兵团</w:t>
      </w:r>
      <w:r>
        <w:rPr>
          <w:rFonts w:hint="eastAsia" w:ascii="仿宋_GB2312" w:hAnsi="仿宋_GB2312" w:eastAsia="仿宋_GB2312" w:cs="仿宋_GB2312"/>
          <w:sz w:val="32"/>
          <w:szCs w:val="32"/>
        </w:rPr>
        <w:t>及各师市有关部门</w:t>
      </w:r>
      <w:r>
        <w:rPr>
          <w:rFonts w:ascii="仿宋_GB2312" w:hAnsi="仿宋_GB2312" w:eastAsia="仿宋_GB2312" w:cs="仿宋_GB2312"/>
          <w:sz w:val="32"/>
          <w:szCs w:val="32"/>
        </w:rPr>
        <w:t>要定期开展应急培训，熟悉应急处置程序和要求，做好实施应急预案各项准备。定期开展</w:t>
      </w:r>
      <w:r>
        <w:rPr>
          <w:rFonts w:hint="eastAsia" w:ascii="仿宋_GB2312" w:hAnsi="仿宋_GB2312" w:eastAsia="仿宋_GB2312" w:cs="仿宋_GB2312"/>
          <w:sz w:val="32"/>
          <w:szCs w:val="32"/>
        </w:rPr>
        <w:t>突发生态环境事件</w:t>
      </w:r>
      <w:r>
        <w:rPr>
          <w:rFonts w:ascii="仿宋_GB2312" w:hAnsi="仿宋_GB2312" w:eastAsia="仿宋_GB2312" w:cs="仿宋_GB2312"/>
          <w:sz w:val="32"/>
          <w:szCs w:val="32"/>
        </w:rPr>
        <w:t>应急演练，</w:t>
      </w:r>
      <w:r>
        <w:rPr>
          <w:rFonts w:hint="eastAsia" w:ascii="仿宋_GB2312" w:hAnsi="仿宋_GB2312" w:eastAsia="仿宋_GB2312" w:cs="仿宋_GB2312"/>
          <w:sz w:val="32"/>
          <w:szCs w:val="32"/>
        </w:rPr>
        <w:t>并对演练做好评估工作，</w:t>
      </w:r>
      <w:r>
        <w:rPr>
          <w:rFonts w:ascii="仿宋_GB2312" w:hAnsi="仿宋_GB2312" w:eastAsia="仿宋_GB2312" w:cs="仿宋_GB2312"/>
          <w:sz w:val="32"/>
          <w:szCs w:val="32"/>
        </w:rPr>
        <w:t>增强应急处置能力</w:t>
      </w:r>
      <w:bookmarkStart w:id="178" w:name="_Toc88738184"/>
      <w:bookmarkStart w:id="179" w:name="_Toc91841318"/>
      <w:bookmarkStart w:id="180" w:name="_Toc92300370"/>
      <w:r>
        <w:rPr>
          <w:rFonts w:ascii="仿宋_GB2312" w:hAnsi="仿宋_GB2312" w:eastAsia="仿宋_GB2312" w:cs="仿宋_GB2312"/>
          <w:sz w:val="32"/>
          <w:szCs w:val="32"/>
        </w:rPr>
        <w:t>。</w:t>
      </w:r>
      <w:bookmarkEnd w:id="177"/>
    </w:p>
    <w:p w14:paraId="78D2C9D7">
      <w:pPr>
        <w:pStyle w:val="2"/>
        <w:adjustRightInd w:val="0"/>
        <w:snapToGrid w:val="0"/>
        <w:spacing w:before="0" w:after="0" w:line="560" w:lineRule="exact"/>
        <w:ind w:firstLine="640" w:firstLineChars="200"/>
        <w:rPr>
          <w:b w:val="0"/>
          <w:bCs w:val="0"/>
          <w:lang w:val="en-US"/>
        </w:rPr>
      </w:pPr>
      <w:bookmarkStart w:id="181" w:name="_Toc207817667"/>
      <w:r>
        <w:rPr>
          <w:b w:val="0"/>
          <w:bCs w:val="0"/>
          <w:lang w:val="en-US"/>
        </w:rPr>
        <w:t>8</w:t>
      </w:r>
      <w:r>
        <w:rPr>
          <w:rFonts w:hint="eastAsia"/>
          <w:b w:val="0"/>
          <w:bCs w:val="0"/>
          <w:lang w:val="en-US"/>
        </w:rPr>
        <w:t xml:space="preserve"> </w:t>
      </w:r>
      <w:r>
        <w:rPr>
          <w:b w:val="0"/>
          <w:bCs w:val="0"/>
          <w:lang w:val="en-US"/>
        </w:rPr>
        <w:t>附则</w:t>
      </w:r>
      <w:bookmarkEnd w:id="181"/>
    </w:p>
    <w:p w14:paraId="49962482">
      <w:pPr>
        <w:pStyle w:val="3"/>
        <w:adjustRightInd w:val="0"/>
        <w:snapToGrid w:val="0"/>
        <w:spacing w:before="0" w:after="0" w:line="560" w:lineRule="exact"/>
        <w:ind w:firstLine="640" w:firstLineChars="200"/>
        <w:rPr>
          <w:rFonts w:eastAsia="楷体_GB2312"/>
          <w:color w:val="auto"/>
          <w:sz w:val="32"/>
        </w:rPr>
      </w:pPr>
      <w:bookmarkStart w:id="182" w:name="_Toc92300371"/>
      <w:bookmarkStart w:id="183" w:name="_Toc88738185"/>
      <w:bookmarkStart w:id="184" w:name="_Toc400723102"/>
      <w:bookmarkStart w:id="185" w:name="_Toc207817668"/>
      <w:bookmarkStart w:id="186" w:name="_Toc91841319"/>
      <w:r>
        <w:rPr>
          <w:rFonts w:eastAsia="楷体_GB2312"/>
          <w:color w:val="auto"/>
          <w:sz w:val="32"/>
        </w:rPr>
        <w:t>8.1</w:t>
      </w:r>
      <w:r>
        <w:rPr>
          <w:rFonts w:hint="eastAsia" w:eastAsia="楷体_GB2312"/>
          <w:color w:val="auto"/>
          <w:sz w:val="32"/>
        </w:rPr>
        <w:t xml:space="preserve"> </w:t>
      </w:r>
      <w:r>
        <w:rPr>
          <w:rFonts w:eastAsia="楷体_GB2312"/>
          <w:color w:val="auto"/>
          <w:sz w:val="32"/>
        </w:rPr>
        <w:t>预案管理</w:t>
      </w:r>
      <w:bookmarkEnd w:id="182"/>
      <w:bookmarkEnd w:id="183"/>
      <w:bookmarkEnd w:id="184"/>
      <w:bookmarkEnd w:id="185"/>
      <w:bookmarkEnd w:id="186"/>
    </w:p>
    <w:p w14:paraId="20035C2E">
      <w:pPr>
        <w:snapToGrid w:val="0"/>
        <w:spacing w:line="560" w:lineRule="exact"/>
        <w:ind w:firstLine="640" w:firstLineChars="200"/>
        <w:rPr>
          <w:rFonts w:eastAsia="仿宋_GB2312"/>
          <w:sz w:val="32"/>
        </w:rPr>
      </w:pPr>
      <w:bookmarkStart w:id="187" w:name="_Hlk203735880"/>
      <w:r>
        <w:rPr>
          <w:rFonts w:hint="eastAsia" w:eastAsia="仿宋_GB2312"/>
          <w:sz w:val="32"/>
        </w:rPr>
        <w:t>预案实施后，兵团生态环境局要会同有关部门组织预案培训和演练，并根据实际情况，适时组织评估和修订。各师市要结合当地实际制定或修订突发生态环境事件应急预案。</w:t>
      </w:r>
    </w:p>
    <w:bookmarkEnd w:id="187"/>
    <w:p w14:paraId="3BF41918">
      <w:pPr>
        <w:pStyle w:val="3"/>
        <w:adjustRightInd w:val="0"/>
        <w:snapToGrid w:val="0"/>
        <w:spacing w:before="0" w:after="0" w:line="560" w:lineRule="exact"/>
        <w:ind w:firstLine="640" w:firstLineChars="200"/>
        <w:rPr>
          <w:rFonts w:eastAsia="楷体_GB2312"/>
          <w:bCs/>
          <w:color w:val="auto"/>
          <w:sz w:val="32"/>
        </w:rPr>
      </w:pPr>
      <w:bookmarkStart w:id="188" w:name="_Toc88738186"/>
      <w:bookmarkStart w:id="189" w:name="_Toc91841320"/>
      <w:bookmarkStart w:id="190" w:name="_Toc207817669"/>
      <w:bookmarkStart w:id="191" w:name="_Toc92300372"/>
      <w:r>
        <w:rPr>
          <w:rFonts w:eastAsia="楷体_GB2312"/>
          <w:bCs/>
          <w:color w:val="auto"/>
          <w:sz w:val="32"/>
        </w:rPr>
        <w:t>8.2</w:t>
      </w:r>
      <w:r>
        <w:rPr>
          <w:rFonts w:hint="eastAsia" w:eastAsia="楷体_GB2312"/>
          <w:bCs/>
          <w:color w:val="auto"/>
          <w:sz w:val="32"/>
        </w:rPr>
        <w:t xml:space="preserve"> </w:t>
      </w:r>
      <w:r>
        <w:rPr>
          <w:rFonts w:eastAsia="楷体_GB2312"/>
          <w:bCs/>
          <w:color w:val="auto"/>
          <w:sz w:val="32"/>
        </w:rPr>
        <w:t>预案解释</w:t>
      </w:r>
      <w:bookmarkEnd w:id="188"/>
      <w:bookmarkEnd w:id="189"/>
      <w:bookmarkEnd w:id="190"/>
      <w:bookmarkEnd w:id="191"/>
    </w:p>
    <w:p w14:paraId="1E737308">
      <w:pPr>
        <w:snapToGrid w:val="0"/>
        <w:spacing w:line="560" w:lineRule="exact"/>
        <w:ind w:firstLine="640" w:firstLineChars="200"/>
        <w:rPr>
          <w:rFonts w:eastAsia="仿宋"/>
          <w:sz w:val="32"/>
        </w:rPr>
      </w:pPr>
      <w:bookmarkStart w:id="192" w:name="_Hlk203735914"/>
      <w:r>
        <w:rPr>
          <w:rFonts w:eastAsia="仿宋_GB2312"/>
          <w:sz w:val="32"/>
        </w:rPr>
        <w:t>本预案由兵团生态环境局</w:t>
      </w:r>
      <w:r>
        <w:rPr>
          <w:rFonts w:hint="eastAsia" w:eastAsia="仿宋_GB2312"/>
          <w:sz w:val="32"/>
        </w:rPr>
        <w:t>负责解释</w:t>
      </w:r>
      <w:r>
        <w:rPr>
          <w:rFonts w:eastAsia="仿宋_GB2312"/>
          <w:sz w:val="32"/>
        </w:rPr>
        <w:t>。</w:t>
      </w:r>
      <w:bookmarkEnd w:id="192"/>
    </w:p>
    <w:p w14:paraId="4E10AE0E">
      <w:pPr>
        <w:pStyle w:val="3"/>
        <w:adjustRightInd w:val="0"/>
        <w:snapToGrid w:val="0"/>
        <w:spacing w:before="0" w:after="0" w:line="560" w:lineRule="exact"/>
        <w:ind w:firstLine="640" w:firstLineChars="200"/>
        <w:rPr>
          <w:rFonts w:eastAsia="楷体_GB2312"/>
          <w:bCs/>
          <w:color w:val="auto"/>
          <w:sz w:val="32"/>
        </w:rPr>
      </w:pPr>
      <w:bookmarkStart w:id="193" w:name="_Toc92300373"/>
      <w:bookmarkStart w:id="194" w:name="_Toc400723109"/>
      <w:bookmarkStart w:id="195" w:name="_Toc88738187"/>
      <w:bookmarkStart w:id="196" w:name="_Toc91841321"/>
      <w:bookmarkStart w:id="197" w:name="_Toc207817670"/>
      <w:r>
        <w:rPr>
          <w:rFonts w:eastAsia="楷体_GB2312"/>
          <w:bCs/>
          <w:color w:val="auto"/>
          <w:sz w:val="32"/>
        </w:rPr>
        <w:t>8.3</w:t>
      </w:r>
      <w:r>
        <w:rPr>
          <w:rFonts w:hint="eastAsia" w:eastAsia="楷体_GB2312"/>
          <w:bCs/>
          <w:color w:val="auto"/>
          <w:sz w:val="32"/>
        </w:rPr>
        <w:t xml:space="preserve"> </w:t>
      </w:r>
      <w:r>
        <w:rPr>
          <w:rFonts w:eastAsia="楷体_GB2312"/>
          <w:bCs/>
          <w:color w:val="auto"/>
          <w:sz w:val="32"/>
        </w:rPr>
        <w:t>预案实施</w:t>
      </w:r>
      <w:bookmarkEnd w:id="193"/>
      <w:bookmarkEnd w:id="194"/>
      <w:bookmarkEnd w:id="195"/>
      <w:bookmarkEnd w:id="196"/>
      <w:bookmarkEnd w:id="197"/>
    </w:p>
    <w:p w14:paraId="70F2391B">
      <w:pPr>
        <w:snapToGrid w:val="0"/>
        <w:spacing w:line="560" w:lineRule="exact"/>
        <w:ind w:firstLine="640" w:firstLineChars="200"/>
        <w:rPr>
          <w:rFonts w:eastAsia="仿宋_GB2312"/>
          <w:sz w:val="32"/>
        </w:rPr>
      </w:pPr>
      <w:r>
        <w:rPr>
          <w:rFonts w:hint="eastAsia" w:eastAsia="仿宋_GB2312"/>
          <w:sz w:val="32"/>
        </w:rPr>
        <w:t>本预案自印发之日起实施，兵团办公厅2021年12月24日印发的《关于印发&lt;新疆生产建设兵团突发环境事件应急预案&gt;的通知》（新兵办发〔2021〕124号）同时废止。</w:t>
      </w:r>
    </w:p>
    <w:p w14:paraId="1785C1D7">
      <w:pPr>
        <w:pStyle w:val="2"/>
        <w:adjustRightInd w:val="0"/>
        <w:snapToGrid w:val="0"/>
        <w:spacing w:before="0" w:after="0" w:line="560" w:lineRule="exact"/>
        <w:rPr>
          <w:b w:val="0"/>
          <w:bCs w:val="0"/>
          <w:lang w:val="en-US"/>
        </w:rPr>
      </w:pPr>
    </w:p>
    <w:p w14:paraId="016A007E">
      <w:pPr>
        <w:spacing w:line="560" w:lineRule="exact"/>
        <w:ind w:firstLine="640" w:firstLineChars="200"/>
        <w:rPr>
          <w:rFonts w:eastAsia="仿宋_GB2312"/>
          <w:sz w:val="32"/>
        </w:rPr>
      </w:pPr>
      <w:r>
        <w:rPr>
          <w:rFonts w:hint="eastAsia" w:eastAsia="仿宋_GB2312"/>
          <w:sz w:val="32"/>
        </w:rPr>
        <w:t>附件：1.</w:t>
      </w:r>
      <w:r>
        <w:rPr>
          <w:rFonts w:hint="eastAsia"/>
        </w:rPr>
        <w:t xml:space="preserve"> </w:t>
      </w:r>
      <w:r>
        <w:rPr>
          <w:rFonts w:hint="eastAsia" w:eastAsia="仿宋_GB2312"/>
          <w:sz w:val="32"/>
        </w:rPr>
        <w:t>突发生态环境事件分级标准</w:t>
      </w:r>
    </w:p>
    <w:p w14:paraId="5AA19BC4">
      <w:pPr>
        <w:spacing w:line="560" w:lineRule="exact"/>
        <w:ind w:firstLine="1600" w:firstLineChars="500"/>
        <w:rPr>
          <w:rFonts w:eastAsia="仿宋_GB2312"/>
          <w:sz w:val="32"/>
        </w:rPr>
      </w:pPr>
      <w:r>
        <w:rPr>
          <w:rFonts w:hint="eastAsia" w:eastAsia="仿宋_GB2312"/>
          <w:sz w:val="32"/>
        </w:rPr>
        <w:t>2.</w:t>
      </w:r>
      <w:r>
        <w:rPr>
          <w:rFonts w:hint="eastAsia"/>
        </w:rPr>
        <w:t xml:space="preserve"> </w:t>
      </w:r>
      <w:r>
        <w:rPr>
          <w:rFonts w:hint="eastAsia" w:eastAsia="仿宋_GB2312"/>
          <w:sz w:val="32"/>
        </w:rPr>
        <w:t>兵团突发生态环境事件应急指挥机构组成及部门</w:t>
      </w:r>
    </w:p>
    <w:p w14:paraId="04E19EAD">
      <w:pPr>
        <w:spacing w:line="560" w:lineRule="exact"/>
        <w:ind w:firstLine="1920" w:firstLineChars="600"/>
        <w:rPr>
          <w:rFonts w:eastAsia="仿宋_GB2312"/>
          <w:sz w:val="32"/>
        </w:rPr>
      </w:pPr>
      <w:r>
        <w:rPr>
          <w:rFonts w:hint="eastAsia" w:eastAsia="仿宋_GB2312"/>
          <w:sz w:val="32"/>
        </w:rPr>
        <w:t>职责</w:t>
      </w:r>
    </w:p>
    <w:p w14:paraId="120A6253">
      <w:pPr>
        <w:spacing w:line="560" w:lineRule="exact"/>
        <w:ind w:firstLine="1600" w:firstLineChars="500"/>
        <w:rPr>
          <w:rFonts w:eastAsia="仿宋_GB2312"/>
          <w:sz w:val="32"/>
        </w:rPr>
      </w:pPr>
      <w:r>
        <w:rPr>
          <w:rFonts w:hint="eastAsia" w:eastAsia="仿宋_GB2312"/>
          <w:sz w:val="32"/>
        </w:rPr>
        <w:t>3.</w:t>
      </w:r>
      <w:r>
        <w:rPr>
          <w:rFonts w:hint="eastAsia"/>
        </w:rPr>
        <w:t xml:space="preserve"> </w:t>
      </w:r>
      <w:r>
        <w:rPr>
          <w:rFonts w:hint="eastAsia" w:eastAsia="仿宋_GB2312"/>
          <w:sz w:val="32"/>
        </w:rPr>
        <w:t>兵团突发生态环境事件应急组织体系框架图</w:t>
      </w:r>
    </w:p>
    <w:p w14:paraId="336ACD37">
      <w:pPr>
        <w:spacing w:line="560" w:lineRule="exact"/>
        <w:ind w:firstLine="1600" w:firstLineChars="500"/>
        <w:rPr>
          <w:rFonts w:eastAsia="仿宋_GB2312"/>
          <w:sz w:val="32"/>
        </w:rPr>
      </w:pPr>
      <w:r>
        <w:rPr>
          <w:rFonts w:hint="eastAsia" w:eastAsia="仿宋_GB2312"/>
          <w:sz w:val="32"/>
          <w:lang w:val="en-US" w:eastAsia="zh-CN"/>
        </w:rPr>
        <w:t>4</w:t>
      </w:r>
      <w:r>
        <w:rPr>
          <w:rFonts w:hint="eastAsia" w:eastAsia="仿宋_GB2312"/>
          <w:sz w:val="32"/>
        </w:rPr>
        <w:t>. 兵团突发生态环境事件应急工作流程图</w:t>
      </w:r>
    </w:p>
    <w:p w14:paraId="234F8043">
      <w:pPr>
        <w:spacing w:line="560" w:lineRule="exact"/>
        <w:ind w:firstLine="1600" w:firstLineChars="500"/>
        <w:rPr>
          <w:rFonts w:eastAsia="仿宋_GB2312"/>
          <w:sz w:val="32"/>
        </w:rPr>
      </w:pPr>
      <w:r>
        <w:rPr>
          <w:rFonts w:hint="eastAsia" w:eastAsia="仿宋_GB2312"/>
          <w:sz w:val="32"/>
          <w:lang w:val="en-US" w:eastAsia="zh-CN"/>
        </w:rPr>
        <w:t>5</w:t>
      </w:r>
      <w:r>
        <w:rPr>
          <w:rFonts w:hint="eastAsia" w:eastAsia="仿宋_GB2312"/>
          <w:sz w:val="32"/>
        </w:rPr>
        <w:t>. 兵团突发生态环境事件信息报告流程图</w:t>
      </w:r>
    </w:p>
    <w:bookmarkEnd w:id="178"/>
    <w:bookmarkEnd w:id="179"/>
    <w:bookmarkEnd w:id="180"/>
    <w:p w14:paraId="3BF8568B">
      <w:pPr>
        <w:widowControl/>
        <w:spacing w:line="240" w:lineRule="auto"/>
        <w:jc w:val="left"/>
        <w:rPr>
          <w:rFonts w:eastAsia="仿宋"/>
          <w:sz w:val="32"/>
        </w:rPr>
      </w:pPr>
      <w:r>
        <w:rPr>
          <w:rFonts w:eastAsia="仿宋"/>
          <w:sz w:val="32"/>
        </w:rPr>
        <w:br w:type="page"/>
      </w:r>
    </w:p>
    <w:p w14:paraId="411CE1EC">
      <w:pPr>
        <w:keepNext/>
        <w:keepLines/>
        <w:spacing w:line="560" w:lineRule="exact"/>
        <w:outlineLvl w:val="1"/>
        <w:rPr>
          <w:rFonts w:eastAsia="黑体"/>
          <w:bCs/>
          <w:kern w:val="0"/>
          <w:sz w:val="32"/>
          <w:szCs w:val="32"/>
          <w:lang w:val="zh-CN"/>
        </w:rPr>
      </w:pPr>
      <w:bookmarkStart w:id="198" w:name="_Toc25787"/>
      <w:bookmarkStart w:id="199" w:name="_Toc207817671"/>
      <w:r>
        <w:rPr>
          <w:rFonts w:eastAsia="黑体"/>
          <w:bCs/>
          <w:kern w:val="0"/>
          <w:sz w:val="32"/>
          <w:szCs w:val="32"/>
          <w:lang w:val="zh-CN"/>
        </w:rPr>
        <w:t>附件1</w:t>
      </w:r>
      <w:bookmarkEnd w:id="198"/>
      <w:bookmarkEnd w:id="199"/>
    </w:p>
    <w:p w14:paraId="0C13E2E5">
      <w:pPr>
        <w:keepNext/>
        <w:keepLines/>
        <w:spacing w:line="560" w:lineRule="exact"/>
        <w:jc w:val="center"/>
        <w:outlineLvl w:val="1"/>
        <w:rPr>
          <w:rFonts w:hint="eastAsia" w:ascii="方正小标宋简体" w:hAnsi="方正小标宋简体" w:eastAsia="方正小标宋简体" w:cs="方正小标宋简体"/>
          <w:bCs/>
          <w:kern w:val="0"/>
          <w:sz w:val="44"/>
          <w:szCs w:val="32"/>
          <w:lang w:val="zh-CN"/>
        </w:rPr>
      </w:pPr>
      <w:bookmarkStart w:id="200" w:name="_Toc5221"/>
    </w:p>
    <w:p w14:paraId="71F41B98">
      <w:pPr>
        <w:keepNext/>
        <w:keepLines/>
        <w:spacing w:line="560" w:lineRule="exact"/>
        <w:jc w:val="center"/>
        <w:outlineLvl w:val="1"/>
        <w:rPr>
          <w:rFonts w:hint="eastAsia" w:ascii="方正小标宋简体" w:hAnsi="方正小标宋简体" w:eastAsia="方正小标宋简体" w:cs="方正小标宋简体"/>
          <w:bCs/>
          <w:kern w:val="0"/>
          <w:sz w:val="44"/>
          <w:szCs w:val="32"/>
          <w:lang w:val="zh-CN"/>
        </w:rPr>
      </w:pPr>
      <w:bookmarkStart w:id="201" w:name="_Hlk203243984"/>
      <w:bookmarkStart w:id="202" w:name="_Toc207817672"/>
      <w:r>
        <w:rPr>
          <w:rFonts w:hint="eastAsia" w:ascii="方正小标宋简体" w:hAnsi="方正小标宋简体" w:eastAsia="方正小标宋简体" w:cs="方正小标宋简体"/>
          <w:bCs/>
          <w:kern w:val="0"/>
          <w:sz w:val="44"/>
          <w:szCs w:val="32"/>
          <w:lang w:val="zh-CN"/>
        </w:rPr>
        <w:t>突发生态环境事件分级标准</w:t>
      </w:r>
      <w:bookmarkEnd w:id="200"/>
      <w:bookmarkEnd w:id="201"/>
      <w:bookmarkEnd w:id="202"/>
    </w:p>
    <w:p w14:paraId="3CD37D19">
      <w:pPr>
        <w:keepNext/>
        <w:keepLines/>
        <w:spacing w:line="560" w:lineRule="exact"/>
        <w:jc w:val="center"/>
        <w:outlineLvl w:val="1"/>
        <w:rPr>
          <w:rFonts w:hint="eastAsia" w:ascii="方正小标宋简体" w:hAnsi="方正小标宋简体" w:eastAsia="方正小标宋简体" w:cs="方正小标宋简体"/>
          <w:bCs/>
          <w:kern w:val="0"/>
          <w:sz w:val="32"/>
          <w:szCs w:val="32"/>
          <w:lang w:val="zh-CN"/>
        </w:rPr>
      </w:pPr>
    </w:p>
    <w:p w14:paraId="1872EAB2">
      <w:pPr>
        <w:spacing w:line="560" w:lineRule="exact"/>
        <w:ind w:firstLine="640" w:firstLineChars="200"/>
        <w:rPr>
          <w:rFonts w:hint="eastAsia" w:ascii="黑体" w:hAnsi="黑体" w:eastAsia="黑体" w:cs="黑体"/>
          <w:sz w:val="32"/>
        </w:rPr>
      </w:pPr>
      <w:r>
        <w:rPr>
          <w:rFonts w:hint="eastAsia" w:ascii="黑体" w:hAnsi="黑体" w:eastAsia="黑体" w:cs="黑体"/>
          <w:sz w:val="32"/>
        </w:rPr>
        <w:t>一、特别重大突发生态环境事件</w:t>
      </w:r>
    </w:p>
    <w:p w14:paraId="0BA27480">
      <w:pPr>
        <w:spacing w:line="560" w:lineRule="exact"/>
        <w:ind w:firstLine="640" w:firstLineChars="200"/>
        <w:rPr>
          <w:rFonts w:eastAsia="仿宋_GB2312"/>
          <w:sz w:val="32"/>
        </w:rPr>
      </w:pPr>
      <w:r>
        <w:rPr>
          <w:rFonts w:eastAsia="仿宋_GB2312"/>
          <w:sz w:val="32"/>
        </w:rPr>
        <w:t>凡符合下列情形之一的，为特别重大突发生态环境事件：</w:t>
      </w:r>
    </w:p>
    <w:p w14:paraId="725C1110">
      <w:pPr>
        <w:spacing w:line="560" w:lineRule="exact"/>
        <w:ind w:firstLine="640" w:firstLineChars="200"/>
        <w:rPr>
          <w:rFonts w:eastAsia="仿宋_GB2312"/>
          <w:sz w:val="32"/>
        </w:rPr>
      </w:pPr>
      <w:r>
        <w:rPr>
          <w:rFonts w:eastAsia="仿宋_GB2312"/>
          <w:sz w:val="32"/>
        </w:rPr>
        <w:t>1.因环境污染直接导致30人以上死亡或100人以上中毒或重伤的；</w:t>
      </w:r>
    </w:p>
    <w:p w14:paraId="5107865A">
      <w:pPr>
        <w:spacing w:line="560" w:lineRule="exact"/>
        <w:ind w:firstLine="640" w:firstLineChars="200"/>
        <w:rPr>
          <w:rFonts w:eastAsia="仿宋_GB2312"/>
          <w:sz w:val="32"/>
        </w:rPr>
      </w:pPr>
      <w:r>
        <w:rPr>
          <w:rFonts w:eastAsia="仿宋_GB2312"/>
          <w:sz w:val="32"/>
        </w:rPr>
        <w:t>2.因环境污染疏散、转移人员5万人以上的；</w:t>
      </w:r>
    </w:p>
    <w:p w14:paraId="28BA0822">
      <w:pPr>
        <w:spacing w:line="560" w:lineRule="exact"/>
        <w:ind w:firstLine="640" w:firstLineChars="200"/>
        <w:rPr>
          <w:rFonts w:eastAsia="仿宋_GB2312"/>
          <w:sz w:val="32"/>
        </w:rPr>
      </w:pPr>
      <w:r>
        <w:rPr>
          <w:rFonts w:eastAsia="仿宋_GB2312"/>
          <w:sz w:val="32"/>
        </w:rPr>
        <w:t>3.因环境污染造成直接经济损失1亿元以上的；</w:t>
      </w:r>
    </w:p>
    <w:p w14:paraId="03D6C73D">
      <w:pPr>
        <w:spacing w:line="560" w:lineRule="exact"/>
        <w:ind w:firstLine="640" w:firstLineChars="200"/>
        <w:rPr>
          <w:rFonts w:eastAsia="仿宋_GB2312"/>
          <w:sz w:val="32"/>
        </w:rPr>
      </w:pPr>
      <w:r>
        <w:rPr>
          <w:rFonts w:eastAsia="仿宋_GB2312"/>
          <w:sz w:val="32"/>
        </w:rPr>
        <w:t>4.因环境污染造成区域生态功能丧失或国家重点保护野生动植物全部死亡且短期内不可恢复的；</w:t>
      </w:r>
    </w:p>
    <w:p w14:paraId="61A61C31">
      <w:pPr>
        <w:spacing w:line="560" w:lineRule="exact"/>
        <w:ind w:firstLine="640" w:firstLineChars="200"/>
        <w:rPr>
          <w:rFonts w:eastAsia="仿宋_GB2312"/>
          <w:sz w:val="32"/>
        </w:rPr>
      </w:pPr>
      <w:r>
        <w:rPr>
          <w:rFonts w:eastAsia="仿宋_GB2312"/>
          <w:sz w:val="32"/>
        </w:rPr>
        <w:t>5.地级以上城市集中式饮用水水源地受到严重污染且导致取水中断的；</w:t>
      </w:r>
    </w:p>
    <w:p w14:paraId="3C946402">
      <w:pPr>
        <w:spacing w:line="560" w:lineRule="exact"/>
        <w:ind w:firstLine="640" w:firstLineChars="200"/>
        <w:rPr>
          <w:rFonts w:eastAsia="仿宋_GB2312"/>
          <w:sz w:val="32"/>
        </w:rPr>
      </w:pPr>
      <w:r>
        <w:rPr>
          <w:rFonts w:eastAsia="仿宋_GB2312"/>
          <w:sz w:val="32"/>
        </w:rPr>
        <w:t>6.Ⅰ、Ⅱ类放射源丢失、被盗、失控并造成大范围严重辐射污染后果的；放射性同位素和射线装置失控导致3人以上急性死亡的；放射性物质泄漏，造成大范围辐射污染后果的；</w:t>
      </w:r>
    </w:p>
    <w:p w14:paraId="23CD8342">
      <w:pPr>
        <w:spacing w:line="560" w:lineRule="exact"/>
        <w:ind w:firstLine="640" w:firstLineChars="200"/>
        <w:rPr>
          <w:rFonts w:eastAsia="仿宋_GB2312"/>
          <w:sz w:val="32"/>
        </w:rPr>
      </w:pPr>
      <w:r>
        <w:rPr>
          <w:rFonts w:eastAsia="仿宋_GB2312"/>
          <w:sz w:val="32"/>
        </w:rPr>
        <w:t>7.造成重大跨国境影响的境内突发生态环境事件。</w:t>
      </w:r>
    </w:p>
    <w:p w14:paraId="1E314F59">
      <w:pPr>
        <w:spacing w:line="560" w:lineRule="exact"/>
        <w:ind w:firstLine="640" w:firstLineChars="200"/>
        <w:rPr>
          <w:rFonts w:hint="eastAsia" w:ascii="黑体" w:hAnsi="黑体" w:eastAsia="黑体" w:cs="黑体"/>
          <w:sz w:val="32"/>
        </w:rPr>
      </w:pPr>
      <w:r>
        <w:rPr>
          <w:rFonts w:ascii="黑体" w:hAnsi="黑体" w:eastAsia="黑体" w:cs="黑体"/>
          <w:sz w:val="32"/>
        </w:rPr>
        <w:t>二、重大突发生态环境事件</w:t>
      </w:r>
    </w:p>
    <w:p w14:paraId="64BDD109">
      <w:pPr>
        <w:spacing w:line="560" w:lineRule="exact"/>
        <w:ind w:firstLine="640" w:firstLineChars="200"/>
        <w:rPr>
          <w:rFonts w:eastAsia="仿宋_GB2312"/>
          <w:sz w:val="32"/>
        </w:rPr>
      </w:pPr>
      <w:r>
        <w:rPr>
          <w:rFonts w:eastAsia="仿宋_GB2312"/>
          <w:sz w:val="32"/>
        </w:rPr>
        <w:t>凡符合下列情形之一的，为重大突发生态环境事件：</w:t>
      </w:r>
    </w:p>
    <w:p w14:paraId="61093FF4">
      <w:pPr>
        <w:spacing w:line="560" w:lineRule="exact"/>
        <w:ind w:firstLine="640" w:firstLineChars="200"/>
        <w:rPr>
          <w:rFonts w:eastAsia="仿宋_GB2312"/>
          <w:sz w:val="32"/>
        </w:rPr>
      </w:pPr>
      <w:r>
        <w:rPr>
          <w:rFonts w:eastAsia="仿宋_GB2312"/>
          <w:sz w:val="32"/>
        </w:rPr>
        <w:t>1.因环境污染直接导致10人以上30人以下死亡或50人以上100人以下中毒或重伤的；</w:t>
      </w:r>
    </w:p>
    <w:p w14:paraId="3AE74CE1">
      <w:pPr>
        <w:spacing w:line="560" w:lineRule="exact"/>
        <w:ind w:firstLine="640" w:firstLineChars="200"/>
        <w:rPr>
          <w:rFonts w:eastAsia="仿宋_GB2312"/>
          <w:sz w:val="32"/>
        </w:rPr>
      </w:pPr>
      <w:r>
        <w:rPr>
          <w:rFonts w:eastAsia="仿宋_GB2312"/>
          <w:sz w:val="32"/>
        </w:rPr>
        <w:t>2.因环境污染疏散、转移人员1万人以上5万人以下的；</w:t>
      </w:r>
    </w:p>
    <w:p w14:paraId="567D3A64">
      <w:pPr>
        <w:spacing w:line="560" w:lineRule="exact"/>
        <w:ind w:firstLine="640" w:firstLineChars="200"/>
        <w:rPr>
          <w:rFonts w:eastAsia="仿宋_GB2312"/>
          <w:sz w:val="32"/>
        </w:rPr>
      </w:pPr>
      <w:r>
        <w:rPr>
          <w:rFonts w:eastAsia="仿宋_GB2312"/>
          <w:sz w:val="32"/>
        </w:rPr>
        <w:t>3.因环境污染造成直接经济损失5000万元以上1亿元以下的；</w:t>
      </w:r>
    </w:p>
    <w:p w14:paraId="1D35E253">
      <w:pPr>
        <w:spacing w:line="560" w:lineRule="exact"/>
        <w:ind w:firstLine="640" w:firstLineChars="200"/>
        <w:rPr>
          <w:rFonts w:eastAsia="仿宋_GB2312"/>
          <w:sz w:val="32"/>
        </w:rPr>
      </w:pPr>
      <w:r>
        <w:rPr>
          <w:rFonts w:eastAsia="仿宋_GB2312"/>
          <w:sz w:val="32"/>
        </w:rPr>
        <w:t>4.因环境污染造成区域生态功能部分丧失或该区域国家重点保护野生动植物种群大批死亡的；</w:t>
      </w:r>
    </w:p>
    <w:p w14:paraId="37385562">
      <w:pPr>
        <w:spacing w:line="560" w:lineRule="exact"/>
        <w:ind w:firstLine="640" w:firstLineChars="200"/>
        <w:rPr>
          <w:rFonts w:eastAsia="仿宋_GB2312"/>
          <w:sz w:val="32"/>
        </w:rPr>
      </w:pPr>
      <w:r>
        <w:rPr>
          <w:rFonts w:eastAsia="仿宋_GB2312"/>
          <w:sz w:val="32"/>
        </w:rPr>
        <w:t>5.地级以上城市集中式饮用水水源地受到污染但未导致取水中断的，或者造成县级城市集中式饮用水水源地受到严重污染且导致取水中断的；</w:t>
      </w:r>
    </w:p>
    <w:p w14:paraId="0730522B">
      <w:pPr>
        <w:spacing w:line="560" w:lineRule="exact"/>
        <w:ind w:firstLine="640" w:firstLineChars="200"/>
        <w:rPr>
          <w:rFonts w:eastAsia="仿宋_GB2312"/>
          <w:sz w:val="32"/>
        </w:rPr>
      </w:pPr>
      <w:r>
        <w:rPr>
          <w:rFonts w:eastAsia="仿宋_GB2312"/>
          <w:sz w:val="32"/>
        </w:rPr>
        <w:t>6.Ⅰ、Ⅱ类放射源丢失、被盗、失控的；放射性同位素和射线装置失控导致3人以下急性死亡或者10人以上急性重度放射病、局部器官残疾的；放射性物质泄漏，造成较大范围辐射污染后果的；</w:t>
      </w:r>
    </w:p>
    <w:p w14:paraId="63CCEC9F">
      <w:pPr>
        <w:spacing w:line="560" w:lineRule="exact"/>
        <w:ind w:firstLine="640" w:firstLineChars="200"/>
        <w:rPr>
          <w:rFonts w:eastAsia="仿宋_GB2312"/>
          <w:sz w:val="32"/>
        </w:rPr>
      </w:pPr>
      <w:r>
        <w:rPr>
          <w:rFonts w:eastAsia="仿宋_GB2312"/>
          <w:sz w:val="32"/>
        </w:rPr>
        <w:t>7.跨省界</w:t>
      </w:r>
      <w:r>
        <w:rPr>
          <w:rFonts w:hint="eastAsia" w:eastAsia="仿宋_GB2312"/>
          <w:sz w:val="32"/>
        </w:rPr>
        <w:t>（不包含跨兵地）</w:t>
      </w:r>
      <w:r>
        <w:rPr>
          <w:rFonts w:eastAsia="仿宋_GB2312"/>
          <w:sz w:val="32"/>
        </w:rPr>
        <w:t>超标且造成严重影响的突发生态环境事件。</w:t>
      </w:r>
    </w:p>
    <w:p w14:paraId="479E8806">
      <w:pPr>
        <w:spacing w:line="560" w:lineRule="exact"/>
        <w:ind w:firstLine="640" w:firstLineChars="200"/>
        <w:rPr>
          <w:rFonts w:hint="eastAsia" w:ascii="黑体" w:hAnsi="黑体" w:eastAsia="黑体" w:cs="黑体"/>
          <w:sz w:val="32"/>
        </w:rPr>
      </w:pPr>
      <w:r>
        <w:rPr>
          <w:rFonts w:ascii="黑体" w:hAnsi="黑体" w:eastAsia="黑体" w:cs="黑体"/>
          <w:sz w:val="32"/>
        </w:rPr>
        <w:t>三、较大突发生态环境事件</w:t>
      </w:r>
    </w:p>
    <w:p w14:paraId="27D5161D">
      <w:pPr>
        <w:spacing w:line="560" w:lineRule="exact"/>
        <w:ind w:firstLine="640" w:firstLineChars="200"/>
        <w:rPr>
          <w:rFonts w:eastAsia="仿宋_GB2312"/>
          <w:sz w:val="32"/>
        </w:rPr>
      </w:pPr>
      <w:r>
        <w:rPr>
          <w:rFonts w:eastAsia="仿宋_GB2312"/>
          <w:sz w:val="32"/>
        </w:rPr>
        <w:t>凡符合下列情形之一的，为较大突发生态环境事件：</w:t>
      </w:r>
    </w:p>
    <w:p w14:paraId="34BE1866">
      <w:pPr>
        <w:spacing w:line="560" w:lineRule="exact"/>
        <w:ind w:firstLine="640" w:firstLineChars="200"/>
        <w:rPr>
          <w:rFonts w:eastAsia="仿宋_GB2312"/>
          <w:sz w:val="32"/>
        </w:rPr>
      </w:pPr>
      <w:r>
        <w:rPr>
          <w:rFonts w:eastAsia="仿宋_GB2312"/>
          <w:sz w:val="32"/>
        </w:rPr>
        <w:t>1.因环境污染直接导致3人以上10人以下死亡或10人以上50人以下中毒或重伤的；</w:t>
      </w:r>
    </w:p>
    <w:p w14:paraId="7BBACDEE">
      <w:pPr>
        <w:spacing w:line="560" w:lineRule="exact"/>
        <w:ind w:firstLine="640" w:firstLineChars="200"/>
        <w:rPr>
          <w:rFonts w:eastAsia="仿宋_GB2312"/>
          <w:sz w:val="32"/>
        </w:rPr>
      </w:pPr>
      <w:r>
        <w:rPr>
          <w:rFonts w:eastAsia="仿宋_GB2312"/>
          <w:sz w:val="32"/>
        </w:rPr>
        <w:t>2.因环境污染疏散、转移人员5000人以上1万人以下的；</w:t>
      </w:r>
    </w:p>
    <w:p w14:paraId="487B0B3D">
      <w:pPr>
        <w:spacing w:line="560" w:lineRule="exact"/>
        <w:ind w:firstLine="640" w:firstLineChars="200"/>
        <w:rPr>
          <w:rFonts w:eastAsia="仿宋_GB2312"/>
          <w:sz w:val="32"/>
        </w:rPr>
      </w:pPr>
      <w:r>
        <w:rPr>
          <w:rFonts w:eastAsia="仿宋_GB2312"/>
          <w:sz w:val="32"/>
        </w:rPr>
        <w:t>3.因环境污染造成直接经济损失1000万元以上5000万元以下的；</w:t>
      </w:r>
    </w:p>
    <w:p w14:paraId="336AECAA">
      <w:pPr>
        <w:spacing w:line="560" w:lineRule="exact"/>
        <w:ind w:firstLine="640" w:firstLineChars="200"/>
        <w:rPr>
          <w:rFonts w:eastAsia="仿宋_GB2312"/>
          <w:sz w:val="32"/>
        </w:rPr>
      </w:pPr>
      <w:r>
        <w:rPr>
          <w:rFonts w:eastAsia="仿宋_GB2312"/>
          <w:sz w:val="32"/>
        </w:rPr>
        <w:t>4.因环境污染造成国家重点保护的动植物物种受到破坏的；</w:t>
      </w:r>
    </w:p>
    <w:p w14:paraId="280616DE">
      <w:pPr>
        <w:spacing w:line="560" w:lineRule="exact"/>
        <w:ind w:firstLine="640" w:firstLineChars="200"/>
        <w:rPr>
          <w:rFonts w:eastAsia="仿宋_GB2312"/>
          <w:sz w:val="32"/>
        </w:rPr>
      </w:pPr>
      <w:r>
        <w:rPr>
          <w:rFonts w:eastAsia="仿宋_GB2312"/>
          <w:sz w:val="32"/>
        </w:rPr>
        <w:t>5.县级城市集中式饮用水水源地受到污染但未导致取水中断的，或者造成乡镇集中式饮用水水源地、</w:t>
      </w:r>
      <w:r>
        <w:rPr>
          <w:rFonts w:hint="eastAsia" w:ascii="仿宋_GB2312" w:hAnsi="仿宋_GB2312" w:eastAsia="仿宋_GB2312" w:cs="仿宋_GB2312"/>
          <w:sz w:val="32"/>
        </w:rPr>
        <w:t>“千吨万人”</w:t>
      </w:r>
      <w:r>
        <w:rPr>
          <w:rFonts w:eastAsia="仿宋_GB2312"/>
          <w:sz w:val="32"/>
        </w:rPr>
        <w:t>水源地受到严重污染且导致取水中断的；</w:t>
      </w:r>
    </w:p>
    <w:p w14:paraId="0CA805B6">
      <w:pPr>
        <w:spacing w:line="560" w:lineRule="exact"/>
        <w:ind w:firstLine="640" w:firstLineChars="200"/>
        <w:jc w:val="left"/>
        <w:rPr>
          <w:rFonts w:eastAsia="仿宋_GB2312"/>
          <w:sz w:val="32"/>
        </w:rPr>
      </w:pPr>
      <w:r>
        <w:rPr>
          <w:rFonts w:eastAsia="仿宋_GB2312"/>
          <w:sz w:val="32"/>
        </w:rPr>
        <w:t>6.Ⅲ类放射源丢失、被盗、失控的；放射性同位素和射线装置失控导致10人以下急性重度放射病、局部器官残疾的；放射性物质泄漏，造成小范围辐射污染后果的；</w:t>
      </w:r>
    </w:p>
    <w:p w14:paraId="24EFE066">
      <w:pPr>
        <w:spacing w:line="560" w:lineRule="exact"/>
        <w:ind w:firstLine="640" w:firstLineChars="200"/>
        <w:jc w:val="left"/>
        <w:rPr>
          <w:rFonts w:eastAsia="仿宋_GB2312"/>
          <w:sz w:val="32"/>
        </w:rPr>
      </w:pPr>
      <w:r>
        <w:rPr>
          <w:rFonts w:eastAsia="仿宋_GB2312"/>
          <w:sz w:val="32"/>
        </w:rPr>
        <w:t>7.跨地级市界超标且造成严重影响的突发生态环境事件。</w:t>
      </w:r>
    </w:p>
    <w:p w14:paraId="21807542">
      <w:pPr>
        <w:spacing w:line="560" w:lineRule="exact"/>
        <w:ind w:firstLine="640" w:firstLineChars="200"/>
        <w:jc w:val="left"/>
        <w:rPr>
          <w:rFonts w:hint="eastAsia" w:ascii="黑体" w:hAnsi="黑体" w:eastAsia="黑体" w:cs="黑体"/>
          <w:sz w:val="32"/>
        </w:rPr>
      </w:pPr>
      <w:r>
        <w:rPr>
          <w:rFonts w:hint="eastAsia" w:ascii="黑体" w:hAnsi="黑体" w:eastAsia="黑体" w:cs="黑体"/>
          <w:sz w:val="32"/>
        </w:rPr>
        <w:t>四、一般突发生态环境事件</w:t>
      </w:r>
    </w:p>
    <w:p w14:paraId="581F3466">
      <w:pPr>
        <w:spacing w:line="560" w:lineRule="exact"/>
        <w:ind w:firstLine="640" w:firstLineChars="200"/>
        <w:jc w:val="left"/>
        <w:rPr>
          <w:rFonts w:eastAsia="仿宋_GB2312"/>
          <w:sz w:val="32"/>
        </w:rPr>
      </w:pPr>
      <w:r>
        <w:rPr>
          <w:rFonts w:eastAsia="仿宋_GB2312"/>
          <w:sz w:val="32"/>
        </w:rPr>
        <w:t>凡符合下列情形之一的，为一般突发生态环境事件：</w:t>
      </w:r>
    </w:p>
    <w:p w14:paraId="402A1B93">
      <w:pPr>
        <w:spacing w:line="560" w:lineRule="exact"/>
        <w:ind w:firstLine="640" w:firstLineChars="200"/>
        <w:jc w:val="left"/>
        <w:rPr>
          <w:rFonts w:eastAsia="仿宋_GB2312"/>
          <w:sz w:val="32"/>
        </w:rPr>
      </w:pPr>
      <w:r>
        <w:rPr>
          <w:rFonts w:eastAsia="仿宋_GB2312"/>
          <w:sz w:val="32"/>
        </w:rPr>
        <w:t>1.因环境污染直接导致3人以下死亡或10人以下中毒或重伤的；</w:t>
      </w:r>
    </w:p>
    <w:p w14:paraId="2A70AD2C">
      <w:pPr>
        <w:spacing w:line="560" w:lineRule="exact"/>
        <w:ind w:firstLine="640" w:firstLineChars="200"/>
        <w:jc w:val="left"/>
        <w:rPr>
          <w:rFonts w:eastAsia="仿宋_GB2312"/>
          <w:sz w:val="32"/>
        </w:rPr>
      </w:pPr>
      <w:r>
        <w:rPr>
          <w:rFonts w:eastAsia="仿宋_GB2312"/>
          <w:sz w:val="32"/>
        </w:rPr>
        <w:t>2.因环境污染疏散、转移人员5000人以下的；</w:t>
      </w:r>
    </w:p>
    <w:p w14:paraId="3FB0317F">
      <w:pPr>
        <w:spacing w:line="560" w:lineRule="exact"/>
        <w:ind w:firstLine="640" w:firstLineChars="200"/>
        <w:jc w:val="left"/>
        <w:rPr>
          <w:rFonts w:eastAsia="仿宋_GB2312"/>
          <w:sz w:val="32"/>
        </w:rPr>
      </w:pPr>
      <w:r>
        <w:rPr>
          <w:rFonts w:eastAsia="仿宋_GB2312"/>
          <w:sz w:val="32"/>
        </w:rPr>
        <w:t>3.因环境污染造成直接经济损失1000万元以下的。</w:t>
      </w:r>
    </w:p>
    <w:p w14:paraId="6567BE09">
      <w:pPr>
        <w:spacing w:line="560" w:lineRule="exact"/>
        <w:ind w:firstLine="640" w:firstLineChars="200"/>
        <w:jc w:val="left"/>
        <w:rPr>
          <w:rFonts w:eastAsia="仿宋_GB2312"/>
          <w:sz w:val="32"/>
        </w:rPr>
      </w:pPr>
      <w:r>
        <w:rPr>
          <w:rFonts w:eastAsia="仿宋_GB2312"/>
          <w:sz w:val="32"/>
        </w:rPr>
        <w:t>4.因环境污染造成跨县级行政区域纠纷，引起一般性群体影响的；</w:t>
      </w:r>
    </w:p>
    <w:p w14:paraId="57F2447F">
      <w:pPr>
        <w:spacing w:line="560" w:lineRule="exact"/>
        <w:ind w:firstLine="640" w:firstLineChars="200"/>
        <w:jc w:val="left"/>
        <w:rPr>
          <w:rFonts w:eastAsia="仿宋_GB2312"/>
          <w:sz w:val="32"/>
        </w:rPr>
      </w:pPr>
      <w:r>
        <w:rPr>
          <w:rFonts w:eastAsia="仿宋_GB2312"/>
          <w:sz w:val="32"/>
        </w:rPr>
        <w:t>5.Ⅳ、Ⅴ类放射源丢失、被盗、失控的；放射性同位素和射线装置失控导致人员受到超过年剂量限值的照射的；放射性物质泄漏或超标排放，造成局部环境辐射污染后果；</w:t>
      </w:r>
    </w:p>
    <w:p w14:paraId="043AA531">
      <w:pPr>
        <w:spacing w:line="560" w:lineRule="exact"/>
        <w:ind w:firstLine="640" w:firstLineChars="200"/>
        <w:jc w:val="left"/>
        <w:rPr>
          <w:rFonts w:eastAsia="仿宋_GB2312"/>
          <w:sz w:val="32"/>
        </w:rPr>
      </w:pPr>
      <w:r>
        <w:rPr>
          <w:rFonts w:eastAsia="仿宋_GB2312"/>
          <w:sz w:val="32"/>
        </w:rPr>
        <w:t>6.对生态环境造成一定影响，尚未达到较大突发生态环境事件级别的。</w:t>
      </w:r>
    </w:p>
    <w:p w14:paraId="58DFEF3D">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上述分级标准有关数量的表述中，“以上”含本数，“以下”不含本数。</w:t>
      </w:r>
    </w:p>
    <w:p w14:paraId="21E9D7F8">
      <w:pPr>
        <w:keepNext/>
        <w:keepLines/>
        <w:spacing w:line="560" w:lineRule="exact"/>
        <w:outlineLvl w:val="1"/>
        <w:rPr>
          <w:rFonts w:eastAsia="黑体"/>
          <w:bCs/>
          <w:kern w:val="0"/>
          <w:sz w:val="32"/>
          <w:szCs w:val="32"/>
          <w:lang w:val="zh-CN"/>
        </w:rPr>
      </w:pPr>
      <w:bookmarkStart w:id="203" w:name="_Toc207817673"/>
      <w:bookmarkStart w:id="204" w:name="_Toc23780"/>
      <w:r>
        <w:rPr>
          <w:rFonts w:hint="eastAsia" w:eastAsia="黑体"/>
          <w:bCs/>
          <w:kern w:val="0"/>
          <w:sz w:val="32"/>
          <w:szCs w:val="32"/>
          <w:lang w:val="zh-CN"/>
        </w:rPr>
        <w:t>附件2</w:t>
      </w:r>
      <w:bookmarkEnd w:id="203"/>
      <w:bookmarkEnd w:id="204"/>
    </w:p>
    <w:p w14:paraId="230F12A6">
      <w:pPr>
        <w:keepNext/>
        <w:keepLines/>
        <w:spacing w:line="560" w:lineRule="exact"/>
        <w:outlineLvl w:val="1"/>
        <w:rPr>
          <w:rFonts w:hint="eastAsia" w:ascii="黑体" w:hAnsi="黑体" w:eastAsia="黑体" w:cs="黑体"/>
          <w:bCs/>
          <w:kern w:val="0"/>
          <w:sz w:val="32"/>
          <w:szCs w:val="32"/>
          <w:lang w:val="zh-CN"/>
        </w:rPr>
      </w:pPr>
    </w:p>
    <w:p w14:paraId="144B1DB5">
      <w:pPr>
        <w:keepNext/>
        <w:keepLines/>
        <w:spacing w:line="560" w:lineRule="exact"/>
        <w:jc w:val="center"/>
        <w:outlineLvl w:val="1"/>
        <w:rPr>
          <w:rFonts w:hint="eastAsia" w:ascii="方正小标宋简体" w:hAnsi="方正小标宋简体" w:eastAsia="方正小标宋简体" w:cs="方正小标宋简体"/>
          <w:bCs/>
          <w:kern w:val="0"/>
          <w:sz w:val="44"/>
          <w:szCs w:val="32"/>
          <w:lang w:val="zh-CN"/>
        </w:rPr>
      </w:pPr>
      <w:bookmarkStart w:id="205" w:name="_Toc7142"/>
      <w:bookmarkStart w:id="206" w:name="_Toc207817674"/>
      <w:r>
        <w:rPr>
          <w:rFonts w:hint="eastAsia" w:ascii="方正小标宋简体" w:hAnsi="方正小标宋简体" w:eastAsia="方正小标宋简体" w:cs="方正小标宋简体"/>
          <w:bCs/>
          <w:kern w:val="0"/>
          <w:sz w:val="44"/>
          <w:szCs w:val="32"/>
          <w:lang w:val="zh-CN"/>
        </w:rPr>
        <w:t>兵团突发生态环境事件应急指挥</w:t>
      </w:r>
      <w:bookmarkEnd w:id="205"/>
      <w:r>
        <w:rPr>
          <w:rFonts w:hint="eastAsia" w:ascii="方正小标宋简体" w:hAnsi="方正小标宋简体" w:eastAsia="方正小标宋简体" w:cs="方正小标宋简体"/>
          <w:bCs/>
          <w:kern w:val="0"/>
          <w:sz w:val="44"/>
          <w:szCs w:val="32"/>
          <w:lang w:val="zh-CN"/>
        </w:rPr>
        <w:t>部</w:t>
      </w:r>
      <w:bookmarkEnd w:id="206"/>
    </w:p>
    <w:p w14:paraId="20BF7376">
      <w:pPr>
        <w:keepNext/>
        <w:keepLines/>
        <w:spacing w:line="560" w:lineRule="exact"/>
        <w:jc w:val="center"/>
        <w:outlineLvl w:val="1"/>
        <w:rPr>
          <w:rFonts w:hint="eastAsia" w:ascii="方正小标宋简体" w:hAnsi="方正小标宋简体" w:eastAsia="方正小标宋简体" w:cs="方正小标宋简体"/>
          <w:bCs/>
          <w:kern w:val="0"/>
          <w:sz w:val="44"/>
          <w:szCs w:val="32"/>
          <w:lang w:val="zh-CN"/>
        </w:rPr>
      </w:pPr>
      <w:bookmarkStart w:id="207" w:name="_Toc207817675"/>
      <w:bookmarkStart w:id="208" w:name="_Toc30867"/>
      <w:r>
        <w:rPr>
          <w:rFonts w:hint="eastAsia" w:ascii="方正小标宋简体" w:hAnsi="方正小标宋简体" w:eastAsia="方正小标宋简体" w:cs="方正小标宋简体"/>
          <w:bCs/>
          <w:kern w:val="0"/>
          <w:sz w:val="44"/>
          <w:szCs w:val="32"/>
          <w:lang w:val="zh-CN"/>
        </w:rPr>
        <w:t>组成及部门职责</w:t>
      </w:r>
      <w:bookmarkEnd w:id="207"/>
      <w:bookmarkEnd w:id="208"/>
    </w:p>
    <w:p w14:paraId="6BBD2D03">
      <w:pPr>
        <w:spacing w:line="560" w:lineRule="exact"/>
        <w:ind w:firstLine="640" w:firstLineChars="200"/>
        <w:rPr>
          <w:rFonts w:eastAsia="仿宋"/>
          <w:sz w:val="32"/>
        </w:rPr>
      </w:pPr>
    </w:p>
    <w:p w14:paraId="5374C04E">
      <w:pPr>
        <w:spacing w:line="560" w:lineRule="exact"/>
        <w:ind w:firstLine="640" w:firstLineChars="200"/>
        <w:rPr>
          <w:rFonts w:hint="eastAsia" w:ascii="黑体" w:hAnsi="黑体" w:eastAsia="黑体" w:cs="黑体"/>
          <w:sz w:val="32"/>
        </w:rPr>
      </w:pPr>
      <w:r>
        <w:rPr>
          <w:rFonts w:hint="eastAsia" w:ascii="黑体" w:hAnsi="黑体" w:eastAsia="黑体" w:cs="黑体"/>
          <w:sz w:val="32"/>
        </w:rPr>
        <w:t>指 挥 长：</w:t>
      </w:r>
      <w:r>
        <w:rPr>
          <w:rFonts w:ascii="仿宋_GB2312" w:hAnsi="仿宋_GB2312" w:eastAsia="仿宋_GB2312" w:cs="仿宋_GB2312"/>
          <w:sz w:val="32"/>
        </w:rPr>
        <w:t>兵团分管生态环境工作</w:t>
      </w:r>
      <w:r>
        <w:rPr>
          <w:rFonts w:hint="eastAsia" w:ascii="仿宋_GB2312" w:hAnsi="仿宋_GB2312" w:eastAsia="仿宋_GB2312" w:cs="仿宋_GB2312"/>
          <w:sz w:val="32"/>
        </w:rPr>
        <w:t>领导</w:t>
      </w:r>
    </w:p>
    <w:p w14:paraId="41023FAF">
      <w:pPr>
        <w:spacing w:line="560" w:lineRule="exact"/>
        <w:ind w:firstLine="640" w:firstLineChars="200"/>
        <w:rPr>
          <w:rFonts w:hint="eastAsia" w:ascii="仿宋_GB2312" w:hAnsi="仿宋_GB2312" w:eastAsia="仿宋_GB2312" w:cs="仿宋_GB2312"/>
          <w:sz w:val="32"/>
        </w:rPr>
      </w:pPr>
      <w:r>
        <w:rPr>
          <w:rFonts w:hint="eastAsia" w:ascii="黑体" w:hAnsi="黑体" w:eastAsia="黑体" w:cs="黑体"/>
          <w:sz w:val="32"/>
        </w:rPr>
        <w:t>副指挥长：</w:t>
      </w:r>
      <w:r>
        <w:rPr>
          <w:rFonts w:hint="eastAsia" w:ascii="仿宋_GB2312" w:hAnsi="仿宋_GB2312" w:eastAsia="仿宋_GB2312" w:cs="仿宋_GB2312"/>
          <w:sz w:val="32"/>
        </w:rPr>
        <w:t>事发地所在师市</w:t>
      </w:r>
      <w:r>
        <w:rPr>
          <w:rFonts w:ascii="仿宋_GB2312" w:hAnsi="仿宋_GB2312" w:eastAsia="仿宋_GB2312" w:cs="仿宋_GB2312"/>
          <w:sz w:val="32"/>
        </w:rPr>
        <w:t>分管生态环境工作</w:t>
      </w:r>
      <w:r>
        <w:rPr>
          <w:rFonts w:hint="eastAsia" w:ascii="仿宋_GB2312" w:hAnsi="仿宋_GB2312" w:eastAsia="仿宋_GB2312" w:cs="仿宋_GB2312"/>
          <w:sz w:val="32"/>
        </w:rPr>
        <w:t>领导</w:t>
      </w:r>
    </w:p>
    <w:p w14:paraId="0E520421">
      <w:pPr>
        <w:spacing w:line="560" w:lineRule="exact"/>
        <w:ind w:firstLine="640" w:firstLineChars="200"/>
        <w:rPr>
          <w:rFonts w:hint="eastAsia" w:ascii="黑体" w:hAnsi="黑体" w:eastAsia="黑体" w:cs="黑体"/>
          <w:sz w:val="32"/>
        </w:rPr>
      </w:pPr>
      <w:r>
        <w:rPr>
          <w:rFonts w:ascii="仿宋_GB2312" w:hAnsi="仿宋_GB2312" w:eastAsia="仿宋_GB2312" w:cs="仿宋_GB2312"/>
          <w:sz w:val="32"/>
        </w:rPr>
        <w:t xml:space="preserve">          兵团生态环境局局长</w:t>
      </w:r>
    </w:p>
    <w:p w14:paraId="7B751A82">
      <w:pPr>
        <w:spacing w:line="560" w:lineRule="exact"/>
        <w:ind w:firstLine="640" w:firstLineChars="200"/>
        <w:rPr>
          <w:rFonts w:hint="eastAsia" w:ascii="仿宋_GB2312" w:hAnsi="仿宋_GB2312" w:eastAsia="仿宋_GB2312" w:cs="仿宋_GB2312"/>
          <w:sz w:val="32"/>
        </w:rPr>
      </w:pPr>
      <w:r>
        <w:rPr>
          <w:rFonts w:hint="eastAsia" w:ascii="黑体" w:hAnsi="黑体" w:eastAsia="黑体" w:cs="黑体"/>
          <w:sz w:val="32"/>
        </w:rPr>
        <w:t>组成部门：</w:t>
      </w:r>
      <w:r>
        <w:rPr>
          <w:rFonts w:hint="eastAsia" w:ascii="仿宋_GB2312" w:hAnsi="仿宋_GB2312" w:eastAsia="仿宋_GB2312" w:cs="仿宋_GB2312"/>
          <w:sz w:val="32"/>
        </w:rPr>
        <w:t>兵团生态环境应急指挥部成员单位包括兵团党委宣传部、政法委、网信办、民兵办，兵团外事办公室、发展和改革委员会、工业和信息化局、公安局、民政局、司法局、财政局、人力资源社会保障局、自然资源局、生态环境局、住房城乡建设局、交通运输局、水利局、农业农村局（畜牧兽医局）、商务局、文体广电和旅游局、卫生健康委、教育局、应急管理局、军事部、武警兵团总队等。主要职责如下：</w:t>
      </w:r>
    </w:p>
    <w:p w14:paraId="5686FA17">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兵团党委宣传部：</w:t>
      </w:r>
      <w:r>
        <w:rPr>
          <w:rFonts w:hint="eastAsia" w:ascii="仿宋_GB2312" w:hAnsi="仿宋_GB2312" w:eastAsia="仿宋_GB2312" w:cs="仿宋_GB2312"/>
          <w:sz w:val="32"/>
        </w:rPr>
        <w:t>负责统一协调突发生态环境事件宣传报道工作。组织主流媒体、网络媒体的宣传报道活动，协调做好重特大突发生态环境事件预警的信息发布和舆论引导。</w:t>
      </w:r>
    </w:p>
    <w:p w14:paraId="133530C8">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兵团党委政法委：</w:t>
      </w:r>
      <w:r>
        <w:rPr>
          <w:rFonts w:hint="eastAsia" w:ascii="仿宋_GB2312" w:hAnsi="仿宋_GB2312" w:eastAsia="仿宋_GB2312" w:cs="仿宋_GB2312"/>
          <w:sz w:val="32"/>
        </w:rPr>
        <w:t>会同兵团生态环境局统筹协调生态环境领域影响社会稳定和长治久安的重大事项、重大事件，预防、化解影响稳定的生态环境风险。</w:t>
      </w:r>
    </w:p>
    <w:p w14:paraId="7A9D15C3">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兵团党委网信办：</w:t>
      </w:r>
      <w:r>
        <w:rPr>
          <w:rFonts w:hint="eastAsia" w:ascii="仿宋_GB2312" w:hAnsi="仿宋_GB2312" w:eastAsia="仿宋_GB2312" w:cs="仿宋_GB2312"/>
          <w:sz w:val="32"/>
        </w:rPr>
        <w:t>负责指导、协调、督促有关部门、单位在突发生态环境事件处置过程中，根据兵团生态环境应急指挥部的统一安排，加强互联网信息内容管理。</w:t>
      </w:r>
    </w:p>
    <w:p w14:paraId="7758C103">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兵团外事办公室：</w:t>
      </w:r>
      <w:r>
        <w:rPr>
          <w:rFonts w:hint="eastAsia" w:ascii="仿宋_GB2312" w:hAnsi="仿宋_GB2312" w:eastAsia="仿宋_GB2312" w:cs="仿宋_GB2312"/>
          <w:sz w:val="32"/>
        </w:rPr>
        <w:t>协助有关部门协调处理对外交涉事宜。</w:t>
      </w:r>
    </w:p>
    <w:p w14:paraId="22F194F1">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兵团党委民兵办：</w:t>
      </w:r>
      <w:r>
        <w:rPr>
          <w:rFonts w:hint="eastAsia" w:ascii="仿宋_GB2312" w:hAnsi="仿宋_GB2312" w:eastAsia="仿宋_GB2312" w:cs="仿宋_GB2312"/>
          <w:sz w:val="32"/>
        </w:rPr>
        <w:t>协助兵团党委政法委维护生态环境领域影响社会稳定和长治久安的重大事项、重大事件，预防、化解影响稳定的生态环境风险。</w:t>
      </w:r>
    </w:p>
    <w:p w14:paraId="28EB96FA">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兵团发展和改革委员会：</w:t>
      </w:r>
      <w:r>
        <w:rPr>
          <w:rFonts w:hint="eastAsia" w:ascii="仿宋_GB2312" w:hAnsi="仿宋_GB2312" w:eastAsia="仿宋_GB2312" w:cs="仿宋_GB2312"/>
          <w:sz w:val="32"/>
        </w:rPr>
        <w:t>配合兵团生态环境应急指挥部，组织协调相关部门，做好环境应急救援物资储备工作；负责突发生态环境事件应急预防与处置体系建设项目及涉及突发生态环境事件应急基础设施建设项目的审批，参与突发生态环境事件处置后的恢复重建工作。</w:t>
      </w:r>
    </w:p>
    <w:p w14:paraId="710BBBDA">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兵团工业和信息化局：</w:t>
      </w:r>
      <w:r>
        <w:rPr>
          <w:rFonts w:hint="eastAsia" w:ascii="仿宋_GB2312" w:hAnsi="仿宋_GB2312" w:eastAsia="仿宋_GB2312" w:cs="仿宋_GB2312"/>
          <w:sz w:val="32"/>
        </w:rPr>
        <w:t>参与处理工业企业重大安全事故引发的突发生态环境事件；按照兵团生态环境应急指挥部要求，组织协调相关部门及企业，做好环境应急有关救援物资和生活必需品的生产组织。</w:t>
      </w:r>
    </w:p>
    <w:p w14:paraId="6A327B86">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兵团公安局：</w:t>
      </w:r>
      <w:r>
        <w:rPr>
          <w:rFonts w:hint="eastAsia" w:ascii="仿宋_GB2312" w:hAnsi="仿宋_GB2312" w:eastAsia="仿宋_GB2312" w:cs="仿宋_GB2312"/>
          <w:sz w:val="32"/>
        </w:rPr>
        <w:t>负责妥善处置因突发生态环境事件造成的交通事故、火灾、爆炸和泄漏等各类安全事故；负责对突发生态环境事件中涉及刑事犯罪人员进行立案侦查。负责会同生态环境和交通运输部门做好对公路（含高速）交通事故可能引发环境污染的信息报告和应急处置工作。负责在应急救援中维护治安、交通管制和群众疏散等工作，做好隔离区的警戒，确保应急通道畅通，保证各现场应急救援小组顺利进入指定工作区域。</w:t>
      </w:r>
    </w:p>
    <w:p w14:paraId="2DB9C216">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兵团民政局：</w:t>
      </w:r>
      <w:r>
        <w:rPr>
          <w:rFonts w:hint="eastAsia" w:ascii="仿宋_GB2312" w:hAnsi="仿宋_GB2312" w:eastAsia="仿宋_GB2312" w:cs="仿宋_GB2312"/>
          <w:sz w:val="32"/>
        </w:rPr>
        <w:t>负责对困难群众进行生活救助；组织、协调有关部门和慈善组织开展社会捐助工作，接受捐助的资金和物资移交兵团生态环境应急指挥部，配合做好款物管理和发放工作。配合做好突发生态环境事件遇难人员遗体处置工作。</w:t>
      </w:r>
    </w:p>
    <w:p w14:paraId="4A5789E0">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兵团司法局：</w:t>
      </w:r>
      <w:r>
        <w:rPr>
          <w:rFonts w:hint="eastAsia" w:ascii="仿宋_GB2312" w:hAnsi="仿宋_GB2312" w:eastAsia="仿宋_GB2312" w:cs="仿宋_GB2312"/>
          <w:sz w:val="32"/>
        </w:rPr>
        <w:t>负责对兵团突发生态环境事件环境损害司法鉴定工作进行监督管理；对因突发生态环境事件受到侵害且符合法律援助条件的公民依法实施法律援助，维护公民合法权益。配合生态环境部门化解生态环境安全纠纷。</w:t>
      </w:r>
    </w:p>
    <w:p w14:paraId="1B5145F2">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兵团财政局：</w:t>
      </w:r>
      <w:r>
        <w:rPr>
          <w:rFonts w:hint="eastAsia" w:ascii="仿宋_GB2312" w:hAnsi="仿宋_GB2312" w:eastAsia="仿宋_GB2312" w:cs="仿宋_GB2312"/>
          <w:sz w:val="32"/>
        </w:rPr>
        <w:t>按照财政事权与责任相匹配原则，对由兵团本级负责的突发生态环境事件应急处置工作给予经费保障。</w:t>
      </w:r>
    </w:p>
    <w:p w14:paraId="17F51A27">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兵团人力资源社会保障局：</w:t>
      </w:r>
      <w:r>
        <w:rPr>
          <w:rFonts w:hint="eastAsia" w:ascii="仿宋_GB2312" w:hAnsi="仿宋_GB2312" w:eastAsia="仿宋_GB2312" w:cs="仿宋_GB2312"/>
          <w:sz w:val="32"/>
        </w:rPr>
        <w:t>负责指导做好对突发生态环境事件中的伤亡人员按规定进行工伤认定及工伤保险相关待遇的支付工作。</w:t>
      </w:r>
    </w:p>
    <w:p w14:paraId="30F8F75A">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兵团自然资源局：</w:t>
      </w:r>
      <w:r>
        <w:rPr>
          <w:rFonts w:hint="eastAsia" w:ascii="仿宋_GB2312" w:hAnsi="仿宋_GB2312" w:eastAsia="仿宋_GB2312" w:cs="仿宋_GB2312"/>
          <w:sz w:val="32"/>
        </w:rPr>
        <w:t>参与违法开采矿产资源等造成突发生态环境事件的应急处置；监督指导矿产资源合理利用和保护；指导查处自然资源开发利用重大违法案件。开展应急测绘，为高效有序应对突发生态环境事件提供各类基础地理信息资料。</w:t>
      </w:r>
    </w:p>
    <w:p w14:paraId="5A35FF7A">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兵团生态环境局：</w:t>
      </w:r>
      <w:r>
        <w:rPr>
          <w:rFonts w:hint="eastAsia" w:ascii="仿宋_GB2312" w:hAnsi="仿宋_GB2312" w:eastAsia="仿宋_GB2312" w:cs="仿宋_GB2312"/>
          <w:sz w:val="32"/>
        </w:rPr>
        <w:t>负责日常环境监管和环境应急管理工作；负责突发生态环境事件的现场调查、监测，分析判断污染扩散趋势，划定危险区，提出环境污染事件应急处置方案，收集信息，分析事件发展动态，及时提供动态信息；负责环境污染与生态破坏事故的调查处理；参与突发生态环境事件的控制；指导和监督污染物收集、清理与处理、受污染和破坏的生态环境恢复等。</w:t>
      </w:r>
    </w:p>
    <w:p w14:paraId="6496C59B">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兵团住房城乡建设局：</w:t>
      </w:r>
      <w:r>
        <w:rPr>
          <w:rFonts w:hint="eastAsia" w:ascii="仿宋_GB2312" w:hAnsi="仿宋_GB2312" w:eastAsia="仿宋_GB2312" w:cs="仿宋_GB2312"/>
          <w:sz w:val="32"/>
        </w:rPr>
        <w:t>负责指导做好兵团突发生态环境事件城镇生活污水处理、现场清扫、城乡生活垃圾收集运输和处理工作。</w:t>
      </w:r>
    </w:p>
    <w:p w14:paraId="0727C6CB">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兵团交通运输局：</w:t>
      </w:r>
      <w:r>
        <w:rPr>
          <w:rFonts w:hint="eastAsia" w:ascii="仿宋_GB2312" w:hAnsi="仿宋_GB2312" w:eastAsia="仿宋_GB2312" w:cs="仿宋_GB2312"/>
          <w:sz w:val="32"/>
        </w:rPr>
        <w:t>参与公路、水路交通运输事故引发的突发生态环境事件应急处置工作；负责与公安、交警部门协调通往突发生态环境事件现场公路、水路的保通工作，协调运力，优先保障救援队伍、救援物资和伤病员的运输。</w:t>
      </w:r>
    </w:p>
    <w:p w14:paraId="1C021A69">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兵团水利局：</w:t>
      </w:r>
      <w:r>
        <w:rPr>
          <w:rFonts w:hint="eastAsia" w:ascii="仿宋_GB2312" w:hAnsi="仿宋_GB2312" w:eastAsia="仿宋_GB2312" w:cs="仿宋_GB2312"/>
          <w:sz w:val="32"/>
        </w:rPr>
        <w:t>参与水污染突发生态环境事件应急处置工作和事件调查工作，负责提供相关水文资料，协调河流的调水、配水；参与兵团辖区水电、水利工程突发生态环境事件处置。</w:t>
      </w:r>
    </w:p>
    <w:p w14:paraId="17BBFE9F">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兵团农业农村局（兵团畜牧兽医局）：</w:t>
      </w:r>
      <w:r>
        <w:rPr>
          <w:rFonts w:hint="eastAsia" w:ascii="仿宋_GB2312" w:hAnsi="仿宋_GB2312" w:eastAsia="仿宋_GB2312" w:cs="仿宋_GB2312"/>
          <w:sz w:val="32"/>
        </w:rPr>
        <w:t>参与涉及农产品原产地突发生态环境事件的应急处置工作，负责对农业环境污染、农业重大有害生物和外来有害生物入侵以及农作物病虫害等突发生态环境事件进行监测和处理；负责掌握农业受灾面积及损失情况，帮助、指导受灾群众搞好生产恢复工作；参与鱼类等水生生物中毒或死亡事件的调查处置工作；依法依规提供涉及农产品原产地重特大突发生态环境事件的气象资料，做好气象服务保障工作。</w:t>
      </w:r>
    </w:p>
    <w:p w14:paraId="2223D063">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兵团商务局：</w:t>
      </w:r>
      <w:r>
        <w:rPr>
          <w:rFonts w:hint="eastAsia" w:ascii="仿宋_GB2312" w:hAnsi="仿宋_GB2312" w:eastAsia="仿宋_GB2312" w:cs="仿宋_GB2312"/>
          <w:sz w:val="32"/>
        </w:rPr>
        <w:t>负责保障突发生态环境事件地区的生活必需品市场供应工作。</w:t>
      </w:r>
    </w:p>
    <w:p w14:paraId="52FE2966">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兵团文体广电和旅游局：</w:t>
      </w:r>
      <w:r>
        <w:rPr>
          <w:rFonts w:hint="eastAsia" w:ascii="仿宋_GB2312" w:hAnsi="仿宋_GB2312" w:eastAsia="仿宋_GB2312" w:cs="仿宋_GB2312"/>
          <w:sz w:val="32"/>
        </w:rPr>
        <w:t>配合兵团党委宣传部组织落实突发生态环境事件宣传任务，配合生态环境部门开展环境应急安全教育。</w:t>
      </w:r>
    </w:p>
    <w:p w14:paraId="7B871A2C">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兵团卫生健康委：</w:t>
      </w:r>
      <w:r>
        <w:rPr>
          <w:rFonts w:hint="eastAsia" w:ascii="仿宋_GB2312" w:hAnsi="仿宋_GB2312" w:eastAsia="仿宋_GB2312" w:cs="仿宋_GB2312"/>
          <w:sz w:val="32"/>
        </w:rPr>
        <w:t>负责组织、协调、指导开展突发生态环境事件受伤（中毒）人员现场急救、转诊救治、洗消等紧急医学救援工作；监督指导医疗机构加强医用辐射设施设备管理。</w:t>
      </w:r>
    </w:p>
    <w:p w14:paraId="09040E50">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兵团教育局：</w:t>
      </w:r>
      <w:r>
        <w:rPr>
          <w:rFonts w:hint="eastAsia" w:ascii="仿宋_GB2312" w:hAnsi="仿宋_GB2312" w:eastAsia="仿宋_GB2312" w:cs="仿宋_GB2312"/>
          <w:sz w:val="32"/>
        </w:rPr>
        <w:t>在突发生态环境事件状态下，按照应急预案采取相应的应急保护措施，指导相关学校师生员工紧急避险和疏散工作，保障师生安全。</w:t>
      </w:r>
    </w:p>
    <w:p w14:paraId="7BA5BE25">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兵团应急管理局：</w:t>
      </w:r>
      <w:r>
        <w:rPr>
          <w:rFonts w:hint="eastAsia" w:ascii="仿宋_GB2312" w:hAnsi="仿宋_GB2312" w:eastAsia="仿宋_GB2312" w:cs="仿宋_GB2312"/>
          <w:sz w:val="32"/>
        </w:rPr>
        <w:t>加强对工矿商贸企业安全生产监管，督促企业防止因生产安全事故引发次生突发生态环境事件，配合相关部门做好企业因生产安全事故引发的突发生态环境事件调查工作。参与危险化学品事故引发的突发事件的应急处置工作。与生态环境局统筹协调，加强环境应急物资储备工作。</w:t>
      </w:r>
    </w:p>
    <w:p w14:paraId="207C7C4B">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兵团军事部：</w:t>
      </w:r>
      <w:r>
        <w:rPr>
          <w:rFonts w:hint="eastAsia" w:ascii="仿宋_GB2312" w:hAnsi="仿宋_GB2312" w:eastAsia="仿宋_GB2312" w:cs="仿宋_GB2312"/>
          <w:sz w:val="32"/>
        </w:rPr>
        <w:t>负责组织指挥民兵参加抢险救灾，协调驻军参加应急救援工作。</w:t>
      </w:r>
    </w:p>
    <w:p w14:paraId="62B8FD9F">
      <w:pPr>
        <w:spacing w:line="56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rPr>
        <w:t>武警兵团总队：</w:t>
      </w:r>
      <w:r>
        <w:rPr>
          <w:rFonts w:hint="eastAsia" w:ascii="仿宋_GB2312" w:hAnsi="仿宋_GB2312" w:eastAsia="仿宋_GB2312" w:cs="仿宋_GB2312"/>
          <w:sz w:val="32"/>
        </w:rPr>
        <w:t>参与污染物泄漏、爆炸、燃烧等造成或可能造成众多人员急性中毒或较大社会危害的灾难事件的抢险救援，协助公安机关维护救援秩序和社会治安。</w:t>
      </w:r>
    </w:p>
    <w:p w14:paraId="6DE69553">
      <w:pPr>
        <w:spacing w:line="560" w:lineRule="exact"/>
        <w:ind w:firstLine="640" w:firstLineChars="200"/>
        <w:rPr>
          <w:rFonts w:eastAsia="仿宋"/>
          <w:sz w:val="32"/>
        </w:rPr>
      </w:pPr>
      <w:r>
        <w:rPr>
          <w:rFonts w:hint="eastAsia" w:ascii="仿宋_GB2312" w:hAnsi="仿宋_GB2312" w:eastAsia="仿宋_GB2312" w:cs="仿宋_GB2312"/>
          <w:sz w:val="32"/>
        </w:rPr>
        <w:t>本预案未列出职责的其他部门和单位应根据兵团生态环境应急指挥部的指令，按照本部门、本单位职责和应急处置工作需要，依法做好突发生态环境事件应急处置的相关工作。</w:t>
      </w:r>
    </w:p>
    <w:p w14:paraId="41FB85D1">
      <w:pPr>
        <w:snapToGrid w:val="0"/>
        <w:spacing w:line="600" w:lineRule="exact"/>
        <w:ind w:firstLine="643" w:firstLineChars="200"/>
        <w:rPr>
          <w:rFonts w:hint="eastAsia" w:ascii="仿宋_GB2312" w:hAnsi="仿宋_GB2312" w:eastAsia="仿宋_GB2312" w:cs="仿宋_GB2312"/>
          <w:sz w:val="32"/>
        </w:rPr>
      </w:pPr>
      <w:r>
        <w:rPr>
          <w:rFonts w:ascii="仿宋_GB2312" w:hAnsi="仿宋_GB2312" w:eastAsia="仿宋_GB2312" w:cs="仿宋_GB2312"/>
          <w:b/>
          <w:sz w:val="32"/>
        </w:rPr>
        <w:t>兵团生态环境应急指挥部办公室</w:t>
      </w:r>
      <w:r>
        <w:rPr>
          <w:rFonts w:hint="eastAsia" w:ascii="仿宋_GB2312" w:hAnsi="仿宋_GB2312" w:eastAsia="仿宋_GB2312" w:cs="仿宋_GB2312"/>
          <w:b/>
          <w:sz w:val="32"/>
        </w:rPr>
        <w:t>：</w:t>
      </w:r>
      <w:r>
        <w:rPr>
          <w:rFonts w:ascii="仿宋_GB2312" w:hAnsi="仿宋_GB2312" w:eastAsia="仿宋_GB2312" w:cs="仿宋_GB2312"/>
          <w:sz w:val="32"/>
        </w:rPr>
        <w:t>设在兵团生态环境局，由兵团生态环境局</w:t>
      </w:r>
      <w:r>
        <w:rPr>
          <w:rFonts w:hint="eastAsia" w:ascii="仿宋_GB2312" w:hAnsi="仿宋_GB2312" w:eastAsia="仿宋_GB2312" w:cs="仿宋_GB2312"/>
          <w:sz w:val="32"/>
        </w:rPr>
        <w:t>分管环境应急工作的副</w:t>
      </w:r>
      <w:r>
        <w:rPr>
          <w:rFonts w:ascii="仿宋_GB2312" w:hAnsi="仿宋_GB2312" w:eastAsia="仿宋_GB2312" w:cs="仿宋_GB2312"/>
          <w:sz w:val="32"/>
        </w:rPr>
        <w:t>局长兼任办公室主任，</w:t>
      </w:r>
      <w:r>
        <w:rPr>
          <w:rFonts w:hint="eastAsia" w:ascii="仿宋_GB2312" w:hAnsi="仿宋_GB2312" w:eastAsia="仿宋_GB2312" w:cs="仿宋_GB2312"/>
          <w:sz w:val="32"/>
        </w:rPr>
        <w:t>兵团生态环境应急调查中心负责人</w:t>
      </w:r>
      <w:r>
        <w:rPr>
          <w:rFonts w:ascii="仿宋_GB2312" w:hAnsi="仿宋_GB2312" w:eastAsia="仿宋_GB2312" w:cs="仿宋_GB2312"/>
          <w:sz w:val="32"/>
        </w:rPr>
        <w:t>兼任副主任。负责兵团生态环境应急指挥部日常事务。</w:t>
      </w:r>
    </w:p>
    <w:p w14:paraId="694975B8">
      <w:pPr>
        <w:snapToGrid w:val="0"/>
        <w:spacing w:line="600" w:lineRule="exact"/>
        <w:ind w:firstLine="640" w:firstLineChars="200"/>
        <w:rPr>
          <w:rFonts w:eastAsia="仿宋_GB2312"/>
          <w:sz w:val="32"/>
        </w:rPr>
      </w:pPr>
      <w:r>
        <w:rPr>
          <w:rFonts w:ascii="仿宋_GB2312" w:hAnsi="仿宋_GB2312" w:eastAsia="仿宋_GB2312" w:cs="仿宋_GB2312"/>
          <w:sz w:val="32"/>
        </w:rPr>
        <w:t>主要负责：贯彻落实兵团和兵团生态环境应急指挥部关于环境应急工作的部署和要求，负责突发生态环境事件应对工作的综合协调；负责兵团突发生态环境事件应急预案的编制、演练、评估、修订；配合做好重特大或师市提出请求需兵团级层面协调解决的突发生态环境事件应急处置工作；负责接收、汇总、研判、报告突发生态环境事件有关信息，协调各有关部门开展生态环境应急行动；负责指挥、协调、指导师市处置一般、较大突发生态环境事件，指导师市开展突发生态环境事件应急工作；及时向国务院和生态环境部报告事件相关信息；</w:t>
      </w:r>
      <w:r>
        <w:rPr>
          <w:rFonts w:hint="eastAsia" w:eastAsia="仿宋_GB2312"/>
          <w:sz w:val="32"/>
          <w:szCs w:val="32"/>
        </w:rPr>
        <w:t>按照自治区生态环境厅和兵团生态环境局签订的《关于建立突发环境事件应急联动工作机制的协议》开展应急响应</w:t>
      </w:r>
      <w:r>
        <w:rPr>
          <w:rFonts w:ascii="仿宋_GB2312" w:hAnsi="仿宋_GB2312" w:eastAsia="仿宋_GB2312" w:cs="仿宋_GB2312"/>
          <w:sz w:val="32"/>
        </w:rPr>
        <w:t>；完成兵团、兵团生态环境应急指挥部交办的其他工作。</w:t>
      </w:r>
    </w:p>
    <w:p w14:paraId="42360908">
      <w:pPr>
        <w:snapToGrid w:val="0"/>
        <w:spacing w:line="600" w:lineRule="exact"/>
        <w:ind w:firstLine="640" w:firstLineChars="200"/>
        <w:rPr>
          <w:rFonts w:eastAsia="仿宋_GB2312"/>
          <w:sz w:val="32"/>
        </w:rPr>
      </w:pPr>
    </w:p>
    <w:p w14:paraId="2E05550B">
      <w:pPr>
        <w:snapToGrid w:val="0"/>
        <w:spacing w:line="600" w:lineRule="exact"/>
        <w:ind w:firstLine="640" w:firstLineChars="200"/>
        <w:rPr>
          <w:rFonts w:eastAsia="仿宋_GB2312"/>
          <w:color w:val="36363D"/>
          <w:sz w:val="32"/>
        </w:rPr>
      </w:pPr>
    </w:p>
    <w:p w14:paraId="1D9C585F">
      <w:pPr>
        <w:snapToGrid w:val="0"/>
        <w:spacing w:line="600" w:lineRule="exact"/>
        <w:ind w:firstLine="640" w:firstLineChars="200"/>
        <w:rPr>
          <w:rFonts w:eastAsia="仿宋_GB2312"/>
          <w:color w:val="36363D"/>
          <w:sz w:val="32"/>
        </w:rPr>
      </w:pPr>
    </w:p>
    <w:p w14:paraId="287BA7EC">
      <w:pPr>
        <w:keepNext/>
        <w:keepLines/>
        <w:spacing w:line="560" w:lineRule="exact"/>
        <w:outlineLvl w:val="1"/>
        <w:sectPr>
          <w:type w:val="continuous"/>
          <w:pgSz w:w="11906" w:h="16838"/>
          <w:pgMar w:top="2098" w:right="1474" w:bottom="1985" w:left="1588" w:header="737" w:footer="992" w:gutter="0"/>
          <w:cols w:space="425" w:num="1"/>
          <w:docGrid w:type="lines" w:linePitch="326" w:charSpace="0"/>
        </w:sectPr>
      </w:pPr>
      <w:bookmarkStart w:id="209" w:name="_Toc63248147"/>
    </w:p>
    <w:p w14:paraId="2AE5C01C">
      <w:pPr>
        <w:keepNext/>
        <w:keepLines/>
        <w:spacing w:line="560" w:lineRule="exact"/>
        <w:outlineLvl w:val="1"/>
        <w:rPr>
          <w:rFonts w:hint="eastAsia" w:ascii="黑体" w:hAnsi="黑体" w:eastAsia="黑体" w:cs="黑体"/>
          <w:bCs/>
          <w:kern w:val="0"/>
          <w:sz w:val="32"/>
          <w:szCs w:val="32"/>
          <w:lang w:val="zh-CN" w:eastAsia="zh-CN"/>
        </w:rPr>
      </w:pPr>
      <w:bookmarkStart w:id="210" w:name="_Toc91841325"/>
      <w:bookmarkStart w:id="211" w:name="_Toc88738190"/>
      <w:bookmarkStart w:id="212" w:name="_Toc92300376"/>
      <w:bookmarkStart w:id="213" w:name="_Toc207817679"/>
      <w:bookmarkStart w:id="214" w:name="_Toc13708"/>
      <w:bookmarkStart w:id="215" w:name="_Toc83581090"/>
      <w:r>
        <w:rPr>
          <w:rFonts w:hint="eastAsia" w:ascii="黑体" w:hAnsi="黑体" w:eastAsia="黑体" w:cs="黑体"/>
          <w:bCs/>
          <w:kern w:val="0"/>
          <w:sz w:val="32"/>
          <w:szCs w:val="32"/>
          <w:lang w:val="zh-CN"/>
        </w:rPr>
        <w:t>附件</w:t>
      </w:r>
      <w:bookmarkEnd w:id="210"/>
      <w:bookmarkEnd w:id="211"/>
      <w:bookmarkEnd w:id="212"/>
      <w:bookmarkEnd w:id="213"/>
      <w:bookmarkEnd w:id="214"/>
      <w:r>
        <w:rPr>
          <w:rFonts w:hint="eastAsia" w:ascii="黑体" w:hAnsi="黑体" w:eastAsia="黑体" w:cs="黑体"/>
          <w:bCs/>
          <w:kern w:val="0"/>
          <w:sz w:val="32"/>
          <w:szCs w:val="32"/>
          <w:lang w:val="en-US" w:eastAsia="zh-CN"/>
        </w:rPr>
        <w:t>3</w:t>
      </w:r>
    </w:p>
    <w:bookmarkEnd w:id="209"/>
    <w:bookmarkEnd w:id="215"/>
    <w:p w14:paraId="4B07AE90">
      <w:pPr>
        <w:keepNext/>
        <w:keepLines/>
        <w:spacing w:line="560" w:lineRule="exact"/>
        <w:jc w:val="center"/>
        <w:outlineLvl w:val="1"/>
        <w:rPr>
          <w:rFonts w:eastAsia="方正小标宋简体"/>
          <w:bCs/>
          <w:color w:val="36363D"/>
          <w:kern w:val="0"/>
          <w:sz w:val="44"/>
          <w:szCs w:val="32"/>
          <w:lang w:val="zh-CN"/>
        </w:rPr>
      </w:pPr>
      <w:bookmarkStart w:id="216" w:name="_Toc88738191"/>
      <w:bookmarkStart w:id="217" w:name="_Toc91841326"/>
      <w:bookmarkStart w:id="218" w:name="_Toc92300377"/>
      <w:bookmarkStart w:id="219" w:name="_Toc16981"/>
      <w:bookmarkStart w:id="220" w:name="_Toc207817680"/>
      <w:bookmarkStart w:id="221" w:name="_Toc92300378"/>
      <w:bookmarkStart w:id="222" w:name="_Toc88738192"/>
      <w:bookmarkStart w:id="223" w:name="_Toc91841327"/>
      <w:r>
        <w:rPr>
          <w:rFonts w:eastAsia="方正小标宋简体"/>
          <w:bCs/>
          <w:color w:val="36363D"/>
          <w:kern w:val="0"/>
          <w:sz w:val="44"/>
          <w:szCs w:val="32"/>
          <w:lang w:val="zh-CN"/>
        </w:rPr>
        <w:t>兵团突发生态环境事件应急组织体系框架图</w:t>
      </w:r>
      <w:bookmarkEnd w:id="216"/>
      <w:bookmarkEnd w:id="217"/>
      <w:bookmarkEnd w:id="218"/>
      <w:bookmarkEnd w:id="219"/>
      <w:bookmarkEnd w:id="220"/>
      <w:r>
        <w:rPr>
          <w:rFonts w:hint="eastAsia" w:eastAsia="方正小标宋简体"/>
          <w:bCs/>
          <w:color w:val="36363D"/>
          <w:kern w:val="0"/>
          <w:sz w:val="44"/>
          <w:szCs w:val="32"/>
          <w:lang w:val="zh-CN"/>
        </w:rPr>
        <w:t>（文本）</w:t>
      </w:r>
    </w:p>
    <w:p w14:paraId="7BB66332">
      <w:pPr>
        <w:rPr>
          <w:color w:val="36363D"/>
          <w:szCs w:val="22"/>
        </w:rPr>
        <w:sectPr>
          <w:pgSz w:w="16838" w:h="11906" w:orient="landscape"/>
          <w:pgMar w:top="2098" w:right="1474" w:bottom="1276" w:left="1588" w:header="1077" w:footer="851" w:gutter="0"/>
          <w:cols w:space="425" w:num="1"/>
          <w:docGrid w:type="lines" w:linePitch="326" w:charSpace="0"/>
        </w:sectPr>
      </w:pPr>
      <w:r>
        <w:rPr>
          <w:rFonts w:hint="eastAsia"/>
        </w:rPr>
        <w:object>
          <v:shape id="_x0000_i1026" o:spt="75" type="#_x0000_t75" style="height:364.6pt;width:720.05pt;" o:ole="t" filled="f" o:preferrelative="t" stroked="f" coordsize="21600,21600">
            <v:path/>
            <v:fill on="f" focussize="0,0"/>
            <v:stroke on="f" joinstyle="miter"/>
            <v:imagedata r:id="rId19" o:title=""/>
            <o:lock v:ext="edit" aspectratio="t"/>
            <w10:wrap type="none"/>
            <w10:anchorlock/>
          </v:shape>
          <o:OLEObject Type="Embed" ProgID="Visio.Drawing.15" ShapeID="_x0000_i1026" DrawAspect="Content" ObjectID="_1468075726" r:id="rId18">
            <o:LockedField>false</o:LockedField>
          </o:OLEObject>
        </w:object>
      </w:r>
      <w:bookmarkStart w:id="238" w:name="_GoBack"/>
      <w:bookmarkEnd w:id="238"/>
    </w:p>
    <w:p w14:paraId="1F086FFA">
      <w:pPr>
        <w:keepNext/>
        <w:keepLines/>
        <w:spacing w:line="560" w:lineRule="exact"/>
        <w:outlineLvl w:val="1"/>
        <w:rPr>
          <w:rFonts w:hint="eastAsia" w:eastAsia="黑体"/>
          <w:bCs/>
          <w:kern w:val="0"/>
          <w:sz w:val="32"/>
          <w:szCs w:val="32"/>
          <w:lang w:val="zh-CN" w:eastAsia="zh-CN"/>
        </w:rPr>
      </w:pPr>
      <w:bookmarkStart w:id="224" w:name="_Toc16494"/>
      <w:bookmarkStart w:id="225" w:name="_Toc207817681"/>
      <w:r>
        <w:rPr>
          <w:rFonts w:eastAsia="黑体"/>
          <w:bCs/>
          <w:kern w:val="0"/>
          <w:sz w:val="32"/>
          <w:szCs w:val="32"/>
          <w:lang w:val="zh-CN"/>
        </w:rPr>
        <w:t>附件</w:t>
      </w:r>
      <w:bookmarkEnd w:id="221"/>
      <w:bookmarkEnd w:id="222"/>
      <w:bookmarkEnd w:id="223"/>
      <w:bookmarkEnd w:id="224"/>
      <w:bookmarkEnd w:id="225"/>
      <w:r>
        <w:rPr>
          <w:rFonts w:hint="eastAsia" w:eastAsia="黑体"/>
          <w:bCs/>
          <w:kern w:val="0"/>
          <w:sz w:val="32"/>
          <w:szCs w:val="32"/>
          <w:lang w:val="en-US" w:eastAsia="zh-CN"/>
        </w:rPr>
        <w:t>4</w:t>
      </w:r>
    </w:p>
    <w:p w14:paraId="21BC7DBF">
      <w:pPr>
        <w:keepNext/>
        <w:keepLines/>
        <w:spacing w:line="560" w:lineRule="exact"/>
        <w:jc w:val="center"/>
        <w:outlineLvl w:val="1"/>
        <w:rPr>
          <w:rFonts w:eastAsia="方正小标宋简体"/>
          <w:bCs/>
          <w:color w:val="36363D"/>
          <w:kern w:val="0"/>
          <w:sz w:val="44"/>
          <w:szCs w:val="32"/>
          <w:lang w:val="zh-CN"/>
        </w:rPr>
      </w:pPr>
      <w:bookmarkStart w:id="226" w:name="_Toc91841328"/>
      <w:bookmarkStart w:id="227" w:name="_Toc92300379"/>
      <w:bookmarkStart w:id="228" w:name="_Toc88738193"/>
      <w:bookmarkStart w:id="229" w:name="_Toc15798"/>
    </w:p>
    <w:p w14:paraId="5730DD81">
      <w:pPr>
        <w:keepNext/>
        <w:keepLines/>
        <w:spacing w:line="560" w:lineRule="exact"/>
        <w:jc w:val="center"/>
        <w:outlineLvl w:val="1"/>
        <w:rPr>
          <w:rFonts w:eastAsia="方正小标宋简体"/>
          <w:bCs/>
          <w:color w:val="36363D"/>
          <w:kern w:val="0"/>
          <w:sz w:val="44"/>
          <w:szCs w:val="32"/>
          <w:lang w:val="zh-CN"/>
        </w:rPr>
      </w:pPr>
      <w:bookmarkStart w:id="230" w:name="_Toc207817682"/>
      <w:r>
        <w:rPr>
          <w:rFonts w:eastAsia="方正小标宋简体"/>
          <w:bCs/>
          <w:color w:val="36363D"/>
          <w:kern w:val="0"/>
          <w:sz w:val="44"/>
          <w:szCs w:val="32"/>
          <w:lang w:val="zh-CN"/>
        </w:rPr>
        <w:t>兵团突发生态环境事件应急工作流程图</w:t>
      </w:r>
      <w:bookmarkEnd w:id="226"/>
      <w:bookmarkEnd w:id="227"/>
      <w:bookmarkEnd w:id="228"/>
      <w:bookmarkEnd w:id="229"/>
      <w:bookmarkEnd w:id="230"/>
    </w:p>
    <w:p w14:paraId="08AE84E5">
      <w:pPr>
        <w:widowControl/>
        <w:jc w:val="left"/>
        <w:rPr>
          <w:rFonts w:eastAsia="新宋体"/>
          <w:color w:val="36363D"/>
        </w:rPr>
      </w:pPr>
    </w:p>
    <w:p w14:paraId="2A2CEF4E">
      <w:pPr>
        <w:widowControl/>
        <w:jc w:val="left"/>
        <w:rPr>
          <w:rFonts w:eastAsia="新宋体"/>
          <w:color w:val="36363D"/>
        </w:rPr>
      </w:pPr>
      <w:bookmarkStart w:id="231" w:name="_Hlk203736323"/>
      <w:r>
        <w:rPr>
          <w:rFonts w:hint="eastAsia"/>
        </w:rPr>
        <w:object>
          <v:shape id="_x0000_i1027" o:spt="75" type="#_x0000_t75" style="height:473.35pt;width:442.2pt;" o:ole="t" filled="f" o:preferrelative="t" stroked="f" coordsize="21600,21600">
            <v:path/>
            <v:fill on="f" focussize="0,0"/>
            <v:stroke on="f" joinstyle="miter"/>
            <v:imagedata r:id="rId21" o:title=""/>
            <o:lock v:ext="edit" aspectratio="t"/>
            <w10:wrap type="none"/>
            <w10:anchorlock/>
          </v:shape>
          <o:OLEObject Type="Embed" ProgID="Visio.Drawing.15" ShapeID="_x0000_i1027" DrawAspect="Content" ObjectID="_1468075727" r:id="rId20">
            <o:LockedField>false</o:LockedField>
          </o:OLEObject>
        </w:object>
      </w:r>
      <w:bookmarkEnd w:id="231"/>
    </w:p>
    <w:p w14:paraId="18E539F6">
      <w:pPr>
        <w:rPr>
          <w:b/>
          <w:color w:val="36363D"/>
          <w:sz w:val="32"/>
          <w:szCs w:val="22"/>
        </w:rPr>
      </w:pPr>
    </w:p>
    <w:p w14:paraId="2CED55CE">
      <w:pPr>
        <w:widowControl/>
        <w:spacing w:line="240" w:lineRule="auto"/>
        <w:jc w:val="left"/>
        <w:rPr>
          <w:b/>
          <w:color w:val="36363D"/>
          <w:sz w:val="32"/>
          <w:szCs w:val="22"/>
        </w:rPr>
      </w:pPr>
      <w:r>
        <w:rPr>
          <w:b/>
          <w:color w:val="36363D"/>
          <w:sz w:val="32"/>
          <w:szCs w:val="22"/>
        </w:rPr>
        <w:br w:type="page"/>
      </w:r>
    </w:p>
    <w:p w14:paraId="28018599">
      <w:pPr>
        <w:keepNext/>
        <w:keepLines/>
        <w:spacing w:line="560" w:lineRule="exact"/>
        <w:outlineLvl w:val="1"/>
        <w:rPr>
          <w:rFonts w:hint="eastAsia" w:eastAsia="黑体"/>
          <w:bCs/>
          <w:kern w:val="0"/>
          <w:sz w:val="32"/>
          <w:szCs w:val="32"/>
          <w:lang w:val="zh-CN" w:eastAsia="zh-CN"/>
        </w:rPr>
      </w:pPr>
      <w:bookmarkStart w:id="232" w:name="_Toc207817683"/>
      <w:r>
        <w:rPr>
          <w:rFonts w:eastAsia="黑体"/>
          <w:bCs/>
          <w:kern w:val="0"/>
          <w:sz w:val="32"/>
          <w:szCs w:val="32"/>
          <w:lang w:val="zh-CN"/>
        </w:rPr>
        <w:t>附件</w:t>
      </w:r>
      <w:bookmarkEnd w:id="232"/>
      <w:r>
        <w:rPr>
          <w:rFonts w:hint="eastAsia" w:eastAsia="黑体"/>
          <w:bCs/>
          <w:kern w:val="0"/>
          <w:sz w:val="32"/>
          <w:szCs w:val="32"/>
          <w:lang w:val="en-US" w:eastAsia="zh-CN"/>
        </w:rPr>
        <w:t>5</w:t>
      </w:r>
    </w:p>
    <w:p w14:paraId="5D6EF62D">
      <w:pPr>
        <w:keepNext/>
        <w:keepLines/>
        <w:spacing w:line="560" w:lineRule="exact"/>
        <w:jc w:val="center"/>
        <w:outlineLvl w:val="1"/>
        <w:rPr>
          <w:rFonts w:eastAsia="方正小标宋简体"/>
          <w:bCs/>
          <w:color w:val="36363D"/>
          <w:kern w:val="0"/>
          <w:sz w:val="44"/>
          <w:szCs w:val="32"/>
          <w:lang w:val="zh-CN"/>
        </w:rPr>
      </w:pPr>
      <w:bookmarkStart w:id="233" w:name="_Toc28758"/>
      <w:bookmarkStart w:id="234" w:name="_Toc91841329"/>
      <w:bookmarkStart w:id="235" w:name="_Toc92300380"/>
      <w:bookmarkStart w:id="236" w:name="_Toc88738194"/>
    </w:p>
    <w:p w14:paraId="04E71403">
      <w:pPr>
        <w:keepNext/>
        <w:keepLines/>
        <w:spacing w:line="560" w:lineRule="exact"/>
        <w:jc w:val="center"/>
        <w:outlineLvl w:val="1"/>
        <w:rPr>
          <w:rFonts w:eastAsia="方正小标宋简体"/>
          <w:bCs/>
          <w:color w:val="36363D"/>
          <w:kern w:val="0"/>
          <w:sz w:val="44"/>
          <w:szCs w:val="32"/>
          <w:lang w:val="zh-CN"/>
        </w:rPr>
      </w:pPr>
      <w:bookmarkStart w:id="237" w:name="_Toc207817684"/>
      <w:r>
        <w:rPr>
          <w:rFonts w:eastAsia="方正小标宋简体"/>
          <w:bCs/>
          <w:color w:val="36363D"/>
          <w:kern w:val="0"/>
          <w:sz w:val="44"/>
          <w:szCs w:val="32"/>
          <w:lang w:val="zh-CN"/>
        </w:rPr>
        <w:t>兵团突发生态环境事件信息报告流程图</w:t>
      </w:r>
      <w:bookmarkEnd w:id="233"/>
      <w:bookmarkEnd w:id="234"/>
      <w:bookmarkEnd w:id="235"/>
      <w:bookmarkEnd w:id="236"/>
      <w:bookmarkEnd w:id="237"/>
    </w:p>
    <w:p w14:paraId="2FF76DA4">
      <w:pPr>
        <w:widowControl/>
        <w:jc w:val="left"/>
        <w:rPr>
          <w:b/>
          <w:color w:val="36363D"/>
          <w:sz w:val="32"/>
          <w:szCs w:val="22"/>
        </w:rPr>
      </w:pPr>
    </w:p>
    <w:p w14:paraId="4235E90C">
      <w:pPr>
        <w:widowControl/>
        <w:tabs>
          <w:tab w:val="left" w:pos="480"/>
        </w:tabs>
        <w:jc w:val="left"/>
        <w:rPr>
          <w:b/>
          <w:color w:val="36363D"/>
          <w:sz w:val="32"/>
          <w:szCs w:val="22"/>
        </w:rPr>
      </w:pPr>
      <w:r>
        <w:rPr>
          <w:rFonts w:hint="eastAsia"/>
        </w:rPr>
        <w:object>
          <v:shape id="_x0000_i1028" o:spt="75" type="#_x0000_t75" style="height:502.3pt;width:656pt;" o:ole="t" filled="f" o:preferrelative="t" stroked="f" coordsize="21600,21600">
            <v:path/>
            <v:fill on="f" focussize="0,0"/>
            <v:stroke on="f" joinstyle="miter"/>
            <v:imagedata r:id="rId23" o:title=""/>
            <o:lock v:ext="edit" aspectratio="t"/>
            <w10:wrap type="none"/>
            <w10:anchorlock/>
          </v:shape>
          <o:OLEObject Type="Embed" ProgID="Visio.Drawing.15" ShapeID="_x0000_i1028" DrawAspect="Content" ObjectID="_1468075728" r:id="rId22">
            <o:LockedField>false</o:LockedField>
          </o:OLEObject>
        </w:object>
      </w:r>
      <w:bookmarkEnd w:id="14"/>
      <w:bookmarkEnd w:id="30"/>
      <w:bookmarkEnd w:id="31"/>
      <w:bookmarkEnd w:id="32"/>
      <w:bookmarkEnd w:id="33"/>
    </w:p>
    <w:sectPr>
      <w:headerReference r:id="rId13" w:type="default"/>
      <w:footerReference r:id="rId14" w:type="default"/>
      <w:type w:val="continuous"/>
      <w:pgSz w:w="11906" w:h="16838"/>
      <w:pgMar w:top="2098" w:right="1474" w:bottom="1985" w:left="1588" w:header="851" w:footer="99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CG Times">
    <w:altName w:val="Times New Roman"/>
    <w:panose1 w:val="00000000000000000000"/>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新宋体">
    <w:panose1 w:val="02010609030101010101"/>
    <w:charset w:val="86"/>
    <w:family w:val="modern"/>
    <w:pitch w:val="default"/>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CF04E">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D4FA9">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B9465">
    <w:pPr>
      <w:pStyle w:val="27"/>
      <w:spacing w:line="240" w:lineRule="auto"/>
      <w:jc w:val="right"/>
      <w:rPr>
        <w:rFonts w:ascii="仿宋_GB2312" w:eastAsia="仿宋_GB2312"/>
        <w:sz w:val="28"/>
        <w:szCs w:val="28"/>
      </w:rPr>
    </w:pPr>
    <w:r>
      <w:rPr>
        <w:rFonts w:hint="eastAsia" w:ascii="仿宋_GB2312" w:eastAsia="仿宋_GB2312"/>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hint="eastAsia" w:ascii="宋体" w:hAnsi="宋体"/>
        <w:sz w:val="28"/>
        <w:szCs w:val="28"/>
      </w:rPr>
      <w:t>2</w:t>
    </w:r>
    <w:r>
      <w:rPr>
        <w:rFonts w:hint="eastAsia" w:ascii="宋体" w:hAnsi="宋体"/>
        <w:sz w:val="28"/>
        <w:szCs w:val="28"/>
      </w:rPr>
      <w:fldChar w:fldCharType="end"/>
    </w:r>
    <w:r>
      <w:rPr>
        <w:rFonts w:hint="eastAsia" w:ascii="仿宋_GB2312" w:eastAsia="仿宋_GB2312"/>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9D073">
    <w:pPr>
      <w:pStyle w:val="27"/>
      <w:spacing w:line="240" w:lineRule="auto"/>
      <w:rPr>
        <w:rFonts w:ascii="仿宋_GB2312" w:eastAsia="仿宋_GB2312"/>
        <w:sz w:val="28"/>
        <w:szCs w:val="28"/>
      </w:rPr>
    </w:pPr>
    <w:r>
      <w:rPr>
        <w:rFonts w:hint="eastAsia" w:ascii="仿宋_GB2312" w:eastAsia="仿宋_GB2312"/>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20 -</w:t>
    </w:r>
    <w:r>
      <w:rPr>
        <w:rFonts w:hint="eastAsia" w:ascii="宋体" w:hAnsi="宋体"/>
        <w:sz w:val="28"/>
        <w:szCs w:val="28"/>
      </w:rPr>
      <w:fldChar w:fldCharType="end"/>
    </w:r>
    <w:r>
      <w:rPr>
        <w:rFonts w:hint="eastAsia" w:ascii="仿宋_GB2312" w:eastAsia="仿宋_GB2312"/>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EF314">
    <w:pPr>
      <w:pStyle w:val="27"/>
      <w:spacing w:line="240" w:lineRule="auto"/>
      <w:jc w:val="righ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A12FD">
    <w:pPr>
      <w:pStyle w:val="2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299F6">
                          <w:pPr>
                            <w:pStyle w:val="2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1299F6">
                    <w:pPr>
                      <w:pStyle w:val="2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E2FE6">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0C7A4">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7DD82">
    <w:pPr>
      <w:pStyle w:val="28"/>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B3E41">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pStyle w:val="72"/>
      <w:suff w:val="nothing"/>
      <w:lvlText w:val="附　录　%1"/>
      <w:lvlJc w:val="left"/>
      <w:pPr>
        <w:ind w:left="0" w:firstLine="0"/>
      </w:pPr>
      <w:rPr>
        <w:rFonts w:hint="eastAsia" w:ascii="黑体" w:hAnsi="Times New Roman" w:eastAsia="黑体"/>
        <w:b w:val="0"/>
        <w:i w:val="0"/>
        <w:sz w:val="28"/>
        <w:szCs w:val="28"/>
      </w:rPr>
    </w:lvl>
    <w:lvl w:ilvl="1" w:tentative="0">
      <w:start w:val="1"/>
      <w:numFmt w:val="decimal"/>
      <w:pStyle w:val="71"/>
      <w:suff w:val="nothing"/>
      <w:lvlText w:val="%1.%2　"/>
      <w:lvlJc w:val="left"/>
      <w:pPr>
        <w:ind w:left="630" w:firstLine="0"/>
      </w:pPr>
      <w:rPr>
        <w:rFonts w:hint="eastAsia" w:ascii="黑体" w:hAnsi="Times New Roman" w:eastAsia="黑体"/>
        <w:b w:val="0"/>
        <w:i w:val="0"/>
        <w:snapToGrid/>
        <w:spacing w:val="0"/>
        <w:w w:val="100"/>
        <w:kern w:val="21"/>
        <w:sz w:val="21"/>
        <w:szCs w:val="21"/>
      </w:rPr>
    </w:lvl>
    <w:lvl w:ilvl="2" w:tentative="0">
      <w:start w:val="1"/>
      <w:numFmt w:val="decimal"/>
      <w:pStyle w:val="70"/>
      <w:suff w:val="nothing"/>
      <w:lvlText w:val="%1.%2.%3　"/>
      <w:lvlJc w:val="left"/>
      <w:pPr>
        <w:ind w:left="0" w:firstLine="0"/>
      </w:pPr>
      <w:rPr>
        <w:rFonts w:hint="eastAsia" w:hAnsi="Times New Roman" w:cs="Times New Roman"/>
        <w:b w:val="0"/>
        <w:bCs w:val="0"/>
        <w:i w:val="0"/>
        <w:iCs w:val="0"/>
        <w:caps w:val="0"/>
        <w:smallCaps w:val="0"/>
        <w:strike w:val="0"/>
        <w:dstrike w:val="0"/>
        <w:outline w:val="0"/>
        <w:shadow w:val="0"/>
        <w:emboss w:val="0"/>
        <w:imprint w:val="0"/>
        <w:vanish w:val="0"/>
        <w:spacing w:val="0"/>
        <w:kern w:val="0"/>
        <w:position w:val="0"/>
        <w:sz w:val="28"/>
        <w:szCs w:val="28"/>
        <w:u w:val="none"/>
        <w:vertAlign w:val="baseline"/>
      </w:rPr>
    </w:lvl>
    <w:lvl w:ilvl="3" w:tentative="0">
      <w:start w:val="1"/>
      <w:numFmt w:val="decimal"/>
      <w:pStyle w:val="69"/>
      <w:suff w:val="nothing"/>
      <w:lvlText w:val="%1.%2.%3.%4　"/>
      <w:lvlJc w:val="left"/>
      <w:pPr>
        <w:ind w:left="0" w:firstLine="0"/>
      </w:pPr>
      <w:rPr>
        <w:rFonts w:hint="eastAsia" w:ascii="黑体" w:hAnsi="Times New Roman" w:eastAsia="黑体"/>
        <w:b w:val="0"/>
        <w:i w:val="0"/>
        <w:sz w:val="28"/>
        <w:szCs w:val="28"/>
      </w:rPr>
    </w:lvl>
    <w:lvl w:ilvl="4" w:tentative="0">
      <w:start w:val="1"/>
      <w:numFmt w:val="decimal"/>
      <w:pStyle w:val="68"/>
      <w:suff w:val="nothing"/>
      <w:lvlText w:val="%1.%2.%3.%4.%5　"/>
      <w:lvlJc w:val="left"/>
      <w:pPr>
        <w:ind w:left="0" w:firstLine="0"/>
      </w:pPr>
      <w:rPr>
        <w:rFonts w:hint="eastAsia" w:ascii="黑体" w:hAnsi="Times New Roman" w:eastAsia="黑体"/>
        <w:b w:val="0"/>
        <w:i w:val="0"/>
        <w:sz w:val="21"/>
      </w:rPr>
    </w:lvl>
    <w:lvl w:ilvl="5" w:tentative="0">
      <w:start w:val="1"/>
      <w:numFmt w:val="decimal"/>
      <w:pStyle w:val="23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CEA2025"/>
    <w:multiLevelType w:val="multilevel"/>
    <w:tmpl w:val="6CEA2025"/>
    <w:lvl w:ilvl="0" w:tentative="0">
      <w:start w:val="1"/>
      <w:numFmt w:val="none"/>
      <w:pStyle w:val="166"/>
      <w:suff w:val="nothing"/>
      <w:lvlText w:val="%1"/>
      <w:lvlJc w:val="left"/>
      <w:pPr>
        <w:ind w:left="0" w:firstLine="0"/>
      </w:pPr>
      <w:rPr>
        <w:rFonts w:hint="default" w:ascii="Times New Roman" w:hAnsi="Times New Roman" w:cs="Times New Roman"/>
        <w:b/>
        <w:i w:val="0"/>
        <w:sz w:val="21"/>
      </w:rPr>
    </w:lvl>
    <w:lvl w:ilvl="1" w:tentative="0">
      <w:start w:val="1"/>
      <w:numFmt w:val="decimal"/>
      <w:pStyle w:val="115"/>
      <w:suff w:val="nothing"/>
      <w:lvlText w:val="%1%2　"/>
      <w:lvlJc w:val="left"/>
      <w:pPr>
        <w:ind w:left="0" w:firstLine="0"/>
      </w:pPr>
      <w:rPr>
        <w:rFonts w:hint="eastAsia" w:ascii="黑体" w:hAnsi="Times New Roman" w:eastAsia="黑体"/>
        <w:b w:val="0"/>
        <w:i w:val="0"/>
        <w:sz w:val="21"/>
      </w:rPr>
    </w:lvl>
    <w:lvl w:ilvl="2" w:tentative="0">
      <w:start w:val="1"/>
      <w:numFmt w:val="decimal"/>
      <w:pStyle w:val="114"/>
      <w:suff w:val="nothing"/>
      <w:lvlText w:val="%1%2.%3　"/>
      <w:lvlJc w:val="left"/>
      <w:pPr>
        <w:ind w:left="0" w:firstLine="0"/>
      </w:pPr>
      <w:rPr>
        <w:rFonts w:hint="eastAsia" w:ascii="黑体" w:hAnsi="Times New Roman" w:eastAsia="黑体"/>
        <w:b w:val="0"/>
        <w:i w:val="0"/>
        <w:sz w:val="21"/>
      </w:rPr>
    </w:lvl>
    <w:lvl w:ilvl="3" w:tentative="0">
      <w:start w:val="1"/>
      <w:numFmt w:val="decimal"/>
      <w:pStyle w:val="113"/>
      <w:suff w:val="nothing"/>
      <w:lvlText w:val="%1%2.%3.%4　"/>
      <w:lvlJc w:val="left"/>
      <w:pPr>
        <w:ind w:left="0" w:firstLine="0"/>
      </w:pPr>
      <w:rPr>
        <w:rFonts w:hint="eastAsia" w:ascii="黑体" w:hAnsi="Times New Roman" w:eastAsia="黑体"/>
        <w:b w:val="0"/>
        <w:i w:val="0"/>
        <w:sz w:val="21"/>
      </w:rPr>
    </w:lvl>
    <w:lvl w:ilvl="4" w:tentative="0">
      <w:start w:val="1"/>
      <w:numFmt w:val="decimal"/>
      <w:pStyle w:val="204"/>
      <w:suff w:val="nothing"/>
      <w:lvlText w:val="%1%2.%3.%4.%5　"/>
      <w:lvlJc w:val="left"/>
      <w:pPr>
        <w:ind w:left="0" w:firstLine="0"/>
      </w:pPr>
      <w:rPr>
        <w:rFonts w:hint="eastAsia" w:ascii="黑体" w:hAnsi="Times New Roman" w:eastAsia="黑体"/>
        <w:b w:val="0"/>
        <w:i w:val="0"/>
        <w:sz w:val="21"/>
      </w:rPr>
    </w:lvl>
    <w:lvl w:ilvl="5" w:tentative="0">
      <w:start w:val="1"/>
      <w:numFmt w:val="decimal"/>
      <w:pStyle w:val="203"/>
      <w:suff w:val="nothing"/>
      <w:lvlText w:val="%1%2.%3.%4.%5.%6　"/>
      <w:lvlJc w:val="left"/>
      <w:pPr>
        <w:ind w:left="0" w:firstLine="0"/>
      </w:pPr>
      <w:rPr>
        <w:rFonts w:hint="eastAsia" w:ascii="黑体" w:hAnsi="Times New Roman" w:eastAsia="黑体"/>
        <w:b w:val="0"/>
        <w:i w:val="0"/>
        <w:sz w:val="21"/>
      </w:rPr>
    </w:lvl>
    <w:lvl w:ilvl="6" w:tentative="0">
      <w:start w:val="1"/>
      <w:numFmt w:val="decimal"/>
      <w:pStyle w:val="30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F36"/>
    <w:rsid w:val="00001104"/>
    <w:rsid w:val="000040E2"/>
    <w:rsid w:val="00005C95"/>
    <w:rsid w:val="00014D68"/>
    <w:rsid w:val="000209C7"/>
    <w:rsid w:val="000224FC"/>
    <w:rsid w:val="000309DA"/>
    <w:rsid w:val="00032950"/>
    <w:rsid w:val="00032DAD"/>
    <w:rsid w:val="000338C1"/>
    <w:rsid w:val="00034DD7"/>
    <w:rsid w:val="000407D1"/>
    <w:rsid w:val="0004138D"/>
    <w:rsid w:val="00042C82"/>
    <w:rsid w:val="00047450"/>
    <w:rsid w:val="000540EA"/>
    <w:rsid w:val="00054785"/>
    <w:rsid w:val="00060872"/>
    <w:rsid w:val="00061CEB"/>
    <w:rsid w:val="00061DDD"/>
    <w:rsid w:val="00062538"/>
    <w:rsid w:val="00071F30"/>
    <w:rsid w:val="0008254B"/>
    <w:rsid w:val="000842F5"/>
    <w:rsid w:val="00084615"/>
    <w:rsid w:val="00087D09"/>
    <w:rsid w:val="000A1D1B"/>
    <w:rsid w:val="000C7F36"/>
    <w:rsid w:val="000D2731"/>
    <w:rsid w:val="000D4BE6"/>
    <w:rsid w:val="000D6EEF"/>
    <w:rsid w:val="000E5FBB"/>
    <w:rsid w:val="000E76C4"/>
    <w:rsid w:val="000F6EC3"/>
    <w:rsid w:val="00114210"/>
    <w:rsid w:val="001160D1"/>
    <w:rsid w:val="00120118"/>
    <w:rsid w:val="00120B56"/>
    <w:rsid w:val="00122A9A"/>
    <w:rsid w:val="001300E2"/>
    <w:rsid w:val="00136FFF"/>
    <w:rsid w:val="00137006"/>
    <w:rsid w:val="001377EC"/>
    <w:rsid w:val="00144794"/>
    <w:rsid w:val="001551AE"/>
    <w:rsid w:val="00160906"/>
    <w:rsid w:val="001674C7"/>
    <w:rsid w:val="0017076C"/>
    <w:rsid w:val="001810E3"/>
    <w:rsid w:val="00185FD3"/>
    <w:rsid w:val="00191875"/>
    <w:rsid w:val="00192B1D"/>
    <w:rsid w:val="00194E16"/>
    <w:rsid w:val="00195323"/>
    <w:rsid w:val="001A78D7"/>
    <w:rsid w:val="001B2C9E"/>
    <w:rsid w:val="001B6FC9"/>
    <w:rsid w:val="001B74D8"/>
    <w:rsid w:val="001C2106"/>
    <w:rsid w:val="001C62CA"/>
    <w:rsid w:val="001D54F1"/>
    <w:rsid w:val="001E6B1C"/>
    <w:rsid w:val="001E72D0"/>
    <w:rsid w:val="001F09B6"/>
    <w:rsid w:val="001F2595"/>
    <w:rsid w:val="001F2700"/>
    <w:rsid w:val="001F7B34"/>
    <w:rsid w:val="00207409"/>
    <w:rsid w:val="00210725"/>
    <w:rsid w:val="00210E0A"/>
    <w:rsid w:val="0021524D"/>
    <w:rsid w:val="0021555A"/>
    <w:rsid w:val="00230665"/>
    <w:rsid w:val="00232792"/>
    <w:rsid w:val="0024799E"/>
    <w:rsid w:val="00255DCE"/>
    <w:rsid w:val="00266570"/>
    <w:rsid w:val="002702B0"/>
    <w:rsid w:val="002904AE"/>
    <w:rsid w:val="00290CD2"/>
    <w:rsid w:val="00291F66"/>
    <w:rsid w:val="002952EF"/>
    <w:rsid w:val="002A54E6"/>
    <w:rsid w:val="002D454E"/>
    <w:rsid w:val="002E0744"/>
    <w:rsid w:val="002E2311"/>
    <w:rsid w:val="002F2FBC"/>
    <w:rsid w:val="002F55EF"/>
    <w:rsid w:val="0030289A"/>
    <w:rsid w:val="0030336A"/>
    <w:rsid w:val="003079B3"/>
    <w:rsid w:val="00310157"/>
    <w:rsid w:val="00312B34"/>
    <w:rsid w:val="00316A56"/>
    <w:rsid w:val="00332768"/>
    <w:rsid w:val="00342A12"/>
    <w:rsid w:val="00351BAC"/>
    <w:rsid w:val="00353B0C"/>
    <w:rsid w:val="0037023A"/>
    <w:rsid w:val="0037069B"/>
    <w:rsid w:val="003820D7"/>
    <w:rsid w:val="00391EB5"/>
    <w:rsid w:val="003B3D6B"/>
    <w:rsid w:val="003B5178"/>
    <w:rsid w:val="003B579F"/>
    <w:rsid w:val="003B6D7F"/>
    <w:rsid w:val="003C3B83"/>
    <w:rsid w:val="003D1EA5"/>
    <w:rsid w:val="003E25DC"/>
    <w:rsid w:val="003E41DE"/>
    <w:rsid w:val="003E5423"/>
    <w:rsid w:val="003E6485"/>
    <w:rsid w:val="003E6DD0"/>
    <w:rsid w:val="003E7CED"/>
    <w:rsid w:val="003F4E70"/>
    <w:rsid w:val="00414767"/>
    <w:rsid w:val="00417056"/>
    <w:rsid w:val="00421525"/>
    <w:rsid w:val="004267D9"/>
    <w:rsid w:val="004342D5"/>
    <w:rsid w:val="004437EE"/>
    <w:rsid w:val="00444DAE"/>
    <w:rsid w:val="00452471"/>
    <w:rsid w:val="00453994"/>
    <w:rsid w:val="00455059"/>
    <w:rsid w:val="004628A7"/>
    <w:rsid w:val="0046443B"/>
    <w:rsid w:val="004740AD"/>
    <w:rsid w:val="004836C8"/>
    <w:rsid w:val="00483A94"/>
    <w:rsid w:val="004953FC"/>
    <w:rsid w:val="004958C0"/>
    <w:rsid w:val="0049737B"/>
    <w:rsid w:val="004A0EE3"/>
    <w:rsid w:val="004A694A"/>
    <w:rsid w:val="004A787B"/>
    <w:rsid w:val="004B1DAC"/>
    <w:rsid w:val="004B33EA"/>
    <w:rsid w:val="004B4B78"/>
    <w:rsid w:val="004B4E6F"/>
    <w:rsid w:val="004C53E0"/>
    <w:rsid w:val="004D02D3"/>
    <w:rsid w:val="004D147B"/>
    <w:rsid w:val="004D340A"/>
    <w:rsid w:val="004E3792"/>
    <w:rsid w:val="004E3A40"/>
    <w:rsid w:val="004E78F8"/>
    <w:rsid w:val="00500E83"/>
    <w:rsid w:val="005014B4"/>
    <w:rsid w:val="005102F9"/>
    <w:rsid w:val="00512B4D"/>
    <w:rsid w:val="0052224C"/>
    <w:rsid w:val="00522E9C"/>
    <w:rsid w:val="00527BC9"/>
    <w:rsid w:val="0054684A"/>
    <w:rsid w:val="0055359D"/>
    <w:rsid w:val="005570CB"/>
    <w:rsid w:val="0056217E"/>
    <w:rsid w:val="00562BE9"/>
    <w:rsid w:val="0058084F"/>
    <w:rsid w:val="00580A1E"/>
    <w:rsid w:val="00587D77"/>
    <w:rsid w:val="00592076"/>
    <w:rsid w:val="00593BAF"/>
    <w:rsid w:val="005A0F14"/>
    <w:rsid w:val="005A1D26"/>
    <w:rsid w:val="005A3B13"/>
    <w:rsid w:val="005A41EF"/>
    <w:rsid w:val="005B3EA5"/>
    <w:rsid w:val="005B68EB"/>
    <w:rsid w:val="005B775E"/>
    <w:rsid w:val="005C127F"/>
    <w:rsid w:val="005C419B"/>
    <w:rsid w:val="005C4B4D"/>
    <w:rsid w:val="005D5A81"/>
    <w:rsid w:val="005D7345"/>
    <w:rsid w:val="005E40BE"/>
    <w:rsid w:val="005F0464"/>
    <w:rsid w:val="005F2CD0"/>
    <w:rsid w:val="005F32EC"/>
    <w:rsid w:val="005F5225"/>
    <w:rsid w:val="00605387"/>
    <w:rsid w:val="006074BA"/>
    <w:rsid w:val="00610063"/>
    <w:rsid w:val="00617C9A"/>
    <w:rsid w:val="00621414"/>
    <w:rsid w:val="00624C8D"/>
    <w:rsid w:val="00641D54"/>
    <w:rsid w:val="00642C96"/>
    <w:rsid w:val="00646DDD"/>
    <w:rsid w:val="00671C21"/>
    <w:rsid w:val="006727FC"/>
    <w:rsid w:val="00681FA6"/>
    <w:rsid w:val="00686141"/>
    <w:rsid w:val="00694A3C"/>
    <w:rsid w:val="00696053"/>
    <w:rsid w:val="00696BC8"/>
    <w:rsid w:val="006A7725"/>
    <w:rsid w:val="006B2AF0"/>
    <w:rsid w:val="006B3046"/>
    <w:rsid w:val="006B3EBE"/>
    <w:rsid w:val="006B697F"/>
    <w:rsid w:val="006C08C5"/>
    <w:rsid w:val="006C1F7A"/>
    <w:rsid w:val="006C3690"/>
    <w:rsid w:val="006D16E3"/>
    <w:rsid w:val="006D5A0E"/>
    <w:rsid w:val="006D6A6B"/>
    <w:rsid w:val="006E2764"/>
    <w:rsid w:val="006E7CF9"/>
    <w:rsid w:val="00713C0C"/>
    <w:rsid w:val="007160BD"/>
    <w:rsid w:val="007239E0"/>
    <w:rsid w:val="0073157C"/>
    <w:rsid w:val="00732F6C"/>
    <w:rsid w:val="007425D3"/>
    <w:rsid w:val="007462E7"/>
    <w:rsid w:val="00747FC3"/>
    <w:rsid w:val="00752D14"/>
    <w:rsid w:val="00753620"/>
    <w:rsid w:val="00755D69"/>
    <w:rsid w:val="0076223E"/>
    <w:rsid w:val="007677D5"/>
    <w:rsid w:val="0077406E"/>
    <w:rsid w:val="007759A9"/>
    <w:rsid w:val="00780DD2"/>
    <w:rsid w:val="007814B4"/>
    <w:rsid w:val="0078664A"/>
    <w:rsid w:val="00791975"/>
    <w:rsid w:val="007974E6"/>
    <w:rsid w:val="007A21C1"/>
    <w:rsid w:val="007B4D3B"/>
    <w:rsid w:val="007B6453"/>
    <w:rsid w:val="007D1F6F"/>
    <w:rsid w:val="007D4FF0"/>
    <w:rsid w:val="007D7D45"/>
    <w:rsid w:val="007E04C2"/>
    <w:rsid w:val="007E1B6A"/>
    <w:rsid w:val="007E5009"/>
    <w:rsid w:val="007E5F49"/>
    <w:rsid w:val="00804FDB"/>
    <w:rsid w:val="008074F9"/>
    <w:rsid w:val="008100FC"/>
    <w:rsid w:val="00815760"/>
    <w:rsid w:val="008160D7"/>
    <w:rsid w:val="0081658A"/>
    <w:rsid w:val="00822464"/>
    <w:rsid w:val="008226B6"/>
    <w:rsid w:val="0082527E"/>
    <w:rsid w:val="00830B0C"/>
    <w:rsid w:val="00834AAE"/>
    <w:rsid w:val="008466A2"/>
    <w:rsid w:val="00856EB3"/>
    <w:rsid w:val="00865F47"/>
    <w:rsid w:val="00883A13"/>
    <w:rsid w:val="00887BCF"/>
    <w:rsid w:val="0089152B"/>
    <w:rsid w:val="008924EB"/>
    <w:rsid w:val="00894652"/>
    <w:rsid w:val="0089510B"/>
    <w:rsid w:val="008A1806"/>
    <w:rsid w:val="008A27D2"/>
    <w:rsid w:val="008B19E7"/>
    <w:rsid w:val="008B33C3"/>
    <w:rsid w:val="008B5C5E"/>
    <w:rsid w:val="008C657B"/>
    <w:rsid w:val="008D30E7"/>
    <w:rsid w:val="008E19C5"/>
    <w:rsid w:val="008E1B74"/>
    <w:rsid w:val="008E2A31"/>
    <w:rsid w:val="008E57D0"/>
    <w:rsid w:val="008F4554"/>
    <w:rsid w:val="008F67FF"/>
    <w:rsid w:val="00904591"/>
    <w:rsid w:val="00904A61"/>
    <w:rsid w:val="009110B6"/>
    <w:rsid w:val="009138C4"/>
    <w:rsid w:val="00930AB1"/>
    <w:rsid w:val="00947820"/>
    <w:rsid w:val="0095035F"/>
    <w:rsid w:val="00952234"/>
    <w:rsid w:val="00953C15"/>
    <w:rsid w:val="00957030"/>
    <w:rsid w:val="0096213A"/>
    <w:rsid w:val="0096407D"/>
    <w:rsid w:val="0097019F"/>
    <w:rsid w:val="00970843"/>
    <w:rsid w:val="00970C83"/>
    <w:rsid w:val="009765CF"/>
    <w:rsid w:val="00976AFE"/>
    <w:rsid w:val="00983543"/>
    <w:rsid w:val="009857D9"/>
    <w:rsid w:val="00993D54"/>
    <w:rsid w:val="009A3A72"/>
    <w:rsid w:val="009A5248"/>
    <w:rsid w:val="009B2971"/>
    <w:rsid w:val="009B29A1"/>
    <w:rsid w:val="009B353D"/>
    <w:rsid w:val="009C241C"/>
    <w:rsid w:val="009D16EF"/>
    <w:rsid w:val="009D185D"/>
    <w:rsid w:val="009D4677"/>
    <w:rsid w:val="009D6BA6"/>
    <w:rsid w:val="009D6D91"/>
    <w:rsid w:val="009E03AA"/>
    <w:rsid w:val="009E4B90"/>
    <w:rsid w:val="009F1CEE"/>
    <w:rsid w:val="009F4756"/>
    <w:rsid w:val="009F5D6A"/>
    <w:rsid w:val="00A02CF4"/>
    <w:rsid w:val="00A13105"/>
    <w:rsid w:val="00A16EA6"/>
    <w:rsid w:val="00A30AE7"/>
    <w:rsid w:val="00A3257D"/>
    <w:rsid w:val="00A33E70"/>
    <w:rsid w:val="00A400A0"/>
    <w:rsid w:val="00A40455"/>
    <w:rsid w:val="00A51313"/>
    <w:rsid w:val="00A54C41"/>
    <w:rsid w:val="00A556AE"/>
    <w:rsid w:val="00A560AA"/>
    <w:rsid w:val="00A5667F"/>
    <w:rsid w:val="00A62ED8"/>
    <w:rsid w:val="00A631C1"/>
    <w:rsid w:val="00A667F6"/>
    <w:rsid w:val="00A67DA8"/>
    <w:rsid w:val="00A716EF"/>
    <w:rsid w:val="00A74151"/>
    <w:rsid w:val="00A77B4E"/>
    <w:rsid w:val="00A82933"/>
    <w:rsid w:val="00A847EC"/>
    <w:rsid w:val="00A85410"/>
    <w:rsid w:val="00A903E9"/>
    <w:rsid w:val="00A90B6C"/>
    <w:rsid w:val="00AA51B8"/>
    <w:rsid w:val="00AC3047"/>
    <w:rsid w:val="00AC4A42"/>
    <w:rsid w:val="00AC6123"/>
    <w:rsid w:val="00AF6E1D"/>
    <w:rsid w:val="00AF7141"/>
    <w:rsid w:val="00AF762F"/>
    <w:rsid w:val="00B06E82"/>
    <w:rsid w:val="00B269A4"/>
    <w:rsid w:val="00B27B21"/>
    <w:rsid w:val="00B30FAF"/>
    <w:rsid w:val="00B32120"/>
    <w:rsid w:val="00B427C5"/>
    <w:rsid w:val="00B45AE4"/>
    <w:rsid w:val="00B5269E"/>
    <w:rsid w:val="00B52BB2"/>
    <w:rsid w:val="00B56EEE"/>
    <w:rsid w:val="00B577A0"/>
    <w:rsid w:val="00B57F0A"/>
    <w:rsid w:val="00B61EC6"/>
    <w:rsid w:val="00B739FF"/>
    <w:rsid w:val="00B923A3"/>
    <w:rsid w:val="00BA3F4A"/>
    <w:rsid w:val="00BB1DB2"/>
    <w:rsid w:val="00BB28F6"/>
    <w:rsid w:val="00BB7F26"/>
    <w:rsid w:val="00BC1CE6"/>
    <w:rsid w:val="00BC3C72"/>
    <w:rsid w:val="00BD6499"/>
    <w:rsid w:val="00BF04F4"/>
    <w:rsid w:val="00BF4501"/>
    <w:rsid w:val="00BF5717"/>
    <w:rsid w:val="00BF76C0"/>
    <w:rsid w:val="00C00F42"/>
    <w:rsid w:val="00C01D05"/>
    <w:rsid w:val="00C03052"/>
    <w:rsid w:val="00C13D69"/>
    <w:rsid w:val="00C145B3"/>
    <w:rsid w:val="00C26C54"/>
    <w:rsid w:val="00C30066"/>
    <w:rsid w:val="00C33D57"/>
    <w:rsid w:val="00C425F9"/>
    <w:rsid w:val="00C435F6"/>
    <w:rsid w:val="00C4553A"/>
    <w:rsid w:val="00C45556"/>
    <w:rsid w:val="00C459DB"/>
    <w:rsid w:val="00C51320"/>
    <w:rsid w:val="00C608F2"/>
    <w:rsid w:val="00C6500E"/>
    <w:rsid w:val="00C67C1F"/>
    <w:rsid w:val="00C72FB9"/>
    <w:rsid w:val="00C829A2"/>
    <w:rsid w:val="00C92ADC"/>
    <w:rsid w:val="00C930C6"/>
    <w:rsid w:val="00C93B77"/>
    <w:rsid w:val="00CA3317"/>
    <w:rsid w:val="00CB5BD3"/>
    <w:rsid w:val="00CC1952"/>
    <w:rsid w:val="00CC436D"/>
    <w:rsid w:val="00CD1136"/>
    <w:rsid w:val="00CD1965"/>
    <w:rsid w:val="00CD2F33"/>
    <w:rsid w:val="00CD30B0"/>
    <w:rsid w:val="00CE0AFE"/>
    <w:rsid w:val="00CF20DD"/>
    <w:rsid w:val="00D01DC6"/>
    <w:rsid w:val="00D11E09"/>
    <w:rsid w:val="00D222EA"/>
    <w:rsid w:val="00D274D0"/>
    <w:rsid w:val="00D304E8"/>
    <w:rsid w:val="00D31F6C"/>
    <w:rsid w:val="00D335C0"/>
    <w:rsid w:val="00D341A3"/>
    <w:rsid w:val="00D426C8"/>
    <w:rsid w:val="00D4450A"/>
    <w:rsid w:val="00D46FBD"/>
    <w:rsid w:val="00D52E2C"/>
    <w:rsid w:val="00D7171B"/>
    <w:rsid w:val="00D85EBA"/>
    <w:rsid w:val="00DA2E90"/>
    <w:rsid w:val="00DA6255"/>
    <w:rsid w:val="00DC6B3F"/>
    <w:rsid w:val="00DC7281"/>
    <w:rsid w:val="00DD04DA"/>
    <w:rsid w:val="00DD1538"/>
    <w:rsid w:val="00DD59AC"/>
    <w:rsid w:val="00DE07B8"/>
    <w:rsid w:val="00DE2092"/>
    <w:rsid w:val="00DE686B"/>
    <w:rsid w:val="00DF252D"/>
    <w:rsid w:val="00E00256"/>
    <w:rsid w:val="00E0407E"/>
    <w:rsid w:val="00E100C5"/>
    <w:rsid w:val="00E30FD7"/>
    <w:rsid w:val="00E36D41"/>
    <w:rsid w:val="00E41230"/>
    <w:rsid w:val="00E425BA"/>
    <w:rsid w:val="00E46BCC"/>
    <w:rsid w:val="00E47128"/>
    <w:rsid w:val="00E5143A"/>
    <w:rsid w:val="00E808A9"/>
    <w:rsid w:val="00E828A2"/>
    <w:rsid w:val="00E87EF1"/>
    <w:rsid w:val="00E937BB"/>
    <w:rsid w:val="00E972A7"/>
    <w:rsid w:val="00E97B3F"/>
    <w:rsid w:val="00EA1827"/>
    <w:rsid w:val="00EA6E0C"/>
    <w:rsid w:val="00EB3C22"/>
    <w:rsid w:val="00EC58E4"/>
    <w:rsid w:val="00EC653F"/>
    <w:rsid w:val="00EC6844"/>
    <w:rsid w:val="00ED1B91"/>
    <w:rsid w:val="00ED346F"/>
    <w:rsid w:val="00EE6AC7"/>
    <w:rsid w:val="00EE7445"/>
    <w:rsid w:val="00EF21B3"/>
    <w:rsid w:val="00EF5B7E"/>
    <w:rsid w:val="00F01F10"/>
    <w:rsid w:val="00F0324B"/>
    <w:rsid w:val="00F0795B"/>
    <w:rsid w:val="00F13501"/>
    <w:rsid w:val="00F2187B"/>
    <w:rsid w:val="00F25C46"/>
    <w:rsid w:val="00F31D0A"/>
    <w:rsid w:val="00F4642E"/>
    <w:rsid w:val="00F5535E"/>
    <w:rsid w:val="00F57532"/>
    <w:rsid w:val="00F653F8"/>
    <w:rsid w:val="00F712DE"/>
    <w:rsid w:val="00F73FA1"/>
    <w:rsid w:val="00F80C7C"/>
    <w:rsid w:val="00FA323B"/>
    <w:rsid w:val="00FA346B"/>
    <w:rsid w:val="00FB5ECB"/>
    <w:rsid w:val="00FB6206"/>
    <w:rsid w:val="00FC2A27"/>
    <w:rsid w:val="00FC2B1D"/>
    <w:rsid w:val="00FC3170"/>
    <w:rsid w:val="00FC38F2"/>
    <w:rsid w:val="00FC5403"/>
    <w:rsid w:val="00FD7D15"/>
    <w:rsid w:val="00FE5EFB"/>
    <w:rsid w:val="00FF0EB4"/>
    <w:rsid w:val="00FF4EDA"/>
    <w:rsid w:val="00FF66EF"/>
    <w:rsid w:val="00FF756E"/>
    <w:rsid w:val="02E86E0B"/>
    <w:rsid w:val="0AFC3326"/>
    <w:rsid w:val="13BF470A"/>
    <w:rsid w:val="14AB1989"/>
    <w:rsid w:val="15370031"/>
    <w:rsid w:val="15782647"/>
    <w:rsid w:val="15CB028E"/>
    <w:rsid w:val="17CA0378"/>
    <w:rsid w:val="1B7E21A9"/>
    <w:rsid w:val="1C3E2E11"/>
    <w:rsid w:val="1C701032"/>
    <w:rsid w:val="1C9176B6"/>
    <w:rsid w:val="1E5B7F7C"/>
    <w:rsid w:val="1E780B2E"/>
    <w:rsid w:val="2B2D2CA0"/>
    <w:rsid w:val="2DAA1DE9"/>
    <w:rsid w:val="2FDA5862"/>
    <w:rsid w:val="31686277"/>
    <w:rsid w:val="33BF2903"/>
    <w:rsid w:val="3458101C"/>
    <w:rsid w:val="35DC6EF1"/>
    <w:rsid w:val="37AC1113"/>
    <w:rsid w:val="393F652C"/>
    <w:rsid w:val="3A4D2A17"/>
    <w:rsid w:val="3A993EAE"/>
    <w:rsid w:val="3B0F39F5"/>
    <w:rsid w:val="456F5F37"/>
    <w:rsid w:val="45965BB9"/>
    <w:rsid w:val="459D6299"/>
    <w:rsid w:val="469D4E21"/>
    <w:rsid w:val="48104E43"/>
    <w:rsid w:val="4A2B0A3A"/>
    <w:rsid w:val="4A706FB0"/>
    <w:rsid w:val="4AF50444"/>
    <w:rsid w:val="4D4456B4"/>
    <w:rsid w:val="50083210"/>
    <w:rsid w:val="50D43A3A"/>
    <w:rsid w:val="526E78A1"/>
    <w:rsid w:val="53ED70D9"/>
    <w:rsid w:val="5C737807"/>
    <w:rsid w:val="5DE7641D"/>
    <w:rsid w:val="5EE906B0"/>
    <w:rsid w:val="61887CCB"/>
    <w:rsid w:val="62E75DF1"/>
    <w:rsid w:val="676034DA"/>
    <w:rsid w:val="67AC4971"/>
    <w:rsid w:val="67FF4A19"/>
    <w:rsid w:val="6A7E62AA"/>
    <w:rsid w:val="6C4C3C21"/>
    <w:rsid w:val="6F2D45E9"/>
    <w:rsid w:val="722872EA"/>
    <w:rsid w:val="73591E51"/>
    <w:rsid w:val="74B135C7"/>
    <w:rsid w:val="75890F60"/>
    <w:rsid w:val="77B86783"/>
    <w:rsid w:val="7AA008BF"/>
    <w:rsid w:val="7D124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51"/>
    <w:qFormat/>
    <w:uiPriority w:val="9"/>
    <w:pPr>
      <w:keepNext/>
      <w:keepLines/>
      <w:spacing w:before="340" w:after="330" w:line="578" w:lineRule="auto"/>
      <w:outlineLvl w:val="0"/>
    </w:pPr>
    <w:rPr>
      <w:rFonts w:eastAsia="黑体"/>
      <w:b/>
      <w:bCs/>
      <w:kern w:val="44"/>
      <w:sz w:val="32"/>
      <w:szCs w:val="44"/>
      <w:lang w:val="zh-CN"/>
    </w:rPr>
  </w:style>
  <w:style w:type="paragraph" w:styleId="3">
    <w:name w:val="heading 2"/>
    <w:basedOn w:val="1"/>
    <w:next w:val="1"/>
    <w:link w:val="64"/>
    <w:qFormat/>
    <w:uiPriority w:val="9"/>
    <w:pPr>
      <w:keepNext/>
      <w:keepLines/>
      <w:spacing w:before="160" w:after="160"/>
      <w:outlineLvl w:val="1"/>
    </w:pPr>
    <w:rPr>
      <w:rFonts w:eastAsia="黑体"/>
      <w:color w:val="000000"/>
      <w:sz w:val="30"/>
      <w:szCs w:val="32"/>
    </w:rPr>
  </w:style>
  <w:style w:type="paragraph" w:styleId="4">
    <w:name w:val="heading 3"/>
    <w:basedOn w:val="1"/>
    <w:next w:val="1"/>
    <w:link w:val="82"/>
    <w:qFormat/>
    <w:uiPriority w:val="9"/>
    <w:pPr>
      <w:keepNext/>
      <w:keepLines/>
      <w:spacing w:before="260" w:after="260" w:line="416" w:lineRule="auto"/>
      <w:outlineLvl w:val="2"/>
    </w:pPr>
    <w:rPr>
      <w:b/>
      <w:bCs/>
      <w:sz w:val="32"/>
      <w:szCs w:val="32"/>
    </w:rPr>
  </w:style>
  <w:style w:type="paragraph" w:styleId="5">
    <w:name w:val="heading 4"/>
    <w:basedOn w:val="1"/>
    <w:next w:val="1"/>
    <w:link w:val="80"/>
    <w:qFormat/>
    <w:uiPriority w:val="0"/>
    <w:pPr>
      <w:keepNext/>
      <w:keepLines/>
      <w:spacing w:line="240" w:lineRule="auto"/>
      <w:jc w:val="left"/>
      <w:outlineLvl w:val="3"/>
    </w:pPr>
    <w:rPr>
      <w:rFonts w:ascii="黑体" w:hAnsi="Arial" w:eastAsia="黑体"/>
      <w:bCs/>
      <w:kern w:val="0"/>
      <w:sz w:val="21"/>
      <w:szCs w:val="28"/>
      <w:lang w:val="zh-CN"/>
    </w:rPr>
  </w:style>
  <w:style w:type="paragraph" w:styleId="6">
    <w:name w:val="heading 5"/>
    <w:basedOn w:val="1"/>
    <w:next w:val="1"/>
    <w:link w:val="217"/>
    <w:qFormat/>
    <w:uiPriority w:val="0"/>
    <w:pPr>
      <w:keepNext/>
      <w:keepLines/>
      <w:wordWrap w:val="0"/>
      <w:spacing w:line="240" w:lineRule="auto"/>
      <w:jc w:val="left"/>
      <w:outlineLvl w:val="4"/>
    </w:pPr>
    <w:rPr>
      <w:rFonts w:ascii="黑体" w:eastAsia="黑体"/>
      <w:caps/>
      <w:sz w:val="21"/>
      <w:lang w:val="zh-CN"/>
    </w:rPr>
  </w:style>
  <w:style w:type="paragraph" w:styleId="7">
    <w:name w:val="heading 6"/>
    <w:basedOn w:val="1"/>
    <w:next w:val="1"/>
    <w:link w:val="303"/>
    <w:qFormat/>
    <w:uiPriority w:val="0"/>
    <w:pPr>
      <w:keepNext/>
      <w:widowControl/>
      <w:spacing w:line="240" w:lineRule="auto"/>
      <w:ind w:firstLine="6160" w:firstLineChars="2200"/>
      <w:jc w:val="center"/>
      <w:outlineLvl w:val="5"/>
    </w:pPr>
    <w:rPr>
      <w:rFonts w:ascii="宋体" w:hAnsi="宋体"/>
      <w:kern w:val="0"/>
      <w:sz w:val="28"/>
      <w:szCs w:val="28"/>
      <w:lang w:val="zh-CN"/>
    </w:rPr>
  </w:style>
  <w:style w:type="paragraph" w:styleId="8">
    <w:name w:val="heading 7"/>
    <w:basedOn w:val="1"/>
    <w:next w:val="1"/>
    <w:link w:val="192"/>
    <w:qFormat/>
    <w:uiPriority w:val="0"/>
    <w:pPr>
      <w:keepNext/>
      <w:keepLines/>
      <w:tabs>
        <w:tab w:val="left" w:pos="1296"/>
      </w:tabs>
      <w:spacing w:before="240" w:after="64" w:line="320" w:lineRule="auto"/>
      <w:ind w:left="1296" w:hanging="1296"/>
      <w:outlineLvl w:val="6"/>
    </w:pPr>
    <w:rPr>
      <w:b/>
      <w:szCs w:val="20"/>
      <w:lang w:val="zh-CN"/>
    </w:rPr>
  </w:style>
  <w:style w:type="paragraph" w:styleId="9">
    <w:name w:val="heading 8"/>
    <w:basedOn w:val="1"/>
    <w:next w:val="1"/>
    <w:link w:val="172"/>
    <w:qFormat/>
    <w:uiPriority w:val="0"/>
    <w:pPr>
      <w:keepNext/>
      <w:keepLines/>
      <w:tabs>
        <w:tab w:val="left" w:pos="1440"/>
      </w:tabs>
      <w:spacing w:before="240" w:after="64" w:line="320" w:lineRule="auto"/>
      <w:ind w:left="1440" w:hanging="1440"/>
      <w:outlineLvl w:val="7"/>
    </w:pPr>
    <w:rPr>
      <w:rFonts w:ascii="Arial" w:hAnsi="Arial" w:eastAsia="黑体"/>
      <w:szCs w:val="20"/>
      <w:lang w:val="zh-CN"/>
    </w:rPr>
  </w:style>
  <w:style w:type="paragraph" w:styleId="10">
    <w:name w:val="heading 9"/>
    <w:basedOn w:val="1"/>
    <w:next w:val="1"/>
    <w:link w:val="187"/>
    <w:qFormat/>
    <w:uiPriority w:val="0"/>
    <w:pPr>
      <w:keepNext/>
      <w:keepLines/>
      <w:tabs>
        <w:tab w:val="left" w:pos="1584"/>
      </w:tabs>
      <w:spacing w:before="240" w:after="64" w:line="320" w:lineRule="auto"/>
      <w:ind w:left="1584" w:hanging="1584"/>
      <w:outlineLvl w:val="8"/>
    </w:pPr>
    <w:rPr>
      <w:rFonts w:ascii="Arial" w:hAnsi="Arial" w:eastAsia="黑体"/>
      <w:sz w:val="21"/>
      <w:szCs w:val="20"/>
      <w:lang w:val="zh-CN"/>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spacing w:line="240" w:lineRule="auto"/>
      <w:ind w:left="100" w:leftChars="400" w:hanging="200" w:hangingChars="200"/>
    </w:pPr>
    <w:rPr>
      <w:sz w:val="21"/>
      <w:szCs w:val="21"/>
    </w:rPr>
  </w:style>
  <w:style w:type="paragraph" w:styleId="12">
    <w:name w:val="Note Heading"/>
    <w:basedOn w:val="1"/>
    <w:next w:val="1"/>
    <w:link w:val="290"/>
    <w:qFormat/>
    <w:uiPriority w:val="0"/>
    <w:pPr>
      <w:spacing w:line="240" w:lineRule="auto"/>
      <w:jc w:val="center"/>
    </w:pPr>
    <w:rPr>
      <w:rFonts w:ascii="宋体" w:hAnsiTheme="minorHAnsi" w:eastAsiaTheme="minorEastAsia" w:cstheme="minorBidi"/>
      <w:sz w:val="21"/>
      <w:szCs w:val="22"/>
    </w:rPr>
  </w:style>
  <w:style w:type="paragraph" w:styleId="13">
    <w:name w:val="Normal Indent"/>
    <w:basedOn w:val="1"/>
    <w:link w:val="246"/>
    <w:qFormat/>
    <w:uiPriority w:val="0"/>
    <w:pPr>
      <w:spacing w:line="240" w:lineRule="auto"/>
      <w:ind w:firstLine="420"/>
    </w:pPr>
    <w:rPr>
      <w:rFonts w:asciiTheme="minorHAnsi" w:hAnsiTheme="minorHAnsi" w:eastAsiaTheme="minorEastAsia" w:cstheme="minorBidi"/>
      <w:sz w:val="21"/>
      <w:szCs w:val="22"/>
    </w:rPr>
  </w:style>
  <w:style w:type="paragraph" w:styleId="14">
    <w:name w:val="caption"/>
    <w:basedOn w:val="1"/>
    <w:next w:val="1"/>
    <w:qFormat/>
    <w:uiPriority w:val="0"/>
    <w:pPr>
      <w:spacing w:before="152" w:after="160" w:line="240" w:lineRule="auto"/>
    </w:pPr>
    <w:rPr>
      <w:rFonts w:ascii="Arial" w:hAnsi="Arial" w:eastAsia="黑体"/>
      <w:sz w:val="20"/>
      <w:szCs w:val="20"/>
    </w:rPr>
  </w:style>
  <w:style w:type="paragraph" w:styleId="15">
    <w:name w:val="Document Map"/>
    <w:basedOn w:val="1"/>
    <w:link w:val="281"/>
    <w:semiHidden/>
    <w:qFormat/>
    <w:uiPriority w:val="0"/>
    <w:pPr>
      <w:shd w:val="clear" w:color="auto" w:fill="000080"/>
    </w:pPr>
    <w:rPr>
      <w:rFonts w:asciiTheme="minorHAnsi" w:hAnsiTheme="minorHAnsi" w:eastAsiaTheme="minorEastAsia" w:cstheme="minorBidi"/>
    </w:rPr>
  </w:style>
  <w:style w:type="paragraph" w:styleId="16">
    <w:name w:val="toa heading"/>
    <w:basedOn w:val="1"/>
    <w:next w:val="1"/>
    <w:qFormat/>
    <w:uiPriority w:val="0"/>
    <w:pPr>
      <w:spacing w:before="120" w:line="240" w:lineRule="auto"/>
    </w:pPr>
    <w:rPr>
      <w:rFonts w:ascii="Arial" w:hAnsi="Arial"/>
      <w:snapToGrid w:val="0"/>
      <w:kern w:val="0"/>
      <w:sz w:val="21"/>
      <w:szCs w:val="20"/>
    </w:rPr>
  </w:style>
  <w:style w:type="paragraph" w:styleId="17">
    <w:name w:val="annotation text"/>
    <w:basedOn w:val="1"/>
    <w:link w:val="201"/>
    <w:qFormat/>
    <w:uiPriority w:val="99"/>
    <w:pPr>
      <w:jc w:val="left"/>
    </w:pPr>
    <w:rPr>
      <w:rFonts w:asciiTheme="minorHAnsi" w:hAnsiTheme="minorHAnsi" w:eastAsiaTheme="minorEastAsia" w:cstheme="minorBidi"/>
    </w:rPr>
  </w:style>
  <w:style w:type="paragraph" w:styleId="18">
    <w:name w:val="Salutation"/>
    <w:basedOn w:val="1"/>
    <w:next w:val="1"/>
    <w:link w:val="86"/>
    <w:qFormat/>
    <w:uiPriority w:val="0"/>
    <w:pPr>
      <w:spacing w:line="240" w:lineRule="auto"/>
    </w:pPr>
    <w:rPr>
      <w:rFonts w:asciiTheme="minorHAnsi" w:hAnsiTheme="minorHAnsi" w:eastAsiaTheme="minorEastAsia" w:cstheme="minorBidi"/>
      <w:szCs w:val="22"/>
    </w:rPr>
  </w:style>
  <w:style w:type="paragraph" w:styleId="19">
    <w:name w:val="Body Text 3"/>
    <w:basedOn w:val="1"/>
    <w:link w:val="137"/>
    <w:qFormat/>
    <w:uiPriority w:val="0"/>
    <w:pPr>
      <w:spacing w:line="240" w:lineRule="auto"/>
      <w:jc w:val="center"/>
    </w:pPr>
    <w:rPr>
      <w:rFonts w:asciiTheme="minorHAnsi" w:hAnsiTheme="minorHAnsi" w:eastAsiaTheme="minorEastAsia" w:cstheme="minorBidi"/>
      <w:sz w:val="21"/>
    </w:rPr>
  </w:style>
  <w:style w:type="paragraph" w:styleId="20">
    <w:name w:val="Body Text"/>
    <w:basedOn w:val="1"/>
    <w:link w:val="180"/>
    <w:qFormat/>
    <w:uiPriority w:val="0"/>
    <w:pPr>
      <w:spacing w:line="240" w:lineRule="atLeast"/>
      <w:jc w:val="center"/>
    </w:pPr>
    <w:rPr>
      <w:rFonts w:ascii="宋体" w:hAnsi="宋体" w:eastAsiaTheme="minorEastAsia" w:cstheme="minorBidi"/>
      <w:b/>
      <w:szCs w:val="21"/>
    </w:rPr>
  </w:style>
  <w:style w:type="paragraph" w:styleId="21">
    <w:name w:val="Body Text Indent"/>
    <w:basedOn w:val="1"/>
    <w:link w:val="140"/>
    <w:qFormat/>
    <w:uiPriority w:val="0"/>
    <w:pPr>
      <w:spacing w:line="240" w:lineRule="auto"/>
      <w:ind w:firstLine="480" w:firstLineChars="200"/>
    </w:pPr>
    <w:rPr>
      <w:rFonts w:ascii="宋体" w:hAnsi="宋体" w:eastAsiaTheme="minorEastAsia" w:cstheme="minorBidi"/>
      <w:szCs w:val="28"/>
    </w:rPr>
  </w:style>
  <w:style w:type="paragraph" w:styleId="22">
    <w:name w:val="toc 3"/>
    <w:basedOn w:val="1"/>
    <w:next w:val="1"/>
    <w:unhideWhenUsed/>
    <w:qFormat/>
    <w:uiPriority w:val="39"/>
    <w:pPr>
      <w:ind w:left="840" w:leftChars="400"/>
    </w:pPr>
  </w:style>
  <w:style w:type="paragraph" w:styleId="23">
    <w:name w:val="Plain Text"/>
    <w:basedOn w:val="1"/>
    <w:link w:val="304"/>
    <w:qFormat/>
    <w:uiPriority w:val="0"/>
    <w:pPr>
      <w:spacing w:line="240" w:lineRule="auto"/>
    </w:pPr>
    <w:rPr>
      <w:rFonts w:ascii="宋体" w:hAnsi="Courier New" w:cs="Courier New" w:eastAsiaTheme="minorEastAsia"/>
      <w:sz w:val="21"/>
      <w:szCs w:val="21"/>
    </w:rPr>
  </w:style>
  <w:style w:type="paragraph" w:styleId="24">
    <w:name w:val="Date"/>
    <w:basedOn w:val="1"/>
    <w:next w:val="1"/>
    <w:link w:val="134"/>
    <w:qFormat/>
    <w:uiPriority w:val="0"/>
    <w:pPr>
      <w:spacing w:line="240" w:lineRule="auto"/>
      <w:ind w:left="100" w:leftChars="2500"/>
    </w:pPr>
    <w:rPr>
      <w:rFonts w:asciiTheme="minorHAnsi" w:hAnsiTheme="minorHAnsi" w:eastAsiaTheme="minorEastAsia" w:cstheme="minorBidi"/>
    </w:rPr>
  </w:style>
  <w:style w:type="paragraph" w:styleId="25">
    <w:name w:val="Body Text Indent 2"/>
    <w:basedOn w:val="1"/>
    <w:link w:val="263"/>
    <w:qFormat/>
    <w:uiPriority w:val="99"/>
    <w:pPr>
      <w:spacing w:after="120" w:line="480" w:lineRule="auto"/>
      <w:ind w:left="420" w:leftChars="200"/>
    </w:pPr>
    <w:rPr>
      <w:rFonts w:asciiTheme="minorHAnsi" w:hAnsiTheme="minorHAnsi" w:eastAsiaTheme="minorEastAsia" w:cstheme="minorBidi"/>
      <w:sz w:val="21"/>
    </w:rPr>
  </w:style>
  <w:style w:type="paragraph" w:styleId="26">
    <w:name w:val="Balloon Text"/>
    <w:basedOn w:val="1"/>
    <w:link w:val="124"/>
    <w:semiHidden/>
    <w:qFormat/>
    <w:uiPriority w:val="0"/>
    <w:rPr>
      <w:rFonts w:asciiTheme="minorHAnsi" w:hAnsiTheme="minorHAnsi" w:eastAsiaTheme="minorEastAsia" w:cstheme="minorBidi"/>
      <w:sz w:val="18"/>
      <w:szCs w:val="18"/>
    </w:rPr>
  </w:style>
  <w:style w:type="paragraph" w:styleId="27">
    <w:name w:val="footer"/>
    <w:basedOn w:val="1"/>
    <w:link w:val="266"/>
    <w:unhideWhenUsed/>
    <w:qFormat/>
    <w:uiPriority w:val="99"/>
    <w:pPr>
      <w:tabs>
        <w:tab w:val="center" w:pos="4153"/>
        <w:tab w:val="right" w:pos="8306"/>
      </w:tabs>
      <w:snapToGrid w:val="0"/>
      <w:jc w:val="left"/>
    </w:pPr>
    <w:rPr>
      <w:sz w:val="18"/>
      <w:szCs w:val="18"/>
    </w:rPr>
  </w:style>
  <w:style w:type="paragraph" w:styleId="28">
    <w:name w:val="header"/>
    <w:basedOn w:val="1"/>
    <w:link w:val="126"/>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style>
  <w:style w:type="paragraph" w:styleId="30">
    <w:name w:val="index heading"/>
    <w:basedOn w:val="1"/>
    <w:next w:val="31"/>
    <w:qFormat/>
    <w:uiPriority w:val="0"/>
    <w:pPr>
      <w:spacing w:line="240" w:lineRule="auto"/>
    </w:pPr>
    <w:rPr>
      <w:sz w:val="21"/>
      <w:szCs w:val="20"/>
    </w:rPr>
  </w:style>
  <w:style w:type="paragraph" w:styleId="31">
    <w:name w:val="index 1"/>
    <w:basedOn w:val="1"/>
    <w:next w:val="1"/>
    <w:semiHidden/>
    <w:qFormat/>
    <w:uiPriority w:val="0"/>
  </w:style>
  <w:style w:type="paragraph" w:styleId="32">
    <w:name w:val="List"/>
    <w:basedOn w:val="1"/>
    <w:next w:val="1"/>
    <w:qFormat/>
    <w:uiPriority w:val="0"/>
    <w:pPr>
      <w:keepNext/>
      <w:adjustRightInd w:val="0"/>
      <w:snapToGrid w:val="0"/>
      <w:spacing w:before="40" w:after="40" w:line="400" w:lineRule="exact"/>
      <w:jc w:val="center"/>
    </w:pPr>
    <w:rPr>
      <w:rFonts w:ascii="黑体" w:hAnsi="Arial" w:eastAsia="黑体"/>
      <w:spacing w:val="8"/>
      <w:kern w:val="24"/>
      <w:sz w:val="21"/>
      <w:szCs w:val="20"/>
    </w:rPr>
  </w:style>
  <w:style w:type="paragraph" w:styleId="33">
    <w:name w:val="footnote text"/>
    <w:basedOn w:val="1"/>
    <w:link w:val="274"/>
    <w:semiHidden/>
    <w:qFormat/>
    <w:uiPriority w:val="0"/>
    <w:pPr>
      <w:snapToGrid w:val="0"/>
      <w:jc w:val="left"/>
    </w:pPr>
    <w:rPr>
      <w:rFonts w:asciiTheme="minorHAnsi" w:hAnsiTheme="minorHAnsi" w:eastAsiaTheme="minorEastAsia" w:cstheme="minorBidi"/>
      <w:sz w:val="18"/>
      <w:szCs w:val="18"/>
    </w:rPr>
  </w:style>
  <w:style w:type="paragraph" w:styleId="34">
    <w:name w:val="Body Text Indent 3"/>
    <w:basedOn w:val="1"/>
    <w:link w:val="228"/>
    <w:qFormat/>
    <w:uiPriority w:val="0"/>
    <w:pPr>
      <w:ind w:firstLine="480" w:firstLineChars="200"/>
    </w:pPr>
    <w:rPr>
      <w:rFonts w:asciiTheme="minorHAnsi" w:hAnsiTheme="minorHAnsi" w:eastAsiaTheme="minorEastAsia" w:cstheme="minorBidi"/>
      <w:color w:val="000000"/>
    </w:rPr>
  </w:style>
  <w:style w:type="paragraph" w:styleId="35">
    <w:name w:val="table of figures"/>
    <w:basedOn w:val="1"/>
    <w:next w:val="1"/>
    <w:semiHidden/>
    <w:qFormat/>
    <w:uiPriority w:val="0"/>
    <w:pPr>
      <w:jc w:val="left"/>
    </w:pPr>
    <w:rPr>
      <w:i/>
      <w:iCs/>
      <w:sz w:val="20"/>
      <w:szCs w:val="20"/>
    </w:rPr>
  </w:style>
  <w:style w:type="paragraph" w:styleId="36">
    <w:name w:val="toc 2"/>
    <w:basedOn w:val="1"/>
    <w:next w:val="1"/>
    <w:unhideWhenUsed/>
    <w:qFormat/>
    <w:uiPriority w:val="39"/>
    <w:pPr>
      <w:ind w:left="420" w:leftChars="200"/>
    </w:pPr>
  </w:style>
  <w:style w:type="paragraph" w:styleId="37">
    <w:name w:val="Body Text 2"/>
    <w:basedOn w:val="1"/>
    <w:link w:val="162"/>
    <w:qFormat/>
    <w:uiPriority w:val="0"/>
    <w:rPr>
      <w:rFonts w:ascii="宋体" w:hAnsi="宋体" w:eastAsiaTheme="minorEastAsia" w:cstheme="minorBidi"/>
      <w:szCs w:val="28"/>
    </w:rPr>
  </w:style>
  <w:style w:type="paragraph" w:styleId="38">
    <w:name w:val="HTML Preformatted"/>
    <w:basedOn w:val="1"/>
    <w:link w:val="2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cs="宋体" w:eastAsiaTheme="minorEastAsia"/>
    </w:rPr>
  </w:style>
  <w:style w:type="paragraph" w:styleId="39">
    <w:name w:val="Normal (Web)"/>
    <w:basedOn w:val="1"/>
    <w:qFormat/>
    <w:uiPriority w:val="99"/>
    <w:pPr>
      <w:widowControl/>
      <w:spacing w:before="100" w:beforeAutospacing="1" w:after="100" w:afterAutospacing="1" w:line="240" w:lineRule="auto"/>
      <w:jc w:val="left"/>
    </w:pPr>
    <w:rPr>
      <w:rFonts w:ascii="Arial Unicode MS" w:hAnsi="Arial Unicode MS" w:eastAsia="Arial Unicode MS" w:cs="Arial Unicode MS"/>
      <w:kern w:val="0"/>
    </w:rPr>
  </w:style>
  <w:style w:type="paragraph" w:styleId="40">
    <w:name w:val="annotation subject"/>
    <w:basedOn w:val="17"/>
    <w:next w:val="17"/>
    <w:link w:val="282"/>
    <w:semiHidden/>
    <w:qFormat/>
    <w:uiPriority w:val="0"/>
    <w:rPr>
      <w:b/>
      <w:bCs/>
    </w:rPr>
  </w:style>
  <w:style w:type="paragraph" w:styleId="41">
    <w:name w:val="Body Text First Indent"/>
    <w:basedOn w:val="20"/>
    <w:link w:val="267"/>
    <w:semiHidden/>
    <w:unhideWhenUsed/>
    <w:qFormat/>
    <w:uiPriority w:val="0"/>
    <w:pPr>
      <w:spacing w:after="120" w:line="360" w:lineRule="auto"/>
      <w:ind w:firstLine="420" w:firstLineChars="100"/>
      <w:jc w:val="both"/>
    </w:pPr>
    <w:rPr>
      <w:szCs w:val="24"/>
    </w:rPr>
  </w:style>
  <w:style w:type="paragraph" w:styleId="42">
    <w:name w:val="Body Text First Indent 2"/>
    <w:basedOn w:val="21"/>
    <w:link w:val="184"/>
    <w:semiHidden/>
    <w:unhideWhenUsed/>
    <w:qFormat/>
    <w:uiPriority w:val="0"/>
    <w:pPr>
      <w:spacing w:after="120" w:line="360" w:lineRule="auto"/>
      <w:ind w:left="420" w:leftChars="200" w:firstLine="420"/>
    </w:pPr>
    <w:rPr>
      <w:lang w:val="en-GB" w:eastAsia="en-US"/>
    </w:rPr>
  </w:style>
  <w:style w:type="table" w:styleId="44">
    <w:name w:val="Table Grid"/>
    <w:basedOn w:val="43"/>
    <w:qFormat/>
    <w:uiPriority w:val="0"/>
    <w:pPr>
      <w:widowControl w:val="0"/>
      <w:spacing w:line="520" w:lineRule="exact"/>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b/>
      <w:bCs/>
      <w:sz w:val="21"/>
      <w:szCs w:val="20"/>
    </w:rPr>
  </w:style>
  <w:style w:type="character" w:styleId="47">
    <w:name w:val="page number"/>
    <w:basedOn w:val="45"/>
    <w:qFormat/>
    <w:uiPriority w:val="0"/>
    <w:rPr>
      <w:sz w:val="21"/>
      <w:szCs w:val="20"/>
    </w:rPr>
  </w:style>
  <w:style w:type="character" w:styleId="48">
    <w:name w:val="FollowedHyperlink"/>
    <w:qFormat/>
    <w:uiPriority w:val="0"/>
    <w:rPr>
      <w:color w:val="800080"/>
      <w:sz w:val="21"/>
      <w:szCs w:val="20"/>
      <w:u w:val="single"/>
    </w:rPr>
  </w:style>
  <w:style w:type="character" w:styleId="49">
    <w:name w:val="Emphasis"/>
    <w:qFormat/>
    <w:uiPriority w:val="0"/>
    <w:rPr>
      <w:i/>
      <w:sz w:val="21"/>
      <w:szCs w:val="20"/>
    </w:rPr>
  </w:style>
  <w:style w:type="character" w:styleId="50">
    <w:name w:val="Hyperlink"/>
    <w:qFormat/>
    <w:uiPriority w:val="99"/>
    <w:rPr>
      <w:color w:val="0000FF"/>
      <w:sz w:val="21"/>
      <w:szCs w:val="20"/>
      <w:u w:val="single"/>
    </w:rPr>
  </w:style>
  <w:style w:type="character" w:styleId="51">
    <w:name w:val="annotation reference"/>
    <w:qFormat/>
    <w:uiPriority w:val="99"/>
    <w:rPr>
      <w:sz w:val="21"/>
      <w:szCs w:val="21"/>
    </w:rPr>
  </w:style>
  <w:style w:type="character" w:styleId="52">
    <w:name w:val="footnote reference"/>
    <w:semiHidden/>
    <w:qFormat/>
    <w:uiPriority w:val="0"/>
    <w:rPr>
      <w:sz w:val="21"/>
      <w:szCs w:val="20"/>
      <w:vertAlign w:val="superscript"/>
    </w:rPr>
  </w:style>
  <w:style w:type="paragraph" w:customStyle="1" w:styleId="53">
    <w:name w:val="样式 样式 标题 1 + (西文) Arial (中文) 黑体 三号 两端对齐 首行缩进:  0.87 厘米 段前: 6 磅.....1"/>
    <w:basedOn w:val="3"/>
    <w:link w:val="205"/>
    <w:qFormat/>
    <w:uiPriority w:val="0"/>
    <w:rPr>
      <w:rFonts w:ascii="Arial Unicode MS" w:hAnsi="Arial Unicode MS" w:eastAsia="Arial Unicode MS" w:cstheme="minorBidi"/>
      <w:kern w:val="30"/>
      <w:sz w:val="32"/>
    </w:rPr>
  </w:style>
  <w:style w:type="paragraph" w:customStyle="1" w:styleId="54">
    <w:name w:val="图名"/>
    <w:basedOn w:val="1"/>
    <w:qFormat/>
    <w:uiPriority w:val="0"/>
    <w:pPr>
      <w:spacing w:line="240" w:lineRule="auto"/>
      <w:jc w:val="center"/>
    </w:pPr>
    <w:rPr>
      <w:rFonts w:ascii="宋体" w:hAnsi="宋体"/>
      <w:sz w:val="21"/>
      <w:szCs w:val="20"/>
    </w:rPr>
  </w:style>
  <w:style w:type="paragraph" w:customStyle="1" w:styleId="55">
    <w:name w:val="默认段落字体 Para Char Char Char Char Char Char Char Char Char Char"/>
    <w:basedOn w:val="4"/>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napToGrid w:val="0"/>
      <w:sz w:val="24"/>
      <w:szCs w:val="24"/>
    </w:rPr>
  </w:style>
  <w:style w:type="character" w:customStyle="1" w:styleId="56">
    <w:name w:val="Char Char3"/>
    <w:qFormat/>
    <w:uiPriority w:val="0"/>
    <w:rPr>
      <w:rFonts w:eastAsia="黑体"/>
      <w:color w:val="000000"/>
      <w:kern w:val="2"/>
      <w:sz w:val="30"/>
      <w:szCs w:val="32"/>
      <w:lang w:val="en-US" w:eastAsia="zh-CN" w:bidi="ar-SA"/>
    </w:rPr>
  </w:style>
  <w:style w:type="paragraph" w:customStyle="1" w:styleId="57">
    <w:name w:val="标题二"/>
    <w:basedOn w:val="58"/>
    <w:link w:val="108"/>
    <w:qFormat/>
    <w:uiPriority w:val="0"/>
  </w:style>
  <w:style w:type="paragraph" w:customStyle="1" w:styleId="58">
    <w:name w:val="样式 标题 2 + Arial Unicode MS 13 磅 加粗"/>
    <w:basedOn w:val="3"/>
    <w:link w:val="109"/>
    <w:qFormat/>
    <w:uiPriority w:val="0"/>
    <w:rPr>
      <w:rFonts w:ascii="Arial Unicode MS" w:hAnsi="Arial Unicode MS" w:eastAsia="Arial Unicode MS" w:cstheme="minorBidi"/>
      <w:b/>
      <w:bCs/>
      <w:w w:val="90"/>
      <w:kern w:val="28"/>
      <w:sz w:val="28"/>
    </w:rPr>
  </w:style>
  <w:style w:type="character" w:customStyle="1" w:styleId="59">
    <w:name w:val="正文缩进 Char1"/>
    <w:qFormat/>
    <w:uiPriority w:val="0"/>
    <w:rPr>
      <w:rFonts w:ascii="楷体_GB2312" w:hAnsi="Times New Roman" w:eastAsia="楷体_GB2312" w:cs="Times New Roman"/>
      <w:spacing w:val="8"/>
      <w:kern w:val="0"/>
      <w:sz w:val="24"/>
      <w:szCs w:val="20"/>
    </w:rPr>
  </w:style>
  <w:style w:type="paragraph" w:customStyle="1" w:styleId="60">
    <w:name w:val="书图表标题"/>
    <w:basedOn w:val="1"/>
    <w:next w:val="1"/>
    <w:qFormat/>
    <w:uiPriority w:val="0"/>
    <w:pPr>
      <w:spacing w:line="520" w:lineRule="exact"/>
      <w:jc w:val="center"/>
    </w:pPr>
    <w:rPr>
      <w:rFonts w:eastAsia="黑体"/>
    </w:rPr>
  </w:style>
  <w:style w:type="paragraph" w:customStyle="1" w:styleId="61">
    <w:name w:val="reader-word-layer reader-word-s9-22 reader-word-s9-23"/>
    <w:basedOn w:val="1"/>
    <w:qFormat/>
    <w:uiPriority w:val="0"/>
    <w:pPr>
      <w:widowControl/>
      <w:spacing w:before="100" w:beforeAutospacing="1" w:after="100" w:afterAutospacing="1" w:line="240" w:lineRule="auto"/>
      <w:jc w:val="left"/>
    </w:pPr>
    <w:rPr>
      <w:rFonts w:ascii="宋体" w:hAnsi="宋体" w:cs="宋体"/>
      <w:kern w:val="0"/>
    </w:rPr>
  </w:style>
  <w:style w:type="character" w:customStyle="1" w:styleId="62">
    <w:name w:val="style21"/>
    <w:qFormat/>
    <w:uiPriority w:val="0"/>
    <w:rPr>
      <w:rFonts w:ascii="黑体" w:eastAsia="黑体"/>
      <w:color w:val="0000FF"/>
      <w:kern w:val="2"/>
      <w:sz w:val="21"/>
      <w:szCs w:val="21"/>
      <w:lang w:val="en-US" w:eastAsia="zh-CN" w:bidi="ar-SA"/>
    </w:rPr>
  </w:style>
  <w:style w:type="character" w:customStyle="1" w:styleId="63">
    <w:name w:val="页脚 字符1"/>
    <w:basedOn w:val="45"/>
    <w:semiHidden/>
    <w:qFormat/>
    <w:uiPriority w:val="99"/>
    <w:rPr>
      <w:kern w:val="2"/>
      <w:sz w:val="18"/>
      <w:szCs w:val="18"/>
    </w:rPr>
  </w:style>
  <w:style w:type="character" w:customStyle="1" w:styleId="64">
    <w:name w:val="标题 2 字符"/>
    <w:basedOn w:val="45"/>
    <w:link w:val="3"/>
    <w:qFormat/>
    <w:uiPriority w:val="0"/>
    <w:rPr>
      <w:rFonts w:ascii="Times New Roman" w:hAnsi="Times New Roman" w:eastAsia="黑体" w:cs="Times New Roman"/>
      <w:color w:val="000000"/>
      <w:sz w:val="30"/>
      <w:szCs w:val="32"/>
    </w:rPr>
  </w:style>
  <w:style w:type="paragraph" w:customStyle="1" w:styleId="65">
    <w:name w:val="表中字"/>
    <w:qFormat/>
    <w:uiPriority w:val="0"/>
    <w:pPr>
      <w:adjustRightInd w:val="0"/>
      <w:snapToGrid w:val="0"/>
      <w:jc w:val="center"/>
    </w:pPr>
    <w:rPr>
      <w:rFonts w:ascii="Times New Roman" w:hAnsi="Times New Roman" w:eastAsia="宋体" w:cs="Times New Roman"/>
      <w:snapToGrid w:val="0"/>
      <w:sz w:val="21"/>
      <w:szCs w:val="21"/>
      <w:lang w:val="en-US" w:eastAsia="zh-CN" w:bidi="ar-SA"/>
    </w:rPr>
  </w:style>
  <w:style w:type="character" w:customStyle="1" w:styleId="66">
    <w:name w:val="批注文字 Char1"/>
    <w:semiHidden/>
    <w:qFormat/>
    <w:uiPriority w:val="99"/>
    <w:rPr>
      <w:kern w:val="2"/>
      <w:sz w:val="24"/>
      <w:szCs w:val="24"/>
    </w:rPr>
  </w:style>
  <w:style w:type="paragraph" w:customStyle="1" w:styleId="67">
    <w:name w:val="样式 (西文) Arial 五号 居中 首行缩进:  2 字符"/>
    <w:basedOn w:val="1"/>
    <w:qFormat/>
    <w:uiPriority w:val="0"/>
    <w:pPr>
      <w:snapToGrid w:val="0"/>
      <w:spacing w:line="400" w:lineRule="exact"/>
      <w:ind w:firstLine="460" w:firstLineChars="200"/>
      <w:jc w:val="center"/>
    </w:pPr>
    <w:rPr>
      <w:snapToGrid w:val="0"/>
      <w:spacing w:val="10"/>
      <w:kern w:val="24"/>
      <w:sz w:val="21"/>
      <w:szCs w:val="21"/>
    </w:rPr>
  </w:style>
  <w:style w:type="paragraph" w:customStyle="1" w:styleId="68">
    <w:name w:val="附录四级条标题"/>
    <w:basedOn w:val="69"/>
    <w:next w:val="1"/>
    <w:qFormat/>
    <w:uiPriority w:val="0"/>
    <w:pPr>
      <w:numPr>
        <w:ilvl w:val="4"/>
      </w:numPr>
      <w:outlineLvl w:val="5"/>
    </w:pPr>
  </w:style>
  <w:style w:type="paragraph" w:customStyle="1" w:styleId="69">
    <w:name w:val="附录三级条标题"/>
    <w:basedOn w:val="70"/>
    <w:next w:val="1"/>
    <w:qFormat/>
    <w:uiPriority w:val="0"/>
    <w:pPr>
      <w:numPr>
        <w:ilvl w:val="3"/>
      </w:numPr>
      <w:outlineLvl w:val="4"/>
    </w:pPr>
  </w:style>
  <w:style w:type="paragraph" w:customStyle="1" w:styleId="70">
    <w:name w:val="附录二级条标题"/>
    <w:basedOn w:val="71"/>
    <w:next w:val="1"/>
    <w:qFormat/>
    <w:uiPriority w:val="0"/>
    <w:pPr>
      <w:numPr>
        <w:ilvl w:val="2"/>
      </w:numPr>
      <w:outlineLvl w:val="3"/>
    </w:pPr>
  </w:style>
  <w:style w:type="paragraph" w:customStyle="1" w:styleId="71">
    <w:name w:val="附录一级条标题"/>
    <w:basedOn w:val="1"/>
    <w:next w:val="1"/>
    <w:qFormat/>
    <w:uiPriority w:val="0"/>
    <w:pPr>
      <w:widowControl/>
      <w:numPr>
        <w:ilvl w:val="1"/>
        <w:numId w:val="1"/>
      </w:numPr>
      <w:wordWrap w:val="0"/>
      <w:overflowPunct w:val="0"/>
      <w:autoSpaceDE w:val="0"/>
      <w:autoSpaceDN w:val="0"/>
      <w:spacing w:line="240" w:lineRule="auto"/>
      <w:textAlignment w:val="baseline"/>
      <w:outlineLvl w:val="2"/>
    </w:pPr>
    <w:rPr>
      <w:rFonts w:ascii="黑体" w:eastAsia="黑体"/>
      <w:kern w:val="21"/>
      <w:sz w:val="21"/>
      <w:szCs w:val="20"/>
    </w:rPr>
  </w:style>
  <w:style w:type="paragraph" w:customStyle="1" w:styleId="72">
    <w:name w:val="附录标识"/>
    <w:basedOn w:val="1"/>
    <w:qFormat/>
    <w:uiPriority w:val="0"/>
    <w:pPr>
      <w:widowControl/>
      <w:numPr>
        <w:ilvl w:val="0"/>
        <w:numId w:val="1"/>
      </w:numPr>
      <w:shd w:val="clear" w:color="FFFFFF" w:fill="FFFFFF"/>
      <w:tabs>
        <w:tab w:val="left" w:pos="6405"/>
      </w:tabs>
      <w:spacing w:before="640" w:after="200" w:line="240" w:lineRule="auto"/>
      <w:jc w:val="center"/>
      <w:outlineLvl w:val="0"/>
    </w:pPr>
    <w:rPr>
      <w:rFonts w:ascii="黑体" w:eastAsia="黑体"/>
      <w:kern w:val="0"/>
      <w:sz w:val="21"/>
      <w:szCs w:val="20"/>
    </w:rPr>
  </w:style>
  <w:style w:type="paragraph" w:customStyle="1" w:styleId="73">
    <w:name w:val="表格居中"/>
    <w:basedOn w:val="1"/>
    <w:qFormat/>
    <w:uiPriority w:val="0"/>
    <w:pPr>
      <w:spacing w:line="240" w:lineRule="auto"/>
      <w:jc w:val="center"/>
    </w:pPr>
    <w:rPr>
      <w:szCs w:val="20"/>
    </w:rPr>
  </w:style>
  <w:style w:type="paragraph" w:customStyle="1" w:styleId="74">
    <w:name w:val="xl64"/>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eastAsia="Arial Unicode MS"/>
      <w:color w:val="000000"/>
      <w:kern w:val="0"/>
      <w:sz w:val="21"/>
      <w:szCs w:val="20"/>
    </w:rPr>
  </w:style>
  <w:style w:type="paragraph" w:customStyle="1" w:styleId="75">
    <w:name w:val="Char Char Char Char Char Char Char1"/>
    <w:basedOn w:val="1"/>
    <w:qFormat/>
    <w:uiPriority w:val="0"/>
    <w:pPr>
      <w:ind w:firstLine="200" w:firstLineChars="200"/>
    </w:pPr>
    <w:rPr>
      <w:rFonts w:ascii="宋体" w:hAnsi="宋体" w:cs="宋体"/>
    </w:rPr>
  </w:style>
  <w:style w:type="paragraph" w:customStyle="1" w:styleId="76">
    <w:name w:val="样式 标题 1 + (西文) Arial (中文) 黑体 三号 两端对齐 段前: 6 磅..."/>
    <w:basedOn w:val="1"/>
    <w:qFormat/>
    <w:uiPriority w:val="0"/>
    <w:pPr>
      <w:pageBreakBefore/>
      <w:widowControl/>
      <w:spacing w:before="160" w:after="160" w:line="500" w:lineRule="exact"/>
      <w:ind w:firstLine="493"/>
    </w:pPr>
    <w:rPr>
      <w:rFonts w:ascii="Arial" w:hAnsi="Arial" w:eastAsia="黑体" w:cs="宋体"/>
      <w:b/>
      <w:bCs/>
      <w:spacing w:val="16"/>
      <w:w w:val="90"/>
      <w:kern w:val="32"/>
      <w:sz w:val="32"/>
      <w:szCs w:val="32"/>
    </w:rPr>
  </w:style>
  <w:style w:type="paragraph" w:customStyle="1" w:styleId="77">
    <w:name w:val="流程文字"/>
    <w:basedOn w:val="1"/>
    <w:qFormat/>
    <w:uiPriority w:val="0"/>
    <w:pPr>
      <w:tabs>
        <w:tab w:val="left" w:pos="6480"/>
      </w:tabs>
      <w:topLinePunct/>
      <w:adjustRightInd w:val="0"/>
      <w:snapToGrid w:val="0"/>
      <w:spacing w:line="240" w:lineRule="auto"/>
      <w:jc w:val="center"/>
    </w:pPr>
    <w:rPr>
      <w:rFonts w:eastAsia="仿宋_GB2312"/>
      <w:szCs w:val="20"/>
    </w:rPr>
  </w:style>
  <w:style w:type="paragraph" w:customStyle="1" w:styleId="78">
    <w:name w:val="样式4"/>
    <w:basedOn w:val="1"/>
    <w:qFormat/>
    <w:uiPriority w:val="0"/>
    <w:pPr>
      <w:tabs>
        <w:tab w:val="left" w:pos="936"/>
        <w:tab w:val="left" w:pos="987"/>
      </w:tabs>
      <w:adjustRightInd w:val="0"/>
      <w:snapToGrid w:val="0"/>
      <w:spacing w:before="50" w:beforeLines="50" w:after="50" w:afterLines="50"/>
      <w:ind w:left="936" w:hanging="576"/>
      <w:jc w:val="left"/>
      <w:outlineLvl w:val="1"/>
    </w:pPr>
    <w:rPr>
      <w:rFonts w:eastAsia="黑体"/>
      <w:b/>
    </w:rPr>
  </w:style>
  <w:style w:type="paragraph" w:customStyle="1" w:styleId="79">
    <w:name w:val="xl3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40" w:lineRule="auto"/>
      <w:jc w:val="center"/>
      <w:textAlignment w:val="center"/>
    </w:pPr>
    <w:rPr>
      <w:rFonts w:ascii="Arial" w:hAnsi="Arial" w:eastAsia="Arial Unicode MS" w:cs="Arial"/>
      <w:kern w:val="0"/>
      <w:sz w:val="22"/>
      <w:szCs w:val="22"/>
    </w:rPr>
  </w:style>
  <w:style w:type="character" w:customStyle="1" w:styleId="80">
    <w:name w:val="标题 4 字符"/>
    <w:basedOn w:val="45"/>
    <w:link w:val="5"/>
    <w:qFormat/>
    <w:uiPriority w:val="0"/>
    <w:rPr>
      <w:rFonts w:ascii="黑体" w:hAnsi="Arial" w:eastAsia="黑体" w:cs="Times New Roman"/>
      <w:bCs/>
      <w:kern w:val="0"/>
      <w:szCs w:val="28"/>
      <w:lang w:val="zh-CN" w:eastAsia="zh-CN"/>
    </w:rPr>
  </w:style>
  <w:style w:type="paragraph" w:customStyle="1" w:styleId="81">
    <w:name w:val="说明书"/>
    <w:basedOn w:val="1"/>
    <w:qFormat/>
    <w:uiPriority w:val="0"/>
    <w:pPr>
      <w:adjustRightInd w:val="0"/>
      <w:ind w:firstLine="425"/>
      <w:textAlignment w:val="baseline"/>
    </w:pPr>
    <w:rPr>
      <w:rFonts w:ascii="宋体" w:hAnsi="Arial"/>
      <w:kern w:val="0"/>
      <w:sz w:val="28"/>
      <w:szCs w:val="20"/>
    </w:rPr>
  </w:style>
  <w:style w:type="character" w:customStyle="1" w:styleId="82">
    <w:name w:val="标题 3 字符"/>
    <w:basedOn w:val="45"/>
    <w:link w:val="4"/>
    <w:qFormat/>
    <w:uiPriority w:val="0"/>
    <w:rPr>
      <w:rFonts w:ascii="Times New Roman" w:hAnsi="Times New Roman" w:eastAsia="宋体" w:cs="Times New Roman"/>
      <w:b/>
      <w:bCs/>
      <w:sz w:val="32"/>
      <w:szCs w:val="32"/>
    </w:rPr>
  </w:style>
  <w:style w:type="character" w:customStyle="1" w:styleId="83">
    <w:name w:val="纯文本 Char"/>
    <w:qFormat/>
    <w:uiPriority w:val="0"/>
    <w:rPr>
      <w:rFonts w:ascii="宋体" w:hAnsi="Courier New" w:eastAsia="宋体" w:cs="Courier New"/>
      <w:kern w:val="2"/>
      <w:sz w:val="21"/>
      <w:szCs w:val="21"/>
      <w:lang w:val="en-US" w:eastAsia="zh-CN" w:bidi="ar-SA"/>
    </w:rPr>
  </w:style>
  <w:style w:type="character" w:customStyle="1" w:styleId="84">
    <w:name w:val="正文文本缩进 3 字符1"/>
    <w:basedOn w:val="45"/>
    <w:semiHidden/>
    <w:qFormat/>
    <w:uiPriority w:val="99"/>
    <w:rPr>
      <w:rFonts w:ascii="Times New Roman" w:hAnsi="Times New Roman" w:eastAsia="宋体" w:cs="Times New Roman"/>
      <w:sz w:val="16"/>
      <w:szCs w:val="16"/>
    </w:rPr>
  </w:style>
  <w:style w:type="paragraph" w:customStyle="1" w:styleId="85">
    <w:name w:val="样式3"/>
    <w:basedOn w:val="1"/>
    <w:qFormat/>
    <w:uiPriority w:val="0"/>
    <w:pPr>
      <w:spacing w:line="240" w:lineRule="auto"/>
    </w:pPr>
    <w:rPr>
      <w:sz w:val="21"/>
    </w:rPr>
  </w:style>
  <w:style w:type="character" w:customStyle="1" w:styleId="86">
    <w:name w:val="称呼 字符"/>
    <w:link w:val="18"/>
    <w:qFormat/>
    <w:uiPriority w:val="0"/>
    <w:rPr>
      <w:sz w:val="24"/>
    </w:rPr>
  </w:style>
  <w:style w:type="paragraph" w:customStyle="1" w:styleId="87">
    <w:name w:val="杨梅-小标题"/>
    <w:basedOn w:val="3"/>
    <w:qFormat/>
    <w:uiPriority w:val="0"/>
    <w:pPr>
      <w:keepNext w:val="0"/>
      <w:keepLines w:val="0"/>
      <w:spacing w:before="0" w:after="50" w:afterLines="50" w:line="440" w:lineRule="exact"/>
      <w:ind w:firstLine="200" w:firstLineChars="200"/>
      <w:jc w:val="left"/>
    </w:pPr>
    <w:rPr>
      <w:rFonts w:ascii="方正书宋简体" w:hAnsi="方正书宋简体" w:eastAsia="方正书宋简体" w:cs="方正书宋简体"/>
      <w:color w:val="auto"/>
      <w:kern w:val="0"/>
      <w:sz w:val="24"/>
      <w:szCs w:val="24"/>
    </w:rPr>
  </w:style>
  <w:style w:type="paragraph" w:customStyle="1" w:styleId="88">
    <w:name w:val="reader-word-layer reader-word-s9-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89">
    <w:name w:val="font7"/>
    <w:basedOn w:val="1"/>
    <w:qFormat/>
    <w:uiPriority w:val="0"/>
    <w:pPr>
      <w:widowControl/>
      <w:spacing w:before="100" w:beforeAutospacing="1" w:after="100" w:afterAutospacing="1" w:line="240" w:lineRule="auto"/>
      <w:jc w:val="left"/>
    </w:pPr>
    <w:rPr>
      <w:rFonts w:eastAsia="Arial Unicode MS"/>
      <w:kern w:val="0"/>
      <w:sz w:val="22"/>
      <w:szCs w:val="22"/>
    </w:rPr>
  </w:style>
  <w:style w:type="paragraph" w:customStyle="1" w:styleId="90">
    <w:name w:val="真正文"/>
    <w:basedOn w:val="1"/>
    <w:link w:val="139"/>
    <w:qFormat/>
    <w:uiPriority w:val="0"/>
    <w:pPr>
      <w:ind w:firstLine="480" w:firstLineChars="200"/>
    </w:pPr>
    <w:rPr>
      <w:rFonts w:asciiTheme="minorHAnsi" w:hAnsiTheme="minorHAnsi" w:eastAsiaTheme="minorEastAsia" w:cstheme="minorBidi"/>
    </w:rPr>
  </w:style>
  <w:style w:type="paragraph" w:customStyle="1" w:styleId="91">
    <w:name w:val="ST20_6"/>
    <w:basedOn w:val="1"/>
    <w:qFormat/>
    <w:uiPriority w:val="0"/>
    <w:pPr>
      <w:keepNext/>
      <w:autoSpaceDE w:val="0"/>
      <w:autoSpaceDN w:val="0"/>
      <w:adjustRightInd w:val="0"/>
      <w:spacing w:after="160" w:line="360" w:lineRule="atLeast"/>
      <w:jc w:val="left"/>
      <w:textAlignment w:val="baseline"/>
    </w:pPr>
    <w:rPr>
      <w:rFonts w:ascii="宋体" w:hAnsi="Tms Rmn"/>
      <w:kern w:val="0"/>
      <w:sz w:val="28"/>
      <w:szCs w:val="20"/>
    </w:rPr>
  </w:style>
  <w:style w:type="paragraph" w:customStyle="1" w:styleId="92">
    <w:name w:val="3"/>
    <w:basedOn w:val="1"/>
    <w:next w:val="13"/>
    <w:qFormat/>
    <w:uiPriority w:val="0"/>
    <w:pPr>
      <w:adjustRightInd w:val="0"/>
      <w:snapToGrid w:val="0"/>
      <w:spacing w:line="300" w:lineRule="auto"/>
      <w:ind w:firstLine="560" w:firstLineChars="200"/>
    </w:pPr>
    <w:rPr>
      <w:rFonts w:ascii="宋体"/>
      <w:sz w:val="28"/>
    </w:rPr>
  </w:style>
  <w:style w:type="character" w:customStyle="1" w:styleId="93">
    <w:name w:val="search_content1"/>
    <w:qFormat/>
    <w:uiPriority w:val="0"/>
    <w:rPr>
      <w:sz w:val="20"/>
      <w:szCs w:val="20"/>
    </w:rPr>
  </w:style>
  <w:style w:type="character" w:customStyle="1" w:styleId="94">
    <w:name w:val="bt21"/>
    <w:qFormat/>
    <w:uiPriority w:val="0"/>
    <w:rPr>
      <w:rFonts w:hint="eastAsia" w:ascii="黑体" w:eastAsia="黑体"/>
      <w:sz w:val="24"/>
      <w:szCs w:val="24"/>
    </w:rPr>
  </w:style>
  <w:style w:type="character" w:customStyle="1" w:styleId="95">
    <w:name w:val="9css21"/>
    <w:qFormat/>
    <w:uiPriority w:val="0"/>
    <w:rPr>
      <w:spacing w:val="268"/>
      <w:sz w:val="20"/>
      <w:szCs w:val="20"/>
    </w:rPr>
  </w:style>
  <w:style w:type="paragraph" w:customStyle="1" w:styleId="96">
    <w:name w:val="样式5"/>
    <w:basedOn w:val="28"/>
    <w:link w:val="257"/>
    <w:qFormat/>
    <w:uiPriority w:val="0"/>
    <w:pPr>
      <w:pBdr>
        <w:bottom w:val="single" w:color="auto" w:sz="4" w:space="1"/>
      </w:pBdr>
    </w:pPr>
  </w:style>
  <w:style w:type="paragraph" w:customStyle="1" w:styleId="97">
    <w:name w:val="标题4 Char Char"/>
    <w:basedOn w:val="1"/>
    <w:next w:val="37"/>
    <w:qFormat/>
    <w:uiPriority w:val="0"/>
    <w:pPr>
      <w:spacing w:after="120" w:line="480" w:lineRule="auto"/>
    </w:pPr>
    <w:rPr>
      <w:sz w:val="21"/>
      <w:szCs w:val="20"/>
    </w:rPr>
  </w:style>
  <w:style w:type="character" w:customStyle="1" w:styleId="98">
    <w:name w:val="14black1"/>
    <w:qFormat/>
    <w:uiPriority w:val="0"/>
    <w:rPr>
      <w:color w:val="000000"/>
      <w:sz w:val="21"/>
      <w:szCs w:val="21"/>
      <w:u w:val="none"/>
    </w:rPr>
  </w:style>
  <w:style w:type="paragraph" w:customStyle="1" w:styleId="99">
    <w:name w:val="书正文"/>
    <w:basedOn w:val="1"/>
    <w:link w:val="232"/>
    <w:qFormat/>
    <w:uiPriority w:val="0"/>
    <w:pPr>
      <w:adjustRightInd w:val="0"/>
      <w:spacing w:line="520" w:lineRule="exact"/>
      <w:ind w:firstLine="200" w:firstLineChars="200"/>
      <w:textAlignment w:val="baseline"/>
    </w:pPr>
    <w:rPr>
      <w:rFonts w:asciiTheme="minorHAnsi" w:hAnsiTheme="minorHAnsi" w:eastAsiaTheme="minorEastAsia" w:cstheme="minorBidi"/>
      <w:szCs w:val="22"/>
    </w:rPr>
  </w:style>
  <w:style w:type="paragraph" w:customStyle="1" w:styleId="100">
    <w:name w:val="TOC 标题1"/>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101">
    <w:name w:val="表格文字1"/>
    <w:basedOn w:val="1"/>
    <w:qFormat/>
    <w:uiPriority w:val="0"/>
    <w:pPr>
      <w:spacing w:line="400" w:lineRule="exact"/>
      <w:jc w:val="center"/>
    </w:pPr>
    <w:rPr>
      <w:spacing w:val="2"/>
      <w:kern w:val="28"/>
      <w:sz w:val="21"/>
    </w:rPr>
  </w:style>
  <w:style w:type="character" w:customStyle="1" w:styleId="102">
    <w:name w:val="标题 1 Char"/>
    <w:qFormat/>
    <w:uiPriority w:val="0"/>
    <w:rPr>
      <w:rFonts w:ascii="CG Times" w:hAnsi="CG Times" w:eastAsia="宋体" w:cs="CG Times"/>
      <w:b/>
      <w:bCs/>
      <w:kern w:val="44"/>
      <w:sz w:val="44"/>
      <w:szCs w:val="44"/>
      <w:lang w:val="en-US" w:eastAsia="zh-CN" w:bidi="ar-SA"/>
    </w:rPr>
  </w:style>
  <w:style w:type="paragraph" w:customStyle="1" w:styleId="103">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kern w:val="0"/>
      <w:sz w:val="22"/>
      <w:szCs w:val="22"/>
    </w:rPr>
  </w:style>
  <w:style w:type="paragraph" w:customStyle="1" w:styleId="104">
    <w:name w:val="危化正文"/>
    <w:basedOn w:val="1"/>
    <w:link w:val="133"/>
    <w:qFormat/>
    <w:uiPriority w:val="0"/>
    <w:pPr>
      <w:ind w:firstLine="200" w:firstLineChars="200"/>
    </w:pPr>
    <w:rPr>
      <w:rFonts w:ascii="宋体" w:hAnsiTheme="minorHAnsi" w:eastAsiaTheme="minorEastAsia" w:cstheme="minorBidi"/>
      <w:position w:val="2"/>
      <w:sz w:val="28"/>
      <w:szCs w:val="28"/>
    </w:rPr>
  </w:style>
  <w:style w:type="paragraph" w:customStyle="1" w:styleId="105">
    <w:name w:val="样式 样式 标题 1 + (西文) Arial (中文) 黑体 三号 两端对齐 首行缩进:  0.87 厘米 段前: 6 磅....."/>
    <w:basedOn w:val="3"/>
    <w:link w:val="234"/>
    <w:qFormat/>
    <w:uiPriority w:val="0"/>
    <w:rPr>
      <w:rFonts w:ascii="黑体" w:hAnsi="黑体" w:cstheme="minorBidi"/>
      <w:kern w:val="30"/>
      <w:sz w:val="32"/>
    </w:rPr>
  </w:style>
  <w:style w:type="paragraph" w:customStyle="1" w:styleId="106">
    <w:name w:val="xl27"/>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Arial Unicode MS" w:cs="Arial"/>
      <w:kern w:val="0"/>
      <w:sz w:val="22"/>
      <w:szCs w:val="22"/>
    </w:rPr>
  </w:style>
  <w:style w:type="character" w:customStyle="1" w:styleId="107">
    <w:name w:val="3zw"/>
    <w:basedOn w:val="45"/>
    <w:qFormat/>
    <w:uiPriority w:val="0"/>
    <w:rPr>
      <w:sz w:val="21"/>
      <w:szCs w:val="20"/>
    </w:rPr>
  </w:style>
  <w:style w:type="character" w:customStyle="1" w:styleId="108">
    <w:name w:val="标题二 Char"/>
    <w:basedOn w:val="109"/>
    <w:link w:val="57"/>
    <w:qFormat/>
    <w:uiPriority w:val="0"/>
    <w:rPr>
      <w:rFonts w:ascii="Arial Unicode MS" w:hAnsi="Arial Unicode MS" w:eastAsia="Arial Unicode MS"/>
      <w:color w:val="000000"/>
      <w:w w:val="90"/>
      <w:kern w:val="28"/>
      <w:sz w:val="28"/>
      <w:szCs w:val="32"/>
    </w:rPr>
  </w:style>
  <w:style w:type="character" w:customStyle="1" w:styleId="109">
    <w:name w:val="样式 标题 2 + Arial Unicode MS 13 磅 加粗 Char"/>
    <w:link w:val="58"/>
    <w:qFormat/>
    <w:uiPriority w:val="0"/>
    <w:rPr>
      <w:rFonts w:ascii="Arial Unicode MS" w:hAnsi="Arial Unicode MS" w:eastAsia="Arial Unicode MS"/>
      <w:b/>
      <w:bCs/>
      <w:color w:val="000000"/>
      <w:w w:val="90"/>
      <w:kern w:val="28"/>
      <w:sz w:val="28"/>
      <w:szCs w:val="32"/>
    </w:rPr>
  </w:style>
  <w:style w:type="paragraph" w:customStyle="1" w:styleId="110">
    <w:name w:val="报告书 表标题"/>
    <w:basedOn w:val="1"/>
    <w:qFormat/>
    <w:uiPriority w:val="0"/>
    <w:pPr>
      <w:spacing w:before="156" w:beforeLines="50" w:line="240" w:lineRule="auto"/>
      <w:jc w:val="center"/>
    </w:pPr>
    <w:rPr>
      <w:rFonts w:ascii="宋体" w:hAnsi="PMingLiU"/>
      <w:b/>
    </w:rPr>
  </w:style>
  <w:style w:type="paragraph" w:customStyle="1" w:styleId="111">
    <w:name w:val="表格第一行加黑宋体"/>
    <w:basedOn w:val="1"/>
    <w:qFormat/>
    <w:uiPriority w:val="0"/>
    <w:pPr>
      <w:spacing w:line="240" w:lineRule="auto"/>
      <w:jc w:val="center"/>
    </w:pPr>
    <w:rPr>
      <w:rFonts w:hAnsi="宋体" w:cs="宋体"/>
      <w:b/>
      <w:bCs/>
      <w:sz w:val="21"/>
      <w:szCs w:val="20"/>
    </w:rPr>
  </w:style>
  <w:style w:type="character" w:customStyle="1" w:styleId="112">
    <w:name w:val="标题 3 Char"/>
    <w:qFormat/>
    <w:uiPriority w:val="0"/>
    <w:rPr>
      <w:rFonts w:eastAsia="宋体"/>
      <w:b/>
      <w:bCs/>
      <w:kern w:val="2"/>
      <w:sz w:val="32"/>
      <w:szCs w:val="32"/>
      <w:lang w:val="en-US" w:eastAsia="zh-CN" w:bidi="ar-SA"/>
    </w:rPr>
  </w:style>
  <w:style w:type="paragraph" w:customStyle="1" w:styleId="113">
    <w:name w:val="三级条标题"/>
    <w:basedOn w:val="114"/>
    <w:next w:val="1"/>
    <w:qFormat/>
    <w:uiPriority w:val="0"/>
    <w:pPr>
      <w:numPr>
        <w:ilvl w:val="3"/>
      </w:numPr>
      <w:tabs>
        <w:tab w:val="left" w:pos="360"/>
        <w:tab w:val="left" w:pos="1680"/>
        <w:tab w:val="left" w:pos="2100"/>
        <w:tab w:val="left" w:pos="2160"/>
        <w:tab w:val="left" w:pos="2520"/>
        <w:tab w:val="left" w:pos="2580"/>
      </w:tabs>
      <w:ind w:left="2100" w:hanging="420"/>
      <w:outlineLvl w:val="4"/>
    </w:pPr>
  </w:style>
  <w:style w:type="paragraph" w:customStyle="1" w:styleId="114">
    <w:name w:val="二级条标题"/>
    <w:basedOn w:val="115"/>
    <w:next w:val="1"/>
    <w:qFormat/>
    <w:uiPriority w:val="0"/>
    <w:pPr>
      <w:numPr>
        <w:ilvl w:val="2"/>
      </w:numPr>
      <w:tabs>
        <w:tab w:val="left" w:pos="360"/>
        <w:tab w:val="left" w:pos="1680"/>
        <w:tab w:val="left" w:pos="2100"/>
        <w:tab w:val="left" w:pos="2160"/>
      </w:tabs>
      <w:ind w:left="1680" w:hanging="420"/>
      <w:outlineLvl w:val="3"/>
    </w:pPr>
  </w:style>
  <w:style w:type="paragraph" w:customStyle="1" w:styleId="115">
    <w:name w:val="一级条标题"/>
    <w:next w:val="1"/>
    <w:qFormat/>
    <w:uiPriority w:val="0"/>
    <w:pPr>
      <w:numPr>
        <w:ilvl w:val="1"/>
        <w:numId w:val="2"/>
      </w:numPr>
      <w:outlineLvl w:val="2"/>
    </w:pPr>
    <w:rPr>
      <w:rFonts w:ascii="Times New Roman" w:hAnsi="Times New Roman" w:eastAsia="黑体" w:cs="Times New Roman"/>
      <w:sz w:val="21"/>
      <w:lang w:val="en-US" w:eastAsia="zh-CN" w:bidi="ar-SA"/>
    </w:rPr>
  </w:style>
  <w:style w:type="paragraph" w:customStyle="1" w:styleId="116">
    <w:name w:val="标题2.0"/>
    <w:basedOn w:val="117"/>
    <w:link w:val="135"/>
    <w:qFormat/>
    <w:uiPriority w:val="0"/>
    <w:rPr>
      <w:w w:val="90"/>
      <w:kern w:val="28"/>
    </w:rPr>
  </w:style>
  <w:style w:type="paragraph" w:customStyle="1" w:styleId="117">
    <w:name w:val="样式 标题 2 + 首行缩进:  0.87 厘米 段后: 6 磅 行距: 固定值 25 磅"/>
    <w:basedOn w:val="3"/>
    <w:link w:val="155"/>
    <w:qFormat/>
    <w:uiPriority w:val="0"/>
    <w:pPr>
      <w:spacing w:after="120" w:line="500" w:lineRule="exact"/>
    </w:pPr>
    <w:rPr>
      <w:rFonts w:cs="宋体" w:asciiTheme="minorHAnsi" w:hAnsiTheme="minorHAnsi"/>
      <w:sz w:val="28"/>
    </w:rPr>
  </w:style>
  <w:style w:type="character" w:customStyle="1" w:styleId="118">
    <w:name w:val="注释标题 字符1"/>
    <w:basedOn w:val="45"/>
    <w:semiHidden/>
    <w:qFormat/>
    <w:uiPriority w:val="99"/>
    <w:rPr>
      <w:rFonts w:ascii="Times New Roman" w:hAnsi="Times New Roman" w:eastAsia="宋体" w:cs="Times New Roman"/>
      <w:sz w:val="24"/>
      <w:szCs w:val="24"/>
    </w:rPr>
  </w:style>
  <w:style w:type="character" w:customStyle="1" w:styleId="119">
    <w:name w:val="正文文本缩进 字符1"/>
    <w:basedOn w:val="45"/>
    <w:semiHidden/>
    <w:qFormat/>
    <w:uiPriority w:val="99"/>
    <w:rPr>
      <w:rFonts w:ascii="Times New Roman" w:hAnsi="Times New Roman" w:eastAsia="宋体" w:cs="Times New Roman"/>
      <w:sz w:val="24"/>
      <w:szCs w:val="24"/>
    </w:rPr>
  </w:style>
  <w:style w:type="paragraph" w:customStyle="1" w:styleId="120">
    <w:name w:val="表内5"/>
    <w:basedOn w:val="121"/>
    <w:uiPriority w:val="0"/>
    <w:pPr>
      <w:spacing w:line="300" w:lineRule="exact"/>
    </w:pPr>
  </w:style>
  <w:style w:type="paragraph" w:customStyle="1" w:styleId="121">
    <w:name w:val="表内5中"/>
    <w:basedOn w:val="23"/>
    <w:qFormat/>
    <w:uiPriority w:val="0"/>
    <w:pPr>
      <w:adjustRightInd w:val="0"/>
      <w:snapToGrid w:val="0"/>
      <w:jc w:val="center"/>
    </w:pPr>
    <w:rPr>
      <w:rFonts w:ascii="Times New Roman" w:hAnsi="Times New Roman" w:cs="Times New Roman"/>
      <w:szCs w:val="20"/>
    </w:rPr>
  </w:style>
  <w:style w:type="character" w:customStyle="1" w:styleId="122">
    <w:name w:val="表格内 五号  靠左 Char"/>
    <w:link w:val="123"/>
    <w:qFormat/>
    <w:uiPriority w:val="0"/>
    <w:rPr>
      <w:rFonts w:cs="宋体"/>
    </w:rPr>
  </w:style>
  <w:style w:type="paragraph" w:customStyle="1" w:styleId="123">
    <w:name w:val="表格内 五号  靠左"/>
    <w:basedOn w:val="1"/>
    <w:link w:val="122"/>
    <w:qFormat/>
    <w:uiPriority w:val="0"/>
    <w:pPr>
      <w:spacing w:line="240" w:lineRule="auto"/>
    </w:pPr>
    <w:rPr>
      <w:rFonts w:cs="宋体" w:asciiTheme="minorHAnsi" w:hAnsiTheme="minorHAnsi" w:eastAsiaTheme="minorEastAsia"/>
      <w:sz w:val="21"/>
      <w:szCs w:val="22"/>
    </w:rPr>
  </w:style>
  <w:style w:type="character" w:customStyle="1" w:styleId="124">
    <w:name w:val="批注框文本 字符"/>
    <w:link w:val="26"/>
    <w:semiHidden/>
    <w:qFormat/>
    <w:uiPriority w:val="0"/>
    <w:rPr>
      <w:sz w:val="18"/>
      <w:szCs w:val="18"/>
    </w:rPr>
  </w:style>
  <w:style w:type="character" w:customStyle="1" w:styleId="125">
    <w:name w:val="样式7 Char"/>
    <w:basedOn w:val="126"/>
    <w:link w:val="127"/>
    <w:qFormat/>
    <w:uiPriority w:val="0"/>
    <w:rPr>
      <w:sz w:val="18"/>
      <w:szCs w:val="18"/>
    </w:rPr>
  </w:style>
  <w:style w:type="character" w:customStyle="1" w:styleId="126">
    <w:name w:val="页眉 字符"/>
    <w:basedOn w:val="45"/>
    <w:link w:val="28"/>
    <w:qFormat/>
    <w:uiPriority w:val="0"/>
    <w:rPr>
      <w:sz w:val="18"/>
      <w:szCs w:val="18"/>
    </w:rPr>
  </w:style>
  <w:style w:type="paragraph" w:customStyle="1" w:styleId="127">
    <w:name w:val="样式7"/>
    <w:basedOn w:val="28"/>
    <w:link w:val="125"/>
    <w:qFormat/>
    <w:uiPriority w:val="0"/>
    <w:pPr>
      <w:pBdr>
        <w:bottom w:val="none" w:color="auto" w:sz="0" w:space="0"/>
      </w:pBdr>
    </w:pPr>
  </w:style>
  <w:style w:type="paragraph" w:customStyle="1" w:styleId="128">
    <w:name w:val="wtext"/>
    <w:basedOn w:val="1"/>
    <w:qFormat/>
    <w:uiPriority w:val="0"/>
    <w:pPr>
      <w:widowControl/>
      <w:spacing w:before="100" w:beforeAutospacing="1" w:after="100" w:afterAutospacing="1" w:line="240" w:lineRule="auto"/>
      <w:ind w:firstLine="480"/>
      <w:jc w:val="left"/>
    </w:pPr>
    <w:rPr>
      <w:rFonts w:eastAsia="Arial Unicode MS" w:cs="Arial Unicode MS"/>
      <w:color w:val="000000"/>
      <w:kern w:val="0"/>
      <w:sz w:val="22"/>
      <w:szCs w:val="22"/>
    </w:rPr>
  </w:style>
  <w:style w:type="paragraph" w:customStyle="1" w:styleId="129">
    <w:name w:val="表内式样"/>
    <w:qFormat/>
    <w:uiPriority w:val="0"/>
    <w:pPr>
      <w:widowControl w:val="0"/>
      <w:spacing w:line="0" w:lineRule="atLeast"/>
      <w:jc w:val="center"/>
    </w:pPr>
    <w:rPr>
      <w:rFonts w:ascii="宋体" w:hAnsi="宋体" w:eastAsia="宋体" w:cs="Times New Roman"/>
      <w:sz w:val="21"/>
      <w:szCs w:val="24"/>
      <w:lang w:val="en-US" w:eastAsia="zh-CN" w:bidi="ar-SA"/>
    </w:rPr>
  </w:style>
  <w:style w:type="character" w:customStyle="1" w:styleId="130">
    <w:name w:val="show"/>
    <w:basedOn w:val="45"/>
    <w:qFormat/>
    <w:uiPriority w:val="0"/>
    <w:rPr>
      <w:sz w:val="21"/>
      <w:szCs w:val="20"/>
    </w:rPr>
  </w:style>
  <w:style w:type="character" w:customStyle="1" w:styleId="131">
    <w:name w:val="正文文本缩进 3 Char"/>
    <w:qFormat/>
    <w:uiPriority w:val="0"/>
    <w:rPr>
      <w:rFonts w:eastAsia="宋体"/>
      <w:color w:val="000000"/>
      <w:kern w:val="2"/>
      <w:sz w:val="24"/>
      <w:szCs w:val="24"/>
      <w:lang w:val="en-US" w:eastAsia="zh-CN" w:bidi="ar-SA"/>
    </w:rPr>
  </w:style>
  <w:style w:type="paragraph" w:customStyle="1" w:styleId="132">
    <w:name w:val="Char2"/>
    <w:basedOn w:val="1"/>
    <w:qFormat/>
    <w:uiPriority w:val="0"/>
  </w:style>
  <w:style w:type="character" w:customStyle="1" w:styleId="133">
    <w:name w:val="危化正文 Char Char"/>
    <w:link w:val="104"/>
    <w:qFormat/>
    <w:uiPriority w:val="0"/>
    <w:rPr>
      <w:rFonts w:ascii="宋体"/>
      <w:position w:val="2"/>
      <w:sz w:val="28"/>
      <w:szCs w:val="28"/>
    </w:rPr>
  </w:style>
  <w:style w:type="character" w:customStyle="1" w:styleId="134">
    <w:name w:val="日期 字符"/>
    <w:link w:val="24"/>
    <w:qFormat/>
    <w:uiPriority w:val="0"/>
    <w:rPr>
      <w:sz w:val="24"/>
      <w:szCs w:val="24"/>
    </w:rPr>
  </w:style>
  <w:style w:type="character" w:customStyle="1" w:styleId="135">
    <w:name w:val="标题2.0 Char"/>
    <w:link w:val="116"/>
    <w:qFormat/>
    <w:uiPriority w:val="0"/>
    <w:rPr>
      <w:rFonts w:eastAsia="黑体" w:cs="宋体"/>
      <w:color w:val="000000"/>
      <w:w w:val="90"/>
      <w:kern w:val="28"/>
      <w:sz w:val="28"/>
      <w:szCs w:val="32"/>
    </w:rPr>
  </w:style>
  <w:style w:type="paragraph" w:customStyle="1" w:styleId="136">
    <w:name w:val="正文段落"/>
    <w:basedOn w:val="1"/>
    <w:qFormat/>
    <w:uiPriority w:val="0"/>
    <w:pPr>
      <w:tabs>
        <w:tab w:val="left" w:pos="560"/>
      </w:tabs>
      <w:ind w:firstLine="560"/>
    </w:pPr>
    <w:rPr>
      <w:rFonts w:cs="宋体"/>
      <w:sz w:val="28"/>
      <w:szCs w:val="20"/>
    </w:rPr>
  </w:style>
  <w:style w:type="character" w:customStyle="1" w:styleId="137">
    <w:name w:val="正文文本 3 字符"/>
    <w:link w:val="19"/>
    <w:qFormat/>
    <w:uiPriority w:val="0"/>
    <w:rPr>
      <w:szCs w:val="24"/>
    </w:rPr>
  </w:style>
  <w:style w:type="character" w:customStyle="1" w:styleId="138">
    <w:name w:val="正文1 Char"/>
    <w:qFormat/>
    <w:uiPriority w:val="0"/>
    <w:rPr>
      <w:rFonts w:ascii="宋体" w:eastAsia="宋体"/>
      <w:snapToGrid w:val="0"/>
      <w:kern w:val="21"/>
      <w:position w:val="2"/>
      <w:sz w:val="24"/>
      <w:szCs w:val="20"/>
      <w:lang w:val="en-US" w:eastAsia="zh-CN" w:bidi="ar-SA"/>
    </w:rPr>
  </w:style>
  <w:style w:type="character" w:customStyle="1" w:styleId="139">
    <w:name w:val="真正文 Char"/>
    <w:link w:val="90"/>
    <w:qFormat/>
    <w:uiPriority w:val="0"/>
    <w:rPr>
      <w:sz w:val="24"/>
      <w:szCs w:val="24"/>
    </w:rPr>
  </w:style>
  <w:style w:type="character" w:customStyle="1" w:styleId="140">
    <w:name w:val="正文文本缩进 字符"/>
    <w:link w:val="21"/>
    <w:qFormat/>
    <w:uiPriority w:val="0"/>
    <w:rPr>
      <w:rFonts w:ascii="宋体" w:hAnsi="宋体"/>
      <w:sz w:val="24"/>
      <w:szCs w:val="28"/>
    </w:rPr>
  </w:style>
  <w:style w:type="character" w:customStyle="1" w:styleId="141">
    <w:name w:val="标题1"/>
    <w:qFormat/>
    <w:uiPriority w:val="0"/>
    <w:rPr>
      <w:rFonts w:hint="eastAsia" w:ascii="黑体" w:eastAsia="黑体"/>
      <w:color w:val="FF0000"/>
      <w:sz w:val="36"/>
      <w:szCs w:val="36"/>
    </w:rPr>
  </w:style>
  <w:style w:type="character" w:customStyle="1" w:styleId="142">
    <w:name w:val="companyname"/>
    <w:basedOn w:val="45"/>
    <w:qFormat/>
    <w:uiPriority w:val="0"/>
    <w:rPr>
      <w:sz w:val="21"/>
      <w:szCs w:val="20"/>
    </w:rPr>
  </w:style>
  <w:style w:type="paragraph" w:customStyle="1" w:styleId="143">
    <w:name w:val="样式 标题 3 + 四号"/>
    <w:basedOn w:val="4"/>
    <w:qFormat/>
    <w:uiPriority w:val="0"/>
    <w:pPr>
      <w:autoSpaceDE w:val="0"/>
      <w:autoSpaceDN w:val="0"/>
      <w:adjustRightInd w:val="0"/>
      <w:spacing w:line="500" w:lineRule="exact"/>
      <w:ind w:firstLine="560" w:firstLineChars="200"/>
      <w:jc w:val="left"/>
    </w:pPr>
    <w:rPr>
      <w:sz w:val="28"/>
      <w:szCs w:val="28"/>
    </w:rPr>
  </w:style>
  <w:style w:type="paragraph" w:customStyle="1" w:styleId="144">
    <w:name w:val="正文文本 21"/>
    <w:basedOn w:val="1"/>
    <w:uiPriority w:val="0"/>
    <w:pPr>
      <w:tabs>
        <w:tab w:val="left" w:pos="567"/>
      </w:tabs>
      <w:adjustRightInd w:val="0"/>
      <w:spacing w:line="410" w:lineRule="atLeast"/>
      <w:ind w:firstLine="480"/>
      <w:textAlignment w:val="baseline"/>
    </w:pPr>
    <w:rPr>
      <w:rFonts w:ascii="宋体"/>
      <w:kern w:val="0"/>
      <w:szCs w:val="20"/>
    </w:rPr>
  </w:style>
  <w:style w:type="paragraph" w:styleId="145">
    <w:name w:val="List Paragraph"/>
    <w:basedOn w:val="1"/>
    <w:qFormat/>
    <w:uiPriority w:val="34"/>
    <w:pPr>
      <w:ind w:firstLine="420" w:firstLineChars="200"/>
    </w:pPr>
  </w:style>
  <w:style w:type="paragraph" w:customStyle="1" w:styleId="146">
    <w:name w:val="表头格式"/>
    <w:basedOn w:val="1"/>
    <w:qFormat/>
    <w:uiPriority w:val="0"/>
    <w:pPr>
      <w:adjustRightInd w:val="0"/>
      <w:snapToGrid w:val="0"/>
      <w:spacing w:line="240" w:lineRule="auto"/>
      <w:jc w:val="center"/>
    </w:pPr>
    <w:rPr>
      <w:rFonts w:ascii="方正黑体简体" w:eastAsia="方正黑体简体"/>
      <w:sz w:val="28"/>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Arial Unicode MS" w:cs="Arial"/>
      <w:kern w:val="0"/>
      <w:sz w:val="22"/>
      <w:szCs w:val="22"/>
    </w:rPr>
  </w:style>
  <w:style w:type="paragraph" w:customStyle="1" w:styleId="148">
    <w:name w:val="xl24"/>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宋体" w:hAnsi="宋体"/>
      <w:kern w:val="0"/>
      <w:sz w:val="21"/>
      <w:szCs w:val="20"/>
    </w:rPr>
  </w:style>
  <w:style w:type="paragraph" w:customStyle="1" w:styleId="149">
    <w:name w:val="Char Char Char Char Char Char Char Char Char Char Char Char Char Char Char Char Char Char Char Char Char Char Char Char1 Char Char Char Char Char Char Char Char Char2 Char Char Char Char"/>
    <w:basedOn w:val="1"/>
    <w:qFormat/>
    <w:uiPriority w:val="0"/>
    <w:pPr>
      <w:spacing w:line="240" w:lineRule="auto"/>
    </w:pPr>
    <w:rPr>
      <w:sz w:val="21"/>
    </w:rPr>
  </w:style>
  <w:style w:type="paragraph" w:customStyle="1" w:styleId="150">
    <w:name w:val="style4"/>
    <w:basedOn w:val="1"/>
    <w:qFormat/>
    <w:uiPriority w:val="0"/>
    <w:pPr>
      <w:widowControl/>
      <w:spacing w:before="100" w:beforeAutospacing="1" w:after="100" w:afterAutospacing="1" w:line="240" w:lineRule="auto"/>
      <w:jc w:val="left"/>
    </w:pPr>
    <w:rPr>
      <w:rFonts w:ascii="Arial Unicode MS" w:hAnsi="Arial Unicode MS" w:eastAsia="Arial Unicode MS"/>
      <w:color w:val="FF0033"/>
      <w:kern w:val="0"/>
      <w:szCs w:val="20"/>
    </w:rPr>
  </w:style>
  <w:style w:type="character" w:customStyle="1" w:styleId="151">
    <w:name w:val="标题 1 字符"/>
    <w:basedOn w:val="45"/>
    <w:link w:val="2"/>
    <w:qFormat/>
    <w:uiPriority w:val="0"/>
    <w:rPr>
      <w:rFonts w:ascii="Times New Roman" w:hAnsi="Times New Roman" w:eastAsia="黑体" w:cs="Times New Roman"/>
      <w:b/>
      <w:bCs/>
      <w:kern w:val="44"/>
      <w:sz w:val="32"/>
      <w:szCs w:val="44"/>
      <w:lang w:val="zh-CN" w:eastAsia="zh-CN"/>
    </w:rPr>
  </w:style>
  <w:style w:type="paragraph" w:customStyle="1" w:styleId="152">
    <w:name w:val="样式 居中"/>
    <w:basedOn w:val="1"/>
    <w:qFormat/>
    <w:uiPriority w:val="0"/>
    <w:pPr>
      <w:adjustRightInd w:val="0"/>
      <w:snapToGrid w:val="0"/>
      <w:ind w:firstLine="560" w:firstLineChars="200"/>
    </w:pPr>
    <w:rPr>
      <w:rFonts w:ascii="宋体" w:hAnsi="宋体"/>
      <w:sz w:val="28"/>
    </w:rPr>
  </w:style>
  <w:style w:type="paragraph" w:customStyle="1" w:styleId="15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54">
    <w:name w:val="font5"/>
    <w:basedOn w:val="1"/>
    <w:qFormat/>
    <w:uiPriority w:val="0"/>
    <w:pPr>
      <w:widowControl/>
      <w:spacing w:before="100" w:beforeAutospacing="1" w:after="100" w:afterAutospacing="1" w:line="240" w:lineRule="auto"/>
      <w:jc w:val="left"/>
    </w:pPr>
    <w:rPr>
      <w:rFonts w:hint="eastAsia" w:ascii="宋体" w:hAnsi="宋体"/>
      <w:kern w:val="0"/>
      <w:sz w:val="21"/>
      <w:szCs w:val="20"/>
    </w:rPr>
  </w:style>
  <w:style w:type="character" w:customStyle="1" w:styleId="155">
    <w:name w:val="样式 标题 2 + 首行缩进:  0.87 厘米 段后: 6 磅 行距: 固定值 25 磅 Char"/>
    <w:link w:val="117"/>
    <w:qFormat/>
    <w:uiPriority w:val="0"/>
    <w:rPr>
      <w:rFonts w:eastAsia="黑体" w:cs="宋体"/>
      <w:color w:val="000000"/>
      <w:sz w:val="28"/>
      <w:szCs w:val="32"/>
    </w:rPr>
  </w:style>
  <w:style w:type="paragraph" w:customStyle="1" w:styleId="156">
    <w:name w:val="表格内 五号 居中"/>
    <w:link w:val="213"/>
    <w:qFormat/>
    <w:uiPriority w:val="0"/>
    <w:pPr>
      <w:ind w:firstLine="4" w:firstLineChars="2"/>
      <w:jc w:val="center"/>
    </w:pPr>
    <w:rPr>
      <w:rFonts w:asciiTheme="minorHAnsi" w:hAnsiTheme="minorHAnsi" w:eastAsiaTheme="minorEastAsia" w:cstheme="minorBidi"/>
      <w:kern w:val="2"/>
      <w:sz w:val="21"/>
      <w:szCs w:val="22"/>
      <w:lang w:val="en-US" w:eastAsia="zh-CN" w:bidi="ar-SA"/>
    </w:rPr>
  </w:style>
  <w:style w:type="paragraph" w:customStyle="1" w:styleId="157">
    <w:name w:val="三级书"/>
    <w:basedOn w:val="20"/>
    <w:next w:val="158"/>
    <w:qFormat/>
    <w:uiPriority w:val="0"/>
    <w:pPr>
      <w:spacing w:line="520" w:lineRule="exact"/>
      <w:jc w:val="left"/>
      <w:outlineLvl w:val="2"/>
    </w:pPr>
    <w:rPr>
      <w:rFonts w:ascii="Times New Roman" w:hAnsi="Times New Roman"/>
      <w:sz w:val="28"/>
      <w:szCs w:val="24"/>
    </w:rPr>
  </w:style>
  <w:style w:type="paragraph" w:customStyle="1" w:styleId="158">
    <w:name w:val="书表格"/>
    <w:basedOn w:val="1"/>
    <w:next w:val="99"/>
    <w:qFormat/>
    <w:uiPriority w:val="0"/>
    <w:pPr>
      <w:autoSpaceDE w:val="0"/>
      <w:autoSpaceDN w:val="0"/>
      <w:adjustRightInd w:val="0"/>
      <w:spacing w:line="240" w:lineRule="auto"/>
      <w:jc w:val="center"/>
      <w:textAlignment w:val="bottom"/>
    </w:pPr>
    <w:rPr>
      <w:kern w:val="0"/>
      <w:sz w:val="28"/>
      <w:szCs w:val="20"/>
    </w:rPr>
  </w:style>
  <w:style w:type="paragraph" w:customStyle="1" w:styleId="159">
    <w:name w:val="表格正文"/>
    <w:qFormat/>
    <w:uiPriority w:val="0"/>
    <w:pPr>
      <w:jc w:val="center"/>
    </w:pPr>
    <w:rPr>
      <w:rFonts w:ascii="宋体" w:hAnsi="宋体" w:eastAsia="宋体" w:cs="Arial"/>
      <w:sz w:val="21"/>
      <w:szCs w:val="24"/>
      <w:lang w:val="en-US" w:eastAsia="zh-CN" w:bidi="ar-SA"/>
    </w:rPr>
  </w:style>
  <w:style w:type="paragraph" w:customStyle="1" w:styleId="160">
    <w:name w:val="Char Char Char Char Char"/>
    <w:basedOn w:val="1"/>
    <w:qFormat/>
    <w:uiPriority w:val="0"/>
    <w:pPr>
      <w:spacing w:line="240" w:lineRule="auto"/>
    </w:pPr>
    <w:rPr>
      <w:sz w:val="21"/>
    </w:rPr>
  </w:style>
  <w:style w:type="character" w:customStyle="1" w:styleId="161">
    <w:name w:val="f121"/>
    <w:qFormat/>
    <w:uiPriority w:val="0"/>
    <w:rPr>
      <w:sz w:val="18"/>
      <w:szCs w:val="20"/>
      <w:u w:val="none"/>
    </w:rPr>
  </w:style>
  <w:style w:type="character" w:customStyle="1" w:styleId="162">
    <w:name w:val="正文文本 2 字符"/>
    <w:link w:val="37"/>
    <w:qFormat/>
    <w:uiPriority w:val="0"/>
    <w:rPr>
      <w:rFonts w:ascii="宋体" w:hAnsi="宋体"/>
      <w:sz w:val="24"/>
      <w:szCs w:val="28"/>
    </w:rPr>
  </w:style>
  <w:style w:type="character" w:customStyle="1" w:styleId="163">
    <w:name w:val="apple-converted-space"/>
    <w:basedOn w:val="45"/>
    <w:qFormat/>
    <w:uiPriority w:val="0"/>
    <w:rPr>
      <w:sz w:val="21"/>
      <w:szCs w:val="20"/>
    </w:rPr>
  </w:style>
  <w:style w:type="paragraph" w:customStyle="1" w:styleId="164">
    <w:name w:val="4"/>
    <w:basedOn w:val="1"/>
    <w:next w:val="1"/>
    <w:qFormat/>
    <w:uiPriority w:val="0"/>
    <w:pPr>
      <w:spacing w:line="240" w:lineRule="auto"/>
    </w:pPr>
    <w:rPr>
      <w:rFonts w:ascii="宋体" w:hAnsi="Courier New" w:cs="Courier New"/>
      <w:sz w:val="21"/>
      <w:szCs w:val="21"/>
    </w:rPr>
  </w:style>
  <w:style w:type="paragraph" w:customStyle="1" w:styleId="165">
    <w:name w:val="文本正文"/>
    <w:basedOn w:val="1"/>
    <w:qFormat/>
    <w:uiPriority w:val="0"/>
    <w:pPr>
      <w:ind w:firstLine="560" w:firstLineChars="200"/>
    </w:pPr>
    <w:rPr>
      <w:sz w:val="28"/>
      <w:szCs w:val="20"/>
    </w:rPr>
  </w:style>
  <w:style w:type="paragraph" w:customStyle="1" w:styleId="166">
    <w:name w:val="章标题"/>
    <w:next w:val="1"/>
    <w:qFormat/>
    <w:uiPriority w:val="0"/>
    <w:pPr>
      <w:numPr>
        <w:ilvl w:val="0"/>
        <w:numId w:val="2"/>
      </w:numPr>
      <w:spacing w:beforeLines="50" w:afterLines="50"/>
      <w:jc w:val="both"/>
      <w:outlineLvl w:val="1"/>
    </w:pPr>
    <w:rPr>
      <w:rFonts w:hint="eastAsia" w:ascii="黑体" w:hAnsi="Times New Roman" w:eastAsia="黑体" w:cs="Times New Roman"/>
      <w:sz w:val="21"/>
      <w:lang w:val="en-US" w:eastAsia="zh-CN" w:bidi="ar-SA"/>
    </w:rPr>
  </w:style>
  <w:style w:type="character" w:customStyle="1" w:styleId="167">
    <w:name w:val="标题 2 Char"/>
    <w:qFormat/>
    <w:uiPriority w:val="0"/>
    <w:rPr>
      <w:sz w:val="28"/>
      <w:szCs w:val="20"/>
    </w:rPr>
  </w:style>
  <w:style w:type="character" w:customStyle="1" w:styleId="168">
    <w:name w:val="批注文字 字符1"/>
    <w:basedOn w:val="45"/>
    <w:semiHidden/>
    <w:qFormat/>
    <w:uiPriority w:val="99"/>
    <w:rPr>
      <w:rFonts w:ascii="Times New Roman" w:hAnsi="Times New Roman" w:eastAsia="宋体" w:cs="Times New Roman"/>
      <w:sz w:val="24"/>
      <w:szCs w:val="24"/>
    </w:rPr>
  </w:style>
  <w:style w:type="paragraph" w:customStyle="1" w:styleId="169">
    <w:name w:val="样式2"/>
    <w:basedOn w:val="1"/>
    <w:qFormat/>
    <w:uiPriority w:val="0"/>
    <w:pPr>
      <w:tabs>
        <w:tab w:val="left" w:pos="986"/>
      </w:tabs>
      <w:spacing w:beforeLines="50" w:afterLines="50" w:line="440" w:lineRule="atLeast"/>
      <w:ind w:left="986" w:hanging="420"/>
    </w:pPr>
    <w:rPr>
      <w:rFonts w:eastAsia="黑体"/>
    </w:rPr>
  </w:style>
  <w:style w:type="paragraph" w:customStyle="1" w:styleId="170">
    <w:name w:val="列出段落1"/>
    <w:basedOn w:val="1"/>
    <w:qFormat/>
    <w:uiPriority w:val="34"/>
    <w:pPr>
      <w:spacing w:line="240" w:lineRule="auto"/>
      <w:ind w:firstLine="420" w:firstLineChars="200"/>
    </w:pPr>
    <w:rPr>
      <w:color w:val="FF0000"/>
    </w:rPr>
  </w:style>
  <w:style w:type="paragraph" w:customStyle="1" w:styleId="171">
    <w:name w:val="表格标题"/>
    <w:basedOn w:val="1"/>
    <w:next w:val="1"/>
    <w:qFormat/>
    <w:uiPriority w:val="0"/>
    <w:pPr>
      <w:keepNext/>
      <w:widowControl/>
      <w:overflowPunct w:val="0"/>
      <w:adjustRightInd w:val="0"/>
      <w:snapToGrid w:val="0"/>
      <w:spacing w:before="360" w:after="120" w:line="480" w:lineRule="exact"/>
      <w:jc w:val="center"/>
      <w:textAlignment w:val="baseline"/>
    </w:pPr>
    <w:rPr>
      <w:rFonts w:ascii="Arial" w:hAnsi="Arial" w:eastAsia="黑体"/>
      <w:b/>
      <w:kern w:val="0"/>
      <w:szCs w:val="20"/>
    </w:rPr>
  </w:style>
  <w:style w:type="character" w:customStyle="1" w:styleId="172">
    <w:name w:val="标题 8 字符"/>
    <w:basedOn w:val="45"/>
    <w:link w:val="9"/>
    <w:qFormat/>
    <w:uiPriority w:val="0"/>
    <w:rPr>
      <w:rFonts w:ascii="Arial" w:hAnsi="Arial" w:eastAsia="黑体" w:cs="Times New Roman"/>
      <w:sz w:val="24"/>
      <w:szCs w:val="20"/>
      <w:lang w:val="zh-CN" w:eastAsia="zh-CN"/>
    </w:rPr>
  </w:style>
  <w:style w:type="paragraph" w:customStyle="1" w:styleId="173">
    <w:name w:val="默认段落字体 Para Char Char Char Char Char Char Char"/>
    <w:basedOn w:val="1"/>
    <w:qFormat/>
    <w:uiPriority w:val="0"/>
  </w:style>
  <w:style w:type="paragraph" w:customStyle="1" w:styleId="174">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character" w:customStyle="1" w:styleId="175">
    <w:name w:val="日期 字符1"/>
    <w:basedOn w:val="45"/>
    <w:semiHidden/>
    <w:qFormat/>
    <w:uiPriority w:val="99"/>
    <w:rPr>
      <w:rFonts w:ascii="Times New Roman" w:hAnsi="Times New Roman" w:eastAsia="宋体" w:cs="Times New Roman"/>
      <w:sz w:val="24"/>
      <w:szCs w:val="24"/>
    </w:rPr>
  </w:style>
  <w:style w:type="paragraph" w:customStyle="1" w:styleId="176">
    <w:name w:val="表格填充1"/>
    <w:basedOn w:val="1"/>
    <w:link w:val="236"/>
    <w:qFormat/>
    <w:uiPriority w:val="0"/>
    <w:pPr>
      <w:adjustRightInd w:val="0"/>
      <w:snapToGrid w:val="0"/>
      <w:spacing w:line="400" w:lineRule="exact"/>
      <w:jc w:val="center"/>
    </w:pPr>
    <w:rPr>
      <w:rFonts w:asciiTheme="minorHAnsi" w:hAnsiTheme="minorHAnsi" w:eastAsiaTheme="minorEastAsia" w:cstheme="minorBidi"/>
      <w:snapToGrid w:val="0"/>
      <w:sz w:val="21"/>
      <w:szCs w:val="18"/>
    </w:rPr>
  </w:style>
  <w:style w:type="paragraph" w:customStyle="1" w:styleId="177">
    <w:name w:val="BIG BOLD"/>
    <w:basedOn w:val="1"/>
    <w:qFormat/>
    <w:uiPriority w:val="0"/>
    <w:pPr>
      <w:tabs>
        <w:tab w:val="left" w:leader="underscore" w:pos="1134"/>
      </w:tabs>
      <w:spacing w:line="240" w:lineRule="auto"/>
    </w:pPr>
    <w:rPr>
      <w:sz w:val="21"/>
      <w:szCs w:val="20"/>
    </w:rPr>
  </w:style>
  <w:style w:type="paragraph" w:customStyle="1" w:styleId="178">
    <w:name w:val="正文1"/>
    <w:basedOn w:val="1"/>
    <w:next w:val="1"/>
    <w:qFormat/>
    <w:uiPriority w:val="0"/>
    <w:pPr>
      <w:snapToGrid w:val="0"/>
      <w:spacing w:line="270" w:lineRule="exact"/>
      <w:jc w:val="center"/>
    </w:pPr>
    <w:rPr>
      <w:spacing w:val="8"/>
      <w:kern w:val="21"/>
      <w:sz w:val="21"/>
      <w:szCs w:val="20"/>
    </w:rPr>
  </w:style>
  <w:style w:type="paragraph" w:customStyle="1" w:styleId="179">
    <w:name w:val="样式 宋体 小四 居中 行距: 固定值 20 磅2"/>
    <w:basedOn w:val="1"/>
    <w:qFormat/>
    <w:uiPriority w:val="0"/>
    <w:pPr>
      <w:snapToGrid w:val="0"/>
      <w:spacing w:line="400" w:lineRule="exact"/>
      <w:jc w:val="center"/>
    </w:pPr>
    <w:rPr>
      <w:rFonts w:cs="宋体"/>
      <w:snapToGrid w:val="0"/>
      <w:spacing w:val="10"/>
      <w:kern w:val="24"/>
    </w:rPr>
  </w:style>
  <w:style w:type="character" w:customStyle="1" w:styleId="180">
    <w:name w:val="正文文本 字符"/>
    <w:link w:val="20"/>
    <w:qFormat/>
    <w:uiPriority w:val="0"/>
    <w:rPr>
      <w:rFonts w:ascii="宋体" w:hAnsi="宋体"/>
      <w:b/>
      <w:sz w:val="24"/>
      <w:szCs w:val="21"/>
    </w:rPr>
  </w:style>
  <w:style w:type="paragraph" w:customStyle="1" w:styleId="181">
    <w:name w:val="样式 标题 3 + 段后: 0.5 行"/>
    <w:basedOn w:val="4"/>
    <w:qFormat/>
    <w:uiPriority w:val="0"/>
    <w:pPr>
      <w:keepNext w:val="0"/>
      <w:spacing w:before="120" w:after="50" w:afterLines="50" w:line="400" w:lineRule="exact"/>
    </w:pPr>
    <w:rPr>
      <w:rFonts w:ascii="Arial" w:hAnsi="Arial" w:eastAsia="黑体" w:cs="宋体"/>
      <w:b w:val="0"/>
      <w:bCs w:val="0"/>
      <w:sz w:val="26"/>
      <w:szCs w:val="20"/>
    </w:rPr>
  </w:style>
  <w:style w:type="character" w:customStyle="1" w:styleId="182">
    <w:name w:val="称呼 字符1"/>
    <w:basedOn w:val="45"/>
    <w:semiHidden/>
    <w:qFormat/>
    <w:uiPriority w:val="99"/>
    <w:rPr>
      <w:rFonts w:ascii="Times New Roman" w:hAnsi="Times New Roman" w:eastAsia="宋体" w:cs="Times New Roman"/>
      <w:sz w:val="24"/>
      <w:szCs w:val="24"/>
    </w:rPr>
  </w:style>
  <w:style w:type="paragraph" w:customStyle="1" w:styleId="183">
    <w:name w:val="样式 行距: 固定值 25 磅"/>
    <w:basedOn w:val="1"/>
    <w:qFormat/>
    <w:uiPriority w:val="0"/>
    <w:pPr>
      <w:spacing w:line="500" w:lineRule="exact"/>
      <w:ind w:firstLine="600" w:firstLineChars="200"/>
    </w:pPr>
    <w:rPr>
      <w:rFonts w:cs="宋体"/>
      <w:spacing w:val="10"/>
      <w:kern w:val="28"/>
      <w:sz w:val="28"/>
      <w:szCs w:val="28"/>
    </w:rPr>
  </w:style>
  <w:style w:type="character" w:customStyle="1" w:styleId="184">
    <w:name w:val="正文文本首行缩进 2 字符1"/>
    <w:link w:val="42"/>
    <w:semiHidden/>
    <w:qFormat/>
    <w:uiPriority w:val="0"/>
    <w:rPr>
      <w:rFonts w:ascii="宋体" w:hAnsi="宋体"/>
      <w:sz w:val="24"/>
      <w:szCs w:val="28"/>
      <w:lang w:val="en-GB" w:eastAsia="en-US"/>
    </w:rPr>
  </w:style>
  <w:style w:type="paragraph" w:customStyle="1" w:styleId="185">
    <w:name w:val="表头"/>
    <w:basedOn w:val="1"/>
    <w:next w:val="41"/>
    <w:link w:val="300"/>
    <w:qFormat/>
    <w:uiPriority w:val="0"/>
    <w:pPr>
      <w:keepNext/>
      <w:snapToGrid w:val="0"/>
      <w:spacing w:before="40" w:after="40" w:line="480" w:lineRule="exact"/>
      <w:jc w:val="center"/>
    </w:pPr>
    <w:rPr>
      <w:rFonts w:ascii="Arial" w:hAnsi="Arial" w:eastAsia="黑体" w:cstheme="minorBidi"/>
      <w:snapToGrid w:val="0"/>
      <w:spacing w:val="10"/>
      <w:kern w:val="24"/>
    </w:rPr>
  </w:style>
  <w:style w:type="paragraph" w:customStyle="1" w:styleId="186">
    <w:name w:val="样式"/>
    <w:basedOn w:val="1"/>
    <w:next w:val="20"/>
    <w:qFormat/>
    <w:uiPriority w:val="0"/>
    <w:pPr>
      <w:spacing w:line="240" w:lineRule="auto"/>
    </w:pPr>
    <w:rPr>
      <w:rFonts w:ascii="宋体"/>
      <w:position w:val="2"/>
    </w:rPr>
  </w:style>
  <w:style w:type="character" w:customStyle="1" w:styleId="187">
    <w:name w:val="标题 9 字符"/>
    <w:basedOn w:val="45"/>
    <w:link w:val="10"/>
    <w:qFormat/>
    <w:uiPriority w:val="0"/>
    <w:rPr>
      <w:rFonts w:ascii="Arial" w:hAnsi="Arial" w:eastAsia="黑体" w:cs="Times New Roman"/>
      <w:szCs w:val="20"/>
      <w:lang w:val="zh-CN" w:eastAsia="zh-CN"/>
    </w:rPr>
  </w:style>
  <w:style w:type="paragraph" w:customStyle="1" w:styleId="188">
    <w:name w:val="WPSOffice手动目录 1"/>
    <w:qFormat/>
    <w:uiPriority w:val="0"/>
    <w:rPr>
      <w:rFonts w:asciiTheme="minorHAnsi" w:hAnsiTheme="minorHAnsi" w:eastAsiaTheme="minorEastAsia" w:cstheme="minorBidi"/>
      <w:lang w:val="en-US" w:eastAsia="zh-CN" w:bidi="ar-SA"/>
    </w:rPr>
  </w:style>
  <w:style w:type="paragraph" w:customStyle="1" w:styleId="189">
    <w:name w:val="reader-word-layer reader-word-s9-2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0">
    <w:name w:val="表格内容"/>
    <w:basedOn w:val="1"/>
    <w:qFormat/>
    <w:uiPriority w:val="0"/>
    <w:pPr>
      <w:overflowPunct w:val="0"/>
      <w:adjustRightInd w:val="0"/>
      <w:spacing w:before="40" w:after="60" w:line="200" w:lineRule="atLeast"/>
      <w:textAlignment w:val="baseline"/>
    </w:pPr>
    <w:rPr>
      <w:rFonts w:ascii="Arial" w:hAnsi="Arial" w:eastAsia="仿宋_GB2312"/>
      <w:kern w:val="0"/>
      <w:szCs w:val="20"/>
    </w:rPr>
  </w:style>
  <w:style w:type="character" w:customStyle="1" w:styleId="191">
    <w:name w:val="纯文本 Char1"/>
    <w:qFormat/>
    <w:uiPriority w:val="0"/>
    <w:rPr>
      <w:rFonts w:ascii="宋体" w:hAnsi="Courier New" w:eastAsia="宋体" w:cs="Courier New"/>
      <w:sz w:val="21"/>
      <w:szCs w:val="21"/>
    </w:rPr>
  </w:style>
  <w:style w:type="character" w:customStyle="1" w:styleId="192">
    <w:name w:val="标题 7 字符"/>
    <w:basedOn w:val="45"/>
    <w:link w:val="8"/>
    <w:qFormat/>
    <w:uiPriority w:val="0"/>
    <w:rPr>
      <w:rFonts w:ascii="Times New Roman" w:hAnsi="Times New Roman" w:eastAsia="宋体" w:cs="Times New Roman"/>
      <w:b/>
      <w:sz w:val="24"/>
      <w:szCs w:val="20"/>
      <w:lang w:val="zh-CN" w:eastAsia="zh-CN"/>
    </w:rPr>
  </w:style>
  <w:style w:type="character" w:customStyle="1" w:styleId="193">
    <w:name w:val="批注主题 字符1"/>
    <w:basedOn w:val="168"/>
    <w:semiHidden/>
    <w:qFormat/>
    <w:uiPriority w:val="99"/>
    <w:rPr>
      <w:rFonts w:ascii="Times New Roman" w:hAnsi="Times New Roman" w:eastAsia="宋体" w:cs="Times New Roman"/>
      <w:b/>
      <w:bCs/>
      <w:sz w:val="24"/>
      <w:szCs w:val="24"/>
    </w:rPr>
  </w:style>
  <w:style w:type="paragraph" w:customStyle="1" w:styleId="194">
    <w:name w:val="xl33"/>
    <w:basedOn w:val="1"/>
    <w:qFormat/>
    <w:uiPriority w:val="0"/>
    <w:pPr>
      <w:widowControl/>
      <w:pBdr>
        <w:left w:val="single" w:color="000000" w:sz="4" w:space="0"/>
        <w:bottom w:val="single" w:color="auto" w:sz="4" w:space="0"/>
        <w:right w:val="single" w:color="000000" w:sz="4" w:space="0"/>
      </w:pBdr>
      <w:spacing w:before="100" w:beforeAutospacing="1" w:after="100" w:afterAutospacing="1" w:line="240" w:lineRule="auto"/>
      <w:jc w:val="left"/>
      <w:textAlignment w:val="top"/>
    </w:pPr>
    <w:rPr>
      <w:rFonts w:ascii="Arial Unicode MS" w:hAnsi="Arial Unicode MS"/>
      <w:kern w:val="0"/>
      <w:sz w:val="21"/>
      <w:szCs w:val="20"/>
    </w:rPr>
  </w:style>
  <w:style w:type="paragraph" w:customStyle="1" w:styleId="195">
    <w:name w:val="a9"/>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6">
    <w:name w:val="reader-word-layer reader-word-s9-23 reader-word-s9-25"/>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7">
    <w:name w:val="肖-表"/>
    <w:basedOn w:val="1"/>
    <w:qFormat/>
    <w:uiPriority w:val="0"/>
    <w:pPr>
      <w:spacing w:line="320" w:lineRule="exact"/>
      <w:jc w:val="center"/>
    </w:pPr>
    <w:rPr>
      <w:rFonts w:ascii="宋体" w:hAnsi="宋体" w:cs="宋体"/>
      <w:snapToGrid w:val="0"/>
      <w:color w:val="000000"/>
      <w:kern w:val="0"/>
      <w:sz w:val="21"/>
      <w:szCs w:val="21"/>
    </w:rPr>
  </w:style>
  <w:style w:type="paragraph" w:customStyle="1" w:styleId="198">
    <w:name w:val="小节标题"/>
    <w:basedOn w:val="1"/>
    <w:next w:val="1"/>
    <w:qFormat/>
    <w:uiPriority w:val="0"/>
    <w:pPr>
      <w:widowControl/>
      <w:spacing w:before="175" w:after="102" w:line="351" w:lineRule="atLeast"/>
      <w:textAlignment w:val="baseline"/>
    </w:pPr>
    <w:rPr>
      <w:rFonts w:eastAsia="黑体"/>
      <w:color w:val="000000"/>
      <w:kern w:val="0"/>
      <w:sz w:val="21"/>
      <w:szCs w:val="20"/>
      <w:u w:color="000000"/>
    </w:rPr>
  </w:style>
  <w:style w:type="character" w:customStyle="1" w:styleId="199">
    <w:name w:val="正文文本首行缩进 字符"/>
    <w:basedOn w:val="200"/>
    <w:semiHidden/>
    <w:qFormat/>
    <w:uiPriority w:val="99"/>
    <w:rPr>
      <w:rFonts w:ascii="Times New Roman" w:hAnsi="Times New Roman" w:eastAsia="宋体" w:cs="Times New Roman"/>
      <w:sz w:val="24"/>
      <w:szCs w:val="24"/>
    </w:rPr>
  </w:style>
  <w:style w:type="character" w:customStyle="1" w:styleId="200">
    <w:name w:val="正文文本 字符1"/>
    <w:basedOn w:val="45"/>
    <w:semiHidden/>
    <w:qFormat/>
    <w:uiPriority w:val="99"/>
    <w:rPr>
      <w:rFonts w:ascii="Times New Roman" w:hAnsi="Times New Roman" w:eastAsia="宋体" w:cs="Times New Roman"/>
      <w:sz w:val="24"/>
      <w:szCs w:val="24"/>
    </w:rPr>
  </w:style>
  <w:style w:type="character" w:customStyle="1" w:styleId="201">
    <w:name w:val="批注文字 字符"/>
    <w:link w:val="17"/>
    <w:qFormat/>
    <w:uiPriority w:val="99"/>
    <w:rPr>
      <w:sz w:val="24"/>
      <w:szCs w:val="24"/>
    </w:rPr>
  </w:style>
  <w:style w:type="paragraph" w:customStyle="1" w:styleId="202">
    <w:name w:val="Char Char Char Char"/>
    <w:basedOn w:val="1"/>
    <w:qFormat/>
    <w:uiPriority w:val="0"/>
    <w:pPr>
      <w:spacing w:line="240" w:lineRule="auto"/>
    </w:pPr>
    <w:rPr>
      <w:sz w:val="21"/>
    </w:rPr>
  </w:style>
  <w:style w:type="paragraph" w:customStyle="1" w:styleId="203">
    <w:name w:val="五级条标题"/>
    <w:basedOn w:val="204"/>
    <w:next w:val="1"/>
    <w:qFormat/>
    <w:uiPriority w:val="0"/>
    <w:pPr>
      <w:numPr>
        <w:ilvl w:val="5"/>
      </w:numPr>
      <w:tabs>
        <w:tab w:val="left" w:pos="360"/>
        <w:tab w:val="left" w:pos="1680"/>
        <w:tab w:val="left" w:pos="2100"/>
        <w:tab w:val="left" w:pos="2160"/>
        <w:tab w:val="left" w:pos="2940"/>
        <w:tab w:val="left" w:pos="3000"/>
        <w:tab w:val="left" w:pos="3360"/>
        <w:tab w:val="left" w:pos="3420"/>
      </w:tabs>
      <w:ind w:left="2940" w:hanging="420"/>
      <w:outlineLvl w:val="6"/>
    </w:pPr>
  </w:style>
  <w:style w:type="paragraph" w:customStyle="1" w:styleId="204">
    <w:name w:val="四级条标题"/>
    <w:basedOn w:val="113"/>
    <w:next w:val="1"/>
    <w:qFormat/>
    <w:uiPriority w:val="0"/>
    <w:pPr>
      <w:numPr>
        <w:ilvl w:val="4"/>
      </w:numPr>
      <w:tabs>
        <w:tab w:val="left" w:pos="2940"/>
        <w:tab w:val="left" w:pos="3000"/>
        <w:tab w:val="clear" w:pos="2520"/>
        <w:tab w:val="clear" w:pos="2580"/>
      </w:tabs>
      <w:ind w:left="2520" w:hanging="420"/>
      <w:outlineLvl w:val="5"/>
    </w:pPr>
  </w:style>
  <w:style w:type="character" w:customStyle="1" w:styleId="205">
    <w:name w:val="样式 样式 标题 1 + (西文) Arial (中文) 黑体 三号 两端对齐 首行缩进:  0.87 厘米 段前: 6 磅.....1 Char"/>
    <w:link w:val="53"/>
    <w:qFormat/>
    <w:uiPriority w:val="0"/>
    <w:rPr>
      <w:rFonts w:ascii="Arial Unicode MS" w:hAnsi="Arial Unicode MS" w:eastAsia="Arial Unicode MS"/>
      <w:color w:val="000000"/>
      <w:kern w:val="30"/>
      <w:sz w:val="32"/>
      <w:szCs w:val="32"/>
    </w:rPr>
  </w:style>
  <w:style w:type="paragraph" w:customStyle="1" w:styleId="206">
    <w:name w:val="7e8dc108-4af0-426d-bb9c-8f96acaaca48"/>
    <w:basedOn w:val="1"/>
    <w:link w:val="272"/>
    <w:qFormat/>
    <w:uiPriority w:val="0"/>
    <w:pPr>
      <w:adjustRightInd w:val="0"/>
      <w:spacing w:line="600" w:lineRule="exact"/>
    </w:pPr>
    <w:rPr>
      <w:rFonts w:ascii="仿宋" w:hAnsi="仿宋" w:eastAsia="仿宋"/>
      <w:bCs/>
      <w:color w:val="000000"/>
      <w:sz w:val="32"/>
      <w:szCs w:val="28"/>
      <w:lang w:val="zh-CN"/>
    </w:rPr>
  </w:style>
  <w:style w:type="character" w:customStyle="1" w:styleId="207">
    <w:name w:val="样式1 Char"/>
    <w:qFormat/>
    <w:uiPriority w:val="0"/>
    <w:rPr>
      <w:rFonts w:ascii="黑体" w:hAnsi="黑体" w:eastAsia="黑体" w:cs="CG Times"/>
      <w:b/>
      <w:bCs/>
      <w:kern w:val="44"/>
      <w:sz w:val="32"/>
      <w:szCs w:val="44"/>
      <w:lang w:val="en-US" w:eastAsia="zh-CN" w:bidi="ar-SA"/>
    </w:rPr>
  </w:style>
  <w:style w:type="character" w:customStyle="1" w:styleId="208">
    <w:name w:val="text1"/>
    <w:basedOn w:val="45"/>
    <w:qFormat/>
    <w:uiPriority w:val="0"/>
    <w:rPr>
      <w:sz w:val="21"/>
      <w:szCs w:val="20"/>
    </w:rPr>
  </w:style>
  <w:style w:type="character" w:customStyle="1" w:styleId="209">
    <w:name w:val="表内容 Char"/>
    <w:link w:val="210"/>
    <w:qFormat/>
    <w:uiPriority w:val="0"/>
    <w:rPr>
      <w:snapToGrid w:val="0"/>
      <w:szCs w:val="21"/>
    </w:rPr>
  </w:style>
  <w:style w:type="paragraph" w:customStyle="1" w:styleId="210">
    <w:name w:val="表内容"/>
    <w:basedOn w:val="1"/>
    <w:link w:val="209"/>
    <w:qFormat/>
    <w:uiPriority w:val="0"/>
    <w:pPr>
      <w:adjustRightInd w:val="0"/>
      <w:snapToGrid w:val="0"/>
      <w:spacing w:line="0" w:lineRule="atLeast"/>
      <w:jc w:val="center"/>
    </w:pPr>
    <w:rPr>
      <w:rFonts w:asciiTheme="minorHAnsi" w:hAnsiTheme="minorHAnsi" w:eastAsiaTheme="minorEastAsia" w:cstheme="minorBidi"/>
      <w:snapToGrid w:val="0"/>
      <w:sz w:val="21"/>
      <w:szCs w:val="21"/>
    </w:rPr>
  </w:style>
  <w:style w:type="paragraph" w:customStyle="1" w:styleId="211">
    <w:name w:val="章2表"/>
    <w:basedOn w:val="1"/>
    <w:qFormat/>
    <w:uiPriority w:val="0"/>
    <w:pPr>
      <w:spacing w:beforeLines="50" w:line="240" w:lineRule="auto"/>
      <w:jc w:val="center"/>
    </w:pPr>
    <w:rPr>
      <w:rFonts w:eastAsia="黑体"/>
      <w:kern w:val="0"/>
    </w:rPr>
  </w:style>
  <w:style w:type="character" w:customStyle="1" w:styleId="212">
    <w:name w:val="第一部分1"/>
    <w:qFormat/>
    <w:uiPriority w:val="0"/>
    <w:rPr>
      <w:rFonts w:ascii="宋体" w:hAnsi="宋体" w:eastAsia="宋体"/>
      <w:spacing w:val="800"/>
      <w:sz w:val="22"/>
      <w:szCs w:val="22"/>
    </w:rPr>
  </w:style>
  <w:style w:type="character" w:customStyle="1" w:styleId="213">
    <w:name w:val="表格内 五号 居中 Char Char"/>
    <w:link w:val="156"/>
    <w:qFormat/>
    <w:uiPriority w:val="0"/>
  </w:style>
  <w:style w:type="paragraph" w:customStyle="1" w:styleId="214">
    <w:name w:val="公式"/>
    <w:basedOn w:val="41"/>
    <w:next w:val="1"/>
    <w:qFormat/>
    <w:uiPriority w:val="0"/>
    <w:pPr>
      <w:snapToGrid w:val="0"/>
      <w:spacing w:after="0" w:line="440" w:lineRule="exact"/>
      <w:ind w:firstLine="0" w:firstLineChars="0"/>
      <w:jc w:val="center"/>
    </w:pPr>
    <w:rPr>
      <w:spacing w:val="8"/>
      <w:kern w:val="24"/>
      <w:szCs w:val="20"/>
      <w:lang w:val="zh-CN"/>
    </w:rPr>
  </w:style>
  <w:style w:type="paragraph" w:customStyle="1" w:styleId="215">
    <w:name w:val="Char1"/>
    <w:basedOn w:val="1"/>
    <w:semiHidden/>
    <w:qFormat/>
    <w:uiPriority w:val="0"/>
    <w:pPr>
      <w:tabs>
        <w:tab w:val="left" w:pos="426"/>
      </w:tabs>
      <w:spacing w:line="240" w:lineRule="auto"/>
      <w:ind w:left="426" w:hanging="420"/>
    </w:pPr>
  </w:style>
  <w:style w:type="paragraph" w:customStyle="1" w:styleId="216">
    <w:name w:val="样式 正文缩进 + 首行缩进:  2 字符"/>
    <w:basedOn w:val="13"/>
    <w:qFormat/>
    <w:uiPriority w:val="0"/>
    <w:pPr>
      <w:tabs>
        <w:tab w:val="left" w:pos="540"/>
        <w:tab w:val="left" w:pos="600"/>
        <w:tab w:val="left" w:pos="7265"/>
        <w:tab w:val="left" w:pos="7340"/>
        <w:tab w:val="left" w:pos="8613"/>
      </w:tabs>
      <w:autoSpaceDE w:val="0"/>
      <w:autoSpaceDN w:val="0"/>
      <w:adjustRightInd w:val="0"/>
      <w:snapToGrid w:val="0"/>
      <w:spacing w:line="300" w:lineRule="auto"/>
      <w:ind w:firstLine="560" w:firstLineChars="200"/>
      <w:textAlignment w:val="baseline"/>
    </w:pPr>
    <w:rPr>
      <w:rFonts w:ascii="宋体" w:hAnsi="宋体" w:cs="Arial"/>
      <w:kern w:val="0"/>
      <w:sz w:val="28"/>
      <w:szCs w:val="28"/>
      <w:u w:color="FFFFFF"/>
    </w:rPr>
  </w:style>
  <w:style w:type="character" w:customStyle="1" w:styleId="217">
    <w:name w:val="标题 5 字符"/>
    <w:basedOn w:val="45"/>
    <w:link w:val="6"/>
    <w:qFormat/>
    <w:uiPriority w:val="0"/>
    <w:rPr>
      <w:rFonts w:ascii="黑体" w:hAnsi="Times New Roman" w:eastAsia="黑体" w:cs="Times New Roman"/>
      <w:caps/>
      <w:szCs w:val="24"/>
      <w:lang w:val="zh-CN" w:eastAsia="zh-CN"/>
    </w:rPr>
  </w:style>
  <w:style w:type="paragraph" w:customStyle="1" w:styleId="218">
    <w:name w:val="xl30"/>
    <w:basedOn w:val="1"/>
    <w:qFormat/>
    <w:uiPriority w:val="0"/>
    <w:pPr>
      <w:keepNext/>
      <w:widowControl/>
      <w:pBdr>
        <w:bottom w:val="single" w:color="auto" w:sz="4" w:space="0"/>
        <w:right w:val="single" w:color="auto" w:sz="4" w:space="0"/>
      </w:pBdr>
      <w:spacing w:before="100" w:beforeAutospacing="1" w:after="100" w:afterAutospacing="1" w:line="400" w:lineRule="exact"/>
      <w:jc w:val="center"/>
      <w:textAlignment w:val="center"/>
    </w:pPr>
    <w:rPr>
      <w:rFonts w:ascii="宋体" w:hAnsi="宋体"/>
      <w:spacing w:val="8"/>
      <w:kern w:val="0"/>
      <w:szCs w:val="20"/>
    </w:rPr>
  </w:style>
  <w:style w:type="character" w:customStyle="1" w:styleId="219">
    <w:name w:val="HTML 预设格式 字符"/>
    <w:link w:val="38"/>
    <w:qFormat/>
    <w:uiPriority w:val="0"/>
    <w:rPr>
      <w:rFonts w:ascii="宋体" w:hAnsi="宋体" w:cs="宋体"/>
      <w:sz w:val="24"/>
      <w:szCs w:val="24"/>
    </w:rPr>
  </w:style>
  <w:style w:type="character" w:customStyle="1" w:styleId="220">
    <w:name w:val="正文文本 2 字符1"/>
    <w:basedOn w:val="45"/>
    <w:semiHidden/>
    <w:qFormat/>
    <w:uiPriority w:val="99"/>
    <w:rPr>
      <w:rFonts w:ascii="Times New Roman" w:hAnsi="Times New Roman" w:eastAsia="宋体" w:cs="Times New Roman"/>
      <w:sz w:val="24"/>
      <w:szCs w:val="24"/>
    </w:rPr>
  </w:style>
  <w:style w:type="character" w:customStyle="1" w:styleId="221">
    <w:name w:val="批注框文本 字符1"/>
    <w:basedOn w:val="45"/>
    <w:semiHidden/>
    <w:qFormat/>
    <w:uiPriority w:val="99"/>
    <w:rPr>
      <w:rFonts w:ascii="Times New Roman" w:hAnsi="Times New Roman" w:eastAsia="宋体" w:cs="Times New Roman"/>
      <w:sz w:val="18"/>
      <w:szCs w:val="18"/>
    </w:rPr>
  </w:style>
  <w:style w:type="paragraph" w:customStyle="1" w:styleId="222">
    <w:name w:val="Char Char"/>
    <w:basedOn w:val="1"/>
    <w:semiHidden/>
    <w:qFormat/>
    <w:uiPriority w:val="0"/>
    <w:pPr>
      <w:tabs>
        <w:tab w:val="left" w:pos="426"/>
      </w:tabs>
      <w:spacing w:line="240" w:lineRule="auto"/>
      <w:ind w:left="426" w:hanging="420"/>
    </w:pPr>
  </w:style>
  <w:style w:type="paragraph" w:customStyle="1" w:styleId="223">
    <w:name w:val="样式 标题 2 + 楷体_GB2312 居中 段前: 12 磅 段后: 12 磅 行距: 1.5 倍行距"/>
    <w:basedOn w:val="2"/>
    <w:qFormat/>
    <w:uiPriority w:val="0"/>
    <w:pPr>
      <w:spacing w:before="240" w:after="240" w:line="360" w:lineRule="auto"/>
      <w:jc w:val="center"/>
    </w:pPr>
    <w:rPr>
      <w:rFonts w:ascii="楷体_GB2312" w:hAnsi="CG Times" w:cs="宋体"/>
      <w:b w:val="0"/>
      <w:szCs w:val="20"/>
    </w:rPr>
  </w:style>
  <w:style w:type="paragraph" w:customStyle="1" w:styleId="224">
    <w:name w:val="h"/>
    <w:basedOn w:val="1"/>
    <w:qFormat/>
    <w:uiPriority w:val="0"/>
    <w:pPr>
      <w:spacing w:before="60" w:line="240" w:lineRule="auto"/>
      <w:ind w:firstLine="482"/>
    </w:pPr>
    <w:rPr>
      <w:rFonts w:ascii="Arial" w:hAnsi="Arial" w:eastAsia="仿宋_GB2312"/>
      <w:kern w:val="0"/>
      <w:szCs w:val="20"/>
    </w:rPr>
  </w:style>
  <w:style w:type="character" w:customStyle="1" w:styleId="225">
    <w:name w:val="15"/>
    <w:basedOn w:val="45"/>
    <w:qFormat/>
    <w:uiPriority w:val="0"/>
    <w:rPr>
      <w:sz w:val="21"/>
      <w:szCs w:val="20"/>
    </w:rPr>
  </w:style>
  <w:style w:type="paragraph" w:customStyle="1" w:styleId="226">
    <w:name w:val="Default"/>
    <w:qFormat/>
    <w:uiPriority w:val="0"/>
    <w:pPr>
      <w:widowControl w:val="0"/>
      <w:autoSpaceDE w:val="0"/>
      <w:autoSpaceDN w:val="0"/>
      <w:adjustRightInd w:val="0"/>
    </w:pPr>
    <w:rPr>
      <w:rFonts w:ascii="仿宋_GB2312" w:hAnsi="Times New Roman" w:eastAsia="仿宋_GB2312" w:cs="Times New Roman"/>
      <w:color w:val="000000"/>
      <w:sz w:val="24"/>
      <w:szCs w:val="24"/>
      <w:lang w:val="en-US" w:eastAsia="zh-CN" w:bidi="ar-SA"/>
    </w:rPr>
  </w:style>
  <w:style w:type="paragraph" w:customStyle="1" w:styleId="227">
    <w:name w:val="默认段落字体 Para Char Char Char Char"/>
    <w:basedOn w:val="1"/>
    <w:qFormat/>
    <w:uiPriority w:val="0"/>
    <w:pPr>
      <w:spacing w:line="240" w:lineRule="auto"/>
    </w:pPr>
    <w:rPr>
      <w:sz w:val="21"/>
    </w:rPr>
  </w:style>
  <w:style w:type="character" w:customStyle="1" w:styleId="228">
    <w:name w:val="正文文本缩进 3 字符"/>
    <w:link w:val="34"/>
    <w:qFormat/>
    <w:uiPriority w:val="0"/>
    <w:rPr>
      <w:color w:val="000000"/>
      <w:sz w:val="24"/>
      <w:szCs w:val="24"/>
    </w:rPr>
  </w:style>
  <w:style w:type="character" w:customStyle="1" w:styleId="229">
    <w:name w:val="无间隔 字符"/>
    <w:link w:val="230"/>
    <w:qFormat/>
    <w:uiPriority w:val="1"/>
    <w:rPr>
      <w:rFonts w:ascii="Calibri" w:hAnsi="Calibri"/>
      <w:sz w:val="22"/>
    </w:rPr>
  </w:style>
  <w:style w:type="paragraph" w:styleId="230">
    <w:name w:val="No Spacing"/>
    <w:link w:val="229"/>
    <w:qFormat/>
    <w:uiPriority w:val="1"/>
    <w:rPr>
      <w:rFonts w:ascii="Calibri" w:hAnsi="Calibri" w:eastAsiaTheme="minorEastAsia" w:cstheme="minorBidi"/>
      <w:kern w:val="2"/>
      <w:sz w:val="22"/>
      <w:szCs w:val="22"/>
      <w:lang w:val="en-US" w:eastAsia="zh-CN" w:bidi="ar-SA"/>
    </w:rPr>
  </w:style>
  <w:style w:type="character" w:customStyle="1" w:styleId="231">
    <w:name w:val="3zw1"/>
    <w:qFormat/>
    <w:uiPriority w:val="0"/>
    <w:rPr>
      <w:color w:val="000000"/>
      <w:sz w:val="21"/>
      <w:szCs w:val="21"/>
    </w:rPr>
  </w:style>
  <w:style w:type="character" w:customStyle="1" w:styleId="232">
    <w:name w:val="书正文 Char"/>
    <w:link w:val="99"/>
    <w:qFormat/>
    <w:uiPriority w:val="0"/>
    <w:rPr>
      <w:sz w:val="24"/>
    </w:rPr>
  </w:style>
  <w:style w:type="paragraph" w:customStyle="1" w:styleId="233">
    <w:name w:val="reader-word-layer reader-word-s9-24"/>
    <w:basedOn w:val="1"/>
    <w:uiPriority w:val="0"/>
    <w:pPr>
      <w:widowControl/>
      <w:spacing w:before="100" w:beforeAutospacing="1" w:after="100" w:afterAutospacing="1" w:line="240" w:lineRule="auto"/>
      <w:jc w:val="left"/>
    </w:pPr>
    <w:rPr>
      <w:rFonts w:ascii="宋体" w:hAnsi="宋体" w:cs="宋体"/>
      <w:kern w:val="0"/>
    </w:rPr>
  </w:style>
  <w:style w:type="character" w:customStyle="1" w:styleId="234">
    <w:name w:val="样式 样式 标题 1 + (西文) Arial (中文) 黑体 三号 两端对齐 首行缩进:  0.87 厘米 段前: 6 磅..... Char"/>
    <w:link w:val="105"/>
    <w:qFormat/>
    <w:uiPriority w:val="0"/>
    <w:rPr>
      <w:rFonts w:ascii="黑体" w:hAnsi="黑体" w:eastAsia="黑体"/>
      <w:color w:val="000000"/>
      <w:kern w:val="30"/>
      <w:sz w:val="32"/>
      <w:szCs w:val="32"/>
    </w:rPr>
  </w:style>
  <w:style w:type="paragraph" w:customStyle="1" w:styleId="235">
    <w:name w:val="附录图标题"/>
    <w:next w:val="1"/>
    <w:qFormat/>
    <w:uiPriority w:val="0"/>
    <w:pPr>
      <w:numPr>
        <w:ilvl w:val="5"/>
        <w:numId w:val="1"/>
      </w:numPr>
      <w:jc w:val="center"/>
    </w:pPr>
    <w:rPr>
      <w:rFonts w:ascii="黑体" w:hAnsi="Times New Roman" w:eastAsia="黑体" w:cs="Times New Roman"/>
      <w:sz w:val="21"/>
      <w:lang w:val="en-US" w:eastAsia="zh-CN" w:bidi="ar-SA"/>
    </w:rPr>
  </w:style>
  <w:style w:type="character" w:customStyle="1" w:styleId="236">
    <w:name w:val="表格填充1 Char"/>
    <w:link w:val="176"/>
    <w:qFormat/>
    <w:uiPriority w:val="0"/>
    <w:rPr>
      <w:snapToGrid w:val="0"/>
      <w:szCs w:val="18"/>
    </w:rPr>
  </w:style>
  <w:style w:type="paragraph" w:customStyle="1" w:styleId="237">
    <w:name w:val="reader-word-layer reader-word-s9-20 reader-word-s9-2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38">
    <w:name w:val="reader-word-layer reader-word-s9-20 reader-word-s9-25"/>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39">
    <w:name w:val="样式 小四 行距: 1.5 倍行距1"/>
    <w:basedOn w:val="1"/>
    <w:qFormat/>
    <w:uiPriority w:val="0"/>
    <w:pPr>
      <w:spacing w:line="240" w:lineRule="auto"/>
      <w:ind w:firstLine="560" w:firstLineChars="200"/>
    </w:pPr>
    <w:rPr>
      <w:rFonts w:ascii="宋体" w:hAnsi="宋体" w:cs="宋体"/>
      <w:sz w:val="28"/>
      <w:szCs w:val="20"/>
    </w:rPr>
  </w:style>
  <w:style w:type="paragraph" w:customStyle="1" w:styleId="240">
    <w:name w:val="样式-正表lshy"/>
    <w:basedOn w:val="1"/>
    <w:qFormat/>
    <w:uiPriority w:val="0"/>
    <w:pPr>
      <w:autoSpaceDE w:val="0"/>
      <w:autoSpaceDN w:val="0"/>
      <w:adjustRightInd w:val="0"/>
      <w:snapToGrid w:val="0"/>
      <w:spacing w:line="240" w:lineRule="atLeast"/>
      <w:ind w:firstLine="560" w:firstLineChars="200"/>
      <w:jc w:val="center"/>
      <w:textAlignment w:val="baseline"/>
    </w:pPr>
    <w:rPr>
      <w:rFonts w:ascii="宋体"/>
      <w:color w:val="000000"/>
      <w:kern w:val="0"/>
      <w:sz w:val="21"/>
      <w:szCs w:val="20"/>
    </w:rPr>
  </w:style>
  <w:style w:type="paragraph" w:customStyle="1" w:styleId="241">
    <w:name w:val="5"/>
    <w:basedOn w:val="1"/>
    <w:next w:val="145"/>
    <w:qFormat/>
    <w:uiPriority w:val="99"/>
    <w:pPr>
      <w:spacing w:line="240" w:lineRule="auto"/>
      <w:ind w:firstLine="420" w:firstLineChars="200"/>
    </w:pPr>
    <w:rPr>
      <w:sz w:val="21"/>
    </w:rPr>
  </w:style>
  <w:style w:type="paragraph" w:customStyle="1" w:styleId="242">
    <w:name w:val="111正文"/>
    <w:basedOn w:val="1"/>
    <w:link w:val="259"/>
    <w:qFormat/>
    <w:uiPriority w:val="0"/>
    <w:pPr>
      <w:tabs>
        <w:tab w:val="left" w:pos="600"/>
      </w:tabs>
      <w:ind w:firstLine="200" w:firstLineChars="200"/>
    </w:pPr>
    <w:rPr>
      <w:rFonts w:asciiTheme="minorHAnsi" w:hAnsiTheme="minorHAnsi" w:eastAsiaTheme="minorEastAsia" w:cstheme="minorBidi"/>
      <w:szCs w:val="22"/>
    </w:rPr>
  </w:style>
  <w:style w:type="character" w:customStyle="1" w:styleId="243">
    <w:name w:val="word2"/>
    <w:basedOn w:val="45"/>
    <w:qFormat/>
    <w:uiPriority w:val="0"/>
    <w:rPr>
      <w:sz w:val="21"/>
      <w:szCs w:val="20"/>
    </w:rPr>
  </w:style>
  <w:style w:type="paragraph" w:customStyle="1" w:styleId="244">
    <w:name w:val="样式1"/>
    <w:basedOn w:val="2"/>
    <w:qFormat/>
    <w:uiPriority w:val="0"/>
    <w:pPr>
      <w:keepNext w:val="0"/>
      <w:keepLines w:val="0"/>
      <w:spacing w:before="0" w:after="0" w:line="240" w:lineRule="auto"/>
      <w:jc w:val="left"/>
    </w:pPr>
    <w:rPr>
      <w:rFonts w:ascii="宋体" w:hAnsi="宋体"/>
      <w:bCs w:val="0"/>
      <w:kern w:val="0"/>
      <w:sz w:val="28"/>
      <w:szCs w:val="28"/>
    </w:rPr>
  </w:style>
  <w:style w:type="character" w:customStyle="1" w:styleId="245">
    <w:name w:val="正文文本缩进 2 字符1"/>
    <w:basedOn w:val="45"/>
    <w:semiHidden/>
    <w:qFormat/>
    <w:uiPriority w:val="99"/>
    <w:rPr>
      <w:rFonts w:ascii="Times New Roman" w:hAnsi="Times New Roman" w:eastAsia="宋体" w:cs="Times New Roman"/>
      <w:sz w:val="24"/>
      <w:szCs w:val="24"/>
    </w:rPr>
  </w:style>
  <w:style w:type="character" w:customStyle="1" w:styleId="246">
    <w:name w:val="正文缩进 字符"/>
    <w:link w:val="13"/>
    <w:qFormat/>
    <w:uiPriority w:val="0"/>
  </w:style>
  <w:style w:type="character" w:customStyle="1" w:styleId="247">
    <w:name w:val="样式 样式 样式 首行缩进:  0 厘米 + 居中 + Char"/>
    <w:link w:val="248"/>
    <w:qFormat/>
    <w:uiPriority w:val="0"/>
    <w:rPr>
      <w:spacing w:val="-8"/>
    </w:rPr>
  </w:style>
  <w:style w:type="paragraph" w:customStyle="1" w:styleId="248">
    <w:name w:val="样式 样式 样式 首行缩进:  0 厘米 + 居中 +"/>
    <w:basedOn w:val="1"/>
    <w:link w:val="247"/>
    <w:qFormat/>
    <w:uiPriority w:val="0"/>
    <w:pPr>
      <w:spacing w:line="240" w:lineRule="auto"/>
      <w:jc w:val="center"/>
    </w:pPr>
    <w:rPr>
      <w:rFonts w:asciiTheme="minorHAnsi" w:hAnsiTheme="minorHAnsi" w:eastAsiaTheme="minorEastAsia" w:cstheme="minorBidi"/>
      <w:spacing w:val="-8"/>
      <w:sz w:val="21"/>
      <w:szCs w:val="22"/>
    </w:rPr>
  </w:style>
  <w:style w:type="paragraph" w:customStyle="1" w:styleId="249">
    <w:name w:val="样式 标题 3 + 段前: 0.3 行"/>
    <w:basedOn w:val="4"/>
    <w:qFormat/>
    <w:uiPriority w:val="0"/>
    <w:pPr>
      <w:keepNext w:val="0"/>
      <w:spacing w:before="156" w:beforeLines="50" w:after="120" w:line="440" w:lineRule="exact"/>
    </w:pPr>
    <w:rPr>
      <w:rFonts w:ascii="黑体" w:hAnsi="Arial" w:eastAsia="黑体" w:cs="宋体"/>
      <w:b w:val="0"/>
      <w:bCs w:val="0"/>
      <w:spacing w:val="16"/>
      <w:w w:val="90"/>
      <w:kern w:val="28"/>
      <w:sz w:val="28"/>
      <w:szCs w:val="28"/>
    </w:rPr>
  </w:style>
  <w:style w:type="paragraph" w:customStyle="1" w:styleId="250">
    <w:name w:val="Char Char Char Char Char Char Char"/>
    <w:basedOn w:val="1"/>
    <w:qFormat/>
    <w:uiPriority w:val="0"/>
    <w:pPr>
      <w:ind w:firstLine="200" w:firstLineChars="200"/>
    </w:pPr>
    <w:rPr>
      <w:sz w:val="21"/>
      <w:szCs w:val="20"/>
    </w:rPr>
  </w:style>
  <w:style w:type="paragraph" w:customStyle="1" w:styleId="251">
    <w:name w:val="xl3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jc w:val="left"/>
      <w:textAlignment w:val="center"/>
    </w:pPr>
    <w:rPr>
      <w:rFonts w:ascii="Arial Unicode MS" w:hAnsi="Arial Unicode MS" w:eastAsia="Arial Unicode MS" w:cs="Arial Unicode MS"/>
      <w:kern w:val="0"/>
      <w:sz w:val="22"/>
      <w:szCs w:val="22"/>
    </w:rPr>
  </w:style>
  <w:style w:type="paragraph" w:customStyle="1" w:styleId="252">
    <w:name w:val="font6"/>
    <w:basedOn w:val="1"/>
    <w:qFormat/>
    <w:uiPriority w:val="0"/>
    <w:pPr>
      <w:widowControl/>
      <w:spacing w:before="100" w:beforeAutospacing="1" w:after="100" w:afterAutospacing="1" w:line="240" w:lineRule="auto"/>
      <w:jc w:val="left"/>
    </w:pPr>
    <w:rPr>
      <w:rFonts w:hint="eastAsia" w:ascii="宋体" w:hAnsi="宋体" w:cs="Arial Unicode MS"/>
      <w:kern w:val="0"/>
      <w:sz w:val="22"/>
      <w:szCs w:val="22"/>
    </w:rPr>
  </w:style>
  <w:style w:type="character" w:customStyle="1" w:styleId="253">
    <w:name w:val="Char Char2"/>
    <w:qFormat/>
    <w:uiPriority w:val="0"/>
    <w:rPr>
      <w:rFonts w:eastAsia="宋体"/>
      <w:b/>
      <w:bCs/>
      <w:kern w:val="2"/>
      <w:sz w:val="32"/>
      <w:szCs w:val="32"/>
      <w:lang w:val="en-US" w:eastAsia="zh-CN" w:bidi="ar-SA"/>
    </w:rPr>
  </w:style>
  <w:style w:type="paragraph" w:customStyle="1" w:styleId="254">
    <w:name w:val="Char Char Char Char Char Char Char Char Char Char Char Char Char Char Char Char Char Char Char Char Char Char Char Char1"/>
    <w:basedOn w:val="1"/>
    <w:qFormat/>
    <w:uiPriority w:val="0"/>
    <w:pPr>
      <w:widowControl/>
      <w:jc w:val="left"/>
    </w:pPr>
    <w:rPr>
      <w:rFonts w:ascii="宋体" w:hAnsi="宋体" w:cs="宋体"/>
      <w:szCs w:val="21"/>
    </w:rPr>
  </w:style>
  <w:style w:type="character" w:customStyle="1" w:styleId="255">
    <w:name w:val="正文文本 3 字符1"/>
    <w:basedOn w:val="45"/>
    <w:semiHidden/>
    <w:qFormat/>
    <w:uiPriority w:val="99"/>
    <w:rPr>
      <w:rFonts w:ascii="Times New Roman" w:hAnsi="Times New Roman" w:eastAsia="宋体" w:cs="Times New Roman"/>
      <w:sz w:val="16"/>
      <w:szCs w:val="16"/>
    </w:rPr>
  </w:style>
  <w:style w:type="paragraph" w:customStyle="1" w:styleId="256">
    <w:name w:val="2"/>
    <w:basedOn w:val="1"/>
    <w:next w:val="23"/>
    <w:qFormat/>
    <w:uiPriority w:val="0"/>
    <w:pPr>
      <w:spacing w:line="440" w:lineRule="exact"/>
    </w:pPr>
    <w:rPr>
      <w:rFonts w:eastAsia="方正书宋简体" w:cs="Courier New"/>
      <w:sz w:val="28"/>
      <w:szCs w:val="21"/>
    </w:rPr>
  </w:style>
  <w:style w:type="character" w:customStyle="1" w:styleId="257">
    <w:name w:val="样式5 Char"/>
    <w:basedOn w:val="126"/>
    <w:link w:val="96"/>
    <w:qFormat/>
    <w:uiPriority w:val="0"/>
    <w:rPr>
      <w:sz w:val="18"/>
      <w:szCs w:val="18"/>
    </w:rPr>
  </w:style>
  <w:style w:type="paragraph" w:customStyle="1" w:styleId="258">
    <w:name w:val="图"/>
    <w:basedOn w:val="13"/>
    <w:next w:val="1"/>
    <w:qFormat/>
    <w:uiPriority w:val="0"/>
    <w:pPr>
      <w:ind w:firstLine="0"/>
      <w:jc w:val="center"/>
    </w:pPr>
    <w:rPr>
      <w:rFonts w:ascii="宋体" w:hAnsi="宋体" w:cs="CG Times"/>
      <w:kern w:val="0"/>
    </w:rPr>
  </w:style>
  <w:style w:type="character" w:customStyle="1" w:styleId="259">
    <w:name w:val="111正文 Char"/>
    <w:link w:val="242"/>
    <w:qFormat/>
    <w:uiPriority w:val="0"/>
    <w:rPr>
      <w:sz w:val="24"/>
    </w:rPr>
  </w:style>
  <w:style w:type="paragraph" w:customStyle="1" w:styleId="26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1">
    <w:name w:val="样式6"/>
    <w:basedOn w:val="78"/>
    <w:qFormat/>
    <w:uiPriority w:val="0"/>
    <w:pPr>
      <w:tabs>
        <w:tab w:val="left" w:pos="720"/>
      </w:tabs>
      <w:ind w:left="720" w:hanging="720"/>
      <w:outlineLvl w:val="2"/>
    </w:pPr>
    <w:rPr>
      <w:rFonts w:eastAsia="宋体"/>
      <w:b w:val="0"/>
    </w:rPr>
  </w:style>
  <w:style w:type="paragraph" w:customStyle="1" w:styleId="262">
    <w:name w:val="reader-word-layer"/>
    <w:basedOn w:val="1"/>
    <w:qFormat/>
    <w:uiPriority w:val="0"/>
    <w:pPr>
      <w:widowControl/>
      <w:spacing w:before="100" w:beforeAutospacing="1" w:after="100" w:afterAutospacing="1" w:line="240" w:lineRule="auto"/>
      <w:jc w:val="left"/>
    </w:pPr>
    <w:rPr>
      <w:rFonts w:ascii="宋体" w:hAnsi="宋体" w:cs="宋体"/>
      <w:kern w:val="0"/>
    </w:rPr>
  </w:style>
  <w:style w:type="character" w:customStyle="1" w:styleId="263">
    <w:name w:val="正文文本缩进 2 字符"/>
    <w:link w:val="25"/>
    <w:qFormat/>
    <w:uiPriority w:val="99"/>
    <w:rPr>
      <w:szCs w:val="24"/>
    </w:rPr>
  </w:style>
  <w:style w:type="table" w:customStyle="1" w:styleId="264">
    <w:name w:val="环评"/>
    <w:basedOn w:val="44"/>
    <w:qFormat/>
    <w:uiPriority w:val="0"/>
    <w:pPr>
      <w:spacing w:line="240" w:lineRule="auto"/>
      <w:jc w:val="center"/>
    </w:pPr>
    <w:rPr>
      <w:rFonts w:eastAsia="Times New Roman"/>
      <w:sz w:val="21"/>
    </w:rPr>
    <w:tblPr>
      <w:jc w:val="center"/>
      <w:tblBorders>
        <w:top w:val="single" w:color="auto" w:sz="12" w:space="0"/>
        <w:bottom w:val="single" w:color="auto" w:sz="12" w:space="0"/>
      </w:tblBorders>
    </w:tblPr>
    <w:trPr>
      <w:jc w:val="center"/>
    </w:trPr>
    <w:tcPr>
      <w:vAlign w:val="center"/>
    </w:tcPr>
  </w:style>
  <w:style w:type="character" w:customStyle="1" w:styleId="265">
    <w:name w:val="正文文本首行缩进 2 字符"/>
    <w:basedOn w:val="119"/>
    <w:semiHidden/>
    <w:qFormat/>
    <w:uiPriority w:val="99"/>
    <w:rPr>
      <w:rFonts w:ascii="Times New Roman" w:hAnsi="Times New Roman" w:eastAsia="宋体" w:cs="Times New Roman"/>
      <w:sz w:val="24"/>
      <w:szCs w:val="24"/>
    </w:rPr>
  </w:style>
  <w:style w:type="character" w:customStyle="1" w:styleId="266">
    <w:name w:val="页脚 字符"/>
    <w:basedOn w:val="45"/>
    <w:link w:val="27"/>
    <w:qFormat/>
    <w:uiPriority w:val="99"/>
    <w:rPr>
      <w:sz w:val="18"/>
      <w:szCs w:val="18"/>
    </w:rPr>
  </w:style>
  <w:style w:type="character" w:customStyle="1" w:styleId="267">
    <w:name w:val="正文文本首行缩进 字符1"/>
    <w:link w:val="41"/>
    <w:semiHidden/>
    <w:qFormat/>
    <w:uiPriority w:val="0"/>
    <w:rPr>
      <w:rFonts w:ascii="宋体" w:hAnsi="宋体"/>
      <w:b/>
      <w:sz w:val="24"/>
      <w:szCs w:val="24"/>
    </w:rPr>
  </w:style>
  <w:style w:type="character" w:customStyle="1" w:styleId="268">
    <w:name w:val="Char Char Char Char Char Char Char Char Char Char Char Char"/>
    <w:qFormat/>
    <w:uiPriority w:val="0"/>
    <w:rPr>
      <w:rFonts w:ascii="宋体" w:hAnsi="Courier New" w:eastAsia="宋体"/>
      <w:kern w:val="2"/>
      <w:sz w:val="21"/>
      <w:szCs w:val="20"/>
      <w:lang w:val="en-US" w:eastAsia="zh-CN" w:bidi="ar-SA"/>
    </w:rPr>
  </w:style>
  <w:style w:type="paragraph" w:customStyle="1" w:styleId="269">
    <w:name w:val="样式 样式 标题 1 + (西文) Arial (中文) 黑体 三号 两端对齐 段前: 6 磅... + 首行缩进:  1.13..."/>
    <w:basedOn w:val="3"/>
    <w:qFormat/>
    <w:uiPriority w:val="0"/>
    <w:pPr>
      <w:jc w:val="left"/>
    </w:pPr>
    <w:rPr>
      <w:szCs w:val="20"/>
    </w:rPr>
  </w:style>
  <w:style w:type="character" w:customStyle="1" w:styleId="270">
    <w:name w:val="纯文本 Char1 Char"/>
    <w:qFormat/>
    <w:uiPriority w:val="0"/>
    <w:rPr>
      <w:rFonts w:ascii="宋体" w:hAnsi="Courier New" w:eastAsia="宋体"/>
      <w:kern w:val="2"/>
      <w:sz w:val="21"/>
      <w:szCs w:val="20"/>
      <w:lang w:val="en-US" w:eastAsia="zh-CN" w:bidi="ar-SA"/>
    </w:rPr>
  </w:style>
  <w:style w:type="paragraph" w:customStyle="1" w:styleId="271">
    <w:name w:val="标准文本 首行缩进:2 字符 行距1倍"/>
    <w:basedOn w:val="1"/>
    <w:qFormat/>
    <w:uiPriority w:val="0"/>
    <w:pPr>
      <w:adjustRightInd w:val="0"/>
      <w:snapToGrid w:val="0"/>
      <w:spacing w:line="240" w:lineRule="auto"/>
      <w:jc w:val="center"/>
      <w:textAlignment w:val="center"/>
    </w:pPr>
    <w:rPr>
      <w:rFonts w:ascii="黑体" w:hAnsi="宋体" w:eastAsia="黑体" w:cs="宋体"/>
    </w:rPr>
  </w:style>
  <w:style w:type="character" w:customStyle="1" w:styleId="272">
    <w:name w:val="7e8dc108-4af0-426d-bb9c-8f96acaaca48 字符"/>
    <w:basedOn w:val="151"/>
    <w:link w:val="206"/>
    <w:qFormat/>
    <w:uiPriority w:val="0"/>
    <w:rPr>
      <w:rFonts w:ascii="仿宋" w:hAnsi="仿宋" w:eastAsia="仿宋" w:cs="Times New Roman"/>
      <w:b w:val="0"/>
      <w:color w:val="000000"/>
      <w:kern w:val="2"/>
      <w:sz w:val="32"/>
      <w:szCs w:val="28"/>
      <w:lang w:val="zh-CN" w:eastAsia="zh-CN"/>
    </w:rPr>
  </w:style>
  <w:style w:type="character" w:customStyle="1" w:styleId="273">
    <w:name w:val="纯文本 字符1"/>
    <w:basedOn w:val="45"/>
    <w:semiHidden/>
    <w:qFormat/>
    <w:uiPriority w:val="99"/>
    <w:rPr>
      <w:rFonts w:hAnsi="Courier New" w:cs="Courier New" w:asciiTheme="minorEastAsia"/>
      <w:sz w:val="24"/>
      <w:szCs w:val="24"/>
    </w:rPr>
  </w:style>
  <w:style w:type="character" w:customStyle="1" w:styleId="274">
    <w:name w:val="脚注文本 字符"/>
    <w:link w:val="33"/>
    <w:semiHidden/>
    <w:qFormat/>
    <w:uiPriority w:val="0"/>
    <w:rPr>
      <w:sz w:val="18"/>
      <w:szCs w:val="18"/>
    </w:rPr>
  </w:style>
  <w:style w:type="character" w:customStyle="1" w:styleId="275">
    <w:name w:val="zw1"/>
    <w:qFormat/>
    <w:uiPriority w:val="0"/>
    <w:rPr>
      <w:rFonts w:hint="eastAsia" w:ascii="宋体" w:hAnsi="宋体" w:eastAsia="宋体"/>
      <w:sz w:val="22"/>
      <w:szCs w:val="22"/>
    </w:rPr>
  </w:style>
  <w:style w:type="character" w:customStyle="1" w:styleId="276">
    <w:name w:val="t_tag"/>
    <w:basedOn w:val="45"/>
    <w:qFormat/>
    <w:uiPriority w:val="0"/>
    <w:rPr>
      <w:sz w:val="21"/>
      <w:szCs w:val="20"/>
    </w:rPr>
  </w:style>
  <w:style w:type="paragraph" w:customStyle="1" w:styleId="277">
    <w:name w:val="样式 正文文本 3 + 加粗2"/>
    <w:basedOn w:val="19"/>
    <w:link w:val="297"/>
    <w:qFormat/>
    <w:uiPriority w:val="0"/>
    <w:pPr>
      <w:widowControl/>
      <w:snapToGrid w:val="0"/>
      <w:spacing w:line="320" w:lineRule="exact"/>
    </w:pPr>
    <w:rPr>
      <w:rFonts w:ascii="宋体" w:hAnsi="宋体" w:eastAsia="仿宋_GB2312"/>
      <w:b/>
      <w:spacing w:val="4"/>
      <w:szCs w:val="22"/>
    </w:rPr>
  </w:style>
  <w:style w:type="paragraph" w:customStyle="1" w:styleId="278">
    <w:name w:val="Char Char Char"/>
    <w:basedOn w:val="1"/>
    <w:qFormat/>
    <w:uiPriority w:val="0"/>
    <w:pPr>
      <w:snapToGrid w:val="0"/>
      <w:ind w:firstLine="200" w:firstLineChars="200"/>
    </w:pPr>
  </w:style>
  <w:style w:type="character" w:customStyle="1" w:styleId="279">
    <w:name w:val="72c23eac-05e5-485a-9b67-1c7dbe1944ac 字符"/>
    <w:basedOn w:val="151"/>
    <w:link w:val="280"/>
    <w:qFormat/>
    <w:uiPriority w:val="0"/>
    <w:rPr>
      <w:rFonts w:ascii="黑体" w:hAnsi="黑体" w:eastAsia="黑体" w:cs="Times New Roman"/>
      <w:bCs w:val="0"/>
      <w:color w:val="000000"/>
      <w:kern w:val="44"/>
      <w:sz w:val="32"/>
      <w:szCs w:val="28"/>
      <w:lang w:val="zh-CN" w:eastAsia="zh-CN"/>
    </w:rPr>
  </w:style>
  <w:style w:type="paragraph" w:customStyle="1" w:styleId="280">
    <w:name w:val="72c23eac-05e5-485a-9b67-1c7dbe1944ac"/>
    <w:basedOn w:val="2"/>
    <w:next w:val="206"/>
    <w:link w:val="279"/>
    <w:qFormat/>
    <w:uiPriority w:val="0"/>
    <w:pPr>
      <w:tabs>
        <w:tab w:val="left" w:pos="720"/>
      </w:tabs>
      <w:adjustRightInd w:val="0"/>
      <w:spacing w:before="0" w:after="0" w:line="600" w:lineRule="exact"/>
      <w:ind w:firstLine="640"/>
    </w:pPr>
    <w:rPr>
      <w:rFonts w:ascii="黑体" w:hAnsi="黑体"/>
      <w:bCs w:val="0"/>
      <w:color w:val="000000"/>
      <w:szCs w:val="28"/>
    </w:rPr>
  </w:style>
  <w:style w:type="character" w:customStyle="1" w:styleId="281">
    <w:name w:val="文档结构图 字符"/>
    <w:link w:val="15"/>
    <w:semiHidden/>
    <w:qFormat/>
    <w:uiPriority w:val="0"/>
    <w:rPr>
      <w:sz w:val="24"/>
      <w:szCs w:val="24"/>
      <w:shd w:val="clear" w:color="auto" w:fill="000080"/>
    </w:rPr>
  </w:style>
  <w:style w:type="character" w:customStyle="1" w:styleId="282">
    <w:name w:val="批注主题 字符"/>
    <w:link w:val="40"/>
    <w:semiHidden/>
    <w:qFormat/>
    <w:uiPriority w:val="0"/>
    <w:rPr>
      <w:b/>
      <w:bCs/>
      <w:sz w:val="24"/>
      <w:szCs w:val="24"/>
    </w:rPr>
  </w:style>
  <w:style w:type="character" w:customStyle="1" w:styleId="283">
    <w:name w:val="ttitle1"/>
    <w:qFormat/>
    <w:uiPriority w:val="0"/>
    <w:rPr>
      <w:spacing w:val="120"/>
      <w:sz w:val="21"/>
      <w:szCs w:val="21"/>
    </w:rPr>
  </w:style>
  <w:style w:type="paragraph" w:customStyle="1" w:styleId="284">
    <w:name w:val="正文000000"/>
    <w:basedOn w:val="1"/>
    <w:next w:val="1"/>
    <w:qFormat/>
    <w:uiPriority w:val="0"/>
    <w:pPr>
      <w:adjustRightInd w:val="0"/>
      <w:snapToGrid w:val="0"/>
      <w:ind w:firstLine="200" w:firstLineChars="200"/>
    </w:pPr>
    <w:rPr>
      <w:rFonts w:ascii="宋体" w:hAnsi="宋体" w:cs="宋体"/>
    </w:rPr>
  </w:style>
  <w:style w:type="paragraph" w:customStyle="1" w:styleId="285">
    <w:name w:val="正文文本2"/>
    <w:basedOn w:val="20"/>
    <w:qFormat/>
    <w:uiPriority w:val="0"/>
    <w:pPr>
      <w:spacing w:line="360" w:lineRule="auto"/>
      <w:ind w:firstLine="480" w:firstLineChars="200"/>
      <w:jc w:val="both"/>
    </w:pPr>
    <w:rPr>
      <w:rFonts w:hAnsi="Times New Roman" w:cs="宋体"/>
      <w:b w:val="0"/>
      <w:szCs w:val="20"/>
    </w:rPr>
  </w:style>
  <w:style w:type="paragraph" w:customStyle="1" w:styleId="286">
    <w:name w:val="Char Char Char Char Char Char Char Char Char Char Char Char Char1"/>
    <w:basedOn w:val="1"/>
    <w:qFormat/>
    <w:uiPriority w:val="0"/>
    <w:pPr>
      <w:spacing w:line="240" w:lineRule="auto"/>
    </w:pPr>
    <w:rPr>
      <w:rFonts w:ascii="宋体" w:hAnsi="PMingLiU"/>
    </w:rPr>
  </w:style>
  <w:style w:type="paragraph" w:customStyle="1" w:styleId="28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w:hAnsi="Arial" w:eastAsia="Arial Unicode MS" w:cs="Arial"/>
      <w:kern w:val="0"/>
      <w:sz w:val="22"/>
      <w:szCs w:val="22"/>
    </w:rPr>
  </w:style>
  <w:style w:type="character" w:customStyle="1" w:styleId="288">
    <w:name w:val="页脚 Char"/>
    <w:qFormat/>
    <w:uiPriority w:val="99"/>
    <w:rPr>
      <w:sz w:val="21"/>
      <w:szCs w:val="20"/>
      <w:lang w:eastAsia="zh-CN"/>
    </w:rPr>
  </w:style>
  <w:style w:type="paragraph" w:customStyle="1" w:styleId="289">
    <w:name w:val="Char Char Char Char Char Char Char Char Char1 Char Char Char Char Char Char Char Char Char Char Char Char Char"/>
    <w:basedOn w:val="2"/>
    <w:qFormat/>
    <w:uiPriority w:val="0"/>
    <w:pPr>
      <w:snapToGrid w:val="0"/>
      <w:spacing w:before="240" w:after="240" w:line="348" w:lineRule="auto"/>
    </w:pPr>
    <w:rPr>
      <w:rFonts w:ascii="Tahoma" w:hAnsi="Tahoma" w:eastAsia="宋体"/>
      <w:bCs w:val="0"/>
      <w:kern w:val="2"/>
      <w:sz w:val="24"/>
      <w:szCs w:val="20"/>
    </w:rPr>
  </w:style>
  <w:style w:type="character" w:customStyle="1" w:styleId="290">
    <w:name w:val="注释标题 字符"/>
    <w:link w:val="12"/>
    <w:qFormat/>
    <w:uiPriority w:val="0"/>
    <w:rPr>
      <w:rFonts w:ascii="宋体"/>
    </w:rPr>
  </w:style>
  <w:style w:type="character" w:customStyle="1" w:styleId="291">
    <w:name w:val="content"/>
    <w:basedOn w:val="45"/>
    <w:qFormat/>
    <w:uiPriority w:val="0"/>
    <w:rPr>
      <w:sz w:val="21"/>
      <w:szCs w:val="20"/>
    </w:rPr>
  </w:style>
  <w:style w:type="character" w:customStyle="1" w:styleId="292">
    <w:name w:val="hottext1"/>
    <w:qFormat/>
    <w:uiPriority w:val="0"/>
    <w:rPr>
      <w:rFonts w:hint="eastAsia" w:ascii="宋体" w:hAnsi="宋体" w:eastAsia="宋体"/>
      <w:color w:val="333333"/>
      <w:sz w:val="20"/>
      <w:szCs w:val="20"/>
      <w:u w:val="none"/>
    </w:rPr>
  </w:style>
  <w:style w:type="paragraph" w:customStyle="1" w:styleId="293">
    <w:name w:val="表格内容1"/>
    <w:basedOn w:val="1"/>
    <w:qFormat/>
    <w:uiPriority w:val="0"/>
    <w:pPr>
      <w:spacing w:line="240" w:lineRule="auto"/>
      <w:jc w:val="center"/>
    </w:pPr>
    <w:rPr>
      <w:rFonts w:cs="宋体"/>
      <w:sz w:val="21"/>
      <w:szCs w:val="20"/>
    </w:rPr>
  </w:style>
  <w:style w:type="character" w:customStyle="1" w:styleId="294">
    <w:name w:val="表格 Char"/>
    <w:qFormat/>
    <w:uiPriority w:val="0"/>
    <w:rPr>
      <w:rFonts w:ascii="宋体" w:hAnsi="Courier New" w:eastAsia="宋体"/>
      <w:kern w:val="2"/>
      <w:sz w:val="21"/>
      <w:szCs w:val="20"/>
      <w:lang w:val="en-US" w:eastAsia="zh-CN" w:bidi="ar-SA"/>
    </w:rPr>
  </w:style>
  <w:style w:type="paragraph" w:customStyle="1" w:styleId="295">
    <w:name w:val="font8"/>
    <w:basedOn w:val="1"/>
    <w:qFormat/>
    <w:uiPriority w:val="0"/>
    <w:pPr>
      <w:widowControl/>
      <w:spacing w:before="100" w:beforeAutospacing="1" w:after="100" w:afterAutospacing="1" w:line="240" w:lineRule="auto"/>
      <w:jc w:val="left"/>
    </w:pPr>
    <w:rPr>
      <w:rFonts w:eastAsia="Arial Unicode MS"/>
      <w:kern w:val="0"/>
      <w:sz w:val="20"/>
      <w:szCs w:val="20"/>
    </w:rPr>
  </w:style>
  <w:style w:type="paragraph" w:customStyle="1" w:styleId="296">
    <w:name w:val="样式 标题 4 + 段后: 0.5 行"/>
    <w:basedOn w:val="5"/>
    <w:qFormat/>
    <w:uiPriority w:val="0"/>
    <w:pPr>
      <w:keepNext w:val="0"/>
      <w:spacing w:before="120" w:after="50" w:afterLines="50" w:line="400" w:lineRule="exact"/>
      <w:jc w:val="both"/>
    </w:pPr>
    <w:rPr>
      <w:rFonts w:ascii="Arial" w:cs="宋体"/>
      <w:bCs w:val="0"/>
      <w:spacing w:val="12"/>
      <w:kern w:val="2"/>
      <w:sz w:val="24"/>
      <w:szCs w:val="20"/>
    </w:rPr>
  </w:style>
  <w:style w:type="character" w:customStyle="1" w:styleId="297">
    <w:name w:val="样式 正文文本 3 + 加粗2 Char"/>
    <w:link w:val="277"/>
    <w:qFormat/>
    <w:uiPriority w:val="0"/>
    <w:rPr>
      <w:rFonts w:ascii="宋体" w:hAnsi="宋体" w:eastAsia="仿宋_GB2312"/>
      <w:b/>
      <w:spacing w:val="4"/>
    </w:rPr>
  </w:style>
  <w:style w:type="paragraph" w:customStyle="1" w:styleId="298">
    <w:name w:val="Char Char Char Char Char Char Char Char Char Char Char Char Char Char Char Char Char Char Char Char Char Char Char Char"/>
    <w:basedOn w:val="1"/>
    <w:qFormat/>
    <w:uiPriority w:val="0"/>
    <w:pPr>
      <w:widowControl/>
      <w:jc w:val="left"/>
    </w:pPr>
    <w:rPr>
      <w:rFonts w:ascii="宋体" w:hAnsi="宋体" w:cs="宋体"/>
      <w:szCs w:val="21"/>
    </w:rPr>
  </w:style>
  <w:style w:type="paragraph" w:customStyle="1" w:styleId="299">
    <w:name w:val="Char Char Char Char Char Char1 Char"/>
    <w:basedOn w:val="1"/>
    <w:semiHidden/>
    <w:qFormat/>
    <w:uiPriority w:val="0"/>
    <w:pPr>
      <w:spacing w:line="240" w:lineRule="auto"/>
    </w:pPr>
    <w:rPr>
      <w:sz w:val="21"/>
    </w:rPr>
  </w:style>
  <w:style w:type="character" w:customStyle="1" w:styleId="300">
    <w:name w:val="表头 Char"/>
    <w:link w:val="185"/>
    <w:qFormat/>
    <w:uiPriority w:val="0"/>
    <w:rPr>
      <w:rFonts w:ascii="Arial" w:hAnsi="Arial" w:eastAsia="黑体"/>
      <w:snapToGrid w:val="0"/>
      <w:spacing w:val="10"/>
      <w:kern w:val="24"/>
      <w:sz w:val="24"/>
      <w:szCs w:val="24"/>
    </w:rPr>
  </w:style>
  <w:style w:type="character" w:customStyle="1" w:styleId="301">
    <w:name w:val="文档结构图 字符1"/>
    <w:basedOn w:val="45"/>
    <w:semiHidden/>
    <w:qFormat/>
    <w:uiPriority w:val="99"/>
    <w:rPr>
      <w:rFonts w:ascii="Microsoft YaHei UI" w:hAnsi="Times New Roman" w:eastAsia="Microsoft YaHei UI" w:cs="Times New Roman"/>
      <w:sz w:val="18"/>
      <w:szCs w:val="18"/>
    </w:rPr>
  </w:style>
  <w:style w:type="paragraph" w:customStyle="1" w:styleId="302">
    <w:name w:val="reader-word-layer reader-word-s9-23"/>
    <w:basedOn w:val="1"/>
    <w:qFormat/>
    <w:uiPriority w:val="0"/>
    <w:pPr>
      <w:widowControl/>
      <w:spacing w:before="100" w:beforeAutospacing="1" w:after="100" w:afterAutospacing="1" w:line="240" w:lineRule="auto"/>
      <w:jc w:val="left"/>
    </w:pPr>
    <w:rPr>
      <w:rFonts w:ascii="宋体" w:hAnsi="宋体" w:cs="宋体"/>
      <w:kern w:val="0"/>
    </w:rPr>
  </w:style>
  <w:style w:type="character" w:customStyle="1" w:styleId="303">
    <w:name w:val="标题 6 字符"/>
    <w:basedOn w:val="45"/>
    <w:link w:val="7"/>
    <w:qFormat/>
    <w:uiPriority w:val="0"/>
    <w:rPr>
      <w:rFonts w:ascii="宋体" w:hAnsi="宋体" w:eastAsia="宋体" w:cs="Times New Roman"/>
      <w:kern w:val="0"/>
      <w:sz w:val="28"/>
      <w:szCs w:val="28"/>
      <w:lang w:val="zh-CN" w:eastAsia="zh-CN"/>
    </w:rPr>
  </w:style>
  <w:style w:type="character" w:customStyle="1" w:styleId="304">
    <w:name w:val="纯文本 字符"/>
    <w:link w:val="23"/>
    <w:qFormat/>
    <w:uiPriority w:val="0"/>
    <w:rPr>
      <w:rFonts w:ascii="宋体" w:hAnsi="Courier New" w:cs="Courier New"/>
      <w:szCs w:val="21"/>
    </w:rPr>
  </w:style>
  <w:style w:type="paragraph" w:customStyle="1" w:styleId="305">
    <w:name w:val="简单回函地址"/>
    <w:basedOn w:val="1"/>
    <w:qFormat/>
    <w:uiPriority w:val="0"/>
    <w:pPr>
      <w:spacing w:line="240" w:lineRule="auto"/>
    </w:pPr>
    <w:rPr>
      <w:rFonts w:ascii="宋体" w:hAnsi="宋体"/>
      <w:szCs w:val="32"/>
    </w:rPr>
  </w:style>
  <w:style w:type="paragraph" w:customStyle="1" w:styleId="306">
    <w:name w:val="段"/>
    <w:qFormat/>
    <w:uiPriority w:val="0"/>
    <w:pPr>
      <w:numPr>
        <w:ilvl w:val="6"/>
        <w:numId w:val="2"/>
      </w:numPr>
      <w:autoSpaceDE w:val="0"/>
      <w:autoSpaceDN w:val="0"/>
      <w:ind w:firstLine="200" w:firstLineChars="200"/>
      <w:jc w:val="both"/>
    </w:pPr>
    <w:rPr>
      <w:rFonts w:hint="eastAsia" w:ascii="宋体" w:hAnsi="Times New Roman" w:eastAsia="宋体" w:cs="Times New Roman"/>
      <w:sz w:val="21"/>
      <w:lang w:val="en-US" w:eastAsia="zh-CN" w:bidi="ar-SA"/>
    </w:rPr>
  </w:style>
  <w:style w:type="paragraph" w:customStyle="1" w:styleId="307">
    <w:name w:val="Char Char Char Char Char Char Char Char Char Char"/>
    <w:basedOn w:val="1"/>
    <w:qFormat/>
    <w:uiPriority w:val="0"/>
    <w:pPr>
      <w:tabs>
        <w:tab w:val="left" w:pos="3360"/>
      </w:tabs>
      <w:spacing w:before="77" w:beforeLines="15" w:after="77" w:afterLines="15" w:line="240" w:lineRule="auto"/>
    </w:pPr>
    <w:rPr>
      <w:rFonts w:ascii="Arial" w:hAnsi="Arial" w:eastAsia="黑体" w:cs="Arial"/>
      <w:kern w:val="0"/>
      <w:sz w:val="26"/>
      <w:szCs w:val="26"/>
    </w:rPr>
  </w:style>
  <w:style w:type="character" w:customStyle="1" w:styleId="308">
    <w:name w:val="脚注文本 字符1"/>
    <w:basedOn w:val="45"/>
    <w:semiHidden/>
    <w:qFormat/>
    <w:uiPriority w:val="99"/>
    <w:rPr>
      <w:rFonts w:ascii="Times New Roman" w:hAnsi="Times New Roman" w:eastAsia="宋体" w:cs="Times New Roman"/>
      <w:sz w:val="18"/>
      <w:szCs w:val="18"/>
    </w:rPr>
  </w:style>
  <w:style w:type="paragraph" w:customStyle="1" w:styleId="309">
    <w:name w:val="健牛文字"/>
    <w:basedOn w:val="1"/>
    <w:qFormat/>
    <w:uiPriority w:val="0"/>
    <w:pPr>
      <w:adjustRightInd w:val="0"/>
      <w:snapToGrid w:val="0"/>
      <w:spacing w:line="440" w:lineRule="exact"/>
      <w:ind w:firstLine="560" w:firstLineChars="200"/>
    </w:pPr>
    <w:rPr>
      <w:sz w:val="28"/>
    </w:rPr>
  </w:style>
  <w:style w:type="character" w:customStyle="1" w:styleId="310">
    <w:name w:val="页眉 字符1"/>
    <w:basedOn w:val="45"/>
    <w:semiHidden/>
    <w:qFormat/>
    <w:uiPriority w:val="99"/>
    <w:rPr>
      <w:kern w:val="2"/>
      <w:sz w:val="18"/>
      <w:szCs w:val="18"/>
    </w:rPr>
  </w:style>
  <w:style w:type="character" w:customStyle="1" w:styleId="311">
    <w:name w:val="HTML 预设格式 字符1"/>
    <w:basedOn w:val="45"/>
    <w:semiHidden/>
    <w:qFormat/>
    <w:uiPriority w:val="99"/>
    <w:rPr>
      <w:rFonts w:ascii="Courier New" w:hAnsi="Courier New" w:eastAsia="宋体" w:cs="Courier New"/>
      <w:sz w:val="20"/>
      <w:szCs w:val="20"/>
    </w:rPr>
  </w:style>
  <w:style w:type="paragraph" w:customStyle="1" w:styleId="312">
    <w:name w:val="修订1"/>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emf"/><Relationship Id="rId22" Type="http://schemas.openxmlformats.org/officeDocument/2006/relationships/package" Target="embeddings/Microsoft_Visio___4.vsdx"/><Relationship Id="rId21" Type="http://schemas.openxmlformats.org/officeDocument/2006/relationships/image" Target="media/image3.emf"/><Relationship Id="rId20" Type="http://schemas.openxmlformats.org/officeDocument/2006/relationships/package" Target="embeddings/Microsoft_Visio___3.vsdx"/><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package" Target="embeddings/Microsoft_Visio___2.vsdx"/><Relationship Id="rId17" Type="http://schemas.openxmlformats.org/officeDocument/2006/relationships/image" Target="media/image1.emf"/><Relationship Id="rId16" Type="http://schemas.openxmlformats.org/officeDocument/2006/relationships/package" Target="embeddings/Microsoft_Visio___1.vsdx"/><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14908</Words>
  <Characters>15233</Characters>
  <Lines>144</Lines>
  <Paragraphs>40</Paragraphs>
  <TotalTime>118</TotalTime>
  <ScaleCrop>false</ScaleCrop>
  <LinksUpToDate>false</LinksUpToDate>
  <CharactersWithSpaces>15395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2025-07-12T03:43:00Z</dcterms:created>
  <dc:creator>Lenovo</dc:creator>
  <cp:lastModifiedBy>Mr·right</cp:lastModifiedBy>
  <cp:lastPrinted>2025-11-17T08:47:15Z</cp:lastPrinted>
  <dcterms:modified xsi:type="dcterms:W3CDTF">2025-11-18T10:40:32Z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eyJoZGlkIjoiMTU0OTRlNjY0YWMxYTgxYTY4MDU3ZGE4ZjgwZDE1NTMiLCJ1c2VySWQiOiIxOTk5NDU2NjMifQ==</vt:lpwstr>
  </property>
  <property fmtid="{D5CDD505-2E9C-101B-9397-08002B2CF9AE}" pid="3" name="KSOProductBuildVer">
    <vt:lpwstr>2052-12.1.0.23125</vt:lpwstr>
  </property>
  <property fmtid="{D5CDD505-2E9C-101B-9397-08002B2CF9AE}" pid="4" name="ICV">
    <vt:lpwstr>4B7626845A7A400DB5E3E4B2EF74C0E9_13</vt:lpwstr>
  </property>
</Properties>
</file>