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5.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612DA2D">
      <w:pPr>
        <w:adjustRightInd w:val="0"/>
        <w:snapToGrid w:val="0"/>
        <w:spacing w:line="360" w:lineRule="auto"/>
        <w:jc w:val="center"/>
        <w:rPr>
          <w:rFonts w:hint="eastAsia" w:ascii="黑体" w:hAnsi="黑体" w:eastAsia="黑体" w:cs="宋体"/>
          <w:b/>
          <w:spacing w:val="30"/>
          <w:w w:val="90"/>
          <w:sz w:val="36"/>
          <w:szCs w:val="36"/>
        </w:rPr>
      </w:pPr>
      <w:bookmarkStart w:id="0" w:name="_Hlk151054696"/>
      <w:bookmarkEnd w:id="0"/>
      <w:bookmarkStart w:id="1" w:name="_Hlk92223081"/>
      <w:r>
        <w:rPr>
          <w:rFonts w:hint="eastAsia" w:ascii="黑体" w:hAnsi="黑体" w:eastAsia="黑体" w:cs="宋体"/>
          <w:b/>
          <w:spacing w:val="30"/>
          <w:w w:val="90"/>
          <w:sz w:val="36"/>
          <w:szCs w:val="36"/>
        </w:rPr>
        <w:t xml:space="preserve">         </w:t>
      </w:r>
    </w:p>
    <w:p w14:paraId="79AC2FE4">
      <w:pPr>
        <w:adjustRightInd w:val="0"/>
        <w:snapToGrid w:val="0"/>
        <w:spacing w:line="360" w:lineRule="auto"/>
        <w:jc w:val="center"/>
        <w:rPr>
          <w:rFonts w:hint="eastAsia" w:ascii="黑体" w:hAnsi="黑体" w:eastAsia="黑体" w:cs="宋体"/>
          <w:b/>
          <w:snapToGrid w:val="0"/>
          <w:kern w:val="0"/>
          <w:sz w:val="36"/>
          <w:szCs w:val="36"/>
        </w:rPr>
      </w:pPr>
      <w:bookmarkStart w:id="2" w:name="_Hlk147580299"/>
    </w:p>
    <w:p w14:paraId="4BEF30F8">
      <w:pPr>
        <w:adjustRightInd w:val="0"/>
        <w:snapToGrid w:val="0"/>
        <w:spacing w:line="360" w:lineRule="auto"/>
        <w:jc w:val="center"/>
        <w:rPr>
          <w:rFonts w:hint="eastAsia" w:ascii="黑体" w:hAnsi="黑体" w:eastAsia="黑体" w:cs="宋体"/>
          <w:b/>
          <w:snapToGrid w:val="0"/>
          <w:kern w:val="0"/>
          <w:sz w:val="36"/>
          <w:szCs w:val="36"/>
        </w:rPr>
      </w:pPr>
      <w:r>
        <w:rPr>
          <w:rFonts w:hint="eastAsia" w:ascii="黑体" w:hAnsi="黑体" w:eastAsia="黑体" w:cs="宋体"/>
          <w:b/>
          <w:snapToGrid w:val="0"/>
          <w:kern w:val="0"/>
          <w:sz w:val="36"/>
          <w:szCs w:val="36"/>
        </w:rPr>
        <w:t>吉木萨尔凹陷芦草沟组页岩油J10031-吉179井区JHW17-41等5口井产能建设项目</w:t>
      </w:r>
    </w:p>
    <w:p w14:paraId="063E9793">
      <w:pPr>
        <w:adjustRightInd w:val="0"/>
        <w:snapToGrid w:val="0"/>
        <w:spacing w:line="360" w:lineRule="auto"/>
        <w:jc w:val="center"/>
        <w:rPr>
          <w:rFonts w:hint="eastAsia" w:ascii="黑体" w:hAnsi="黑体" w:eastAsia="黑体" w:cs="宋体"/>
          <w:b/>
          <w:sz w:val="84"/>
          <w:szCs w:val="84"/>
        </w:rPr>
      </w:pPr>
      <w:r>
        <w:rPr>
          <w:rFonts w:hint="eastAsia" w:ascii="黑体" w:hAnsi="黑体" w:eastAsia="黑体" w:cs="宋体"/>
          <w:b/>
          <w:sz w:val="84"/>
          <w:szCs w:val="84"/>
        </w:rPr>
        <w:t>环 境 影 响 报 告 书</w:t>
      </w:r>
    </w:p>
    <w:p w14:paraId="2A499ECC">
      <w:pPr>
        <w:jc w:val="center"/>
        <w:rPr>
          <w:rFonts w:hint="eastAsia" w:ascii="黑体" w:hAnsi="黑体" w:eastAsia="黑体"/>
          <w:bCs/>
          <w:sz w:val="32"/>
          <w:szCs w:val="32"/>
        </w:rPr>
      </w:pPr>
      <w:bookmarkStart w:id="3" w:name="_Toc375844778"/>
      <w:bookmarkStart w:id="4" w:name="_Toc31221"/>
      <w:bookmarkStart w:id="5" w:name="_Toc12438"/>
      <w:bookmarkStart w:id="6" w:name="_Toc450909029"/>
      <w:bookmarkStart w:id="7" w:name="_Toc456813558"/>
      <w:bookmarkStart w:id="8" w:name="_Toc445996317"/>
      <w:bookmarkStart w:id="9" w:name="_Toc11157"/>
      <w:bookmarkStart w:id="10" w:name="_Toc445996549"/>
      <w:r>
        <w:rPr>
          <w:rFonts w:hint="eastAsia" w:ascii="黑体" w:hAnsi="黑体" w:eastAsia="黑体"/>
          <w:bCs/>
          <w:sz w:val="32"/>
          <w:szCs w:val="32"/>
        </w:rPr>
        <w:t>（送审版）</w:t>
      </w:r>
      <w:bookmarkEnd w:id="3"/>
      <w:bookmarkEnd w:id="4"/>
      <w:bookmarkEnd w:id="5"/>
      <w:bookmarkEnd w:id="6"/>
      <w:bookmarkEnd w:id="7"/>
      <w:bookmarkEnd w:id="8"/>
      <w:bookmarkEnd w:id="9"/>
      <w:bookmarkEnd w:id="10"/>
    </w:p>
    <w:p w14:paraId="655DBB05">
      <w:pPr>
        <w:spacing w:line="520" w:lineRule="exact"/>
        <w:jc w:val="center"/>
        <w:rPr>
          <w:rFonts w:hint="eastAsia" w:ascii="黑体" w:hAnsi="黑体" w:eastAsia="黑体" w:cs="Chiller"/>
          <w:b/>
          <w:sz w:val="24"/>
        </w:rPr>
      </w:pPr>
    </w:p>
    <w:p w14:paraId="57DC9086">
      <w:pPr>
        <w:spacing w:line="520" w:lineRule="exact"/>
        <w:jc w:val="center"/>
        <w:rPr>
          <w:rFonts w:hint="eastAsia" w:ascii="黑体" w:hAnsi="黑体" w:eastAsia="黑体" w:cs="Chiller"/>
          <w:b/>
          <w:sz w:val="24"/>
        </w:rPr>
      </w:pPr>
    </w:p>
    <w:p w14:paraId="43A13920">
      <w:pPr>
        <w:spacing w:line="520" w:lineRule="exact"/>
        <w:jc w:val="center"/>
        <w:rPr>
          <w:rFonts w:hint="eastAsia" w:ascii="黑体" w:hAnsi="黑体" w:eastAsia="黑体" w:cs="Chiller"/>
          <w:b/>
          <w:sz w:val="24"/>
        </w:rPr>
      </w:pPr>
    </w:p>
    <w:p w14:paraId="1B194F4D">
      <w:pPr>
        <w:spacing w:line="520" w:lineRule="exact"/>
        <w:jc w:val="center"/>
        <w:rPr>
          <w:rFonts w:hint="eastAsia" w:ascii="黑体" w:hAnsi="黑体" w:eastAsia="黑体" w:cs="Chiller"/>
          <w:b/>
          <w:sz w:val="24"/>
        </w:rPr>
      </w:pPr>
    </w:p>
    <w:p w14:paraId="35040C2C">
      <w:pPr>
        <w:spacing w:line="520" w:lineRule="exact"/>
        <w:jc w:val="center"/>
        <w:rPr>
          <w:rFonts w:hint="eastAsia" w:ascii="黑体" w:hAnsi="黑体" w:eastAsia="黑体" w:cs="Chiller"/>
          <w:b/>
          <w:sz w:val="24"/>
        </w:rPr>
      </w:pPr>
    </w:p>
    <w:p w14:paraId="7753CD98">
      <w:pPr>
        <w:spacing w:line="520" w:lineRule="exact"/>
        <w:jc w:val="center"/>
        <w:rPr>
          <w:rFonts w:hint="eastAsia" w:ascii="黑体" w:hAnsi="黑体" w:eastAsia="黑体" w:cs="Chiller"/>
          <w:b/>
          <w:sz w:val="24"/>
        </w:rPr>
      </w:pPr>
    </w:p>
    <w:p w14:paraId="650349B6">
      <w:pPr>
        <w:spacing w:line="520" w:lineRule="exact"/>
        <w:jc w:val="center"/>
        <w:rPr>
          <w:rFonts w:hint="eastAsia" w:ascii="黑体" w:hAnsi="黑体" w:eastAsia="黑体" w:cs="Chiller"/>
          <w:b/>
          <w:sz w:val="24"/>
        </w:rPr>
      </w:pPr>
    </w:p>
    <w:p w14:paraId="4A2FB0F2">
      <w:pPr>
        <w:spacing w:line="520" w:lineRule="exact"/>
        <w:jc w:val="center"/>
        <w:rPr>
          <w:rFonts w:hint="eastAsia" w:ascii="黑体" w:hAnsi="黑体" w:eastAsia="黑体" w:cs="Chiller"/>
          <w:b/>
          <w:sz w:val="24"/>
        </w:rPr>
      </w:pPr>
    </w:p>
    <w:p w14:paraId="22A407FC">
      <w:pPr>
        <w:spacing w:line="520" w:lineRule="exact"/>
        <w:jc w:val="center"/>
        <w:rPr>
          <w:rFonts w:hint="eastAsia" w:ascii="黑体" w:hAnsi="黑体" w:eastAsia="黑体" w:cs="Chiller"/>
          <w:b/>
          <w:sz w:val="24"/>
        </w:rPr>
      </w:pPr>
    </w:p>
    <w:p w14:paraId="09D320BF">
      <w:pPr>
        <w:spacing w:line="520" w:lineRule="exact"/>
        <w:jc w:val="center"/>
        <w:rPr>
          <w:rFonts w:hint="eastAsia" w:ascii="黑体" w:hAnsi="黑体" w:eastAsia="黑体" w:cs="Chiller"/>
          <w:b/>
          <w:sz w:val="24"/>
        </w:rPr>
      </w:pPr>
    </w:p>
    <w:p w14:paraId="039BFCD5">
      <w:pPr>
        <w:spacing w:line="520" w:lineRule="exact"/>
        <w:jc w:val="center"/>
        <w:rPr>
          <w:rFonts w:hint="eastAsia" w:ascii="黑体" w:hAnsi="黑体" w:eastAsia="黑体" w:cs="Chiller"/>
          <w:b/>
          <w:sz w:val="24"/>
        </w:rPr>
      </w:pPr>
    </w:p>
    <w:p w14:paraId="7CC24CE2">
      <w:pPr>
        <w:spacing w:line="520" w:lineRule="exact"/>
        <w:jc w:val="center"/>
        <w:rPr>
          <w:rFonts w:hint="eastAsia" w:ascii="黑体" w:hAnsi="黑体" w:eastAsia="黑体" w:cs="Chiller"/>
          <w:b/>
          <w:sz w:val="24"/>
        </w:rPr>
      </w:pPr>
    </w:p>
    <w:p w14:paraId="450C6433">
      <w:pPr>
        <w:ind w:firstLine="1273" w:firstLineChars="398"/>
        <w:rPr>
          <w:rFonts w:hint="eastAsia" w:ascii="黑体" w:hAnsi="黑体" w:eastAsia="黑体"/>
          <w:bCs/>
          <w:sz w:val="32"/>
          <w:szCs w:val="32"/>
        </w:rPr>
      </w:pPr>
      <w:r>
        <w:rPr>
          <w:rFonts w:hint="eastAsia" w:ascii="黑体" w:hAnsi="黑体" w:eastAsia="黑体"/>
          <w:bCs/>
          <w:sz w:val="32"/>
          <w:szCs w:val="32"/>
        </w:rPr>
        <w:t>建设单位：</w:t>
      </w:r>
      <w:bookmarkStart w:id="11" w:name="OLE_LINK62"/>
      <w:r>
        <w:rPr>
          <w:rFonts w:hint="eastAsia" w:ascii="黑体" w:hAnsi="黑体" w:eastAsia="黑体"/>
          <w:bCs/>
          <w:sz w:val="32"/>
          <w:szCs w:val="32"/>
        </w:rPr>
        <w:t>中国石油新疆油田分公司吉庆油田作业区</w:t>
      </w:r>
      <w:bookmarkEnd w:id="11"/>
    </w:p>
    <w:p w14:paraId="076CDA2A">
      <w:pPr>
        <w:ind w:firstLine="1273" w:firstLineChars="398"/>
        <w:rPr>
          <w:rFonts w:hint="eastAsia" w:ascii="黑体" w:hAnsi="黑体" w:eastAsia="黑体"/>
          <w:bCs/>
          <w:sz w:val="32"/>
          <w:szCs w:val="32"/>
        </w:rPr>
      </w:pPr>
      <w:r>
        <w:rPr>
          <w:rFonts w:hint="eastAsia" w:ascii="黑体" w:hAnsi="黑体" w:eastAsia="黑体"/>
          <w:bCs/>
          <w:sz w:val="32"/>
          <w:szCs w:val="32"/>
        </w:rPr>
        <w:t>编制单位：中勘冶金勘察设计研究院有限责任公司</w:t>
      </w:r>
    </w:p>
    <w:p w14:paraId="75FA245E">
      <w:pPr>
        <w:ind w:firstLine="1273" w:firstLineChars="398"/>
        <w:rPr>
          <w:rFonts w:hint="eastAsia" w:ascii="黑体" w:hAnsi="黑体" w:eastAsia="黑体" w:cs="Chiller"/>
          <w:b/>
          <w:sz w:val="24"/>
        </w:rPr>
      </w:pPr>
      <w:r>
        <w:rPr>
          <w:rFonts w:hint="eastAsia" w:ascii="黑体" w:hAnsi="黑体" w:eastAsia="黑体"/>
          <w:sz w:val="32"/>
          <w:szCs w:val="32"/>
        </w:rPr>
        <w:t>编制时间：二</w:t>
      </w:r>
      <w:r>
        <w:rPr>
          <w:rFonts w:hint="eastAsia" w:ascii="黑体" w:hAnsi="黑体" w:eastAsia="黑体" w:cs="宋体"/>
          <w:sz w:val="32"/>
          <w:szCs w:val="32"/>
        </w:rPr>
        <w:t>〇</w:t>
      </w:r>
      <w:r>
        <w:rPr>
          <w:rFonts w:hint="eastAsia" w:ascii="黑体" w:hAnsi="黑体" w:eastAsia="黑体"/>
          <w:sz w:val="32"/>
          <w:szCs w:val="32"/>
        </w:rPr>
        <w:t>二</w:t>
      </w:r>
      <w:r>
        <w:rPr>
          <w:rFonts w:hint="eastAsia" w:ascii="黑体" w:hAnsi="黑体" w:eastAsia="黑体" w:cs="宋体"/>
          <w:sz w:val="32"/>
          <w:szCs w:val="32"/>
        </w:rPr>
        <w:t>四年八月</w:t>
      </w:r>
      <w:bookmarkEnd w:id="2"/>
    </w:p>
    <w:p w14:paraId="09F62250">
      <w:pPr>
        <w:spacing w:line="520" w:lineRule="exact"/>
        <w:sectPr>
          <w:type w:val="continuous"/>
          <w:pgSz w:w="11906" w:h="16838"/>
          <w:pgMar w:top="1418" w:right="1304" w:bottom="1418" w:left="1304" w:header="1021" w:footer="1021" w:gutter="0"/>
          <w:cols w:space="720" w:num="1"/>
          <w:docGrid w:type="lines" w:linePitch="312" w:charSpace="0"/>
        </w:sectPr>
      </w:pPr>
    </w:p>
    <w:p w14:paraId="769D7D00">
      <w:pPr>
        <w:spacing w:line="360" w:lineRule="auto"/>
        <w:rPr>
          <w:rFonts w:hint="eastAsia" w:ascii="宋体" w:hAnsi="宋体"/>
          <w:snapToGrid w:val="0"/>
          <w:kern w:val="0"/>
          <w:sz w:val="24"/>
          <w:szCs w:val="24"/>
        </w:rPr>
      </w:pPr>
    </w:p>
    <w:p w14:paraId="66BD1CCB">
      <w:pPr>
        <w:spacing w:line="500" w:lineRule="exact"/>
        <w:ind w:firstLine="480"/>
        <w:rPr>
          <w:rFonts w:hint="eastAsia" w:ascii="宋体" w:hAnsi="宋体"/>
          <w:snapToGrid w:val="0"/>
          <w:kern w:val="0"/>
          <w:sz w:val="24"/>
          <w:szCs w:val="24"/>
        </w:rPr>
        <w:sectPr>
          <w:pgSz w:w="11906" w:h="16838"/>
          <w:pgMar w:top="1440" w:right="1588" w:bottom="1440" w:left="1588" w:header="1021" w:footer="1021" w:gutter="0"/>
          <w:cols w:space="720" w:num="1"/>
          <w:docGrid w:type="lines" w:linePitch="317" w:charSpace="0"/>
        </w:sectPr>
      </w:pPr>
    </w:p>
    <w:bookmarkEnd w:id="1"/>
    <w:p w14:paraId="74EA3DAF">
      <w:pPr>
        <w:pStyle w:val="117"/>
        <w:ind w:firstLine="562"/>
        <w:jc w:val="center"/>
        <w:rPr>
          <w:rFonts w:hint="eastAsia" w:ascii="黑体" w:hAnsi="黑体" w:eastAsia="黑体"/>
          <w:b/>
          <w:sz w:val="28"/>
        </w:rPr>
      </w:pPr>
      <w:r>
        <w:rPr>
          <w:rFonts w:hint="eastAsia" w:ascii="黑体" w:hAnsi="黑体" w:eastAsia="黑体"/>
          <w:b/>
          <w:sz w:val="28"/>
        </w:rPr>
        <w:t xml:space="preserve">目 </w:t>
      </w:r>
      <w:r>
        <w:rPr>
          <w:rFonts w:ascii="黑体" w:hAnsi="黑体" w:eastAsia="黑体"/>
          <w:b/>
          <w:sz w:val="28"/>
        </w:rPr>
        <w:t xml:space="preserve"> </w:t>
      </w:r>
      <w:r>
        <w:rPr>
          <w:rFonts w:hint="eastAsia" w:ascii="黑体" w:hAnsi="黑体" w:eastAsia="黑体"/>
          <w:b/>
          <w:sz w:val="28"/>
        </w:rPr>
        <w:t>录</w:t>
      </w:r>
    </w:p>
    <w:p w14:paraId="0D3B31FB">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rPr>
          <w:rFonts w:hint="eastAsia" w:cs="宋体"/>
          <w:b w:val="0"/>
          <w:szCs w:val="24"/>
        </w:rPr>
        <w:fldChar w:fldCharType="begin"/>
      </w:r>
      <w:r>
        <w:rPr>
          <w:rFonts w:hint="eastAsia" w:cs="宋体"/>
          <w:b w:val="0"/>
          <w:szCs w:val="24"/>
        </w:rPr>
        <w:instrText xml:space="preserve"> TOC \o "1-2" \h \z \u </w:instrText>
      </w:r>
      <w:r>
        <w:rPr>
          <w:rFonts w:hint="eastAsia" w:cs="宋体"/>
          <w:b w:val="0"/>
          <w:szCs w:val="24"/>
        </w:rPr>
        <w:fldChar w:fldCharType="separate"/>
      </w:r>
      <w:r>
        <w:fldChar w:fldCharType="begin"/>
      </w:r>
      <w:r>
        <w:instrText xml:space="preserve"> HYPERLINK \l "_Toc160381854" </w:instrText>
      </w:r>
      <w:r>
        <w:fldChar w:fldCharType="separate"/>
      </w:r>
      <w:r>
        <w:rPr>
          <w:rStyle w:val="59"/>
          <w:color w:val="auto"/>
        </w:rPr>
        <w:t>1 概述</w:t>
      </w:r>
      <w:r>
        <w:tab/>
      </w:r>
      <w:r>
        <w:fldChar w:fldCharType="begin"/>
      </w:r>
      <w:r>
        <w:instrText xml:space="preserve"> PAGEREF _Toc160381854 \h </w:instrText>
      </w:r>
      <w:r>
        <w:fldChar w:fldCharType="separate"/>
      </w:r>
      <w:r>
        <w:rPr>
          <w:rFonts w:hint="eastAsia"/>
        </w:rPr>
        <w:t>1</w:t>
      </w:r>
      <w:r>
        <w:fldChar w:fldCharType="end"/>
      </w:r>
      <w:r>
        <w:fldChar w:fldCharType="end"/>
      </w:r>
    </w:p>
    <w:p w14:paraId="32F931E4">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"_Toc160381855" </w:instrText>
      </w:r>
      <w:r>
        <w:fldChar w:fldCharType="separate"/>
      </w:r>
      <w:r>
        <w:rPr>
          <w:rStyle w:val="59"/>
          <w:color w:val="auto"/>
        </w:rPr>
        <w:t>1.1 项目背景</w:t>
      </w:r>
      <w:r>
        <w:tab/>
      </w:r>
      <w:r>
        <w:fldChar w:fldCharType="begin"/>
      </w:r>
      <w:r>
        <w:instrText xml:space="preserve"> PAGEREF _Toc160381855 \h </w:instrText>
      </w:r>
      <w:r>
        <w:fldChar w:fldCharType="separate"/>
      </w:r>
      <w:r>
        <w:rPr>
          <w:rFonts w:hint="eastAsia"/>
        </w:rPr>
        <w:t>1</w:t>
      </w:r>
      <w:r>
        <w:fldChar w:fldCharType="end"/>
      </w:r>
      <w:r>
        <w:fldChar w:fldCharType="end"/>
      </w:r>
    </w:p>
    <w:p w14:paraId="1CFBCB27">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"_Toc160381856" </w:instrText>
      </w:r>
      <w:r>
        <w:fldChar w:fldCharType="separate"/>
      </w:r>
      <w:r>
        <w:rPr>
          <w:rStyle w:val="59"/>
          <w:color w:val="auto"/>
        </w:rPr>
        <w:t>1.2 建设项目主要特点</w:t>
      </w:r>
      <w:r>
        <w:tab/>
      </w:r>
      <w:r>
        <w:fldChar w:fldCharType="begin"/>
      </w:r>
      <w:r>
        <w:instrText xml:space="preserve"> PAGEREF _Toc160381856 \h </w:instrText>
      </w:r>
      <w:r>
        <w:fldChar w:fldCharType="separate"/>
      </w:r>
      <w:r>
        <w:rPr>
          <w:rFonts w:hint="eastAsia"/>
        </w:rPr>
        <w:t>1</w:t>
      </w:r>
      <w:r>
        <w:fldChar w:fldCharType="end"/>
      </w:r>
      <w:r>
        <w:fldChar w:fldCharType="end"/>
      </w:r>
    </w:p>
    <w:p w14:paraId="02AD4A0C">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"_Toc160381857" </w:instrText>
      </w:r>
      <w:r>
        <w:fldChar w:fldCharType="separate"/>
      </w:r>
      <w:r>
        <w:rPr>
          <w:rStyle w:val="59"/>
          <w:color w:val="auto"/>
        </w:rPr>
        <w:t>1.3 环境影响评价的工作过程</w:t>
      </w:r>
      <w:r>
        <w:tab/>
      </w:r>
      <w:r>
        <w:fldChar w:fldCharType="begin"/>
      </w:r>
      <w:r>
        <w:instrText xml:space="preserve"> PAGEREF _Toc160381857 \h </w:instrText>
      </w:r>
      <w:r>
        <w:fldChar w:fldCharType="separate"/>
      </w:r>
      <w:r>
        <w:rPr>
          <w:rFonts w:hint="eastAsia"/>
        </w:rPr>
        <w:t>2</w:t>
      </w:r>
      <w:r>
        <w:fldChar w:fldCharType="end"/>
      </w:r>
      <w:r>
        <w:fldChar w:fldCharType="end"/>
      </w:r>
    </w:p>
    <w:p w14:paraId="4CFE6EA6">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"_Toc160381858" </w:instrText>
      </w:r>
      <w:r>
        <w:fldChar w:fldCharType="separate"/>
      </w:r>
      <w:r>
        <w:rPr>
          <w:rStyle w:val="59"/>
          <w:color w:val="auto"/>
          <w:lang w:val="zh-CN"/>
        </w:rPr>
        <w:t>1.4 关注的主要环境问题及环境影响</w:t>
      </w:r>
      <w:r>
        <w:tab/>
      </w:r>
      <w:r>
        <w:fldChar w:fldCharType="begin"/>
      </w:r>
      <w:r>
        <w:instrText xml:space="preserve"> PAGEREF _Toc160381858 \h </w:instrText>
      </w:r>
      <w:r>
        <w:fldChar w:fldCharType="separate"/>
      </w:r>
      <w:r>
        <w:rPr>
          <w:rFonts w:hint="eastAsia"/>
        </w:rPr>
        <w:t>2</w:t>
      </w:r>
      <w:r>
        <w:fldChar w:fldCharType="end"/>
      </w:r>
      <w:r>
        <w:fldChar w:fldCharType="end"/>
      </w:r>
    </w:p>
    <w:p w14:paraId="57E7AA4D">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"_Toc160381859" </w:instrText>
      </w:r>
      <w:r>
        <w:fldChar w:fldCharType="separate"/>
      </w:r>
      <w:r>
        <w:rPr>
          <w:rStyle w:val="59"/>
          <w:color w:val="auto"/>
        </w:rPr>
        <w:t>1.5 分析判定相关情况</w:t>
      </w:r>
      <w:r>
        <w:tab/>
      </w:r>
      <w:r>
        <w:fldChar w:fldCharType="begin"/>
      </w:r>
      <w:r>
        <w:instrText xml:space="preserve"> PAGEREF _Toc160381859 \h </w:instrText>
      </w:r>
      <w:r>
        <w:fldChar w:fldCharType="separate"/>
      </w:r>
      <w:r>
        <w:rPr>
          <w:rFonts w:hint="eastAsia"/>
        </w:rPr>
        <w:t>3</w:t>
      </w:r>
      <w:r>
        <w:fldChar w:fldCharType="end"/>
      </w:r>
      <w:r>
        <w:fldChar w:fldCharType="end"/>
      </w:r>
    </w:p>
    <w:p w14:paraId="6D7D2E34">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"_Toc160381860" </w:instrText>
      </w:r>
      <w:r>
        <w:fldChar w:fldCharType="separate"/>
      </w:r>
      <w:r>
        <w:rPr>
          <w:rStyle w:val="59"/>
          <w:color w:val="auto"/>
        </w:rPr>
        <w:t>1.6 环境影响评价的主要结论</w:t>
      </w:r>
      <w:r>
        <w:tab/>
      </w:r>
      <w:r>
        <w:fldChar w:fldCharType="begin"/>
      </w:r>
      <w:r>
        <w:instrText xml:space="preserve"> PAGEREF _Toc160381860 \h </w:instrText>
      </w:r>
      <w:r>
        <w:fldChar w:fldCharType="separate"/>
      </w:r>
      <w:r>
        <w:rPr>
          <w:rFonts w:hint="eastAsia"/>
        </w:rPr>
        <w:t>4</w:t>
      </w:r>
      <w:r>
        <w:fldChar w:fldCharType="end"/>
      </w:r>
      <w:r>
        <w:fldChar w:fldCharType="end"/>
      </w:r>
    </w:p>
    <w:p w14:paraId="76625FBF">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"_Toc160381861" </w:instrText>
      </w:r>
      <w:r>
        <w:fldChar w:fldCharType="separate"/>
      </w:r>
      <w:r>
        <w:rPr>
          <w:rStyle w:val="59"/>
          <w:color w:val="auto"/>
        </w:rPr>
        <w:t>2 总则</w:t>
      </w:r>
      <w:r>
        <w:tab/>
      </w:r>
      <w:r>
        <w:fldChar w:fldCharType="begin"/>
      </w:r>
      <w:r>
        <w:instrText xml:space="preserve"> PAGEREF _Toc160381861 \h </w:instrText>
      </w:r>
      <w:r>
        <w:fldChar w:fldCharType="separate"/>
      </w:r>
      <w:r>
        <w:rPr>
          <w:rFonts w:hint="eastAsia"/>
        </w:rPr>
        <w:t>5</w:t>
      </w:r>
      <w:r>
        <w:fldChar w:fldCharType="end"/>
      </w:r>
      <w:r>
        <w:fldChar w:fldCharType="end"/>
      </w:r>
    </w:p>
    <w:p w14:paraId="37002117">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"_Toc160381862" </w:instrText>
      </w:r>
      <w:r>
        <w:fldChar w:fldCharType="separate"/>
      </w:r>
      <w:r>
        <w:rPr>
          <w:rStyle w:val="59"/>
          <w:color w:val="auto"/>
          <w:lang w:val="zh-CN"/>
        </w:rPr>
        <w:t>2.1 编制依据</w:t>
      </w:r>
      <w:r>
        <w:tab/>
      </w:r>
      <w:r>
        <w:fldChar w:fldCharType="begin"/>
      </w:r>
      <w:r>
        <w:instrText xml:space="preserve"> PAGEREF _Toc160381862 \h </w:instrText>
      </w:r>
      <w:r>
        <w:fldChar w:fldCharType="separate"/>
      </w:r>
      <w:r>
        <w:rPr>
          <w:rFonts w:hint="eastAsia"/>
        </w:rPr>
        <w:t>5</w:t>
      </w:r>
      <w:r>
        <w:fldChar w:fldCharType="end"/>
      </w:r>
      <w:r>
        <w:fldChar w:fldCharType="end"/>
      </w:r>
    </w:p>
    <w:p w14:paraId="1B024F31">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"_Toc160381863" </w:instrText>
      </w:r>
      <w:r>
        <w:fldChar w:fldCharType="separate"/>
      </w:r>
      <w:r>
        <w:rPr>
          <w:rStyle w:val="59"/>
          <w:color w:val="auto"/>
          <w:lang w:val="zh-CN"/>
        </w:rPr>
        <w:t>2.2 评价目的与原则</w:t>
      </w:r>
      <w:r>
        <w:tab/>
      </w:r>
      <w:r>
        <w:fldChar w:fldCharType="begin"/>
      </w:r>
      <w:r>
        <w:instrText xml:space="preserve"> PAGEREF _Toc160381863 \h </w:instrText>
      </w:r>
      <w:r>
        <w:fldChar w:fldCharType="separate"/>
      </w:r>
      <w:r>
        <w:rPr>
          <w:rFonts w:hint="eastAsia"/>
        </w:rPr>
        <w:t>9</w:t>
      </w:r>
      <w:r>
        <w:fldChar w:fldCharType="end"/>
      </w:r>
      <w:r>
        <w:fldChar w:fldCharType="end"/>
      </w:r>
    </w:p>
    <w:p w14:paraId="42A4CA7D">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"_Toc160381864" </w:instrText>
      </w:r>
      <w:r>
        <w:fldChar w:fldCharType="separate"/>
      </w:r>
      <w:r>
        <w:rPr>
          <w:rStyle w:val="59"/>
          <w:color w:val="auto"/>
          <w:lang w:val="zh-CN"/>
        </w:rPr>
        <w:t>2.3 评价时段</w:t>
      </w:r>
      <w:r>
        <w:tab/>
      </w:r>
      <w:r>
        <w:fldChar w:fldCharType="begin"/>
      </w:r>
      <w:r>
        <w:instrText xml:space="preserve"> PAGEREF _Toc160381864 \h </w:instrText>
      </w:r>
      <w:r>
        <w:fldChar w:fldCharType="separate"/>
      </w:r>
      <w:r>
        <w:rPr>
          <w:rFonts w:hint="eastAsia"/>
        </w:rPr>
        <w:t>10</w:t>
      </w:r>
      <w:r>
        <w:fldChar w:fldCharType="end"/>
      </w:r>
      <w:r>
        <w:fldChar w:fldCharType="end"/>
      </w:r>
    </w:p>
    <w:p w14:paraId="46F90662">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"_Toc160381865" </w:instrText>
      </w:r>
      <w:r>
        <w:fldChar w:fldCharType="separate"/>
      </w:r>
      <w:r>
        <w:rPr>
          <w:rStyle w:val="59"/>
          <w:color w:val="auto"/>
          <w:lang w:val="zh-CN"/>
        </w:rPr>
        <w:t>2.4 环境影响因素识别与评价因子确定</w:t>
      </w:r>
      <w:r>
        <w:tab/>
      </w:r>
      <w:r>
        <w:fldChar w:fldCharType="begin"/>
      </w:r>
      <w:r>
        <w:instrText xml:space="preserve"> PAGEREF _Toc160381865 \h </w:instrText>
      </w:r>
      <w:r>
        <w:fldChar w:fldCharType="separate"/>
      </w:r>
      <w:r>
        <w:rPr>
          <w:rFonts w:hint="eastAsia"/>
        </w:rPr>
        <w:t>10</w:t>
      </w:r>
      <w:r>
        <w:fldChar w:fldCharType="end"/>
      </w:r>
      <w:r>
        <w:fldChar w:fldCharType="end"/>
      </w:r>
    </w:p>
    <w:p w14:paraId="5A76C9CC">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"_Toc160381866" </w:instrText>
      </w:r>
      <w:r>
        <w:fldChar w:fldCharType="separate"/>
      </w:r>
      <w:r>
        <w:rPr>
          <w:rStyle w:val="59"/>
          <w:color w:val="auto"/>
          <w:lang w:val="zh-CN"/>
        </w:rPr>
        <w:t>2.5 环境功能区划与评价标准</w:t>
      </w:r>
      <w:r>
        <w:tab/>
      </w:r>
      <w:r>
        <w:fldChar w:fldCharType="begin"/>
      </w:r>
      <w:r>
        <w:instrText xml:space="preserve"> PAGEREF _Toc160381866 \h </w:instrText>
      </w:r>
      <w:r>
        <w:fldChar w:fldCharType="separate"/>
      </w:r>
      <w:r>
        <w:rPr>
          <w:rFonts w:hint="eastAsia"/>
        </w:rPr>
        <w:t>13</w:t>
      </w:r>
      <w:r>
        <w:fldChar w:fldCharType="end"/>
      </w:r>
      <w:r>
        <w:fldChar w:fldCharType="end"/>
      </w:r>
    </w:p>
    <w:p w14:paraId="1A287C0A">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"_Toc160381867" </w:instrText>
      </w:r>
      <w:r>
        <w:fldChar w:fldCharType="separate"/>
      </w:r>
      <w:r>
        <w:rPr>
          <w:rStyle w:val="59"/>
          <w:color w:val="auto"/>
          <w:lang w:val="zh-CN"/>
        </w:rPr>
        <w:t>2.6 评价等级与</w:t>
      </w:r>
      <w:r>
        <w:rPr>
          <w:rStyle w:val="59"/>
          <w:color w:val="auto"/>
        </w:rPr>
        <w:t>评价范围</w:t>
      </w:r>
      <w:r>
        <w:tab/>
      </w:r>
      <w:r>
        <w:fldChar w:fldCharType="begin"/>
      </w:r>
      <w:r>
        <w:instrText xml:space="preserve"> PAGEREF _Toc160381867 \h </w:instrText>
      </w:r>
      <w:r>
        <w:fldChar w:fldCharType="separate"/>
      </w:r>
      <w:r>
        <w:rPr>
          <w:rFonts w:hint="eastAsia"/>
        </w:rPr>
        <w:t>17</w:t>
      </w:r>
      <w:r>
        <w:fldChar w:fldCharType="end"/>
      </w:r>
      <w:r>
        <w:fldChar w:fldCharType="end"/>
      </w:r>
    </w:p>
    <w:p w14:paraId="1E2B58D0">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"_Toc160381868" </w:instrText>
      </w:r>
      <w:r>
        <w:fldChar w:fldCharType="separate"/>
      </w:r>
      <w:r>
        <w:rPr>
          <w:rStyle w:val="59"/>
          <w:color w:val="auto"/>
        </w:rPr>
        <w:t>2.7 环境保护目标</w:t>
      </w:r>
      <w:r>
        <w:tab/>
      </w:r>
      <w:r>
        <w:fldChar w:fldCharType="begin"/>
      </w:r>
      <w:r>
        <w:instrText xml:space="preserve"> PAGEREF _Toc160381868 \h </w:instrText>
      </w:r>
      <w:r>
        <w:fldChar w:fldCharType="separate"/>
      </w:r>
      <w:r>
        <w:rPr>
          <w:rFonts w:hint="eastAsia"/>
        </w:rPr>
        <w:t>23</w:t>
      </w:r>
      <w:r>
        <w:fldChar w:fldCharType="end"/>
      </w:r>
      <w:r>
        <w:fldChar w:fldCharType="end"/>
      </w:r>
    </w:p>
    <w:p w14:paraId="7FFADA7B">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"_Toc160381869" </w:instrText>
      </w:r>
      <w:r>
        <w:fldChar w:fldCharType="separate"/>
      </w:r>
      <w:r>
        <w:rPr>
          <w:rStyle w:val="59"/>
          <w:color w:val="auto"/>
        </w:rPr>
        <w:t>2.8 评价内容和评价重点</w:t>
      </w:r>
      <w:r>
        <w:tab/>
      </w:r>
      <w:r>
        <w:fldChar w:fldCharType="begin"/>
      </w:r>
      <w:r>
        <w:instrText xml:space="preserve"> PAGEREF _Toc160381869 \h </w:instrText>
      </w:r>
      <w:r>
        <w:fldChar w:fldCharType="separate"/>
      </w:r>
      <w:r>
        <w:rPr>
          <w:rFonts w:hint="eastAsia"/>
        </w:rPr>
        <w:t>27</w:t>
      </w:r>
      <w:r>
        <w:fldChar w:fldCharType="end"/>
      </w:r>
      <w:r>
        <w:fldChar w:fldCharType="end"/>
      </w:r>
    </w:p>
    <w:p w14:paraId="559CA65B">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"_Toc160381870" </w:instrText>
      </w:r>
      <w:r>
        <w:fldChar w:fldCharType="separate"/>
      </w:r>
      <w:r>
        <w:rPr>
          <w:rStyle w:val="59"/>
          <w:color w:val="auto"/>
          <w:lang w:val="zh-CN"/>
        </w:rPr>
        <w:t>2.9 相关规划</w:t>
      </w:r>
      <w:r>
        <w:rPr>
          <w:rStyle w:val="59"/>
          <w:color w:val="auto"/>
        </w:rPr>
        <w:t>及政策符合性分析</w:t>
      </w:r>
      <w:r>
        <w:tab/>
      </w:r>
      <w:r>
        <w:fldChar w:fldCharType="begin"/>
      </w:r>
      <w:r>
        <w:instrText xml:space="preserve"> PAGEREF _Toc160381870 \h </w:instrText>
      </w:r>
      <w:r>
        <w:fldChar w:fldCharType="separate"/>
      </w:r>
      <w:r>
        <w:rPr>
          <w:rFonts w:hint="eastAsia"/>
        </w:rPr>
        <w:t>27</w:t>
      </w:r>
      <w:r>
        <w:fldChar w:fldCharType="end"/>
      </w:r>
      <w:r>
        <w:fldChar w:fldCharType="end"/>
      </w:r>
    </w:p>
    <w:p w14:paraId="75A6CCB1">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"_Toc160381871" </w:instrText>
      </w:r>
      <w:r>
        <w:fldChar w:fldCharType="separate"/>
      </w:r>
      <w:r>
        <w:rPr>
          <w:rStyle w:val="59"/>
          <w:color w:val="auto"/>
        </w:rPr>
        <w:t>3 建设项目工程分析</w:t>
      </w:r>
      <w:r>
        <w:tab/>
      </w:r>
      <w:r>
        <w:fldChar w:fldCharType="begin"/>
      </w:r>
      <w:r>
        <w:instrText xml:space="preserve"> PAGEREF _Toc160381871 \h </w:instrText>
      </w:r>
      <w:r>
        <w:fldChar w:fldCharType="separate"/>
      </w:r>
      <w:r>
        <w:rPr>
          <w:rFonts w:hint="eastAsia"/>
        </w:rPr>
        <w:t>45</w:t>
      </w:r>
      <w:r>
        <w:fldChar w:fldCharType="end"/>
      </w:r>
      <w:r>
        <w:fldChar w:fldCharType="end"/>
      </w:r>
    </w:p>
    <w:p w14:paraId="1B07A820">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"_Toc160381872" </w:instrText>
      </w:r>
      <w:r>
        <w:fldChar w:fldCharType="separate"/>
      </w:r>
      <w:r>
        <w:rPr>
          <w:rStyle w:val="59"/>
          <w:color w:val="auto"/>
        </w:rPr>
        <w:t>3.1 现有工程概况及环境影响回顾</w:t>
      </w:r>
      <w:r>
        <w:tab/>
      </w:r>
      <w:r>
        <w:fldChar w:fldCharType="begin"/>
      </w:r>
      <w:r>
        <w:instrText xml:space="preserve"> PAGEREF _Toc160381872 \h </w:instrText>
      </w:r>
      <w:r>
        <w:fldChar w:fldCharType="separate"/>
      </w:r>
      <w:r>
        <w:rPr>
          <w:rFonts w:hint="eastAsia"/>
        </w:rPr>
        <w:t>45</w:t>
      </w:r>
      <w:r>
        <w:fldChar w:fldCharType="end"/>
      </w:r>
      <w:r>
        <w:fldChar w:fldCharType="end"/>
      </w:r>
    </w:p>
    <w:p w14:paraId="64499A18">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"_Toc160381876" </w:instrText>
      </w:r>
      <w:r>
        <w:fldChar w:fldCharType="separate"/>
      </w:r>
      <w:r>
        <w:rPr>
          <w:rStyle w:val="59"/>
          <w:color w:val="auto"/>
        </w:rPr>
        <w:t>3.2 改扩建项目工程概况</w:t>
      </w:r>
      <w:r>
        <w:tab/>
      </w:r>
      <w:r>
        <w:fldChar w:fldCharType="begin"/>
      </w:r>
      <w:r>
        <w:instrText xml:space="preserve"> PAGEREF _Toc160381876 \h </w:instrText>
      </w:r>
      <w:r>
        <w:fldChar w:fldCharType="separate"/>
      </w:r>
      <w:r>
        <w:rPr>
          <w:rFonts w:hint="eastAsia"/>
        </w:rPr>
        <w:t>56</w:t>
      </w:r>
      <w:r>
        <w:fldChar w:fldCharType="end"/>
      </w:r>
      <w:r>
        <w:fldChar w:fldCharType="end"/>
      </w:r>
    </w:p>
    <w:p w14:paraId="76A96B26">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"_Toc160381877" </w:instrText>
      </w:r>
      <w:r>
        <w:fldChar w:fldCharType="separate"/>
      </w:r>
      <w:r>
        <w:rPr>
          <w:rStyle w:val="59"/>
          <w:color w:val="auto"/>
        </w:rPr>
        <w:t>3.3 污染源源强核算</w:t>
      </w:r>
      <w:r>
        <w:tab/>
      </w:r>
      <w:r>
        <w:fldChar w:fldCharType="begin"/>
      </w:r>
      <w:r>
        <w:instrText xml:space="preserve"> PAGEREF _Toc160381877 \h </w:instrText>
      </w:r>
      <w:r>
        <w:fldChar w:fldCharType="separate"/>
      </w:r>
      <w:r>
        <w:rPr>
          <w:rFonts w:hint="eastAsia"/>
        </w:rPr>
        <w:t>80</w:t>
      </w:r>
      <w:r>
        <w:fldChar w:fldCharType="end"/>
      </w:r>
      <w:r>
        <w:fldChar w:fldCharType="end"/>
      </w:r>
    </w:p>
    <w:p w14:paraId="5C80883D">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"_Toc160381878" </w:instrText>
      </w:r>
      <w:r>
        <w:fldChar w:fldCharType="separate"/>
      </w:r>
      <w:r>
        <w:rPr>
          <w:rStyle w:val="59"/>
          <w:color w:val="auto"/>
        </w:rPr>
        <w:t>3.4 总量控制指标</w:t>
      </w:r>
      <w:r>
        <w:tab/>
      </w:r>
      <w:r>
        <w:fldChar w:fldCharType="begin"/>
      </w:r>
      <w:r>
        <w:instrText xml:space="preserve"> PAGEREF _Toc160381878 \h </w:instrText>
      </w:r>
      <w:r>
        <w:fldChar w:fldCharType="separate"/>
      </w:r>
      <w:r>
        <w:rPr>
          <w:rFonts w:hint="eastAsia"/>
        </w:rPr>
        <w:t>100</w:t>
      </w:r>
      <w:r>
        <w:fldChar w:fldCharType="end"/>
      </w:r>
      <w:r>
        <w:fldChar w:fldCharType="end"/>
      </w:r>
    </w:p>
    <w:p w14:paraId="49F77AAE">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"_Toc160381879" </w:instrText>
      </w:r>
      <w:r>
        <w:fldChar w:fldCharType="separate"/>
      </w:r>
      <w:r>
        <w:rPr>
          <w:rStyle w:val="59"/>
          <w:color w:val="auto"/>
        </w:rPr>
        <w:t>3.5 清洁生产分析</w:t>
      </w:r>
      <w:r>
        <w:tab/>
      </w:r>
      <w:r>
        <w:fldChar w:fldCharType="begin"/>
      </w:r>
      <w:r>
        <w:instrText xml:space="preserve"> PAGEREF _Toc160381879 \h </w:instrText>
      </w:r>
      <w:r>
        <w:fldChar w:fldCharType="separate"/>
      </w:r>
      <w:r>
        <w:rPr>
          <w:rFonts w:hint="eastAsia"/>
        </w:rPr>
        <w:t>100</w:t>
      </w:r>
      <w:r>
        <w:fldChar w:fldCharType="end"/>
      </w:r>
      <w:r>
        <w:fldChar w:fldCharType="end"/>
      </w:r>
    </w:p>
    <w:p w14:paraId="362A3BFB">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"_Toc160381880" </w:instrText>
      </w:r>
      <w:r>
        <w:fldChar w:fldCharType="separate"/>
      </w:r>
      <w:r>
        <w:rPr>
          <w:rStyle w:val="59"/>
          <w:color w:val="auto"/>
        </w:rPr>
        <w:t>4 环境质量现状调查与评价</w:t>
      </w:r>
      <w:r>
        <w:tab/>
      </w:r>
      <w:r>
        <w:fldChar w:fldCharType="begin"/>
      </w:r>
      <w:r>
        <w:instrText xml:space="preserve"> PAGEREF _Toc160381880 \h </w:instrText>
      </w:r>
      <w:r>
        <w:fldChar w:fldCharType="separate"/>
      </w:r>
      <w:r>
        <w:rPr>
          <w:rFonts w:hint="eastAsia"/>
        </w:rPr>
        <w:t>105</w:t>
      </w:r>
      <w:r>
        <w:fldChar w:fldCharType="end"/>
      </w:r>
      <w:r>
        <w:fldChar w:fldCharType="end"/>
      </w:r>
    </w:p>
    <w:p w14:paraId="0D4BCCB3">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"_Toc160381881" </w:instrText>
      </w:r>
      <w:r>
        <w:fldChar w:fldCharType="separate"/>
      </w:r>
      <w:r>
        <w:rPr>
          <w:rStyle w:val="59"/>
          <w:color w:val="auto"/>
        </w:rPr>
        <w:t>4.1 自然环境现状调查与评价</w:t>
      </w:r>
      <w:r>
        <w:tab/>
      </w:r>
      <w:r>
        <w:fldChar w:fldCharType="begin"/>
      </w:r>
      <w:r>
        <w:instrText xml:space="preserve"> PAGEREF _Toc160381881 \h </w:instrText>
      </w:r>
      <w:r>
        <w:fldChar w:fldCharType="separate"/>
      </w:r>
      <w:r>
        <w:rPr>
          <w:rFonts w:hint="eastAsia"/>
        </w:rPr>
        <w:t>106</w:t>
      </w:r>
      <w:r>
        <w:fldChar w:fldCharType="end"/>
      </w:r>
      <w:r>
        <w:fldChar w:fldCharType="end"/>
      </w:r>
    </w:p>
    <w:p w14:paraId="2FF8B191">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"_Toc160381882" </w:instrText>
      </w:r>
      <w:r>
        <w:fldChar w:fldCharType="separate"/>
      </w:r>
      <w:r>
        <w:rPr>
          <w:rStyle w:val="59"/>
          <w:color w:val="auto"/>
        </w:rPr>
        <w:t>4.2 环境保护目标调查</w:t>
      </w:r>
      <w:r>
        <w:tab/>
      </w:r>
      <w:r>
        <w:fldChar w:fldCharType="begin"/>
      </w:r>
      <w:r>
        <w:instrText xml:space="preserve"> PAGEREF _Toc160381882 \h </w:instrText>
      </w:r>
      <w:r>
        <w:fldChar w:fldCharType="separate"/>
      </w:r>
      <w:r>
        <w:rPr>
          <w:rFonts w:hint="eastAsia"/>
        </w:rPr>
        <w:t>109</w:t>
      </w:r>
      <w:r>
        <w:fldChar w:fldCharType="end"/>
      </w:r>
      <w:r>
        <w:fldChar w:fldCharType="end"/>
      </w:r>
    </w:p>
    <w:p w14:paraId="72C0C68A">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"_Toc160381883" </w:instrText>
      </w:r>
      <w:r>
        <w:fldChar w:fldCharType="separate"/>
      </w:r>
      <w:r>
        <w:rPr>
          <w:rStyle w:val="59"/>
          <w:color w:val="auto"/>
        </w:rPr>
        <w:t>4.3 环境质量现状调查与评价</w:t>
      </w:r>
      <w:r>
        <w:tab/>
      </w:r>
      <w:r>
        <w:fldChar w:fldCharType="begin"/>
      </w:r>
      <w:r>
        <w:instrText xml:space="preserve"> PAGEREF _Toc160381883 \h </w:instrText>
      </w:r>
      <w:r>
        <w:fldChar w:fldCharType="separate"/>
      </w:r>
      <w:r>
        <w:rPr>
          <w:rFonts w:hint="eastAsia"/>
        </w:rPr>
        <w:t>110</w:t>
      </w:r>
      <w:r>
        <w:fldChar w:fldCharType="end"/>
      </w:r>
      <w:r>
        <w:fldChar w:fldCharType="end"/>
      </w:r>
    </w:p>
    <w:p w14:paraId="2376D2E4">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"_Toc160382095" </w:instrText>
      </w:r>
      <w:r>
        <w:fldChar w:fldCharType="separate"/>
      </w:r>
      <w:r>
        <w:rPr>
          <w:rStyle w:val="59"/>
          <w:color w:val="auto"/>
        </w:rPr>
        <w:t>5 环境影响预测与评价</w:t>
      </w:r>
      <w:r>
        <w:tab/>
      </w:r>
      <w:r>
        <w:fldChar w:fldCharType="begin"/>
      </w:r>
      <w:r>
        <w:instrText xml:space="preserve"> PAGEREF _Toc160382095 \h </w:instrText>
      </w:r>
      <w:r>
        <w:fldChar w:fldCharType="separate"/>
      </w:r>
      <w:r>
        <w:rPr>
          <w:rFonts w:hint="eastAsia"/>
        </w:rPr>
        <w:t>142</w:t>
      </w:r>
      <w:r>
        <w:fldChar w:fldCharType="end"/>
      </w:r>
      <w:r>
        <w:fldChar w:fldCharType="end"/>
      </w:r>
    </w:p>
    <w:p w14:paraId="20854D19">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"_Toc160382096" </w:instrText>
      </w:r>
      <w:r>
        <w:fldChar w:fldCharType="separate"/>
      </w:r>
      <w:r>
        <w:rPr>
          <w:rStyle w:val="59"/>
          <w:color w:val="auto"/>
        </w:rPr>
        <w:t>5.1 施工期环境影响预测与评价</w:t>
      </w:r>
      <w:r>
        <w:tab/>
      </w:r>
      <w:r>
        <w:fldChar w:fldCharType="begin"/>
      </w:r>
      <w:r>
        <w:instrText xml:space="preserve"> PAGEREF _Toc160382096 \h </w:instrText>
      </w:r>
      <w:r>
        <w:fldChar w:fldCharType="separate"/>
      </w:r>
      <w:r>
        <w:rPr>
          <w:rFonts w:hint="eastAsia"/>
        </w:rPr>
        <w:t>142</w:t>
      </w:r>
      <w:r>
        <w:fldChar w:fldCharType="end"/>
      </w:r>
      <w:r>
        <w:fldChar w:fldCharType="end"/>
      </w:r>
    </w:p>
    <w:p w14:paraId="34EB6A83">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"_Toc160382097" </w:instrText>
      </w:r>
      <w:r>
        <w:fldChar w:fldCharType="separate"/>
      </w:r>
      <w:r>
        <w:rPr>
          <w:rStyle w:val="59"/>
          <w:color w:val="auto"/>
        </w:rPr>
        <w:t>5.2 运营期环境影响预测与评价</w:t>
      </w:r>
      <w:r>
        <w:tab/>
      </w:r>
      <w:r>
        <w:fldChar w:fldCharType="begin"/>
      </w:r>
      <w:r>
        <w:instrText xml:space="preserve"> PAGEREF _Toc160382097 \h </w:instrText>
      </w:r>
      <w:r>
        <w:fldChar w:fldCharType="separate"/>
      </w:r>
      <w:r>
        <w:rPr>
          <w:rFonts w:hint="eastAsia"/>
        </w:rPr>
        <w:t>149</w:t>
      </w:r>
      <w:r>
        <w:fldChar w:fldCharType="end"/>
      </w:r>
      <w:r>
        <w:fldChar w:fldCharType="end"/>
      </w:r>
    </w:p>
    <w:p w14:paraId="4661E06E">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"_Toc160382098" </w:instrText>
      </w:r>
      <w:r>
        <w:fldChar w:fldCharType="separate"/>
      </w:r>
      <w:r>
        <w:rPr>
          <w:rStyle w:val="59"/>
          <w:color w:val="auto"/>
        </w:rPr>
        <w:t>5.3 退役期影响分析</w:t>
      </w:r>
      <w:r>
        <w:tab/>
      </w:r>
      <w:r>
        <w:fldChar w:fldCharType="begin"/>
      </w:r>
      <w:r>
        <w:instrText xml:space="preserve"> PAGEREF _Toc160382098 \h </w:instrText>
      </w:r>
      <w:r>
        <w:fldChar w:fldCharType="separate"/>
      </w:r>
      <w:r>
        <w:rPr>
          <w:rFonts w:hint="eastAsia"/>
        </w:rPr>
        <w:t>165</w:t>
      </w:r>
      <w:r>
        <w:fldChar w:fldCharType="end"/>
      </w:r>
      <w:r>
        <w:fldChar w:fldCharType="end"/>
      </w:r>
    </w:p>
    <w:p w14:paraId="33EBC8AF">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"_Toc160382099" </w:instrText>
      </w:r>
      <w:r>
        <w:fldChar w:fldCharType="separate"/>
      </w:r>
      <w:r>
        <w:rPr>
          <w:rStyle w:val="59"/>
          <w:color w:val="auto"/>
        </w:rPr>
        <w:t>5.4 环境风险分析</w:t>
      </w:r>
      <w:r>
        <w:tab/>
      </w:r>
      <w:r>
        <w:fldChar w:fldCharType="begin"/>
      </w:r>
      <w:r>
        <w:instrText xml:space="preserve"> PAGEREF _Toc160382099 \h </w:instrText>
      </w:r>
      <w:r>
        <w:fldChar w:fldCharType="separate"/>
      </w:r>
      <w:r>
        <w:rPr>
          <w:rFonts w:hint="eastAsia"/>
        </w:rPr>
        <w:t>165</w:t>
      </w:r>
      <w:r>
        <w:fldChar w:fldCharType="end"/>
      </w:r>
      <w:r>
        <w:fldChar w:fldCharType="end"/>
      </w:r>
    </w:p>
    <w:p w14:paraId="777EAA8D">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"_Toc160382100" </w:instrText>
      </w:r>
      <w:r>
        <w:fldChar w:fldCharType="separate"/>
      </w:r>
      <w:r>
        <w:rPr>
          <w:rStyle w:val="59"/>
          <w:color w:val="auto"/>
          <w:lang w:val="zh-CN"/>
        </w:rPr>
        <w:t>6 环境保护措施及其可行性论证</w:t>
      </w:r>
      <w:r>
        <w:tab/>
      </w:r>
      <w:r>
        <w:fldChar w:fldCharType="begin"/>
      </w:r>
      <w:r>
        <w:instrText xml:space="preserve"> PAGEREF _Toc160382100 \h </w:instrText>
      </w:r>
      <w:r>
        <w:fldChar w:fldCharType="separate"/>
      </w:r>
      <w:r>
        <w:rPr>
          <w:rFonts w:hint="eastAsia"/>
        </w:rPr>
        <w:t>174</w:t>
      </w:r>
      <w:r>
        <w:fldChar w:fldCharType="end"/>
      </w:r>
      <w:r>
        <w:fldChar w:fldCharType="end"/>
      </w:r>
    </w:p>
    <w:p w14:paraId="5161E047">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"_Toc160382101" </w:instrText>
      </w:r>
      <w:r>
        <w:fldChar w:fldCharType="separate"/>
      </w:r>
      <w:r>
        <w:rPr>
          <w:rStyle w:val="59"/>
          <w:color w:val="auto"/>
          <w:lang w:val="zh-CN"/>
        </w:rPr>
        <w:t>6.1 施工期环境保护措施及其可行性论证</w:t>
      </w:r>
      <w:r>
        <w:tab/>
      </w:r>
      <w:r>
        <w:fldChar w:fldCharType="begin"/>
      </w:r>
      <w:r>
        <w:instrText xml:space="preserve"> PAGEREF _Toc160382101 \h </w:instrText>
      </w:r>
      <w:r>
        <w:fldChar w:fldCharType="separate"/>
      </w:r>
      <w:r>
        <w:rPr>
          <w:rFonts w:hint="eastAsia"/>
        </w:rPr>
        <w:t>174</w:t>
      </w:r>
      <w:r>
        <w:fldChar w:fldCharType="end"/>
      </w:r>
      <w:r>
        <w:fldChar w:fldCharType="end"/>
      </w:r>
    </w:p>
    <w:p w14:paraId="32E5E3C7">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"_Toc160382102" </w:instrText>
      </w:r>
      <w:r>
        <w:fldChar w:fldCharType="separate"/>
      </w:r>
      <w:r>
        <w:rPr>
          <w:rStyle w:val="59"/>
          <w:color w:val="auto"/>
          <w:lang w:val="zh-CN"/>
        </w:rPr>
        <w:t>6.2 运营期环境保护措施</w:t>
      </w:r>
      <w:r>
        <w:tab/>
      </w:r>
      <w:r>
        <w:fldChar w:fldCharType="begin"/>
      </w:r>
      <w:r>
        <w:instrText xml:space="preserve"> PAGEREF _Toc160382102 \h </w:instrText>
      </w:r>
      <w:r>
        <w:fldChar w:fldCharType="separate"/>
      </w:r>
      <w:r>
        <w:rPr>
          <w:rFonts w:hint="eastAsia"/>
        </w:rPr>
        <w:t>181</w:t>
      </w:r>
      <w:r>
        <w:fldChar w:fldCharType="end"/>
      </w:r>
      <w:r>
        <w:fldChar w:fldCharType="end"/>
      </w:r>
    </w:p>
    <w:p w14:paraId="386016EB">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"_Toc160382103" </w:instrText>
      </w:r>
      <w:r>
        <w:fldChar w:fldCharType="separate"/>
      </w:r>
      <w:r>
        <w:rPr>
          <w:rStyle w:val="59"/>
          <w:color w:val="auto"/>
          <w:lang w:val="zh-CN"/>
        </w:rPr>
        <w:t>6.3</w:t>
      </w:r>
      <w:r>
        <w:rPr>
          <w:rStyle w:val="59"/>
          <w:color w:val="auto"/>
        </w:rPr>
        <w:t xml:space="preserve"> 温室气体管控措施</w:t>
      </w:r>
      <w:r>
        <w:tab/>
      </w:r>
      <w:r>
        <w:fldChar w:fldCharType="begin"/>
      </w:r>
      <w:r>
        <w:instrText xml:space="preserve"> PAGEREF _Toc160382103 \h </w:instrText>
      </w:r>
      <w:r>
        <w:fldChar w:fldCharType="separate"/>
      </w:r>
      <w:r>
        <w:rPr>
          <w:rFonts w:hint="eastAsia"/>
        </w:rPr>
        <w:t>187</w:t>
      </w:r>
      <w:r>
        <w:fldChar w:fldCharType="end"/>
      </w:r>
      <w:r>
        <w:fldChar w:fldCharType="end"/>
      </w:r>
    </w:p>
    <w:p w14:paraId="595C161A">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"_Toc160382104" </w:instrText>
      </w:r>
      <w:r>
        <w:fldChar w:fldCharType="separate"/>
      </w:r>
      <w:r>
        <w:rPr>
          <w:rStyle w:val="59"/>
          <w:color w:val="auto"/>
          <w:lang w:val="zh-CN"/>
        </w:rPr>
        <w:t>6.4 环境风险事故防范措施</w:t>
      </w:r>
      <w:r>
        <w:tab/>
      </w:r>
      <w:r>
        <w:fldChar w:fldCharType="begin"/>
      </w:r>
      <w:r>
        <w:instrText xml:space="preserve"> PAGEREF _Toc160382104 \h </w:instrText>
      </w:r>
      <w:r>
        <w:fldChar w:fldCharType="separate"/>
      </w:r>
      <w:r>
        <w:rPr>
          <w:rFonts w:hint="eastAsia"/>
        </w:rPr>
        <w:t>188</w:t>
      </w:r>
      <w:r>
        <w:fldChar w:fldCharType="end"/>
      </w:r>
      <w:r>
        <w:fldChar w:fldCharType="end"/>
      </w:r>
    </w:p>
    <w:p w14:paraId="3CC8D064">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"_Toc160382105" </w:instrText>
      </w:r>
      <w:r>
        <w:fldChar w:fldCharType="separate"/>
      </w:r>
      <w:r>
        <w:rPr>
          <w:rStyle w:val="59"/>
          <w:color w:val="auto"/>
          <w:lang w:val="zh-CN"/>
        </w:rPr>
        <w:t>6.5 退役期环境保护措施</w:t>
      </w:r>
      <w:r>
        <w:tab/>
      </w:r>
      <w:r>
        <w:fldChar w:fldCharType="begin"/>
      </w:r>
      <w:r>
        <w:instrText xml:space="preserve"> PAGEREF _Toc160382105 \h </w:instrText>
      </w:r>
      <w:r>
        <w:fldChar w:fldCharType="separate"/>
      </w:r>
      <w:r>
        <w:rPr>
          <w:rFonts w:hint="eastAsia"/>
        </w:rPr>
        <w:t>195</w:t>
      </w:r>
      <w:r>
        <w:fldChar w:fldCharType="end"/>
      </w:r>
      <w:r>
        <w:fldChar w:fldCharType="end"/>
      </w:r>
    </w:p>
    <w:p w14:paraId="7EEF6A36">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"_Toc160382106" </w:instrText>
      </w:r>
      <w:r>
        <w:fldChar w:fldCharType="separate"/>
      </w:r>
      <w:r>
        <w:rPr>
          <w:rStyle w:val="59"/>
          <w:color w:val="auto"/>
        </w:rPr>
        <w:t>6.6 环境保护措施可行性分析</w:t>
      </w:r>
      <w:r>
        <w:tab/>
      </w:r>
      <w:r>
        <w:fldChar w:fldCharType="begin"/>
      </w:r>
      <w:r>
        <w:instrText xml:space="preserve"> PAGEREF _Toc160382106 \h </w:instrText>
      </w:r>
      <w:r>
        <w:fldChar w:fldCharType="separate"/>
      </w:r>
      <w:r>
        <w:rPr>
          <w:rFonts w:hint="eastAsia"/>
        </w:rPr>
        <w:t>197</w:t>
      </w:r>
      <w:r>
        <w:fldChar w:fldCharType="end"/>
      </w:r>
      <w:r>
        <w:fldChar w:fldCharType="end"/>
      </w:r>
    </w:p>
    <w:p w14:paraId="41CA8A4F">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"_Toc160382107" </w:instrText>
      </w:r>
      <w:r>
        <w:fldChar w:fldCharType="separate"/>
      </w:r>
      <w:r>
        <w:rPr>
          <w:rStyle w:val="59"/>
          <w:color w:val="auto"/>
        </w:rPr>
        <w:t>6.7 环保投资分析</w:t>
      </w:r>
      <w:r>
        <w:tab/>
      </w:r>
      <w:r>
        <w:fldChar w:fldCharType="begin"/>
      </w:r>
      <w:r>
        <w:instrText xml:space="preserve"> PAGEREF _Toc160382107 \h </w:instrText>
      </w:r>
      <w:r>
        <w:fldChar w:fldCharType="separate"/>
      </w:r>
      <w:r>
        <w:rPr>
          <w:rFonts w:hint="eastAsia"/>
        </w:rPr>
        <w:t>198</w:t>
      </w:r>
      <w:r>
        <w:fldChar w:fldCharType="end"/>
      </w:r>
      <w:r>
        <w:fldChar w:fldCharType="end"/>
      </w:r>
    </w:p>
    <w:p w14:paraId="1228D9BC">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"_Toc160382108" </w:instrText>
      </w:r>
      <w:r>
        <w:fldChar w:fldCharType="separate"/>
      </w:r>
      <w:r>
        <w:rPr>
          <w:rStyle w:val="59"/>
          <w:color w:val="auto"/>
        </w:rPr>
        <w:t>7 环境管理与监测计划</w:t>
      </w:r>
      <w:r>
        <w:tab/>
      </w:r>
      <w:r>
        <w:fldChar w:fldCharType="begin"/>
      </w:r>
      <w:r>
        <w:instrText xml:space="preserve"> PAGEREF _Toc160382108 \h </w:instrText>
      </w:r>
      <w:r>
        <w:fldChar w:fldCharType="separate"/>
      </w:r>
      <w:r>
        <w:rPr>
          <w:rFonts w:hint="eastAsia"/>
        </w:rPr>
        <w:t>200</w:t>
      </w:r>
      <w:r>
        <w:fldChar w:fldCharType="end"/>
      </w:r>
      <w:r>
        <w:fldChar w:fldCharType="end"/>
      </w:r>
    </w:p>
    <w:p w14:paraId="4435BD64">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"_Toc160382109" </w:instrText>
      </w:r>
      <w:r>
        <w:fldChar w:fldCharType="separate"/>
      </w:r>
      <w:r>
        <w:rPr>
          <w:rStyle w:val="59"/>
          <w:color w:val="auto"/>
        </w:rPr>
        <w:t>7.1 环境管理机构</w:t>
      </w:r>
      <w:r>
        <w:tab/>
      </w:r>
      <w:r>
        <w:fldChar w:fldCharType="begin"/>
      </w:r>
      <w:r>
        <w:instrText xml:space="preserve"> PAGEREF _Toc160382109 \h </w:instrText>
      </w:r>
      <w:r>
        <w:fldChar w:fldCharType="separate"/>
      </w:r>
      <w:r>
        <w:rPr>
          <w:rFonts w:hint="eastAsia"/>
        </w:rPr>
        <w:t>200</w:t>
      </w:r>
      <w:r>
        <w:fldChar w:fldCharType="end"/>
      </w:r>
      <w:r>
        <w:fldChar w:fldCharType="end"/>
      </w:r>
    </w:p>
    <w:p w14:paraId="5CAF72BA">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"_Toc160382110" </w:instrText>
      </w:r>
      <w:r>
        <w:fldChar w:fldCharType="separate"/>
      </w:r>
      <w:r>
        <w:rPr>
          <w:rStyle w:val="59"/>
          <w:color w:val="auto"/>
        </w:rPr>
        <w:t>7.2 生产区环境管理</w:t>
      </w:r>
      <w:r>
        <w:tab/>
      </w:r>
      <w:r>
        <w:fldChar w:fldCharType="begin"/>
      </w:r>
      <w:r>
        <w:instrText xml:space="preserve"> PAGEREF _Toc160382110 \h </w:instrText>
      </w:r>
      <w:r>
        <w:fldChar w:fldCharType="separate"/>
      </w:r>
      <w:r>
        <w:rPr>
          <w:rFonts w:hint="eastAsia"/>
        </w:rPr>
        <w:t>200</w:t>
      </w:r>
      <w:r>
        <w:fldChar w:fldCharType="end"/>
      </w:r>
      <w:r>
        <w:fldChar w:fldCharType="end"/>
      </w:r>
    </w:p>
    <w:p w14:paraId="51D13BC3">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"_Toc160382111" </w:instrText>
      </w:r>
      <w:r>
        <w:fldChar w:fldCharType="separate"/>
      </w:r>
      <w:r>
        <w:rPr>
          <w:rStyle w:val="59"/>
          <w:color w:val="auto"/>
        </w:rPr>
        <w:t>7.3 污染物排放的管理要求</w:t>
      </w:r>
      <w:r>
        <w:tab/>
      </w:r>
      <w:r>
        <w:fldChar w:fldCharType="begin"/>
      </w:r>
      <w:r>
        <w:instrText xml:space="preserve"> PAGEREF _Toc160382111 \h </w:instrText>
      </w:r>
      <w:r>
        <w:fldChar w:fldCharType="separate"/>
      </w:r>
      <w:r>
        <w:rPr>
          <w:rFonts w:hint="eastAsia"/>
        </w:rPr>
        <w:t>203</w:t>
      </w:r>
      <w:r>
        <w:fldChar w:fldCharType="end"/>
      </w:r>
      <w:r>
        <w:fldChar w:fldCharType="end"/>
      </w:r>
    </w:p>
    <w:p w14:paraId="62EE7AC9">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"_Toc160382112" </w:instrText>
      </w:r>
      <w:r>
        <w:fldChar w:fldCharType="separate"/>
      </w:r>
      <w:r>
        <w:rPr>
          <w:rStyle w:val="59"/>
          <w:color w:val="auto"/>
        </w:rPr>
        <w:t>7.4 企业环境信息公开</w:t>
      </w:r>
      <w:r>
        <w:tab/>
      </w:r>
      <w:r>
        <w:fldChar w:fldCharType="begin"/>
      </w:r>
      <w:r>
        <w:instrText xml:space="preserve"> PAGEREF _Toc160382112 \h </w:instrText>
      </w:r>
      <w:r>
        <w:fldChar w:fldCharType="separate"/>
      </w:r>
      <w:r>
        <w:rPr>
          <w:rFonts w:hint="eastAsia"/>
        </w:rPr>
        <w:t>203</w:t>
      </w:r>
      <w:r>
        <w:fldChar w:fldCharType="end"/>
      </w:r>
      <w:r>
        <w:fldChar w:fldCharType="end"/>
      </w:r>
    </w:p>
    <w:p w14:paraId="71E94DC7">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"_Toc160382113" </w:instrText>
      </w:r>
      <w:r>
        <w:fldChar w:fldCharType="separate"/>
      </w:r>
      <w:r>
        <w:rPr>
          <w:rStyle w:val="59"/>
          <w:color w:val="auto"/>
        </w:rPr>
        <w:t>7.5 环境监测与监控</w:t>
      </w:r>
      <w:r>
        <w:tab/>
      </w:r>
      <w:r>
        <w:fldChar w:fldCharType="begin"/>
      </w:r>
      <w:r>
        <w:instrText xml:space="preserve"> PAGEREF _Toc160382113 \h </w:instrText>
      </w:r>
      <w:r>
        <w:fldChar w:fldCharType="separate"/>
      </w:r>
      <w:r>
        <w:rPr>
          <w:rFonts w:hint="eastAsia"/>
        </w:rPr>
        <w:t>206</w:t>
      </w:r>
      <w:r>
        <w:fldChar w:fldCharType="end"/>
      </w:r>
      <w:r>
        <w:fldChar w:fldCharType="end"/>
      </w:r>
    </w:p>
    <w:p w14:paraId="1E59C68D">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"_Toc160382114" </w:instrText>
      </w:r>
      <w:r>
        <w:fldChar w:fldCharType="separate"/>
      </w:r>
      <w:r>
        <w:rPr>
          <w:rStyle w:val="59"/>
          <w:color w:val="auto"/>
        </w:rPr>
        <w:t>8 环境影响经济损益分析</w:t>
      </w:r>
      <w:r>
        <w:tab/>
      </w:r>
      <w:r>
        <w:fldChar w:fldCharType="begin"/>
      </w:r>
      <w:r>
        <w:instrText xml:space="preserve"> PAGEREF _Toc160382114 \h </w:instrText>
      </w:r>
      <w:r>
        <w:fldChar w:fldCharType="separate"/>
      </w:r>
      <w:r>
        <w:rPr>
          <w:rFonts w:hint="eastAsia"/>
        </w:rPr>
        <w:t>210</w:t>
      </w:r>
      <w:r>
        <w:fldChar w:fldCharType="end"/>
      </w:r>
      <w:r>
        <w:fldChar w:fldCharType="end"/>
      </w:r>
    </w:p>
    <w:p w14:paraId="7522E16B">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"_Toc160382115" </w:instrText>
      </w:r>
      <w:r>
        <w:fldChar w:fldCharType="separate"/>
      </w:r>
      <w:r>
        <w:rPr>
          <w:rStyle w:val="59"/>
          <w:color w:val="auto"/>
        </w:rPr>
        <w:t>8.1 环境社会效益分析</w:t>
      </w:r>
      <w:r>
        <w:tab/>
      </w:r>
      <w:r>
        <w:fldChar w:fldCharType="begin"/>
      </w:r>
      <w:r>
        <w:instrText xml:space="preserve"> PAGEREF _Toc160382115 \h </w:instrText>
      </w:r>
      <w:r>
        <w:fldChar w:fldCharType="separate"/>
      </w:r>
      <w:r>
        <w:rPr>
          <w:rFonts w:hint="eastAsia"/>
        </w:rPr>
        <w:t>210</w:t>
      </w:r>
      <w:r>
        <w:fldChar w:fldCharType="end"/>
      </w:r>
      <w:r>
        <w:fldChar w:fldCharType="end"/>
      </w:r>
    </w:p>
    <w:p w14:paraId="562EA9AD">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"_Toc160382116" </w:instrText>
      </w:r>
      <w:r>
        <w:fldChar w:fldCharType="separate"/>
      </w:r>
      <w:r>
        <w:rPr>
          <w:rStyle w:val="59"/>
          <w:color w:val="auto"/>
        </w:rPr>
        <w:t>8.2 环境经济损益分析结论</w:t>
      </w:r>
      <w:r>
        <w:tab/>
      </w:r>
      <w:r>
        <w:fldChar w:fldCharType="begin"/>
      </w:r>
      <w:r>
        <w:instrText xml:space="preserve"> PAGEREF _Toc160382116 \h </w:instrText>
      </w:r>
      <w:r>
        <w:fldChar w:fldCharType="separate"/>
      </w:r>
      <w:r>
        <w:rPr>
          <w:rFonts w:hint="eastAsia"/>
        </w:rPr>
        <w:t>210</w:t>
      </w:r>
      <w:r>
        <w:fldChar w:fldCharType="end"/>
      </w:r>
      <w:r>
        <w:fldChar w:fldCharType="end"/>
      </w:r>
    </w:p>
    <w:p w14:paraId="57302996">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"_Toc160382117" </w:instrText>
      </w:r>
      <w:r>
        <w:fldChar w:fldCharType="separate"/>
      </w:r>
      <w:r>
        <w:rPr>
          <w:rStyle w:val="59"/>
          <w:color w:val="auto"/>
        </w:rPr>
        <w:t>9 环境影响评价结论</w:t>
      </w:r>
      <w:r>
        <w:tab/>
      </w:r>
      <w:r>
        <w:fldChar w:fldCharType="begin"/>
      </w:r>
      <w:r>
        <w:instrText xml:space="preserve"> PAGEREF _Toc160382117 \h </w:instrText>
      </w:r>
      <w:r>
        <w:fldChar w:fldCharType="separate"/>
      </w:r>
      <w:r>
        <w:rPr>
          <w:rFonts w:hint="eastAsia"/>
        </w:rPr>
        <w:t>212</w:t>
      </w:r>
      <w:r>
        <w:fldChar w:fldCharType="end"/>
      </w:r>
      <w:r>
        <w:fldChar w:fldCharType="end"/>
      </w:r>
    </w:p>
    <w:p w14:paraId="6DB8543A">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"_Toc160382118" </w:instrText>
      </w:r>
      <w:r>
        <w:fldChar w:fldCharType="separate"/>
      </w:r>
      <w:r>
        <w:rPr>
          <w:rStyle w:val="59"/>
          <w:color w:val="auto"/>
        </w:rPr>
        <w:t>9.1 建设项目概况</w:t>
      </w:r>
      <w:r>
        <w:tab/>
      </w:r>
      <w:r>
        <w:fldChar w:fldCharType="begin"/>
      </w:r>
      <w:r>
        <w:instrText xml:space="preserve"> PAGEREF _Toc160382118 \h </w:instrText>
      </w:r>
      <w:r>
        <w:fldChar w:fldCharType="separate"/>
      </w:r>
      <w:r>
        <w:rPr>
          <w:rFonts w:hint="eastAsia"/>
        </w:rPr>
        <w:t>212</w:t>
      </w:r>
      <w:r>
        <w:fldChar w:fldCharType="end"/>
      </w:r>
      <w:r>
        <w:fldChar w:fldCharType="end"/>
      </w:r>
    </w:p>
    <w:p w14:paraId="5384351F">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"_Toc160382119" </w:instrText>
      </w:r>
      <w:r>
        <w:fldChar w:fldCharType="separate"/>
      </w:r>
      <w:r>
        <w:rPr>
          <w:rStyle w:val="59"/>
          <w:color w:val="auto"/>
        </w:rPr>
        <w:t>9.2 环境质量现状</w:t>
      </w:r>
      <w:r>
        <w:tab/>
      </w:r>
      <w:r>
        <w:fldChar w:fldCharType="begin"/>
      </w:r>
      <w:r>
        <w:instrText xml:space="preserve"> PAGEREF _Toc160382119 \h </w:instrText>
      </w:r>
      <w:r>
        <w:fldChar w:fldCharType="separate"/>
      </w:r>
      <w:r>
        <w:rPr>
          <w:rFonts w:hint="eastAsia"/>
        </w:rPr>
        <w:t>212</w:t>
      </w:r>
      <w:r>
        <w:fldChar w:fldCharType="end"/>
      </w:r>
      <w:r>
        <w:fldChar w:fldCharType="end"/>
      </w:r>
    </w:p>
    <w:p w14:paraId="11F6D070">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"_Toc160382120" </w:instrText>
      </w:r>
      <w:r>
        <w:fldChar w:fldCharType="separate"/>
      </w:r>
      <w:r>
        <w:rPr>
          <w:rStyle w:val="59"/>
          <w:color w:val="auto"/>
        </w:rPr>
        <w:t>9.3 主要环境影响及环保措施</w:t>
      </w:r>
      <w:r>
        <w:tab/>
      </w:r>
      <w:r>
        <w:fldChar w:fldCharType="begin"/>
      </w:r>
      <w:r>
        <w:instrText xml:space="preserve"> PAGEREF _Toc160382120 \h </w:instrText>
      </w:r>
      <w:r>
        <w:fldChar w:fldCharType="separate"/>
      </w:r>
      <w:r>
        <w:rPr>
          <w:rFonts w:hint="eastAsia"/>
        </w:rPr>
        <w:t>213</w:t>
      </w:r>
      <w:r>
        <w:fldChar w:fldCharType="end"/>
      </w:r>
      <w:r>
        <w:fldChar w:fldCharType="end"/>
      </w:r>
    </w:p>
    <w:p w14:paraId="44A71AED">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"_Toc160382121" </w:instrText>
      </w:r>
      <w:r>
        <w:fldChar w:fldCharType="separate"/>
      </w:r>
      <w:r>
        <w:rPr>
          <w:rStyle w:val="59"/>
          <w:color w:val="auto"/>
        </w:rPr>
        <w:t>9.4 经济损益性分析</w:t>
      </w:r>
      <w:r>
        <w:rPr>
          <w:rStyle w:val="59"/>
          <w:color w:val="auto"/>
          <w:lang w:eastAsia="zh-Hans"/>
        </w:rPr>
        <w:t>结论</w:t>
      </w:r>
      <w:r>
        <w:tab/>
      </w:r>
      <w:r>
        <w:fldChar w:fldCharType="begin"/>
      </w:r>
      <w:r>
        <w:instrText xml:space="preserve"> PAGEREF _Toc160382121 \h </w:instrText>
      </w:r>
      <w:r>
        <w:fldChar w:fldCharType="separate"/>
      </w:r>
      <w:r>
        <w:rPr>
          <w:rFonts w:hint="eastAsia"/>
        </w:rPr>
        <w:t>217</w:t>
      </w:r>
      <w:r>
        <w:fldChar w:fldCharType="end"/>
      </w:r>
      <w:r>
        <w:fldChar w:fldCharType="end"/>
      </w:r>
    </w:p>
    <w:p w14:paraId="59C0BF74">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"_Toc160382122" </w:instrText>
      </w:r>
      <w:r>
        <w:fldChar w:fldCharType="separate"/>
      </w:r>
      <w:r>
        <w:rPr>
          <w:rStyle w:val="59"/>
          <w:color w:val="auto"/>
        </w:rPr>
        <w:t>9.5 环境管理与监测计划</w:t>
      </w:r>
      <w:r>
        <w:rPr>
          <w:rStyle w:val="59"/>
          <w:color w:val="auto"/>
          <w:lang w:eastAsia="zh-Hans"/>
        </w:rPr>
        <w:t>结论</w:t>
      </w:r>
      <w:r>
        <w:tab/>
      </w:r>
      <w:r>
        <w:fldChar w:fldCharType="begin"/>
      </w:r>
      <w:r>
        <w:instrText xml:space="preserve"> PAGEREF _Toc160382122 \h </w:instrText>
      </w:r>
      <w:r>
        <w:fldChar w:fldCharType="separate"/>
      </w:r>
      <w:r>
        <w:rPr>
          <w:rFonts w:hint="eastAsia"/>
        </w:rPr>
        <w:t>218</w:t>
      </w:r>
      <w:r>
        <w:fldChar w:fldCharType="end"/>
      </w:r>
      <w:r>
        <w:fldChar w:fldCharType="end"/>
      </w:r>
    </w:p>
    <w:p w14:paraId="527D984F">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"_Toc160382123" </w:instrText>
      </w:r>
      <w:r>
        <w:fldChar w:fldCharType="separate"/>
      </w:r>
      <w:r>
        <w:rPr>
          <w:rStyle w:val="59"/>
          <w:color w:val="auto"/>
        </w:rPr>
        <w:t>9.6 公众参与</w:t>
      </w:r>
      <w:r>
        <w:tab/>
      </w:r>
      <w:r>
        <w:fldChar w:fldCharType="begin"/>
      </w:r>
      <w:r>
        <w:instrText xml:space="preserve"> PAGEREF _Toc160382123 \h </w:instrText>
      </w:r>
      <w:r>
        <w:fldChar w:fldCharType="separate"/>
      </w:r>
      <w:r>
        <w:rPr>
          <w:rFonts w:hint="eastAsia"/>
        </w:rPr>
        <w:t>218</w:t>
      </w:r>
      <w:r>
        <w:fldChar w:fldCharType="end"/>
      </w:r>
      <w:r>
        <w:fldChar w:fldCharType="end"/>
      </w:r>
    </w:p>
    <w:p w14:paraId="3749005E">
      <w:pPr>
        <w:pStyle w:val="41"/>
        <w:tabs>
          <w:tab w:val="right" w:leader="dot" w:pos="8720"/>
        </w:tabs>
        <w:rPr>
          <w:rFonts w:hint="eastAsia" w:asciiTheme="minorHAnsi" w:hAnsiTheme="minorHAnsi" w:eastAsiaTheme="minorEastAsia" w:cstheme="minorBidi"/>
          <w:smallCaps w:val="0"/>
          <w:sz w:val="21"/>
          <w:szCs w:val="22"/>
          <w14:ligatures w14:val="standardContextual"/>
        </w:rPr>
      </w:pPr>
      <w:r>
        <w:fldChar w:fldCharType="begin"/>
      </w:r>
      <w:r>
        <w:instrText xml:space="preserve"> HYPERLINK \l "_Toc160382124" </w:instrText>
      </w:r>
      <w:r>
        <w:fldChar w:fldCharType="separate"/>
      </w:r>
      <w:r>
        <w:rPr>
          <w:rStyle w:val="59"/>
          <w:color w:val="auto"/>
        </w:rPr>
        <w:t>9.7 总结论</w:t>
      </w:r>
      <w:r>
        <w:tab/>
      </w:r>
      <w:r>
        <w:fldChar w:fldCharType="begin"/>
      </w:r>
      <w:r>
        <w:instrText xml:space="preserve"> PAGEREF _Toc160382124 \h </w:instrText>
      </w:r>
      <w:r>
        <w:fldChar w:fldCharType="separate"/>
      </w:r>
      <w:r>
        <w:rPr>
          <w:rFonts w:hint="eastAsia"/>
        </w:rPr>
        <w:t>218</w:t>
      </w:r>
      <w:r>
        <w:fldChar w:fldCharType="end"/>
      </w:r>
      <w:r>
        <w:fldChar w:fldCharType="end"/>
      </w:r>
    </w:p>
    <w:p w14:paraId="069FDEAF">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"_Toc160382125" </w:instrText>
      </w:r>
      <w:r>
        <w:fldChar w:fldCharType="separate"/>
      </w:r>
      <w:r>
        <w:rPr>
          <w:rStyle w:val="59"/>
          <w:color w:val="auto"/>
        </w:rPr>
        <w:t>附件1  委托书</w:t>
      </w:r>
      <w:r>
        <w:tab/>
      </w:r>
      <w:r>
        <w:fldChar w:fldCharType="begin"/>
      </w:r>
      <w:r>
        <w:instrText xml:space="preserve"> PAGEREF _Toc160382125 \h </w:instrText>
      </w:r>
      <w:r>
        <w:fldChar w:fldCharType="separate"/>
      </w:r>
      <w:r>
        <w:rPr>
          <w:rFonts w:hint="eastAsia"/>
        </w:rPr>
        <w:t>219</w:t>
      </w:r>
      <w:r>
        <w:fldChar w:fldCharType="end"/>
      </w:r>
      <w:r>
        <w:fldChar w:fldCharType="end"/>
      </w:r>
    </w:p>
    <w:p w14:paraId="3E2E8C75">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"_Toc160382126" </w:instrText>
      </w:r>
      <w:r>
        <w:fldChar w:fldCharType="separate"/>
      </w:r>
      <w:r>
        <w:rPr>
          <w:rStyle w:val="59"/>
          <w:color w:val="auto"/>
        </w:rPr>
        <w:t>附件2  现有工程环保手续</w:t>
      </w:r>
      <w:r>
        <w:tab/>
      </w:r>
      <w:r>
        <w:fldChar w:fldCharType="begin"/>
      </w:r>
      <w:r>
        <w:instrText xml:space="preserve"> PAGEREF _Toc160382126 \h </w:instrText>
      </w:r>
      <w:r>
        <w:fldChar w:fldCharType="separate"/>
      </w:r>
      <w:r>
        <w:rPr>
          <w:rFonts w:hint="eastAsia"/>
        </w:rPr>
        <w:t>220</w:t>
      </w:r>
      <w:r>
        <w:fldChar w:fldCharType="end"/>
      </w:r>
      <w:r>
        <w:fldChar w:fldCharType="end"/>
      </w:r>
    </w:p>
    <w:p w14:paraId="1ACF36C7">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"_Toc160382127" </w:instrText>
      </w:r>
      <w:r>
        <w:fldChar w:fldCharType="separate"/>
      </w:r>
      <w:r>
        <w:rPr>
          <w:rStyle w:val="59"/>
          <w:color w:val="auto"/>
        </w:rPr>
        <w:t>附件3  应急预案备案意见</w:t>
      </w:r>
      <w:r>
        <w:tab/>
      </w:r>
      <w:r>
        <w:fldChar w:fldCharType="begin"/>
      </w:r>
      <w:r>
        <w:instrText xml:space="preserve"> PAGEREF _Toc160382127 \h </w:instrText>
      </w:r>
      <w:r>
        <w:fldChar w:fldCharType="separate"/>
      </w:r>
      <w:r>
        <w:rPr>
          <w:rFonts w:hint="eastAsia"/>
        </w:rPr>
        <w:t>227</w:t>
      </w:r>
      <w:r>
        <w:fldChar w:fldCharType="end"/>
      </w:r>
      <w:r>
        <w:fldChar w:fldCharType="end"/>
      </w:r>
    </w:p>
    <w:p w14:paraId="1A7534B5">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"_Toc160382128" </w:instrText>
      </w:r>
      <w:r>
        <w:fldChar w:fldCharType="separate"/>
      </w:r>
      <w:r>
        <w:rPr>
          <w:rStyle w:val="59"/>
          <w:color w:val="auto"/>
        </w:rPr>
        <w:t>附件4  环境质量现状监测报告</w:t>
      </w:r>
      <w:r>
        <w:tab/>
      </w:r>
      <w:r>
        <w:fldChar w:fldCharType="begin"/>
      </w:r>
      <w:r>
        <w:instrText xml:space="preserve"> PAGEREF _Toc160382128 \h </w:instrText>
      </w:r>
      <w:r>
        <w:fldChar w:fldCharType="separate"/>
      </w:r>
      <w:r>
        <w:rPr>
          <w:rFonts w:hint="eastAsia"/>
        </w:rPr>
        <w:t>229</w:t>
      </w:r>
      <w:r>
        <w:fldChar w:fldCharType="end"/>
      </w:r>
      <w:r>
        <w:fldChar w:fldCharType="end"/>
      </w:r>
    </w:p>
    <w:p w14:paraId="1D73B103">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"_Toc160382129" </w:instrText>
      </w:r>
      <w:r>
        <w:fldChar w:fldCharType="separate"/>
      </w:r>
      <w:r>
        <w:rPr>
          <w:rStyle w:val="59"/>
          <w:color w:val="auto"/>
        </w:rPr>
        <w:t>附件5  大气环境影响自查表</w:t>
      </w:r>
      <w:r>
        <w:tab/>
      </w:r>
      <w:r>
        <w:fldChar w:fldCharType="begin"/>
      </w:r>
      <w:r>
        <w:instrText xml:space="preserve"> PAGEREF _Toc160382129 \h </w:instrText>
      </w:r>
      <w:r>
        <w:fldChar w:fldCharType="separate"/>
      </w:r>
      <w:r>
        <w:rPr>
          <w:rFonts w:hint="eastAsia"/>
        </w:rPr>
        <w:t>267</w:t>
      </w:r>
      <w:r>
        <w:fldChar w:fldCharType="end"/>
      </w:r>
      <w:r>
        <w:fldChar w:fldCharType="end"/>
      </w:r>
    </w:p>
    <w:p w14:paraId="7A5A8ED6">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"_Toc160382130" </w:instrText>
      </w:r>
      <w:r>
        <w:fldChar w:fldCharType="separate"/>
      </w:r>
      <w:r>
        <w:rPr>
          <w:rStyle w:val="59"/>
          <w:color w:val="auto"/>
        </w:rPr>
        <w:t>附件6  声环境影响自查表</w:t>
      </w:r>
      <w:r>
        <w:tab/>
      </w:r>
      <w:r>
        <w:fldChar w:fldCharType="begin"/>
      </w:r>
      <w:r>
        <w:instrText xml:space="preserve"> PAGEREF _Toc160382130 \h </w:instrText>
      </w:r>
      <w:r>
        <w:fldChar w:fldCharType="separate"/>
      </w:r>
      <w:r>
        <w:rPr>
          <w:rFonts w:hint="eastAsia"/>
        </w:rPr>
        <w:t>268</w:t>
      </w:r>
      <w:r>
        <w:fldChar w:fldCharType="end"/>
      </w:r>
      <w:r>
        <w:fldChar w:fldCharType="end"/>
      </w:r>
    </w:p>
    <w:p w14:paraId="7F26A445">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"_Toc160382131" </w:instrText>
      </w:r>
      <w:r>
        <w:fldChar w:fldCharType="separate"/>
      </w:r>
      <w:r>
        <w:rPr>
          <w:rStyle w:val="59"/>
          <w:color w:val="auto"/>
        </w:rPr>
        <w:t>附件7  土壤环境影响自查表</w:t>
      </w:r>
      <w:r>
        <w:tab/>
      </w:r>
      <w:r>
        <w:fldChar w:fldCharType="begin"/>
      </w:r>
      <w:r>
        <w:instrText xml:space="preserve"> PAGEREF _Toc160382131 \h </w:instrText>
      </w:r>
      <w:r>
        <w:fldChar w:fldCharType="separate"/>
      </w:r>
      <w:r>
        <w:rPr>
          <w:rFonts w:hint="eastAsia"/>
        </w:rPr>
        <w:t>269</w:t>
      </w:r>
      <w:r>
        <w:fldChar w:fldCharType="end"/>
      </w:r>
      <w:r>
        <w:fldChar w:fldCharType="end"/>
      </w:r>
    </w:p>
    <w:p w14:paraId="0878E714">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"_Toc160382132" </w:instrText>
      </w:r>
      <w:r>
        <w:fldChar w:fldCharType="separate"/>
      </w:r>
      <w:r>
        <w:rPr>
          <w:rStyle w:val="59"/>
          <w:color w:val="auto"/>
        </w:rPr>
        <w:t>附件8  生态环境影响自查表</w:t>
      </w:r>
      <w:r>
        <w:tab/>
      </w:r>
      <w:r>
        <w:fldChar w:fldCharType="begin"/>
      </w:r>
      <w:r>
        <w:instrText xml:space="preserve"> PAGEREF _Toc160382132 \h </w:instrText>
      </w:r>
      <w:r>
        <w:fldChar w:fldCharType="separate"/>
      </w:r>
      <w:r>
        <w:rPr>
          <w:rFonts w:hint="eastAsia"/>
        </w:rPr>
        <w:t>270</w:t>
      </w:r>
      <w:r>
        <w:fldChar w:fldCharType="end"/>
      </w:r>
      <w:r>
        <w:fldChar w:fldCharType="end"/>
      </w:r>
    </w:p>
    <w:p w14:paraId="21458F0F">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"_Toc160382133" </w:instrText>
      </w:r>
      <w:r>
        <w:fldChar w:fldCharType="separate"/>
      </w:r>
      <w:r>
        <w:rPr>
          <w:rStyle w:val="59"/>
          <w:color w:val="auto"/>
        </w:rPr>
        <w:t>附件9  环境风险影响自查表</w:t>
      </w:r>
      <w:r>
        <w:tab/>
      </w:r>
      <w:r>
        <w:fldChar w:fldCharType="begin"/>
      </w:r>
      <w:r>
        <w:instrText xml:space="preserve"> PAGEREF _Toc160382133 \h </w:instrText>
      </w:r>
      <w:r>
        <w:fldChar w:fldCharType="separate"/>
      </w:r>
      <w:r>
        <w:rPr>
          <w:rFonts w:hint="eastAsia"/>
        </w:rPr>
        <w:t>271</w:t>
      </w:r>
      <w:r>
        <w:fldChar w:fldCharType="end"/>
      </w:r>
      <w:r>
        <w:fldChar w:fldCharType="end"/>
      </w:r>
    </w:p>
    <w:p w14:paraId="048DED0C">
      <w:pPr>
        <w:pStyle w:val="31"/>
        <w:tabs>
          <w:tab w:val="right" w:leader="dot" w:pos="8720"/>
        </w:tabs>
        <w:rPr>
          <w:rFonts w:hint="eastAsia" w:asciiTheme="minorHAnsi" w:hAnsiTheme="minorHAnsi" w:eastAsiaTheme="minorEastAsia" w:cstheme="minorBidi"/>
          <w:b w:val="0"/>
          <w:bCs w:val="0"/>
          <w:caps w:val="0"/>
          <w:sz w:val="21"/>
          <w:szCs w:val="22"/>
          <w14:ligatures w14:val="standardContextual"/>
        </w:rPr>
      </w:pPr>
      <w:r>
        <w:fldChar w:fldCharType="begin"/>
      </w:r>
      <w:r>
        <w:instrText xml:space="preserve"> HYPERLINK \l "_Toc160382134" </w:instrText>
      </w:r>
      <w:r>
        <w:fldChar w:fldCharType="separate"/>
      </w:r>
      <w:r>
        <w:rPr>
          <w:rStyle w:val="59"/>
          <w:color w:val="auto"/>
        </w:rPr>
        <w:t>附件10  危险废物处置协议</w:t>
      </w:r>
      <w:r>
        <w:tab/>
      </w:r>
      <w:r>
        <w:fldChar w:fldCharType="begin"/>
      </w:r>
      <w:r>
        <w:instrText xml:space="preserve"> PAGEREF _Toc160382134 \h </w:instrText>
      </w:r>
      <w:r>
        <w:fldChar w:fldCharType="separate"/>
      </w:r>
      <w:r>
        <w:rPr>
          <w:rFonts w:hint="eastAsia"/>
        </w:rPr>
        <w:t>272</w:t>
      </w:r>
      <w:r>
        <w:fldChar w:fldCharType="end"/>
      </w:r>
      <w:r>
        <w:fldChar w:fldCharType="end"/>
      </w:r>
    </w:p>
    <w:p w14:paraId="5B97F12E">
      <w:pPr>
        <w:pStyle w:val="117"/>
        <w:ind w:firstLine="480"/>
        <w:jc w:val="center"/>
        <w:rPr>
          <w:rFonts w:hint="eastAsia"/>
          <w:b/>
          <w:sz w:val="28"/>
        </w:rPr>
      </w:pPr>
      <w:r>
        <w:rPr>
          <w:rFonts w:hint="eastAsia" w:cs="宋体"/>
        </w:rPr>
        <w:fldChar w:fldCharType="end"/>
      </w:r>
    </w:p>
    <w:p w14:paraId="77752CE5">
      <w:pPr>
        <w:pStyle w:val="117"/>
        <w:ind w:firstLine="0" w:firstLineChars="0"/>
        <w:rPr>
          <w:rFonts w:hint="eastAsia"/>
          <w:b/>
          <w:sz w:val="28"/>
        </w:rPr>
        <w:sectPr>
          <w:headerReference r:id="rId3" w:type="default"/>
          <w:footerReference r:id="rId4" w:type="default"/>
          <w:pgSz w:w="11906" w:h="16838"/>
          <w:pgMar w:top="1418" w:right="1588" w:bottom="1418" w:left="1588" w:header="1020" w:footer="1020" w:gutter="0"/>
          <w:pgNumType w:fmt="upperRoman" w:start="1"/>
          <w:cols w:space="720" w:num="1"/>
          <w:docGrid w:type="lines" w:linePitch="312" w:charSpace="0"/>
        </w:sectPr>
      </w:pPr>
    </w:p>
    <w:p w14:paraId="450EB9A7">
      <w:pPr>
        <w:pStyle w:val="3"/>
        <w:rPr>
          <w:rFonts w:hint="eastAsia"/>
        </w:rPr>
      </w:pPr>
      <w:bookmarkStart w:id="12" w:name="_Toc160381854"/>
      <w:r>
        <w:rPr>
          <w:rFonts w:hint="eastAsia"/>
        </w:rPr>
        <w:t>概述</w:t>
      </w:r>
      <w:bookmarkEnd w:id="12"/>
    </w:p>
    <w:p w14:paraId="60F5264A">
      <w:pPr>
        <w:pStyle w:val="2"/>
        <w:rPr>
          <w:rFonts w:hint="eastAsia"/>
        </w:rPr>
      </w:pPr>
      <w:bookmarkStart w:id="13" w:name="_Toc160381855"/>
      <w:r>
        <w:rPr>
          <w:rFonts w:hint="eastAsia"/>
        </w:rPr>
        <w:t>项目</w:t>
      </w:r>
      <w:r>
        <w:t>背景</w:t>
      </w:r>
      <w:bookmarkEnd w:id="13"/>
    </w:p>
    <w:p w14:paraId="12C6AB6D">
      <w:pPr>
        <w:pStyle w:val="117"/>
        <w:adjustRightInd w:val="0"/>
        <w:snapToGrid w:val="0"/>
        <w:ind w:firstLine="480"/>
        <w:rPr>
          <w:rFonts w:hint="eastAsia"/>
        </w:rPr>
      </w:pPr>
      <w:bookmarkStart w:id="14" w:name="_Hlk78995800"/>
      <w:r>
        <w:rPr>
          <w:rFonts w:hint="eastAsia"/>
        </w:rPr>
        <w:t>吉木萨尔凹陷页岩油层富集区位于新疆准噶尔盆地东部，距克拉玛依油田约</w:t>
      </w:r>
      <w:r>
        <w:t>450km</w:t>
      </w:r>
      <w:r>
        <w:rPr>
          <w:rFonts w:hint="eastAsia"/>
        </w:rPr>
        <w:t>，距离乌鲁木齐市东北方向</w:t>
      </w:r>
      <w:r>
        <w:t>150km</w:t>
      </w:r>
      <w:r>
        <w:rPr>
          <w:rFonts w:hint="eastAsia"/>
        </w:rPr>
        <w:t>，距离吉木萨尔县西北方向</w:t>
      </w:r>
      <w:r>
        <w:t>22km</w:t>
      </w:r>
      <w:r>
        <w:rPr>
          <w:rFonts w:hint="eastAsia"/>
        </w:rPr>
        <w:t>，距离已开发的吉</w:t>
      </w:r>
      <w:r>
        <w:t>7</w:t>
      </w:r>
      <w:r>
        <w:rPr>
          <w:rFonts w:hint="eastAsia"/>
        </w:rPr>
        <w:t>井区西北方向</w:t>
      </w:r>
      <w:r>
        <w:t>15km</w:t>
      </w:r>
      <w:r>
        <w:rPr>
          <w:rFonts w:hint="eastAsia"/>
        </w:rPr>
        <w:t>，行政隶属新疆维吾尔自治区吉木萨尔县和新疆生产建设兵团第六师红旗农场管辖。油区有多条公路穿过，交通较为便利。</w:t>
      </w:r>
    </w:p>
    <w:p w14:paraId="35E55358">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sz w:val="24"/>
          <w:szCs w:val="24"/>
        </w:rPr>
        <w:t>为探索吉木萨尔凹陷昌吉油田芦草沟组油藏整体效益开发的技术路线，中国石油新疆油田分公司吉庆油田作业区拟在吉木萨尔凹陷昌吉油田芦草沟组实施《吉木萨尔凹陷芦草沟组页岩油J10031-吉179井区JHW17-41等5口井产能建设项目》，</w:t>
      </w:r>
      <w:r>
        <w:rPr>
          <w:rFonts w:hint="eastAsia" w:ascii="宋体" w:hAnsi="宋体"/>
          <w:kern w:val="0"/>
          <w:sz w:val="24"/>
          <w:szCs w:val="24"/>
        </w:rPr>
        <w:t>拟在J10031-吉179井区部署5口采油井，项目分为两期建设，一期建设内容为新钻5口采油井，合计钻井进尺为27593m；新建5座采油井口装置、5井式采油平台1座（5口采油井位于同一井场内）、单井采油管线0.5km、采油平台计量拉油站1座（站内设5座拉油方罐、1座生产分离器和1座放空火炬、1座3m</w:t>
      </w:r>
      <w:r>
        <w:rPr>
          <w:rFonts w:hint="eastAsia" w:ascii="宋体" w:hAnsi="宋体"/>
          <w:kern w:val="0"/>
          <w:sz w:val="24"/>
          <w:szCs w:val="24"/>
          <w:vertAlign w:val="superscript"/>
        </w:rPr>
        <w:t>3</w:t>
      </w:r>
      <w:r>
        <w:rPr>
          <w:rFonts w:hint="eastAsia" w:ascii="宋体" w:hAnsi="宋体"/>
          <w:kern w:val="0"/>
          <w:sz w:val="24"/>
          <w:szCs w:val="24"/>
        </w:rPr>
        <w:t>除硫加药装置、1座10m</w:t>
      </w:r>
      <w:r>
        <w:rPr>
          <w:rFonts w:hint="eastAsia" w:ascii="宋体" w:hAnsi="宋体"/>
          <w:kern w:val="0"/>
          <w:sz w:val="24"/>
          <w:szCs w:val="24"/>
          <w:vertAlign w:val="superscript"/>
        </w:rPr>
        <w:t>3</w:t>
      </w:r>
      <w:r>
        <w:rPr>
          <w:rFonts w:hint="eastAsia" w:ascii="宋体" w:hAnsi="宋体"/>
          <w:kern w:val="0"/>
          <w:sz w:val="24"/>
          <w:szCs w:val="24"/>
        </w:rPr>
        <w:t>除硫加药装置）；并配套建设供配电、仪表自动化、给排水、道路、消防等公辅工程。二期建设内容为：新建计量站至及已建阀室的集油干线6km，一期建设的采油平台计量拉油站更名为采油平台计量站，拆除一期建设的生产分离器、拉油方罐和放空火炬，将集中拉油生产改为管线密闭集输生产。</w:t>
      </w:r>
    </w:p>
    <w:p w14:paraId="317BB094">
      <w:pPr>
        <w:pStyle w:val="117"/>
        <w:ind w:firstLine="480"/>
        <w:rPr>
          <w:rFonts w:hint="eastAsia"/>
          <w:kern w:val="0"/>
        </w:rPr>
      </w:pPr>
      <w:r>
        <w:rPr>
          <w:rFonts w:hint="eastAsia"/>
          <w:kern w:val="0"/>
        </w:rPr>
        <w:t>项目属于陆地石油开采业，其建设将提高区域整体开发效益，带动地区经济的发展和人民生活水平的提高，具有明显的社会经济效益。</w:t>
      </w:r>
    </w:p>
    <w:bookmarkEnd w:id="14"/>
    <w:p w14:paraId="68B0648F">
      <w:pPr>
        <w:pStyle w:val="2"/>
        <w:rPr>
          <w:rFonts w:hint="eastAsia"/>
        </w:rPr>
      </w:pPr>
      <w:bookmarkStart w:id="15" w:name="_Toc160381856"/>
      <w:r>
        <w:rPr>
          <w:rFonts w:hint="eastAsia"/>
        </w:rPr>
        <w:t>建设项目主要特点</w:t>
      </w:r>
      <w:bookmarkEnd w:id="15"/>
    </w:p>
    <w:p w14:paraId="520E9E7C">
      <w:pPr>
        <w:pStyle w:val="117"/>
        <w:ind w:firstLine="480"/>
        <w:rPr>
          <w:rFonts w:hint="eastAsia"/>
        </w:rPr>
      </w:pPr>
      <w:bookmarkStart w:id="16" w:name="_Toc475624453"/>
      <w:bookmarkStart w:id="17" w:name="_Toc469749398"/>
      <w:bookmarkStart w:id="18" w:name="_Toc469048934"/>
      <w:bookmarkStart w:id="19" w:name="_Hlk73979272"/>
      <w:r>
        <w:rPr>
          <w:rFonts w:hint="eastAsia"/>
        </w:rPr>
        <w:t>本项目具有如下特点：</w:t>
      </w:r>
    </w:p>
    <w:p w14:paraId="0CE2427D">
      <w:pPr>
        <w:pStyle w:val="117"/>
        <w:ind w:firstLine="480"/>
        <w:rPr>
          <w:rFonts w:hint="eastAsia"/>
        </w:rPr>
      </w:pPr>
      <w:r>
        <w:rPr>
          <w:rFonts w:hint="eastAsia"/>
        </w:rPr>
        <w:t>（1）项目为页岩油开采，采用平台井布设，采用天然能量开采；油气集输采用管线密闭集输工艺，减少了油气集输过程中的废气产生；伴生气中含有硫化氢，计量拉油站（计量站）设有除硫加药装置。</w:t>
      </w:r>
    </w:p>
    <w:p w14:paraId="088981EA">
      <w:pPr>
        <w:pStyle w:val="117"/>
        <w:ind w:firstLine="480"/>
        <w:rPr>
          <w:rFonts w:hint="eastAsia"/>
        </w:rPr>
      </w:pPr>
      <w:r>
        <w:rPr>
          <w:rFonts w:hint="eastAsia"/>
        </w:rPr>
        <w:t>（2）项目分阶段实施，第一阶段采用集中拉油方式生产，将采出液由罐车拉运至页岩油联合站进行处理，伴生气通过放空火炬燃烧放空；第二阶段新建集油干线至已建阀室，将采出液管输至页岩油联合站进行处理。</w:t>
      </w:r>
    </w:p>
    <w:p w14:paraId="4E5BC253">
      <w:pPr>
        <w:pStyle w:val="117"/>
        <w:ind w:firstLine="480"/>
        <w:rPr>
          <w:rFonts w:hint="eastAsia"/>
        </w:rPr>
      </w:pPr>
      <w:r>
        <w:rPr>
          <w:rFonts w:hint="eastAsia"/>
        </w:rPr>
        <w:t>（3）页岩油开发项目是典型</w:t>
      </w:r>
      <w:r>
        <w:rPr>
          <w:rFonts w:hint="eastAsia" w:cs="宋体"/>
          <w:kern w:val="0"/>
        </w:rPr>
        <w:t>的生态影响型和污染影响型兼有型项目。</w:t>
      </w:r>
    </w:p>
    <w:p w14:paraId="5D71A49D">
      <w:pPr>
        <w:pStyle w:val="117"/>
        <w:ind w:firstLine="480"/>
        <w:rPr>
          <w:rFonts w:hint="eastAsia"/>
        </w:rPr>
      </w:pPr>
      <w:r>
        <w:rPr>
          <w:rFonts w:hint="eastAsia"/>
        </w:rPr>
        <w:t>（4）项目区位于准噶尔盆地南缘兵团级水土流失重点治理区。</w:t>
      </w:r>
    </w:p>
    <w:p w14:paraId="646A9C48">
      <w:pPr>
        <w:pStyle w:val="2"/>
        <w:rPr>
          <w:rFonts w:hint="eastAsia"/>
        </w:rPr>
      </w:pPr>
      <w:bookmarkStart w:id="20" w:name="_Toc160381857"/>
      <w:r>
        <w:t>环境影响评价</w:t>
      </w:r>
      <w:r>
        <w:rPr>
          <w:rFonts w:hint="eastAsia"/>
        </w:rPr>
        <w:t>的工作</w:t>
      </w:r>
      <w:r>
        <w:t>过程</w:t>
      </w:r>
      <w:bookmarkEnd w:id="16"/>
      <w:bookmarkEnd w:id="17"/>
      <w:bookmarkEnd w:id="18"/>
      <w:bookmarkEnd w:id="20"/>
    </w:p>
    <w:bookmarkEnd w:id="19"/>
    <w:p w14:paraId="68FA5F0E">
      <w:pPr>
        <w:pStyle w:val="117"/>
        <w:ind w:firstLine="480"/>
        <w:rPr>
          <w:rFonts w:hint="eastAsia"/>
        </w:rPr>
      </w:pPr>
      <w:bookmarkStart w:id="21" w:name="_Hlk33006390"/>
      <w:r>
        <w:rPr>
          <w:rFonts w:hint="eastAsia"/>
        </w:rPr>
        <w:t>本项目为页岩油开采，属于《建设项目环境影响评价分类管理名录（2021年版）》“五、石油和天然气开采业—</w:t>
      </w:r>
      <w:r>
        <w:t>7</w:t>
      </w:r>
      <w:r>
        <w:rPr>
          <w:rFonts w:hint="eastAsia"/>
        </w:rPr>
        <w:t>、陆地石油开采—石油开采新区块、页岩油开采、涉及环境敏感区的（含内部集输管线建设）”类别</w:t>
      </w:r>
      <w:r>
        <w:t>，</w:t>
      </w:r>
      <w:r>
        <w:rPr>
          <w:rFonts w:hint="eastAsia"/>
        </w:rPr>
        <w:t>应编制环境影响报告书。</w:t>
      </w:r>
    </w:p>
    <w:p w14:paraId="681D8150">
      <w:pPr>
        <w:pStyle w:val="117"/>
        <w:ind w:firstLine="480"/>
        <w:rPr>
          <w:rFonts w:hint="eastAsia"/>
        </w:rPr>
      </w:pPr>
      <w:r>
        <w:rPr>
          <w:rFonts w:hint="eastAsia"/>
        </w:rPr>
        <w:t>环境影响评价工作分为三个阶段，第一阶段包括资料收集、工程分析和影响识别等工作，第二阶段包括生态环境现状监测、现状调查与评价、环境影响预测与评价等工作，第三阶段包括提出预防或减缓不利影响的环境保护措施、制定环境监测计划、从生态环境影响的角度给出工程建设项目是否可行的结论等工作，具体流程见图</w:t>
      </w:r>
      <w:r>
        <w:t>1.3</w:t>
      </w:r>
      <w:r>
        <w:rPr>
          <w:rFonts w:hint="eastAsia"/>
        </w:rPr>
        <w:t>-</w:t>
      </w:r>
      <w:r>
        <w:t>1</w:t>
      </w:r>
      <w:r>
        <w:rPr>
          <w:rFonts w:hint="eastAsia"/>
        </w:rPr>
        <w:t>。中国石油新疆油田分公司吉庆油田作业区于</w:t>
      </w:r>
      <w:r>
        <w:t>202</w:t>
      </w:r>
      <w:r>
        <w:rPr>
          <w:rFonts w:hint="eastAsia"/>
        </w:rPr>
        <w:t>4</w:t>
      </w:r>
      <w:r>
        <w:t>年</w:t>
      </w:r>
      <w:r>
        <w:rPr>
          <w:rFonts w:hint="eastAsia"/>
        </w:rPr>
        <w:t>3</w:t>
      </w:r>
      <w:r>
        <w:t>月委托中勘冶金勘察设计研究院有限责任公司承担本项目的环境影响评价工作</w:t>
      </w:r>
      <w:r>
        <w:rPr>
          <w:rFonts w:hint="eastAsia"/>
        </w:rPr>
        <w:t>（附件1）</w:t>
      </w:r>
      <w:r>
        <w:t>。</w:t>
      </w:r>
      <w:r>
        <w:rPr>
          <w:rFonts w:hint="eastAsia"/>
        </w:rPr>
        <w:t>环评单位接受委托后进行了现场踏勘并收集了有关资料，在此基础上严格按照环境影响评价相关技术导则、规范要求编制完成了《吉木萨尔凹陷芦草沟组页岩油J10031-吉179井区JHW17-41等5口井产能建设项目环境影响报告书》。</w:t>
      </w:r>
    </w:p>
    <w:p w14:paraId="48EE1FA9">
      <w:pPr>
        <w:pStyle w:val="2"/>
        <w:rPr>
          <w:rFonts w:hint="eastAsia"/>
          <w:lang w:val="zh-CN"/>
        </w:rPr>
      </w:pPr>
      <w:bookmarkStart w:id="22" w:name="_Toc475624454"/>
      <w:bookmarkStart w:id="23" w:name="_Toc469048935"/>
      <w:bookmarkStart w:id="24" w:name="_Toc469749399"/>
      <w:bookmarkStart w:id="25" w:name="_Toc160381858"/>
      <w:r>
        <w:rPr>
          <w:rFonts w:hint="eastAsia"/>
          <w:lang w:val="zh-CN"/>
        </w:rPr>
        <w:t>关注的主要环境问题</w:t>
      </w:r>
      <w:bookmarkEnd w:id="22"/>
      <w:bookmarkEnd w:id="23"/>
      <w:bookmarkEnd w:id="24"/>
      <w:r>
        <w:rPr>
          <w:rFonts w:hint="eastAsia"/>
          <w:lang w:val="zh-CN"/>
        </w:rPr>
        <w:t>及环境影响</w:t>
      </w:r>
      <w:bookmarkEnd w:id="25"/>
    </w:p>
    <w:p w14:paraId="72417720">
      <w:pPr>
        <w:pStyle w:val="117"/>
        <w:spacing w:line="480" w:lineRule="exact"/>
        <w:ind w:firstLine="480"/>
        <w:rPr>
          <w:rFonts w:hint="eastAsia"/>
        </w:rPr>
      </w:pPr>
      <w:r>
        <w:rPr>
          <w:rFonts w:hint="eastAsia"/>
        </w:rPr>
        <w:t>本次</w:t>
      </w:r>
      <w:r>
        <w:t>评价针对</w:t>
      </w:r>
      <w:r>
        <w:rPr>
          <w:rFonts w:hint="eastAsia"/>
        </w:rPr>
        <w:t>施工期和运营期产生的废气、废水、噪声的达标排放情况，固体废物的妥善处置情况以及提出的生态减缓措施是否将生态影响降至最低进行分析和论述，并针对以上环境影响所采取的污染防治措施、环境保护措施及风险防范措施的可行性进行分析。</w:t>
      </w:r>
    </w:p>
    <w:p w14:paraId="5483F392">
      <w:pPr>
        <w:pStyle w:val="117"/>
        <w:spacing w:line="480" w:lineRule="exact"/>
        <w:ind w:firstLine="480"/>
        <w:rPr>
          <w:rFonts w:hint="eastAsia" w:ascii="黑体" w:hAnsi="黑体" w:eastAsia="黑体"/>
          <w:sz w:val="21"/>
          <w:szCs w:val="21"/>
        </w:rPr>
      </w:pPr>
      <w:r>
        <w:t>关注的主要环境问题有：施工期产生</w:t>
      </w:r>
      <w:r>
        <w:rPr>
          <w:rFonts w:hint="eastAsia"/>
        </w:rPr>
        <w:t>的</w:t>
      </w:r>
      <w:r>
        <w:t>废气、</w:t>
      </w:r>
      <w:r>
        <w:rPr>
          <w:rFonts w:hint="eastAsia"/>
        </w:rPr>
        <w:t>废水、噪声、固体废物以及工程</w:t>
      </w:r>
      <w:r>
        <w:t>占地带来的生态影响</w:t>
      </w:r>
      <w:r>
        <w:rPr>
          <w:rFonts w:hint="eastAsia"/>
        </w:rPr>
        <w:t>；运营期</w:t>
      </w:r>
      <w:bookmarkStart w:id="26" w:name="_Hlk35961104"/>
      <w:r>
        <w:rPr>
          <w:rFonts w:hint="eastAsia"/>
        </w:rPr>
        <w:t>无组织挥发性有机物、</w:t>
      </w:r>
      <w:bookmarkEnd w:id="26"/>
      <w:r>
        <w:rPr>
          <w:rFonts w:hint="eastAsia"/>
        </w:rPr>
        <w:t>噪声、废水、固体废物等环境影响及事故状态对周围环境的影响分析</w:t>
      </w:r>
      <w:r>
        <w:t>。</w:t>
      </w:r>
    </w:p>
    <w:p w14:paraId="668D6C3D">
      <w:pPr>
        <w:pStyle w:val="2"/>
        <w:rPr>
          <w:rFonts w:hint="eastAsia"/>
        </w:rPr>
      </w:pPr>
      <w:bookmarkStart w:id="27" w:name="_Toc160381859"/>
      <w:r>
        <w:rPr>
          <w:rFonts w:hint="eastAsia"/>
        </w:rPr>
        <w:t>分析判定相关情况</w:t>
      </w:r>
      <w:bookmarkEnd w:id="27"/>
    </w:p>
    <w:p w14:paraId="5A7E5B0B">
      <w:pPr>
        <w:pStyle w:val="4"/>
        <w:rPr>
          <w:rFonts w:hint="eastAsia"/>
          <w:lang w:val="zh-CN"/>
        </w:rPr>
      </w:pPr>
      <w:r>
        <w:rPr>
          <w:rFonts w:hint="eastAsia"/>
          <w:lang w:val="zh-CN"/>
        </w:rPr>
        <w:t>产业政策相符性分析</w:t>
      </w:r>
    </w:p>
    <w:p w14:paraId="3C778AA4">
      <w:pPr>
        <w:pStyle w:val="117"/>
        <w:ind w:firstLine="480"/>
        <w:rPr>
          <w:rFonts w:hint="eastAsia"/>
        </w:rPr>
      </w:pPr>
      <w:r>
        <w:rPr>
          <w:rFonts w:hint="eastAsia"/>
        </w:rPr>
        <w:t>本项目属于</w:t>
      </w:r>
      <w:r>
        <w:t>《产业结构调整指导目录（2024</w:t>
      </w:r>
      <w:r>
        <w:rPr>
          <w:rFonts w:hint="eastAsia"/>
        </w:rPr>
        <w:t>年</w:t>
      </w:r>
      <w:r>
        <w:t>）》</w:t>
      </w:r>
      <w:r>
        <w:rPr>
          <w:rFonts w:hint="eastAsia"/>
        </w:rPr>
        <w:t>鼓励类中的</w:t>
      </w:r>
      <w:r>
        <w:t>“</w:t>
      </w:r>
      <w:r>
        <w:rPr>
          <w:rFonts w:hint="eastAsia"/>
        </w:rPr>
        <w:t>七、石油、天然气——</w:t>
      </w:r>
      <w:r>
        <w:t>1</w:t>
      </w:r>
      <w:r>
        <w:rPr>
          <w:rFonts w:hint="eastAsia"/>
        </w:rPr>
        <w:t>.石油天然气开采：常规石油、天然气勘探与开采，页岩气、页岩油、致密油（气）、油砂、天然气水合物等非常规资源勘探开发</w:t>
      </w:r>
      <w:r>
        <w:t>”</w:t>
      </w:r>
      <w:r>
        <w:rPr>
          <w:rFonts w:hint="eastAsia"/>
        </w:rPr>
        <w:t>，</w:t>
      </w:r>
      <w:r>
        <w:t>符合国家产业政策。</w:t>
      </w:r>
    </w:p>
    <w:p w14:paraId="5673D046">
      <w:pPr>
        <w:pStyle w:val="117"/>
        <w:spacing w:line="240" w:lineRule="auto"/>
        <w:ind w:firstLine="0" w:firstLineChars="0"/>
        <w:jc w:val="center"/>
        <w:rPr>
          <w:rFonts w:hint="eastAsia"/>
        </w:rPr>
      </w:pPr>
      <w:r>
        <w:drawing>
          <wp:inline distT="0" distB="0" distL="0" distR="0">
            <wp:extent cx="5094605" cy="6266180"/>
            <wp:effectExtent l="0" t="0" r="0" b="1270"/>
            <wp:docPr id="1724271145" name="图片 172427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71145" name="图片 1724271145"/>
                    <pic:cNvPicPr>
                      <a:picLocks noChangeAspect="1"/>
                    </pic:cNvPicPr>
                  </pic:nvPicPr>
                  <pic:blipFill>
                    <a:blip r:embed="rId9"/>
                    <a:stretch>
                      <a:fillRect/>
                    </a:stretch>
                  </pic:blipFill>
                  <pic:spPr>
                    <a:xfrm>
                      <a:off x="0" y="0"/>
                      <a:ext cx="5095238" cy="6266667"/>
                    </a:xfrm>
                    <a:prstGeom prst="rect">
                      <a:avLst/>
                    </a:prstGeom>
                  </pic:spPr>
                </pic:pic>
              </a:graphicData>
            </a:graphic>
          </wp:inline>
        </w:drawing>
      </w:r>
    </w:p>
    <w:p w14:paraId="3409E732">
      <w:pPr>
        <w:pStyle w:val="117"/>
        <w:ind w:firstLine="0" w:firstLineChars="0"/>
        <w:jc w:val="center"/>
        <w:rPr>
          <w:rFonts w:hint="eastAsia" w:ascii="黑体" w:hAnsi="黑体" w:eastAsia="黑体"/>
          <w:sz w:val="21"/>
          <w:szCs w:val="21"/>
        </w:rPr>
      </w:pPr>
      <w:r>
        <w:rPr>
          <w:rFonts w:hint="eastAsia" w:ascii="黑体" w:hAnsi="黑体" w:eastAsia="黑体"/>
          <w:sz w:val="21"/>
          <w:szCs w:val="21"/>
        </w:rPr>
        <w:t>图</w:t>
      </w:r>
      <w:r>
        <w:rPr>
          <w:rFonts w:ascii="黑体" w:hAnsi="黑体" w:eastAsia="黑体"/>
          <w:sz w:val="21"/>
          <w:szCs w:val="21"/>
        </w:rPr>
        <w:t>1.3</w:t>
      </w:r>
      <w:r>
        <w:rPr>
          <w:rFonts w:hint="eastAsia" w:ascii="黑体" w:hAnsi="黑体" w:eastAsia="黑体"/>
          <w:sz w:val="21"/>
          <w:szCs w:val="21"/>
        </w:rPr>
        <w:t>-</w:t>
      </w:r>
      <w:r>
        <w:rPr>
          <w:rFonts w:ascii="黑体" w:hAnsi="黑体" w:eastAsia="黑体"/>
          <w:sz w:val="21"/>
          <w:szCs w:val="21"/>
        </w:rPr>
        <w:t>1  环境影响评价工作程序图</w:t>
      </w:r>
    </w:p>
    <w:bookmarkEnd w:id="21"/>
    <w:p w14:paraId="14F609BD">
      <w:pPr>
        <w:pStyle w:val="4"/>
        <w:rPr>
          <w:rFonts w:hint="eastAsia"/>
          <w:lang w:val="zh-CN"/>
        </w:rPr>
      </w:pPr>
      <w:r>
        <w:rPr>
          <w:rFonts w:hint="eastAsia"/>
          <w:lang w:val="zh-CN"/>
        </w:rPr>
        <w:t>选址选线合理性分析</w:t>
      </w:r>
    </w:p>
    <w:p w14:paraId="53B42455">
      <w:pPr>
        <w:pStyle w:val="117"/>
        <w:ind w:firstLine="480"/>
        <w:rPr>
          <w:rFonts w:hint="eastAsia"/>
        </w:rPr>
      </w:pPr>
      <w:bookmarkStart w:id="28" w:name="_Hlk80207063"/>
      <w:r>
        <w:rPr>
          <w:rFonts w:hint="eastAsia"/>
        </w:rPr>
        <w:t>新建采油井场、计量拉油站（或计量站）选址过程中尽量避开植被密集区域；采油平台计量站位于采油平台旁，距各采油井井口装置的距离满足集输要求、距离最短；集油干线沿已建道路敷设，</w:t>
      </w:r>
      <w:r>
        <w:rPr>
          <w:rFonts w:hint="eastAsia" w:cs="宋体"/>
        </w:rPr>
        <w:t>尽量避开植被茂密区域，评价范围内野生动物较少，</w:t>
      </w:r>
      <w:r>
        <w:rPr>
          <w:rFonts w:hint="eastAsia"/>
        </w:rPr>
        <w:t>对周围生态环境影响较小；无组织废气和噪声均可实现达标排放，废水和固体废物均可得到妥善处置；项目区周围</w:t>
      </w:r>
      <w:r>
        <w:rPr>
          <w:rFonts w:hint="eastAsia"/>
          <w:kern w:val="0"/>
        </w:rPr>
        <w:t>无自然保护区、风景名胜区、居民区、医院、学校等环境保护目标，</w:t>
      </w:r>
      <w:r>
        <w:rPr>
          <w:rFonts w:hint="eastAsia"/>
        </w:rPr>
        <w:t>不涉及生态保护红线</w:t>
      </w:r>
      <w:r>
        <w:rPr>
          <w:rFonts w:hint="eastAsia"/>
          <w:kern w:val="0"/>
        </w:rPr>
        <w:t>。</w:t>
      </w:r>
      <w:r>
        <w:rPr>
          <w:rFonts w:hint="eastAsia"/>
          <w:lang w:val="zh-CN"/>
        </w:rPr>
        <w:t>综上所述，</w:t>
      </w:r>
      <w:r>
        <w:rPr>
          <w:rFonts w:hint="eastAsia"/>
        </w:rPr>
        <w:t>项目选址选线合理</w:t>
      </w:r>
      <w:r>
        <w:rPr>
          <w:rFonts w:hint="eastAsia"/>
          <w:kern w:val="0"/>
        </w:rPr>
        <w:t>。</w:t>
      </w:r>
    </w:p>
    <w:p w14:paraId="40E2A9BE">
      <w:pPr>
        <w:pStyle w:val="4"/>
        <w:rPr>
          <w:rFonts w:hint="eastAsia"/>
          <w:lang w:val="zh-CN"/>
        </w:rPr>
      </w:pPr>
      <w:r>
        <w:rPr>
          <w:rFonts w:hint="eastAsia"/>
          <w:lang w:val="zh-CN"/>
        </w:rPr>
        <w:t>相关规划及政策符合性分析</w:t>
      </w:r>
    </w:p>
    <w:p w14:paraId="5296C832">
      <w:pPr>
        <w:pStyle w:val="117"/>
        <w:ind w:firstLine="480"/>
        <w:rPr>
          <w:rFonts w:hint="eastAsia"/>
        </w:rPr>
      </w:pPr>
      <w:r>
        <w:rPr>
          <w:rFonts w:hint="eastAsia"/>
        </w:rPr>
        <w:t>项目建设符合</w:t>
      </w:r>
      <w:bookmarkStart w:id="29" w:name="_Hlk129099377"/>
      <w:bookmarkStart w:id="30" w:name="_Hlk148005706"/>
      <w:r>
        <w:rPr>
          <w:rFonts w:hint="eastAsia"/>
        </w:rPr>
        <w:t>《新疆维吾尔自治区国民经济和社会发展第十四个五年规划和2035年远景目标纲要》</w:t>
      </w:r>
      <w:r>
        <w:rPr>
          <w:rFonts w:hint="eastAsia"/>
          <w:spacing w:val="-6"/>
        </w:rPr>
        <w:t>《新疆生产建设兵团国民经济和社会发展第十四个五年规划和二〇三五年远景目标纲要》</w:t>
      </w:r>
      <w:r>
        <w:rPr>
          <w:rFonts w:hint="eastAsia"/>
        </w:rPr>
        <w:t>《新疆生产建设兵团主体功能区规划》《</w:t>
      </w:r>
      <w:r>
        <w:t>新疆维吾尔自治区矿产资源</w:t>
      </w:r>
      <w:r>
        <w:rPr>
          <w:rFonts w:hint="eastAsia"/>
        </w:rPr>
        <w:t>总体</w:t>
      </w:r>
      <w:r>
        <w:t>规划（2021－2025）</w:t>
      </w:r>
      <w:r>
        <w:rPr>
          <w:rFonts w:hint="eastAsia"/>
        </w:rPr>
        <w:t>》《新疆生产建设兵团矿产资源总体规划（2021—2025）》《新疆油田公司“十四五”发展规划》</w:t>
      </w:r>
      <w:r>
        <w:rPr>
          <w:rFonts w:hint="eastAsia"/>
          <w:lang w:bidi="ar"/>
        </w:rPr>
        <w:t>《</w:t>
      </w:r>
      <w:r>
        <w:rPr>
          <w:lang w:bidi="ar"/>
        </w:rPr>
        <w:t>新疆生态环境保护“十四五”规划</w:t>
      </w:r>
      <w:r>
        <w:rPr>
          <w:rFonts w:hint="eastAsia"/>
          <w:lang w:bidi="ar"/>
        </w:rPr>
        <w:t>》</w:t>
      </w:r>
      <w:r>
        <w:rPr>
          <w:rFonts w:hint="eastAsia"/>
        </w:rPr>
        <w:t>《新疆生产建设兵团“十四五”生态环境保护规划》</w:t>
      </w:r>
      <w:r>
        <w:rPr>
          <w:rFonts w:hint="eastAsia"/>
          <w:lang w:bidi="ar"/>
        </w:rPr>
        <w:t>《石油天然气开采业污染防治技术政策》《陆上石油天然气开采业绿色矿山建设规范》</w:t>
      </w:r>
      <w:r>
        <w:rPr>
          <w:rFonts w:hint="eastAsia"/>
        </w:rPr>
        <w:t>《关于进一步加强石油天然气行业环境影响评价管理的通知》</w:t>
      </w:r>
      <w:r>
        <w:rPr>
          <w:rFonts w:hint="eastAsia"/>
          <w:lang w:bidi="ar"/>
        </w:rPr>
        <w:t>《新疆维吾尔自治区煤炭石油天然气开发环境保护条例》《第六师五家渠市“三线一单”生态环境分区管控方案》</w:t>
      </w:r>
      <w:r>
        <w:rPr>
          <w:rFonts w:hint="eastAsia"/>
        </w:rPr>
        <w:t>《新疆维吾尔自治区重点行业生态环境准入条件（2024年）》</w:t>
      </w:r>
      <w:r>
        <w:rPr>
          <w:rFonts w:hint="eastAsia"/>
          <w:lang w:bidi="ar"/>
        </w:rPr>
        <w:t>中的相关要求。</w:t>
      </w:r>
    </w:p>
    <w:bookmarkEnd w:id="28"/>
    <w:bookmarkEnd w:id="29"/>
    <w:bookmarkEnd w:id="30"/>
    <w:p w14:paraId="36F4B098">
      <w:pPr>
        <w:pStyle w:val="2"/>
        <w:rPr>
          <w:rFonts w:hint="eastAsia"/>
        </w:rPr>
      </w:pPr>
      <w:bookmarkStart w:id="31" w:name="_Toc160381860"/>
      <w:r>
        <w:rPr>
          <w:rFonts w:hint="eastAsia"/>
        </w:rPr>
        <w:t>环境影响评价的</w:t>
      </w:r>
      <w:r>
        <w:t>主要结论</w:t>
      </w:r>
      <w:bookmarkEnd w:id="31"/>
    </w:p>
    <w:p w14:paraId="6427872B">
      <w:pPr>
        <w:pStyle w:val="117"/>
        <w:ind w:firstLine="480"/>
        <w:rPr>
          <w:rFonts w:hint="eastAsia"/>
        </w:rPr>
      </w:pPr>
      <w:bookmarkStart w:id="32" w:name="_Hlk17801527"/>
      <w:r>
        <w:rPr>
          <w:rFonts w:hint="eastAsia"/>
        </w:rPr>
        <w:t>项目符合国家相关规划、环保政策及“三线一单”的要求，项目选址选线合理。运营期废气、噪声能实现达标排放，废水和固体废物均可实现妥善处置，建成后区域环境质量仍可以满足相应功能区要求；开发活动对生态环境的影响较小，不会对区域生态系统或生物多样性产生较大影响；运行过程中存在一定的环境风险，但采取相应的环境风险防范措施后，其影响是可防可控的；项目进行了三次网上公示、1次张贴公告、2次报纸公示，公示期间均未收到公众反馈意见。从生态环境保护角度论证建设可行。</w:t>
      </w:r>
    </w:p>
    <w:bookmarkEnd w:id="32"/>
    <w:p w14:paraId="5B796632">
      <w:pPr>
        <w:pStyle w:val="3"/>
        <w:rPr>
          <w:rFonts w:hint="eastAsia"/>
        </w:rPr>
      </w:pPr>
      <w:r>
        <w:br w:type="page"/>
      </w:r>
      <w:bookmarkStart w:id="33" w:name="_Toc160381861"/>
      <w:r>
        <w:rPr>
          <w:rFonts w:hint="eastAsia"/>
        </w:rPr>
        <w:t>总则</w:t>
      </w:r>
      <w:bookmarkEnd w:id="33"/>
    </w:p>
    <w:p w14:paraId="5B526361">
      <w:pPr>
        <w:pStyle w:val="2"/>
        <w:rPr>
          <w:rFonts w:hint="eastAsia"/>
          <w:lang w:val="zh-CN"/>
        </w:rPr>
      </w:pPr>
      <w:bookmarkStart w:id="34" w:name="_Toc475624459"/>
      <w:bookmarkStart w:id="35" w:name="_Toc459026553"/>
      <w:bookmarkStart w:id="36" w:name="_Toc445840369"/>
      <w:bookmarkStart w:id="37" w:name="_Toc17814"/>
      <w:bookmarkStart w:id="38" w:name="_Toc445841957"/>
      <w:bookmarkStart w:id="39" w:name="_Toc445996320"/>
      <w:bookmarkStart w:id="40" w:name="_Toc160381862"/>
      <w:r>
        <w:rPr>
          <w:rFonts w:hint="eastAsia"/>
          <w:lang w:val="zh-CN"/>
        </w:rPr>
        <w:t>编制</w:t>
      </w:r>
      <w:r>
        <w:rPr>
          <w:lang w:val="zh-CN"/>
        </w:rPr>
        <w:t>依据</w:t>
      </w:r>
      <w:bookmarkEnd w:id="34"/>
      <w:bookmarkEnd w:id="35"/>
      <w:bookmarkEnd w:id="36"/>
      <w:bookmarkEnd w:id="37"/>
      <w:bookmarkEnd w:id="38"/>
      <w:bookmarkEnd w:id="39"/>
      <w:bookmarkEnd w:id="40"/>
    </w:p>
    <w:p w14:paraId="02BB6A91">
      <w:pPr>
        <w:pStyle w:val="4"/>
        <w:rPr>
          <w:rFonts w:hint="eastAsia"/>
        </w:rPr>
      </w:pPr>
      <w:bookmarkStart w:id="41" w:name="_Hlk33041053"/>
      <w:r>
        <w:rPr>
          <w:rFonts w:hint="eastAsia"/>
        </w:rPr>
        <w:t>国家环保法律</w:t>
      </w:r>
    </w:p>
    <w:p w14:paraId="6AF3E67C">
      <w:pPr>
        <w:pStyle w:val="117"/>
        <w:ind w:firstLine="480"/>
        <w:rPr>
          <w:rFonts w:hint="eastAsia"/>
          <w:lang w:val="zh-CN"/>
        </w:rPr>
      </w:pPr>
      <w:r>
        <w:rPr>
          <w:rFonts w:hint="eastAsia"/>
          <w:lang w:val="zh-CN"/>
        </w:rPr>
        <w:t>（</w:t>
      </w:r>
      <w:r>
        <w:rPr>
          <w:rFonts w:hint="eastAsia"/>
        </w:rPr>
        <w:t>1</w:t>
      </w:r>
      <w:r>
        <w:rPr>
          <w:rFonts w:hint="eastAsia"/>
          <w:lang w:val="zh-CN"/>
        </w:rPr>
        <w:t>）《中华人民共和国环境保护法》，2015年01月01日；</w:t>
      </w:r>
    </w:p>
    <w:p w14:paraId="29DE0A87">
      <w:pPr>
        <w:pStyle w:val="117"/>
        <w:ind w:firstLine="480"/>
        <w:rPr>
          <w:rFonts w:hint="eastAsia"/>
          <w:lang w:val="zh-CN"/>
        </w:rPr>
      </w:pPr>
      <w:r>
        <w:rPr>
          <w:rFonts w:hint="eastAsia"/>
          <w:lang w:val="zh-CN"/>
        </w:rPr>
        <w:t>（</w:t>
      </w:r>
      <w:r>
        <w:rPr>
          <w:rFonts w:hint="eastAsia"/>
        </w:rPr>
        <w:t>2</w:t>
      </w:r>
      <w:r>
        <w:rPr>
          <w:rFonts w:hint="eastAsia"/>
          <w:lang w:val="zh-CN"/>
        </w:rPr>
        <w:t>）《中华人民共和国环境影响评价法》，2018年12月29日；</w:t>
      </w:r>
    </w:p>
    <w:p w14:paraId="4646A19A">
      <w:pPr>
        <w:pStyle w:val="117"/>
        <w:ind w:firstLine="480"/>
        <w:rPr>
          <w:rFonts w:hint="eastAsia"/>
          <w:lang w:val="zh-CN"/>
        </w:rPr>
      </w:pPr>
      <w:r>
        <w:rPr>
          <w:rFonts w:hint="eastAsia"/>
          <w:lang w:val="zh-CN"/>
        </w:rPr>
        <w:t>（</w:t>
      </w:r>
      <w:r>
        <w:rPr>
          <w:rFonts w:hint="eastAsia"/>
        </w:rPr>
        <w:t>3</w:t>
      </w:r>
      <w:r>
        <w:rPr>
          <w:rFonts w:hint="eastAsia"/>
          <w:lang w:val="zh-CN"/>
        </w:rPr>
        <w:t>）《中华人民共和国大气污染防治法》，2018年10月26日；</w:t>
      </w:r>
    </w:p>
    <w:p w14:paraId="1EB27281">
      <w:pPr>
        <w:pStyle w:val="117"/>
        <w:ind w:firstLine="480"/>
        <w:rPr>
          <w:rFonts w:hint="eastAsia"/>
          <w:lang w:val="zh-CN"/>
        </w:rPr>
      </w:pPr>
      <w:r>
        <w:rPr>
          <w:rFonts w:hint="eastAsia"/>
          <w:lang w:val="zh-CN"/>
        </w:rPr>
        <w:t>（</w:t>
      </w:r>
      <w:r>
        <w:rPr>
          <w:rFonts w:hint="eastAsia"/>
        </w:rPr>
        <w:t>4</w:t>
      </w:r>
      <w:r>
        <w:rPr>
          <w:rFonts w:hint="eastAsia"/>
          <w:lang w:val="zh-CN"/>
        </w:rPr>
        <w:t>）《中华人民共和国水污染防治法》，2018年01月01日；</w:t>
      </w:r>
    </w:p>
    <w:p w14:paraId="3EDF855F">
      <w:pPr>
        <w:pStyle w:val="117"/>
        <w:ind w:firstLine="480"/>
        <w:rPr>
          <w:rFonts w:hint="eastAsia"/>
          <w:lang w:val="zh-CN"/>
        </w:rPr>
      </w:pPr>
      <w:r>
        <w:rPr>
          <w:rFonts w:hint="eastAsia"/>
          <w:lang w:val="zh-CN"/>
        </w:rPr>
        <w:t>（</w:t>
      </w:r>
      <w:r>
        <w:rPr>
          <w:rFonts w:hint="eastAsia"/>
        </w:rPr>
        <w:t>5</w:t>
      </w:r>
      <w:r>
        <w:rPr>
          <w:rFonts w:hint="eastAsia"/>
          <w:lang w:val="zh-CN"/>
        </w:rPr>
        <w:t>）《中华人民共和国土壤污染防治法》，2019年01月01日；</w:t>
      </w:r>
    </w:p>
    <w:p w14:paraId="200C646E">
      <w:pPr>
        <w:pStyle w:val="117"/>
        <w:ind w:firstLine="480"/>
        <w:rPr>
          <w:rFonts w:hint="eastAsia"/>
          <w:lang w:val="zh-CN"/>
        </w:rPr>
      </w:pPr>
      <w:r>
        <w:rPr>
          <w:rFonts w:hint="eastAsia"/>
          <w:lang w:val="zh-CN"/>
        </w:rPr>
        <w:t>（</w:t>
      </w:r>
      <w:r>
        <w:rPr>
          <w:rFonts w:hint="eastAsia"/>
        </w:rPr>
        <w:t>6</w:t>
      </w:r>
      <w:r>
        <w:rPr>
          <w:rFonts w:hint="eastAsia"/>
          <w:lang w:val="zh-CN"/>
        </w:rPr>
        <w:t>）《中华人民共和国噪声污染防治法》，20</w:t>
      </w:r>
      <w:r>
        <w:rPr>
          <w:lang w:val="zh-CN"/>
        </w:rPr>
        <w:t>22</w:t>
      </w:r>
      <w:r>
        <w:rPr>
          <w:rFonts w:hint="eastAsia"/>
          <w:lang w:val="zh-CN"/>
        </w:rPr>
        <w:t>年0</w:t>
      </w:r>
      <w:r>
        <w:rPr>
          <w:lang w:val="zh-CN"/>
        </w:rPr>
        <w:t>6</w:t>
      </w:r>
      <w:r>
        <w:rPr>
          <w:rFonts w:hint="eastAsia"/>
          <w:lang w:val="zh-CN"/>
        </w:rPr>
        <w:t>月0</w:t>
      </w:r>
      <w:r>
        <w:rPr>
          <w:lang w:val="zh-CN"/>
        </w:rPr>
        <w:t>5</w:t>
      </w:r>
      <w:r>
        <w:rPr>
          <w:rFonts w:hint="eastAsia"/>
          <w:lang w:val="zh-CN"/>
        </w:rPr>
        <w:t>日；</w:t>
      </w:r>
    </w:p>
    <w:p w14:paraId="16759E6A">
      <w:pPr>
        <w:pStyle w:val="117"/>
        <w:ind w:firstLine="480"/>
        <w:rPr>
          <w:rFonts w:hint="eastAsia"/>
          <w:lang w:val="zh-CN"/>
        </w:rPr>
      </w:pPr>
      <w:r>
        <w:rPr>
          <w:rFonts w:hint="eastAsia"/>
          <w:lang w:val="zh-CN"/>
        </w:rPr>
        <w:t>（</w:t>
      </w:r>
      <w:r>
        <w:rPr>
          <w:rFonts w:hint="eastAsia"/>
        </w:rPr>
        <w:t>7</w:t>
      </w:r>
      <w:r>
        <w:rPr>
          <w:rFonts w:hint="eastAsia"/>
          <w:lang w:val="zh-CN"/>
        </w:rPr>
        <w:t>）《中华人民共和国固体废物污染环境防治法》（2020年修订），2020年09月01日；</w:t>
      </w:r>
    </w:p>
    <w:p w14:paraId="394B02CE">
      <w:pPr>
        <w:pStyle w:val="117"/>
        <w:ind w:firstLine="480"/>
        <w:rPr>
          <w:rFonts w:hint="eastAsia"/>
          <w:lang w:val="zh-CN"/>
        </w:rPr>
      </w:pPr>
      <w:r>
        <w:rPr>
          <w:rFonts w:hint="eastAsia"/>
          <w:lang w:val="zh-CN"/>
        </w:rPr>
        <w:t>（</w:t>
      </w:r>
      <w:r>
        <w:rPr>
          <w:rFonts w:hint="eastAsia"/>
        </w:rPr>
        <w:t>8</w:t>
      </w:r>
      <w:r>
        <w:rPr>
          <w:rFonts w:hint="eastAsia"/>
          <w:lang w:val="zh-CN"/>
        </w:rPr>
        <w:t>）《中华人民共和国环境保护</w:t>
      </w:r>
      <w:r>
        <w:rPr>
          <w:rFonts w:hint="eastAsia"/>
        </w:rPr>
        <w:t>税</w:t>
      </w:r>
      <w:r>
        <w:rPr>
          <w:rFonts w:hint="eastAsia"/>
          <w:lang w:val="zh-CN"/>
        </w:rPr>
        <w:t>法》，2018年01月01日；</w:t>
      </w:r>
    </w:p>
    <w:p w14:paraId="0DB75874">
      <w:pPr>
        <w:pStyle w:val="117"/>
        <w:ind w:firstLine="480"/>
        <w:rPr>
          <w:rFonts w:hint="eastAsia"/>
          <w:lang w:val="zh-CN"/>
        </w:rPr>
      </w:pPr>
      <w:r>
        <w:rPr>
          <w:rFonts w:hint="eastAsia"/>
          <w:lang w:val="zh-CN"/>
        </w:rPr>
        <w:t>（</w:t>
      </w:r>
      <w:r>
        <w:rPr>
          <w:rFonts w:hint="eastAsia"/>
        </w:rPr>
        <w:t>9</w:t>
      </w:r>
      <w:r>
        <w:rPr>
          <w:rFonts w:hint="eastAsia"/>
          <w:lang w:val="zh-CN"/>
        </w:rPr>
        <w:t>）《中华人民共和国野生动物保护法》（2</w:t>
      </w:r>
      <w:r>
        <w:rPr>
          <w:lang w:val="zh-CN"/>
        </w:rPr>
        <w:t>022</w:t>
      </w:r>
      <w:r>
        <w:rPr>
          <w:rFonts w:hint="eastAsia"/>
          <w:lang w:val="zh-CN"/>
        </w:rPr>
        <w:t>年修订），20</w:t>
      </w:r>
      <w:r>
        <w:rPr>
          <w:lang w:val="zh-CN"/>
        </w:rPr>
        <w:t>23</w:t>
      </w:r>
      <w:r>
        <w:rPr>
          <w:rFonts w:hint="eastAsia"/>
          <w:lang w:val="zh-CN"/>
        </w:rPr>
        <w:t>年</w:t>
      </w:r>
      <w:r>
        <w:rPr>
          <w:lang w:val="zh-CN"/>
        </w:rPr>
        <w:t>05</w:t>
      </w:r>
      <w:r>
        <w:rPr>
          <w:rFonts w:hint="eastAsia"/>
          <w:lang w:val="zh-CN"/>
        </w:rPr>
        <w:t>月</w:t>
      </w:r>
      <w:r>
        <w:rPr>
          <w:lang w:val="zh-CN"/>
        </w:rPr>
        <w:t>01</w:t>
      </w:r>
      <w:r>
        <w:rPr>
          <w:rFonts w:hint="eastAsia"/>
          <w:lang w:val="zh-CN"/>
        </w:rPr>
        <w:t>日；</w:t>
      </w:r>
    </w:p>
    <w:p w14:paraId="4DC915C8">
      <w:pPr>
        <w:pStyle w:val="117"/>
        <w:ind w:firstLine="480"/>
        <w:rPr>
          <w:rFonts w:hint="eastAsia"/>
        </w:rPr>
      </w:pPr>
      <w:r>
        <w:rPr>
          <w:rFonts w:hint="eastAsia"/>
          <w:lang w:val="zh-CN"/>
        </w:rPr>
        <w:t>（</w:t>
      </w:r>
      <w:r>
        <w:rPr>
          <w:rFonts w:hint="eastAsia"/>
        </w:rPr>
        <w:t>10</w:t>
      </w:r>
      <w:r>
        <w:rPr>
          <w:rFonts w:hint="eastAsia"/>
          <w:lang w:val="zh-CN"/>
        </w:rPr>
        <w:t>）《中华人民共和国防沙治沙法》，</w:t>
      </w:r>
      <w:r>
        <w:rPr>
          <w:rFonts w:hint="eastAsia"/>
        </w:rPr>
        <w:t>2018年10月26日；</w:t>
      </w:r>
    </w:p>
    <w:p w14:paraId="365589FA">
      <w:pPr>
        <w:pStyle w:val="117"/>
        <w:ind w:firstLine="480"/>
        <w:rPr>
          <w:rFonts w:hint="eastAsia"/>
        </w:rPr>
      </w:pPr>
      <w:r>
        <w:rPr>
          <w:rFonts w:hint="eastAsia"/>
        </w:rPr>
        <w:t>（11）《中华人民共和国水土保持法》</w:t>
      </w:r>
      <w:r>
        <w:rPr>
          <w:lang w:val="zh-CN"/>
        </w:rPr>
        <w:t>（2010年修订）</w:t>
      </w:r>
      <w:r>
        <w:rPr>
          <w:rFonts w:hint="eastAsia"/>
          <w:lang w:val="zh-CN"/>
        </w:rPr>
        <w:t>，</w:t>
      </w:r>
      <w:r>
        <w:rPr>
          <w:rFonts w:hint="eastAsia"/>
        </w:rPr>
        <w:t>2011年03月01日；</w:t>
      </w:r>
    </w:p>
    <w:p w14:paraId="0A9AFA04">
      <w:pPr>
        <w:pStyle w:val="117"/>
        <w:ind w:firstLine="480"/>
        <w:rPr>
          <w:rFonts w:hint="eastAsia"/>
        </w:rPr>
      </w:pPr>
      <w:r>
        <w:rPr>
          <w:rFonts w:hint="eastAsia"/>
        </w:rPr>
        <w:t>（12）《</w:t>
      </w:r>
      <w:r>
        <w:rPr>
          <w:lang w:val="zh-CN"/>
        </w:rPr>
        <w:t>中华人民共和国清洁生产促进法（2012年修订）</w:t>
      </w:r>
      <w:r>
        <w:rPr>
          <w:rFonts w:hint="eastAsia"/>
        </w:rPr>
        <w:t>》，2012年07月01日。</w:t>
      </w:r>
    </w:p>
    <w:p w14:paraId="767615C9">
      <w:pPr>
        <w:pStyle w:val="4"/>
        <w:rPr>
          <w:rFonts w:hint="eastAsia"/>
        </w:rPr>
      </w:pPr>
      <w:r>
        <w:rPr>
          <w:rFonts w:hint="eastAsia"/>
        </w:rPr>
        <w:t>环境保护规章</w:t>
      </w:r>
    </w:p>
    <w:p w14:paraId="2B2EB1EA">
      <w:pPr>
        <w:pStyle w:val="117"/>
        <w:ind w:firstLine="480"/>
        <w:rPr>
          <w:rFonts w:hint="eastAsia"/>
          <w:lang w:val="zh-CN"/>
        </w:rPr>
      </w:pPr>
      <w:r>
        <w:rPr>
          <w:rFonts w:hint="eastAsia"/>
          <w:lang w:val="zh-CN"/>
        </w:rPr>
        <w:t>（</w:t>
      </w:r>
      <w:r>
        <w:t>1</w:t>
      </w:r>
      <w:r>
        <w:rPr>
          <w:rFonts w:hint="eastAsia"/>
          <w:lang w:val="zh-CN"/>
        </w:rPr>
        <w:t>）《建设项目环境保护管理条例》，国务院令</w:t>
      </w:r>
      <w:r>
        <w:rPr>
          <w:rFonts w:hint="eastAsia"/>
        </w:rPr>
        <w:t>第</w:t>
      </w:r>
      <w:r>
        <w:rPr>
          <w:rFonts w:hint="eastAsia"/>
          <w:lang w:val="zh-CN"/>
        </w:rPr>
        <w:t>682号，2017年10月01日；</w:t>
      </w:r>
    </w:p>
    <w:p w14:paraId="396C1515">
      <w:pPr>
        <w:pStyle w:val="117"/>
        <w:ind w:firstLine="480"/>
        <w:rPr>
          <w:rFonts w:hint="eastAsia"/>
          <w:lang w:val="zh-CN"/>
        </w:rPr>
      </w:pPr>
      <w:r>
        <w:rPr>
          <w:rFonts w:hint="eastAsia"/>
          <w:lang w:val="zh-CN"/>
        </w:rPr>
        <w:t>（</w:t>
      </w:r>
      <w:r>
        <w:t>2</w:t>
      </w:r>
      <w:r>
        <w:rPr>
          <w:rFonts w:hint="eastAsia"/>
          <w:lang w:val="zh-CN"/>
        </w:rPr>
        <w:t>）</w:t>
      </w:r>
      <w:bookmarkStart w:id="42" w:name="_Hlk173773017"/>
      <w:r>
        <w:rPr>
          <w:rFonts w:hint="eastAsia"/>
          <w:lang w:val="zh-CN"/>
        </w:rPr>
        <w:t>《排污许可管理办法》</w:t>
      </w:r>
      <w:bookmarkEnd w:id="42"/>
      <w:r>
        <w:rPr>
          <w:rFonts w:hint="eastAsia"/>
          <w:lang w:val="zh-CN"/>
        </w:rPr>
        <w:t>，生态环境部部令第32号（6），2024年04月01日；</w:t>
      </w:r>
    </w:p>
    <w:p w14:paraId="02718D84">
      <w:pPr>
        <w:pStyle w:val="117"/>
        <w:ind w:firstLine="480"/>
        <w:rPr>
          <w:rFonts w:hint="eastAsia"/>
          <w:lang w:val="zh-CN"/>
        </w:rPr>
      </w:pPr>
      <w:r>
        <w:rPr>
          <w:rFonts w:hint="eastAsia"/>
          <w:lang w:val="zh-CN"/>
        </w:rPr>
        <w:t>（</w:t>
      </w:r>
      <w:r>
        <w:t>3</w:t>
      </w:r>
      <w:r>
        <w:rPr>
          <w:rFonts w:hint="eastAsia"/>
          <w:lang w:val="zh-CN"/>
        </w:rPr>
        <w:t>）《</w:t>
      </w:r>
      <w:bookmarkStart w:id="43" w:name="_Hlk33005871"/>
      <w:r>
        <w:rPr>
          <w:rFonts w:hint="eastAsia"/>
          <w:lang w:val="zh-CN"/>
        </w:rPr>
        <w:t>建设项目环境影响评价分类管理名录</w:t>
      </w:r>
      <w:bookmarkEnd w:id="43"/>
      <w:r>
        <w:rPr>
          <w:rFonts w:hint="eastAsia"/>
          <w:lang w:val="zh-CN"/>
        </w:rPr>
        <w:t>（</w:t>
      </w:r>
      <w:r>
        <w:rPr>
          <w:rFonts w:hint="eastAsia"/>
        </w:rPr>
        <w:t>2021年版</w:t>
      </w:r>
      <w:r>
        <w:rPr>
          <w:rFonts w:hint="eastAsia"/>
          <w:lang w:val="zh-CN"/>
        </w:rPr>
        <w:t>）》，生态环境部令第1</w:t>
      </w:r>
      <w:r>
        <w:rPr>
          <w:rFonts w:hint="eastAsia"/>
        </w:rPr>
        <w:t>6</w:t>
      </w:r>
      <w:r>
        <w:rPr>
          <w:rFonts w:hint="eastAsia"/>
          <w:lang w:val="zh-CN"/>
        </w:rPr>
        <w:t>号，20</w:t>
      </w:r>
      <w:r>
        <w:rPr>
          <w:rFonts w:hint="eastAsia"/>
        </w:rPr>
        <w:t>21</w:t>
      </w:r>
      <w:r>
        <w:rPr>
          <w:rFonts w:hint="eastAsia"/>
          <w:lang w:val="zh-CN"/>
        </w:rPr>
        <w:t>年0</w:t>
      </w:r>
      <w:r>
        <w:rPr>
          <w:rFonts w:hint="eastAsia"/>
        </w:rPr>
        <w:t>1</w:t>
      </w:r>
      <w:r>
        <w:rPr>
          <w:rFonts w:hint="eastAsia"/>
          <w:lang w:val="zh-CN"/>
        </w:rPr>
        <w:t>月0</w:t>
      </w:r>
      <w:r>
        <w:rPr>
          <w:rFonts w:hint="eastAsia"/>
        </w:rPr>
        <w:t>1</w:t>
      </w:r>
      <w:r>
        <w:rPr>
          <w:rFonts w:hint="eastAsia"/>
          <w:lang w:val="zh-CN"/>
        </w:rPr>
        <w:t>日；</w:t>
      </w:r>
    </w:p>
    <w:p w14:paraId="594EADFC">
      <w:pPr>
        <w:pStyle w:val="117"/>
        <w:ind w:firstLine="480"/>
        <w:rPr>
          <w:rFonts w:hint="eastAsia"/>
          <w:lang w:val="zh-CN"/>
        </w:rPr>
      </w:pPr>
      <w:r>
        <w:rPr>
          <w:rFonts w:hint="eastAsia"/>
          <w:lang w:val="zh-CN"/>
        </w:rPr>
        <w:t>（</w:t>
      </w:r>
      <w:r>
        <w:t>4</w:t>
      </w:r>
      <w:r>
        <w:rPr>
          <w:rFonts w:hint="eastAsia"/>
          <w:lang w:val="zh-CN"/>
        </w:rPr>
        <w:t>）《环境影响评价公众参与办法》，生态环境部令第4号，2019年01月01日；</w:t>
      </w:r>
    </w:p>
    <w:p w14:paraId="3A757CC2">
      <w:pPr>
        <w:pStyle w:val="117"/>
        <w:ind w:firstLine="480"/>
        <w:rPr>
          <w:rFonts w:hint="eastAsia"/>
          <w:lang w:val="zh-CN"/>
        </w:rPr>
      </w:pPr>
      <w:r>
        <w:rPr>
          <w:rFonts w:hint="eastAsia"/>
          <w:lang w:val="zh-CN"/>
        </w:rPr>
        <w:t>（</w:t>
      </w:r>
      <w:r>
        <w:t>5</w:t>
      </w:r>
      <w:r>
        <w:rPr>
          <w:rFonts w:hint="eastAsia"/>
          <w:lang w:val="zh-CN"/>
        </w:rPr>
        <w:t>）《国家危险废物名录</w:t>
      </w:r>
      <w:bookmarkStart w:id="44" w:name="_Hlk40358188"/>
      <w:r>
        <w:rPr>
          <w:rFonts w:hint="eastAsia"/>
          <w:lang w:val="zh-CN"/>
        </w:rPr>
        <w:t>（</w:t>
      </w:r>
      <w:r>
        <w:rPr>
          <w:rFonts w:hint="eastAsia"/>
        </w:rPr>
        <w:t>2021</w:t>
      </w:r>
      <w:r>
        <w:rPr>
          <w:rFonts w:hint="eastAsia"/>
          <w:lang w:val="zh-CN"/>
        </w:rPr>
        <w:t>年</w:t>
      </w:r>
      <w:r>
        <w:rPr>
          <w:rFonts w:hint="eastAsia"/>
        </w:rPr>
        <w:t>版</w:t>
      </w:r>
      <w:r>
        <w:rPr>
          <w:rFonts w:hint="eastAsia"/>
          <w:lang w:val="zh-CN"/>
        </w:rPr>
        <w:t>）</w:t>
      </w:r>
      <w:bookmarkEnd w:id="44"/>
      <w:r>
        <w:rPr>
          <w:rFonts w:hint="eastAsia"/>
          <w:lang w:val="zh-CN"/>
        </w:rPr>
        <w:t>》，</w:t>
      </w:r>
      <w:r>
        <w:rPr>
          <w:rFonts w:hint="eastAsia"/>
        </w:rPr>
        <w:t>生态环境部</w:t>
      </w:r>
      <w:r>
        <w:rPr>
          <w:rFonts w:hint="eastAsia"/>
          <w:lang w:val="zh-CN"/>
        </w:rPr>
        <w:t>令第1</w:t>
      </w:r>
      <w:r>
        <w:rPr>
          <w:rFonts w:hint="eastAsia"/>
        </w:rPr>
        <w:t>5</w:t>
      </w:r>
      <w:r>
        <w:rPr>
          <w:rFonts w:hint="eastAsia"/>
          <w:lang w:val="zh-CN"/>
        </w:rPr>
        <w:t>号，20</w:t>
      </w:r>
      <w:r>
        <w:rPr>
          <w:rFonts w:hint="eastAsia"/>
        </w:rPr>
        <w:t>21</w:t>
      </w:r>
      <w:r>
        <w:rPr>
          <w:rFonts w:hint="eastAsia"/>
          <w:lang w:val="zh-CN"/>
        </w:rPr>
        <w:t>年0</w:t>
      </w:r>
      <w:r>
        <w:rPr>
          <w:rFonts w:hint="eastAsia"/>
        </w:rPr>
        <w:t>1</w:t>
      </w:r>
      <w:r>
        <w:rPr>
          <w:rFonts w:hint="eastAsia"/>
          <w:lang w:val="zh-CN"/>
        </w:rPr>
        <w:t>月01日；</w:t>
      </w:r>
    </w:p>
    <w:p w14:paraId="483FF1A6">
      <w:pPr>
        <w:pStyle w:val="117"/>
        <w:ind w:firstLine="480"/>
        <w:rPr>
          <w:rFonts w:hint="eastAsia"/>
          <w:lang w:val="zh-CN"/>
        </w:rPr>
      </w:pPr>
      <w:r>
        <w:rPr>
          <w:rFonts w:hint="eastAsia"/>
          <w:lang w:val="zh-CN"/>
        </w:rPr>
        <w:t>（</w:t>
      </w:r>
      <w:r>
        <w:t>6</w:t>
      </w:r>
      <w:r>
        <w:rPr>
          <w:rFonts w:hint="eastAsia"/>
          <w:lang w:val="zh-CN"/>
        </w:rPr>
        <w:t>）《产业结构调整指导目录（2024年本）》，中华人民共和国国家发展和改革委员会令第7号，2024年02月01日；</w:t>
      </w:r>
    </w:p>
    <w:p w14:paraId="5826389B">
      <w:pPr>
        <w:pStyle w:val="117"/>
        <w:ind w:firstLine="480"/>
        <w:rPr>
          <w:rFonts w:hint="eastAsia"/>
          <w:lang w:val="zh-CN"/>
        </w:rPr>
      </w:pPr>
      <w:r>
        <w:rPr>
          <w:rFonts w:hint="eastAsia"/>
          <w:lang w:val="zh-CN"/>
        </w:rPr>
        <w:t>（</w:t>
      </w:r>
      <w:r>
        <w:t>7</w:t>
      </w:r>
      <w:r>
        <w:rPr>
          <w:rFonts w:hint="eastAsia"/>
          <w:lang w:val="zh-CN"/>
        </w:rPr>
        <w:t>）《石油天然气开采业污染防治技术政策》，2012年第18号，2012年03月07日；</w:t>
      </w:r>
    </w:p>
    <w:p w14:paraId="4D568134">
      <w:pPr>
        <w:pStyle w:val="117"/>
        <w:ind w:firstLine="480"/>
        <w:rPr>
          <w:rFonts w:hint="eastAsia"/>
          <w:lang w:val="zh-CN"/>
        </w:rPr>
      </w:pPr>
      <w:r>
        <w:rPr>
          <w:rFonts w:hint="eastAsia"/>
          <w:lang w:val="zh-CN"/>
        </w:rPr>
        <w:t>（</w:t>
      </w:r>
      <w:r>
        <w:t>8</w:t>
      </w:r>
      <w:r>
        <w:rPr>
          <w:rFonts w:hint="eastAsia"/>
          <w:lang w:val="zh-CN"/>
        </w:rPr>
        <w:t>）《陆上石油天然气开采业绿色矿山建设规范》，2018年10月01日；</w:t>
      </w:r>
    </w:p>
    <w:p w14:paraId="0AA77B24">
      <w:pPr>
        <w:pStyle w:val="117"/>
        <w:ind w:firstLine="480"/>
        <w:rPr>
          <w:rFonts w:hint="eastAsia"/>
          <w:lang w:val="zh-CN"/>
        </w:rPr>
      </w:pPr>
      <w:r>
        <w:rPr>
          <w:rFonts w:hint="eastAsia"/>
          <w:lang w:val="zh-CN"/>
        </w:rPr>
        <w:t>（</w:t>
      </w:r>
      <w:r>
        <w:t>9</w:t>
      </w:r>
      <w:r>
        <w:rPr>
          <w:rFonts w:hint="eastAsia"/>
          <w:lang w:val="zh-CN"/>
        </w:rPr>
        <w:t>）《关于进一步加强石油天然气行业环境影响评价管理的通知》，环办环评函</w:t>
      </w:r>
      <w:r>
        <w:rPr>
          <w:rFonts w:hint="eastAsia"/>
        </w:rPr>
        <w:t>〔2019〕</w:t>
      </w:r>
      <w:r>
        <w:rPr>
          <w:rFonts w:hint="eastAsia"/>
          <w:lang w:val="zh-CN"/>
        </w:rPr>
        <w:t>910号，2019年12月13日；</w:t>
      </w:r>
    </w:p>
    <w:p w14:paraId="562BBFFC">
      <w:pPr>
        <w:pStyle w:val="117"/>
        <w:ind w:firstLine="480"/>
        <w:rPr>
          <w:rFonts w:hint="eastAsia"/>
          <w:lang w:val="zh-CN"/>
        </w:rPr>
      </w:pPr>
      <w:r>
        <w:rPr>
          <w:rFonts w:hint="eastAsia"/>
          <w:lang w:val="zh-CN"/>
        </w:rPr>
        <w:t>（</w:t>
      </w:r>
      <w:r>
        <w:rPr>
          <w:rFonts w:hint="eastAsia"/>
        </w:rPr>
        <w:t>1</w:t>
      </w:r>
      <w:r>
        <w:t>0</w:t>
      </w:r>
      <w:r>
        <w:rPr>
          <w:rFonts w:hint="eastAsia"/>
          <w:lang w:val="zh-CN"/>
        </w:rPr>
        <w:t xml:space="preserve">）《国家重点保护野生植物名录》，国家林业和草原局 </w:t>
      </w:r>
      <w:r>
        <w:rPr>
          <w:rFonts w:hint="eastAsia"/>
          <w:lang w:val="en-US" w:eastAsia="zh-CN"/>
        </w:rPr>
        <w:t>农业农村</w:t>
      </w:r>
      <w:r>
        <w:rPr>
          <w:rFonts w:hint="eastAsia"/>
          <w:lang w:val="zh-CN"/>
        </w:rPr>
        <w:t>部公告2021年第15号，2021年09月07日；</w:t>
      </w:r>
    </w:p>
    <w:p w14:paraId="67711151">
      <w:pPr>
        <w:pStyle w:val="117"/>
        <w:ind w:firstLine="480"/>
        <w:rPr>
          <w:rFonts w:hint="eastAsia"/>
        </w:rPr>
      </w:pPr>
      <w:r>
        <w:rPr>
          <w:rFonts w:hint="eastAsia"/>
          <w:lang w:val="zh-CN"/>
        </w:rPr>
        <w:t>（1</w:t>
      </w:r>
      <w:r>
        <w:rPr>
          <w:lang w:val="zh-CN"/>
        </w:rPr>
        <w:t>1</w:t>
      </w:r>
      <w:r>
        <w:rPr>
          <w:rFonts w:hint="eastAsia"/>
          <w:lang w:val="zh-CN"/>
        </w:rPr>
        <w:t>）</w:t>
      </w:r>
      <w:r>
        <w:rPr>
          <w:rFonts w:hint="eastAsia"/>
        </w:rPr>
        <w:t xml:space="preserve">《国家重点保护野生动物名录》，国家林业和草原局 </w:t>
      </w:r>
      <w:r>
        <w:rPr>
          <w:rFonts w:hint="eastAsia"/>
          <w:lang w:val="en-US" w:eastAsia="zh-CN"/>
        </w:rPr>
        <w:t>农业农村</w:t>
      </w:r>
      <w:r>
        <w:rPr>
          <w:rFonts w:hint="eastAsia"/>
        </w:rPr>
        <w:t>部公告2021年第3号，2021年02月01日；</w:t>
      </w:r>
    </w:p>
    <w:p w14:paraId="77B24A68">
      <w:pPr>
        <w:pStyle w:val="117"/>
        <w:ind w:firstLine="480"/>
        <w:rPr>
          <w:rFonts w:hint="eastAsia"/>
          <w:lang w:val="zh-CN"/>
        </w:rPr>
      </w:pPr>
      <w:r>
        <w:rPr>
          <w:rFonts w:hint="eastAsia"/>
          <w:lang w:val="zh-CN"/>
        </w:rPr>
        <w:t>（</w:t>
      </w:r>
      <w:r>
        <w:rPr>
          <w:rFonts w:hint="eastAsia"/>
        </w:rPr>
        <w:t>1</w:t>
      </w:r>
      <w:r>
        <w:t>2</w:t>
      </w:r>
      <w:r>
        <w:rPr>
          <w:rFonts w:hint="eastAsia"/>
          <w:lang w:val="zh-CN"/>
        </w:rPr>
        <w:t>）《中华人民共和国野生植物保护条例》，国务院令第204号，2017年10月07日；</w:t>
      </w:r>
    </w:p>
    <w:p w14:paraId="0DDD6CE6">
      <w:pPr>
        <w:pStyle w:val="117"/>
        <w:ind w:firstLine="480"/>
        <w:rPr>
          <w:rFonts w:hint="eastAsia"/>
          <w:lang w:val="zh-CN"/>
        </w:rPr>
      </w:pPr>
      <w:r>
        <w:rPr>
          <w:rFonts w:hint="eastAsia"/>
          <w:lang w:val="zh-CN"/>
        </w:rPr>
        <w:t>（1</w:t>
      </w:r>
      <w:r>
        <w:rPr>
          <w:lang w:val="zh-CN"/>
        </w:rPr>
        <w:t>3</w:t>
      </w:r>
      <w:r>
        <w:rPr>
          <w:rFonts w:hint="eastAsia"/>
          <w:lang w:val="zh-CN"/>
        </w:rPr>
        <w:t>）《排污许可管理条例》，国务院令第7</w:t>
      </w:r>
      <w:r>
        <w:rPr>
          <w:lang w:val="zh-CN"/>
        </w:rPr>
        <w:t>36</w:t>
      </w:r>
      <w:r>
        <w:rPr>
          <w:rFonts w:hint="eastAsia"/>
          <w:lang w:val="zh-CN"/>
        </w:rPr>
        <w:t>号，2</w:t>
      </w:r>
      <w:r>
        <w:rPr>
          <w:lang w:val="zh-CN"/>
        </w:rPr>
        <w:t>021</w:t>
      </w:r>
      <w:r>
        <w:rPr>
          <w:rFonts w:hint="eastAsia"/>
          <w:lang w:val="zh-CN"/>
        </w:rPr>
        <w:t>年03月01日；</w:t>
      </w:r>
    </w:p>
    <w:p w14:paraId="02A76370">
      <w:pPr>
        <w:pStyle w:val="117"/>
        <w:ind w:firstLine="480"/>
        <w:rPr>
          <w:rFonts w:hint="eastAsia" w:cs="宋体"/>
          <w:kern w:val="0"/>
          <w:szCs w:val="21"/>
        </w:rPr>
      </w:pPr>
      <w:r>
        <w:rPr>
          <w:rFonts w:hint="eastAsia"/>
        </w:rPr>
        <w:t>（1</w:t>
      </w:r>
      <w:r>
        <w:t>4</w:t>
      </w:r>
      <w:r>
        <w:rPr>
          <w:rFonts w:hint="eastAsia"/>
        </w:rPr>
        <w:t>）</w:t>
      </w:r>
      <w:r>
        <w:rPr>
          <w:rFonts w:hint="eastAsia" w:cs="宋体"/>
          <w:kern w:val="0"/>
          <w:szCs w:val="21"/>
        </w:rPr>
        <w:t>《关于做好环境影响评价制度与排污许可制衔接相关工作的通知》（环办环评〔2017〕84号)，2017年11月14日；</w:t>
      </w:r>
    </w:p>
    <w:p w14:paraId="6A9E75C9">
      <w:pPr>
        <w:pStyle w:val="117"/>
        <w:ind w:firstLine="480"/>
        <w:rPr>
          <w:rFonts w:hint="eastAsia"/>
        </w:rPr>
      </w:pPr>
      <w:r>
        <w:rPr>
          <w:rFonts w:hint="eastAsia"/>
        </w:rPr>
        <w:t>（1</w:t>
      </w:r>
      <w:r>
        <w:t>5</w:t>
      </w:r>
      <w:r>
        <w:rPr>
          <w:rFonts w:hint="eastAsia"/>
        </w:rPr>
        <w:t>）《建设项目危险废物环境影响评价指南》（原环境保护部公告2017第43号)，2017年10月01日；</w:t>
      </w:r>
    </w:p>
    <w:p w14:paraId="5C197F67">
      <w:pPr>
        <w:pStyle w:val="117"/>
        <w:ind w:firstLine="480"/>
        <w:rPr>
          <w:rFonts w:hint="eastAsia"/>
        </w:rPr>
      </w:pPr>
      <w:r>
        <w:rPr>
          <w:rFonts w:hint="eastAsia"/>
        </w:rPr>
        <w:t>（1</w:t>
      </w:r>
      <w:r>
        <w:t>6</w:t>
      </w:r>
      <w:r>
        <w:rPr>
          <w:rFonts w:hint="eastAsia"/>
        </w:rPr>
        <w:t>）《关于以改善环境质量为核心加强环境影响评价管理的通知》（环环评〔2016〕150号)，2016年10月26日；</w:t>
      </w:r>
    </w:p>
    <w:p w14:paraId="59398C06">
      <w:pPr>
        <w:spacing w:line="500" w:lineRule="exact"/>
        <w:ind w:firstLine="480" w:firstLineChars="200"/>
        <w:rPr>
          <w:rFonts w:hint="eastAsia" w:ascii="宋体" w:hAnsi="宋体" w:cs="宋体"/>
          <w:sz w:val="24"/>
          <w:szCs w:val="24"/>
        </w:rPr>
      </w:pPr>
      <w:bookmarkStart w:id="45" w:name="_Hlk92217233"/>
      <w:r>
        <w:rPr>
          <w:rFonts w:hint="eastAsia" w:ascii="宋体" w:hAnsi="宋体" w:cs="宋体"/>
          <w:sz w:val="24"/>
          <w:szCs w:val="24"/>
        </w:rPr>
        <w:t>（</w:t>
      </w:r>
      <w:r>
        <w:rPr>
          <w:rFonts w:ascii="宋体" w:hAnsi="宋体" w:cs="宋体"/>
          <w:sz w:val="24"/>
          <w:szCs w:val="24"/>
        </w:rPr>
        <w:t>17</w:t>
      </w:r>
      <w:r>
        <w:rPr>
          <w:rFonts w:hint="eastAsia" w:ascii="宋体" w:hAnsi="宋体" w:cs="宋体"/>
          <w:sz w:val="24"/>
          <w:szCs w:val="24"/>
        </w:rPr>
        <w:t>）《危险废物转移管理办法》（生态环境部、公安部、交通运输部 部令第2</w:t>
      </w:r>
      <w:r>
        <w:rPr>
          <w:rFonts w:ascii="宋体" w:hAnsi="宋体" w:cs="宋体"/>
          <w:sz w:val="24"/>
          <w:szCs w:val="24"/>
        </w:rPr>
        <w:t>3</w:t>
      </w:r>
      <w:r>
        <w:rPr>
          <w:rFonts w:hint="eastAsia" w:ascii="宋体" w:hAnsi="宋体" w:cs="宋体"/>
          <w:sz w:val="24"/>
          <w:szCs w:val="24"/>
        </w:rPr>
        <w:t>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1</w:t>
      </w:r>
      <w:r>
        <w:rPr>
          <w:rFonts w:hint="eastAsia" w:ascii="宋体" w:hAnsi="宋体" w:cs="宋体"/>
          <w:sz w:val="24"/>
          <w:szCs w:val="24"/>
        </w:rPr>
        <w:t>月3</w:t>
      </w:r>
      <w:r>
        <w:rPr>
          <w:rFonts w:ascii="宋体" w:hAnsi="宋体" w:cs="宋体"/>
          <w:sz w:val="24"/>
          <w:szCs w:val="24"/>
        </w:rPr>
        <w:t>0</w:t>
      </w:r>
      <w:r>
        <w:rPr>
          <w:rFonts w:hint="eastAsia" w:ascii="宋体" w:hAnsi="宋体" w:cs="宋体"/>
          <w:sz w:val="24"/>
          <w:szCs w:val="24"/>
        </w:rPr>
        <w:t>日；</w:t>
      </w:r>
    </w:p>
    <w:p w14:paraId="0FBDBAD1">
      <w:pPr>
        <w:spacing w:line="500" w:lineRule="exact"/>
        <w:ind w:firstLine="480" w:firstLineChars="200"/>
        <w:rPr>
          <w:rFonts w:hint="eastAsia" w:ascii="宋体" w:hAnsi="宋体" w:cs="宋体"/>
          <w:sz w:val="24"/>
          <w:szCs w:val="24"/>
        </w:rPr>
      </w:pPr>
      <w:r>
        <w:rPr>
          <w:rFonts w:hint="eastAsia" w:ascii="宋体" w:hAnsi="宋体" w:cs="宋体"/>
          <w:sz w:val="24"/>
          <w:szCs w:val="24"/>
        </w:rPr>
        <w:t>（</w:t>
      </w:r>
      <w:r>
        <w:rPr>
          <w:rFonts w:ascii="宋体" w:hAnsi="宋体" w:cs="宋体"/>
          <w:sz w:val="24"/>
          <w:szCs w:val="24"/>
        </w:rPr>
        <w:t>18</w:t>
      </w:r>
      <w:r>
        <w:rPr>
          <w:rFonts w:hint="eastAsia" w:ascii="宋体" w:hAnsi="宋体" w:cs="宋体"/>
          <w:sz w:val="24"/>
          <w:szCs w:val="24"/>
        </w:rPr>
        <w:t>）《关于印发&lt;企业环境信息依法披露格式准则</w:t>
      </w:r>
      <w:r>
        <w:rPr>
          <w:rFonts w:ascii="宋体" w:hAnsi="宋体" w:cs="宋体"/>
          <w:sz w:val="24"/>
          <w:szCs w:val="24"/>
        </w:rPr>
        <w:t>&gt;</w:t>
      </w:r>
      <w:r>
        <w:rPr>
          <w:rFonts w:hint="eastAsia" w:ascii="宋体" w:hAnsi="宋体" w:cs="宋体"/>
          <w:sz w:val="24"/>
          <w:szCs w:val="24"/>
        </w:rPr>
        <w:t>的通知》（环办综合〔2021〕32号），2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2</w:t>
      </w:r>
      <w:r>
        <w:rPr>
          <w:rFonts w:hint="eastAsia" w:ascii="宋体" w:hAnsi="宋体" w:cs="宋体"/>
          <w:sz w:val="24"/>
          <w:szCs w:val="24"/>
        </w:rPr>
        <w:t>月3</w:t>
      </w:r>
      <w:r>
        <w:rPr>
          <w:rFonts w:ascii="宋体" w:hAnsi="宋体" w:cs="宋体"/>
          <w:sz w:val="24"/>
          <w:szCs w:val="24"/>
        </w:rPr>
        <w:t>1</w:t>
      </w:r>
      <w:r>
        <w:rPr>
          <w:rFonts w:hint="eastAsia" w:ascii="宋体" w:hAnsi="宋体" w:cs="宋体"/>
          <w:sz w:val="24"/>
          <w:szCs w:val="24"/>
        </w:rPr>
        <w:t>日；</w:t>
      </w:r>
    </w:p>
    <w:p w14:paraId="7CB4A855">
      <w:pPr>
        <w:spacing w:line="500" w:lineRule="exact"/>
        <w:ind w:firstLine="480" w:firstLineChars="200"/>
        <w:rPr>
          <w:rFonts w:hint="eastAsia" w:ascii="宋体" w:hAnsi="宋体" w:cs="宋体"/>
          <w:sz w:val="24"/>
          <w:szCs w:val="24"/>
        </w:rPr>
      </w:pPr>
      <w:r>
        <w:rPr>
          <w:rFonts w:hint="eastAsia" w:ascii="宋体" w:hAnsi="宋体" w:cs="宋体"/>
          <w:sz w:val="24"/>
          <w:szCs w:val="24"/>
        </w:rPr>
        <w:t>（1</w:t>
      </w:r>
      <w:r>
        <w:rPr>
          <w:rFonts w:ascii="宋体" w:hAnsi="宋体" w:cs="宋体"/>
          <w:sz w:val="24"/>
          <w:szCs w:val="24"/>
        </w:rPr>
        <w:t>9</w:t>
      </w:r>
      <w:r>
        <w:rPr>
          <w:rFonts w:hint="eastAsia" w:ascii="宋体" w:hAnsi="宋体" w:cs="宋体"/>
          <w:sz w:val="24"/>
          <w:szCs w:val="24"/>
        </w:rPr>
        <w:t>）《企业环境信息依法披露管理办法》（生态环境部 部令第2</w:t>
      </w:r>
      <w:r>
        <w:rPr>
          <w:rFonts w:ascii="宋体" w:hAnsi="宋体" w:cs="宋体"/>
          <w:sz w:val="24"/>
          <w:szCs w:val="24"/>
        </w:rPr>
        <w:t>4</w:t>
      </w:r>
      <w:r>
        <w:rPr>
          <w:rFonts w:hint="eastAsia" w:ascii="宋体" w:hAnsi="宋体" w:cs="宋体"/>
          <w:sz w:val="24"/>
          <w:szCs w:val="24"/>
        </w:rPr>
        <w:t>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2</w:t>
      </w:r>
      <w:r>
        <w:rPr>
          <w:rFonts w:hint="eastAsia" w:ascii="宋体" w:hAnsi="宋体" w:cs="宋体"/>
          <w:sz w:val="24"/>
          <w:szCs w:val="24"/>
        </w:rPr>
        <w:t>月2</w:t>
      </w:r>
      <w:r>
        <w:rPr>
          <w:rFonts w:ascii="宋体" w:hAnsi="宋体" w:cs="宋体"/>
          <w:sz w:val="24"/>
          <w:szCs w:val="24"/>
        </w:rPr>
        <w:t>1</w:t>
      </w:r>
      <w:r>
        <w:rPr>
          <w:rFonts w:hint="eastAsia" w:ascii="宋体" w:hAnsi="宋体" w:cs="宋体"/>
          <w:sz w:val="24"/>
          <w:szCs w:val="24"/>
        </w:rPr>
        <w:t>日；</w:t>
      </w:r>
    </w:p>
    <w:p w14:paraId="39AABEDD">
      <w:pPr>
        <w:spacing w:line="500" w:lineRule="exact"/>
        <w:ind w:firstLine="480" w:firstLineChars="200"/>
        <w:rPr>
          <w:rFonts w:hint="eastAsia" w:ascii="宋体" w:hAnsi="宋体" w:cs="宋体"/>
          <w:sz w:val="24"/>
          <w:szCs w:val="24"/>
        </w:rPr>
      </w:pPr>
      <w:r>
        <w:rPr>
          <w:rFonts w:hint="eastAsia" w:ascii="宋体" w:hAnsi="宋体" w:cs="宋体"/>
          <w:sz w:val="24"/>
          <w:szCs w:val="24"/>
        </w:rPr>
        <w:t>（</w:t>
      </w:r>
      <w:r>
        <w:rPr>
          <w:rFonts w:ascii="宋体" w:hAnsi="宋体" w:cs="宋体"/>
          <w:sz w:val="24"/>
          <w:szCs w:val="24"/>
        </w:rPr>
        <w:t>20</w:t>
      </w:r>
      <w:r>
        <w:rPr>
          <w:rFonts w:hint="eastAsia" w:ascii="宋体" w:hAnsi="宋体" w:cs="宋体"/>
          <w:sz w:val="24"/>
          <w:szCs w:val="24"/>
        </w:rPr>
        <w:t>）《关于印发&lt;“十四五”噪声污染防治行动计划</w:t>
      </w:r>
      <w:r>
        <w:rPr>
          <w:rFonts w:ascii="宋体" w:hAnsi="宋体" w:cs="宋体"/>
          <w:sz w:val="24"/>
          <w:szCs w:val="24"/>
        </w:rPr>
        <w:t>&gt;</w:t>
      </w:r>
      <w:r>
        <w:rPr>
          <w:rFonts w:hint="eastAsia" w:ascii="宋体" w:hAnsi="宋体" w:cs="宋体"/>
          <w:sz w:val="24"/>
          <w:szCs w:val="24"/>
        </w:rPr>
        <w:t>的通知》，（环大气〔202</w:t>
      </w:r>
      <w:r>
        <w:rPr>
          <w:rFonts w:ascii="宋体" w:hAnsi="宋体" w:cs="宋体"/>
          <w:sz w:val="24"/>
          <w:szCs w:val="24"/>
        </w:rPr>
        <w:t>3</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号）,</w:t>
      </w:r>
      <w:r>
        <w:rPr>
          <w:rFonts w:ascii="宋体" w:hAnsi="宋体" w:cs="宋体"/>
          <w:sz w:val="24"/>
          <w:szCs w:val="24"/>
        </w:rPr>
        <w:t>2023</w:t>
      </w:r>
      <w:r>
        <w:rPr>
          <w:rFonts w:hint="eastAsia" w:ascii="宋体" w:hAnsi="宋体" w:cs="宋体"/>
          <w:sz w:val="24"/>
          <w:szCs w:val="24"/>
        </w:rPr>
        <w:t>年0</w:t>
      </w:r>
      <w:r>
        <w:rPr>
          <w:rFonts w:ascii="宋体" w:hAnsi="宋体" w:cs="宋体"/>
          <w:sz w:val="24"/>
          <w:szCs w:val="24"/>
        </w:rPr>
        <w:t>1</w:t>
      </w:r>
      <w:r>
        <w:rPr>
          <w:rFonts w:hint="eastAsia" w:ascii="宋体" w:hAnsi="宋体" w:cs="宋体"/>
          <w:sz w:val="24"/>
          <w:szCs w:val="24"/>
        </w:rPr>
        <w:t>月0</w:t>
      </w:r>
      <w:r>
        <w:rPr>
          <w:rFonts w:ascii="宋体" w:hAnsi="宋体" w:cs="宋体"/>
          <w:sz w:val="24"/>
          <w:szCs w:val="24"/>
        </w:rPr>
        <w:t>3</w:t>
      </w:r>
      <w:r>
        <w:rPr>
          <w:rFonts w:hint="eastAsia" w:ascii="宋体" w:hAnsi="宋体" w:cs="宋体"/>
          <w:sz w:val="24"/>
          <w:szCs w:val="24"/>
        </w:rPr>
        <w:t>日；</w:t>
      </w:r>
    </w:p>
    <w:p w14:paraId="24B023F5">
      <w:pPr>
        <w:spacing w:line="500" w:lineRule="exact"/>
        <w:ind w:firstLine="480" w:firstLineChars="200"/>
        <w:rPr>
          <w:rFonts w:hint="eastAsia" w:ascii="宋体" w:hAnsi="宋体" w:cs="宋体"/>
          <w:sz w:val="24"/>
          <w:szCs w:val="24"/>
        </w:rPr>
      </w:pPr>
      <w:r>
        <w:rPr>
          <w:rFonts w:hint="eastAsia" w:ascii="宋体" w:hAnsi="宋体" w:cs="宋体"/>
          <w:sz w:val="24"/>
          <w:szCs w:val="24"/>
        </w:rPr>
        <w:t>（2</w:t>
      </w:r>
      <w:r>
        <w:rPr>
          <w:rFonts w:ascii="宋体" w:hAnsi="宋体" w:cs="宋体"/>
          <w:sz w:val="24"/>
          <w:szCs w:val="24"/>
        </w:rPr>
        <w:t>1</w:t>
      </w:r>
      <w:r>
        <w:rPr>
          <w:rFonts w:hint="eastAsia" w:ascii="宋体" w:hAnsi="宋体" w:cs="宋体"/>
          <w:sz w:val="24"/>
          <w:szCs w:val="24"/>
        </w:rPr>
        <w:t>）《地下水管理条例》（国务院令第7</w:t>
      </w:r>
      <w:r>
        <w:rPr>
          <w:rFonts w:ascii="宋体" w:hAnsi="宋体" w:cs="宋体"/>
          <w:sz w:val="24"/>
          <w:szCs w:val="24"/>
        </w:rPr>
        <w:t>48</w:t>
      </w:r>
      <w:r>
        <w:rPr>
          <w:rFonts w:hint="eastAsia" w:ascii="宋体" w:hAnsi="宋体" w:cs="宋体"/>
          <w:sz w:val="24"/>
          <w:szCs w:val="24"/>
        </w:rPr>
        <w:t>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0</w:t>
      </w:r>
      <w:r>
        <w:rPr>
          <w:rFonts w:hint="eastAsia" w:ascii="宋体" w:hAnsi="宋体" w:cs="宋体"/>
          <w:sz w:val="24"/>
          <w:szCs w:val="24"/>
        </w:rPr>
        <w:t>月2</w:t>
      </w:r>
      <w:r>
        <w:rPr>
          <w:rFonts w:ascii="宋体" w:hAnsi="宋体" w:cs="宋体"/>
          <w:sz w:val="24"/>
          <w:szCs w:val="24"/>
        </w:rPr>
        <w:t>1</w:t>
      </w:r>
      <w:r>
        <w:rPr>
          <w:rFonts w:hint="eastAsia" w:ascii="宋体" w:hAnsi="宋体" w:cs="宋体"/>
          <w:sz w:val="24"/>
          <w:szCs w:val="24"/>
        </w:rPr>
        <w:t>日；</w:t>
      </w:r>
    </w:p>
    <w:p w14:paraId="2E128C27">
      <w:pPr>
        <w:spacing w:line="500" w:lineRule="exact"/>
        <w:ind w:firstLine="480" w:firstLineChars="200"/>
        <w:rPr>
          <w:rFonts w:hint="eastAsia" w:ascii="宋体" w:hAnsi="宋体" w:cs="宋体"/>
          <w:sz w:val="24"/>
          <w:szCs w:val="24"/>
        </w:rPr>
      </w:pPr>
      <w:r>
        <w:rPr>
          <w:rFonts w:hint="eastAsia" w:ascii="宋体" w:hAnsi="宋体" w:cs="宋体"/>
          <w:sz w:val="24"/>
          <w:szCs w:val="24"/>
        </w:rPr>
        <w:t>（22）《关于发布&lt;一般工业固体废物管理台账制定指南（试行）</w:t>
      </w:r>
      <w:r>
        <w:rPr>
          <w:rFonts w:ascii="宋体" w:hAnsi="宋体" w:cs="宋体"/>
          <w:sz w:val="24"/>
          <w:szCs w:val="24"/>
        </w:rPr>
        <w:t>&gt;</w:t>
      </w:r>
      <w:r>
        <w:rPr>
          <w:rFonts w:hint="eastAsia" w:ascii="宋体" w:hAnsi="宋体" w:cs="宋体"/>
          <w:sz w:val="24"/>
          <w:szCs w:val="24"/>
        </w:rPr>
        <w:t>的公告》（生态环境部公告</w:t>
      </w:r>
      <w:r>
        <w:rPr>
          <w:rFonts w:ascii="宋体" w:hAnsi="宋体" w:cs="宋体"/>
          <w:sz w:val="24"/>
          <w:szCs w:val="24"/>
        </w:rPr>
        <w:t>2021</w:t>
      </w:r>
      <w:r>
        <w:rPr>
          <w:rFonts w:hint="eastAsia" w:ascii="宋体" w:hAnsi="宋体" w:cs="宋体"/>
          <w:sz w:val="24"/>
          <w:szCs w:val="24"/>
        </w:rPr>
        <w:t>年第8</w:t>
      </w:r>
      <w:r>
        <w:rPr>
          <w:rFonts w:ascii="宋体" w:hAnsi="宋体" w:cs="宋体"/>
          <w:sz w:val="24"/>
          <w:szCs w:val="24"/>
        </w:rPr>
        <w:t>2</w:t>
      </w:r>
      <w:r>
        <w:rPr>
          <w:rFonts w:hint="eastAsia" w:ascii="宋体" w:hAnsi="宋体" w:cs="宋体"/>
          <w:sz w:val="24"/>
          <w:szCs w:val="24"/>
        </w:rPr>
        <w:t>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2</w:t>
      </w:r>
      <w:r>
        <w:rPr>
          <w:rFonts w:hint="eastAsia" w:ascii="宋体" w:hAnsi="宋体" w:cs="宋体"/>
          <w:sz w:val="24"/>
          <w:szCs w:val="24"/>
        </w:rPr>
        <w:t>月3</w:t>
      </w:r>
      <w:r>
        <w:rPr>
          <w:rFonts w:ascii="宋体" w:hAnsi="宋体" w:cs="宋体"/>
          <w:sz w:val="24"/>
          <w:szCs w:val="24"/>
        </w:rPr>
        <w:t>1</w:t>
      </w:r>
      <w:r>
        <w:rPr>
          <w:rFonts w:hint="eastAsia" w:ascii="宋体" w:hAnsi="宋体" w:cs="宋体"/>
          <w:sz w:val="24"/>
          <w:szCs w:val="24"/>
        </w:rPr>
        <w:t>日；</w:t>
      </w:r>
    </w:p>
    <w:p w14:paraId="18977655">
      <w:pPr>
        <w:spacing w:line="500" w:lineRule="exact"/>
        <w:ind w:firstLine="480" w:firstLineChars="200"/>
        <w:rPr>
          <w:rFonts w:hint="eastAsia" w:ascii="宋体" w:hAnsi="宋体" w:cs="宋体"/>
          <w:sz w:val="24"/>
          <w:szCs w:val="24"/>
        </w:rPr>
      </w:pPr>
      <w:r>
        <w:rPr>
          <w:rFonts w:hint="eastAsia" w:ascii="宋体" w:hAnsi="宋体" w:cs="宋体"/>
          <w:sz w:val="24"/>
          <w:szCs w:val="24"/>
        </w:rPr>
        <w:t>（23）《危险废物环境管理指南 陆上石油天然气开采》，生态环境部公告，2</w:t>
      </w:r>
      <w:r>
        <w:rPr>
          <w:rFonts w:ascii="宋体" w:hAnsi="宋体" w:cs="宋体"/>
          <w:sz w:val="24"/>
          <w:szCs w:val="24"/>
        </w:rPr>
        <w:t>021</w:t>
      </w:r>
      <w:r>
        <w:rPr>
          <w:rFonts w:hint="eastAsia" w:ascii="宋体" w:hAnsi="宋体" w:cs="宋体"/>
          <w:sz w:val="24"/>
          <w:szCs w:val="24"/>
        </w:rPr>
        <w:t>年第7</w:t>
      </w:r>
      <w:r>
        <w:rPr>
          <w:rFonts w:ascii="宋体" w:hAnsi="宋体" w:cs="宋体"/>
          <w:sz w:val="24"/>
          <w:szCs w:val="24"/>
        </w:rPr>
        <w:t>4</w:t>
      </w:r>
      <w:r>
        <w:rPr>
          <w:rFonts w:hint="eastAsia" w:ascii="宋体" w:hAnsi="宋体" w:cs="宋体"/>
          <w:sz w:val="24"/>
          <w:szCs w:val="24"/>
        </w:rPr>
        <w:t>号，2</w:t>
      </w:r>
      <w:r>
        <w:rPr>
          <w:rFonts w:ascii="宋体" w:hAnsi="宋体" w:cs="宋体"/>
          <w:sz w:val="24"/>
          <w:szCs w:val="24"/>
        </w:rPr>
        <w:t>021</w:t>
      </w:r>
      <w:r>
        <w:rPr>
          <w:rFonts w:hint="eastAsia" w:ascii="宋体" w:hAnsi="宋体" w:cs="宋体"/>
          <w:sz w:val="24"/>
          <w:szCs w:val="24"/>
        </w:rPr>
        <w:t>年1</w:t>
      </w:r>
      <w:r>
        <w:rPr>
          <w:rFonts w:ascii="宋体" w:hAnsi="宋体" w:cs="宋体"/>
          <w:sz w:val="24"/>
          <w:szCs w:val="24"/>
        </w:rPr>
        <w:t>2</w:t>
      </w:r>
      <w:r>
        <w:rPr>
          <w:rFonts w:hint="eastAsia" w:ascii="宋体" w:hAnsi="宋体" w:cs="宋体"/>
          <w:sz w:val="24"/>
          <w:szCs w:val="24"/>
        </w:rPr>
        <w:t>月2</w:t>
      </w:r>
      <w:r>
        <w:rPr>
          <w:rFonts w:ascii="宋体" w:hAnsi="宋体" w:cs="宋体"/>
          <w:sz w:val="24"/>
          <w:szCs w:val="24"/>
        </w:rPr>
        <w:t>2</w:t>
      </w:r>
      <w:r>
        <w:rPr>
          <w:rFonts w:hint="eastAsia" w:ascii="宋体" w:hAnsi="宋体" w:cs="宋体"/>
          <w:sz w:val="24"/>
          <w:szCs w:val="24"/>
        </w:rPr>
        <w:t>日；</w:t>
      </w:r>
    </w:p>
    <w:p w14:paraId="05A35D45">
      <w:pPr>
        <w:spacing w:line="500" w:lineRule="exact"/>
        <w:ind w:firstLine="480" w:firstLineChars="200"/>
        <w:rPr>
          <w:rFonts w:hint="eastAsia" w:ascii="宋体" w:hAnsi="宋体" w:cs="宋体"/>
          <w:sz w:val="24"/>
          <w:szCs w:val="24"/>
        </w:rPr>
      </w:pPr>
      <w:r>
        <w:rPr>
          <w:rFonts w:hint="eastAsia" w:ascii="宋体" w:hAnsi="宋体" w:cs="宋体"/>
          <w:sz w:val="24"/>
          <w:szCs w:val="24"/>
        </w:rPr>
        <w:t>（24）《中国石油天然气生产企业温室气体排放核算方法与报告指南（试行）》，发改办气候〔2014〕2920号，2014年12月03日；</w:t>
      </w:r>
    </w:p>
    <w:p w14:paraId="673DD0FE">
      <w:pPr>
        <w:spacing w:line="500" w:lineRule="exact"/>
        <w:ind w:firstLine="480" w:firstLineChars="200"/>
        <w:rPr>
          <w:rFonts w:hint="eastAsia" w:ascii="宋体" w:hAnsi="宋体" w:cs="宋体"/>
          <w:sz w:val="24"/>
          <w:szCs w:val="24"/>
        </w:rPr>
      </w:pPr>
      <w:r>
        <w:rPr>
          <w:rFonts w:hint="eastAsia" w:ascii="宋体" w:hAnsi="宋体" w:cs="宋体"/>
          <w:sz w:val="24"/>
          <w:szCs w:val="24"/>
        </w:rPr>
        <w:t>（25）《石油天然气开采企业二氧化碳排放计算方法》，2017年05年01日。</w:t>
      </w:r>
    </w:p>
    <w:bookmarkEnd w:id="45"/>
    <w:p w14:paraId="6668F308">
      <w:pPr>
        <w:pStyle w:val="4"/>
        <w:rPr>
          <w:rFonts w:hint="eastAsia"/>
        </w:rPr>
      </w:pPr>
      <w:r>
        <w:rPr>
          <w:rFonts w:hint="eastAsia"/>
        </w:rPr>
        <w:t>地方有关</w:t>
      </w:r>
      <w:bookmarkStart w:id="46" w:name="_Hlk40731711"/>
      <w:r>
        <w:rPr>
          <w:rFonts w:hint="eastAsia"/>
        </w:rPr>
        <w:t>环保法规</w:t>
      </w:r>
    </w:p>
    <w:bookmarkEnd w:id="41"/>
    <w:bookmarkEnd w:id="46"/>
    <w:p w14:paraId="2C40959D">
      <w:pPr>
        <w:pStyle w:val="117"/>
        <w:ind w:firstLine="480"/>
        <w:rPr>
          <w:rFonts w:hint="eastAsia"/>
          <w:lang w:val="zh-CN"/>
        </w:rPr>
      </w:pPr>
      <w:bookmarkStart w:id="47" w:name="_Toc445996322"/>
      <w:bookmarkStart w:id="48" w:name="_Toc445841959"/>
      <w:bookmarkStart w:id="49" w:name="_Toc10413"/>
      <w:r>
        <w:rPr>
          <w:rFonts w:hint="eastAsia"/>
          <w:lang w:val="zh-CN"/>
        </w:rPr>
        <w:t>（</w:t>
      </w:r>
      <w:r>
        <w:rPr>
          <w:rFonts w:hint="eastAsia"/>
        </w:rPr>
        <w:t>1</w:t>
      </w:r>
      <w:r>
        <w:rPr>
          <w:rFonts w:hint="eastAsia"/>
          <w:lang w:val="zh-CN"/>
        </w:rPr>
        <w:t>）《新疆维吾尔自治区环境保护条例》（修订），2018年09月21日；</w:t>
      </w:r>
    </w:p>
    <w:p w14:paraId="44B87A9B">
      <w:pPr>
        <w:pStyle w:val="117"/>
        <w:ind w:firstLine="480"/>
        <w:rPr>
          <w:rFonts w:hint="eastAsia"/>
          <w:lang w:val="zh-CN"/>
        </w:rPr>
      </w:pPr>
      <w:r>
        <w:rPr>
          <w:rFonts w:hint="eastAsia"/>
          <w:lang w:val="zh-CN"/>
        </w:rPr>
        <w:t>（</w:t>
      </w:r>
      <w:r>
        <w:rPr>
          <w:rFonts w:hint="eastAsia"/>
        </w:rPr>
        <w:t>2</w:t>
      </w:r>
      <w:r>
        <w:rPr>
          <w:rFonts w:hint="eastAsia"/>
          <w:lang w:val="zh-CN"/>
        </w:rPr>
        <w:t>）《新疆维吾尔自治区大气污染防治条例》，2019年01月01日；</w:t>
      </w:r>
    </w:p>
    <w:p w14:paraId="3E2E4F76">
      <w:pPr>
        <w:pStyle w:val="117"/>
        <w:ind w:firstLine="480"/>
        <w:rPr>
          <w:rFonts w:hint="eastAsia"/>
          <w:lang w:val="zh-CN"/>
        </w:rPr>
      </w:pPr>
      <w:r>
        <w:rPr>
          <w:rFonts w:hint="eastAsia"/>
          <w:lang w:val="zh-CN"/>
        </w:rPr>
        <w:t>（3）《新疆维吾尔自治区煤炭石油天然气开发环境保护条例》（2018年修订），2018年09月21日；</w:t>
      </w:r>
    </w:p>
    <w:p w14:paraId="11AB27DB">
      <w:pPr>
        <w:pStyle w:val="117"/>
        <w:ind w:firstLine="480"/>
        <w:rPr>
          <w:rFonts w:hint="eastAsia"/>
          <w:lang w:val="zh-CN"/>
        </w:rPr>
      </w:pPr>
      <w:r>
        <w:rPr>
          <w:rFonts w:hint="eastAsia"/>
          <w:lang w:val="zh-CN"/>
        </w:rPr>
        <w:t>（4）《新疆生态功能区划》，2005年07月14日；</w:t>
      </w:r>
    </w:p>
    <w:p w14:paraId="6E24B9B3">
      <w:pPr>
        <w:pStyle w:val="117"/>
        <w:ind w:firstLine="480"/>
        <w:rPr>
          <w:rFonts w:hint="eastAsia"/>
          <w:lang w:val="zh-CN"/>
        </w:rPr>
      </w:pPr>
      <w:r>
        <w:rPr>
          <w:rFonts w:hint="eastAsia"/>
          <w:lang w:val="zh-CN"/>
        </w:rPr>
        <w:t>（5）《新疆维吾尔自治区水环境功能区划》，2002年12月。</w:t>
      </w:r>
    </w:p>
    <w:p w14:paraId="42105D2D">
      <w:pPr>
        <w:pStyle w:val="117"/>
        <w:ind w:firstLine="480"/>
        <w:rPr>
          <w:rFonts w:hint="eastAsia"/>
          <w:lang w:val="zh-CN"/>
        </w:rPr>
      </w:pPr>
      <w:r>
        <w:rPr>
          <w:rFonts w:hint="eastAsia"/>
          <w:lang w:val="zh-CN"/>
        </w:rPr>
        <w:t>（6）《新疆维吾尔自治区野生植物保护条例(2018年修正)》，2018年09月21日；</w:t>
      </w:r>
    </w:p>
    <w:p w14:paraId="11F4EA43">
      <w:pPr>
        <w:pStyle w:val="117"/>
        <w:ind w:firstLine="480"/>
        <w:rPr>
          <w:rFonts w:hint="eastAsia"/>
          <w:lang w:val="zh-CN"/>
        </w:rPr>
      </w:pPr>
      <w:r>
        <w:rPr>
          <w:rFonts w:hint="eastAsia"/>
          <w:lang w:val="zh-CN"/>
        </w:rPr>
        <w:t>（</w:t>
      </w:r>
      <w:r>
        <w:rPr>
          <w:lang w:val="zh-CN"/>
        </w:rPr>
        <w:t>7</w:t>
      </w:r>
      <w:r>
        <w:rPr>
          <w:rFonts w:hint="eastAsia"/>
          <w:lang w:val="zh-CN"/>
        </w:rPr>
        <w:t>）</w:t>
      </w:r>
      <w:bookmarkStart w:id="50" w:name="_Hlk92217239"/>
      <w:r>
        <w:rPr>
          <w:rFonts w:hint="eastAsia"/>
          <w:lang w:val="zh-CN"/>
        </w:rPr>
        <w:t>《</w:t>
      </w:r>
      <w:r>
        <w:rPr>
          <w:lang w:val="zh-CN"/>
        </w:rPr>
        <w:t>转发</w:t>
      </w:r>
      <w:r>
        <w:rPr>
          <w:rFonts w:hint="eastAsia"/>
          <w:lang w:val="zh-CN"/>
        </w:rPr>
        <w:t>〈</w:t>
      </w:r>
      <w:r>
        <w:rPr>
          <w:lang w:val="zh-CN"/>
        </w:rPr>
        <w:t>关于进一步加强石油天然气行业环境影响评价的通知</w:t>
      </w:r>
      <w:r>
        <w:rPr>
          <w:rFonts w:hint="eastAsia"/>
          <w:lang w:val="zh-CN"/>
        </w:rPr>
        <w:t>〉</w:t>
      </w:r>
      <w:r>
        <w:rPr>
          <w:lang w:val="zh-CN"/>
        </w:rPr>
        <w:t>的通知</w:t>
      </w:r>
      <w:r>
        <w:rPr>
          <w:rFonts w:hint="eastAsia"/>
          <w:lang w:val="zh-CN"/>
        </w:rPr>
        <w:t>》（</w:t>
      </w:r>
      <w:r>
        <w:rPr>
          <w:lang w:val="zh-CN"/>
        </w:rPr>
        <w:t>新环环评发〔2020〕142号</w:t>
      </w:r>
      <w:r>
        <w:rPr>
          <w:rFonts w:hint="eastAsia"/>
          <w:lang w:val="zh-CN"/>
        </w:rPr>
        <w:t>）,2020年07月30日；</w:t>
      </w:r>
    </w:p>
    <w:bookmarkEnd w:id="50"/>
    <w:p w14:paraId="7BCBC4E8">
      <w:pPr>
        <w:pStyle w:val="117"/>
        <w:ind w:firstLine="480"/>
        <w:rPr>
          <w:rFonts w:hint="eastAsia"/>
          <w:lang w:val="zh-CN"/>
        </w:rPr>
      </w:pPr>
      <w:r>
        <w:rPr>
          <w:rFonts w:hint="eastAsia"/>
          <w:lang w:val="zh-CN"/>
        </w:rPr>
        <w:t>（</w:t>
      </w:r>
      <w:r>
        <w:rPr>
          <w:lang w:val="zh-CN"/>
        </w:rPr>
        <w:t>8</w:t>
      </w:r>
      <w:r>
        <w:rPr>
          <w:rFonts w:hint="eastAsia"/>
          <w:lang w:val="zh-CN"/>
        </w:rPr>
        <w:t>）</w:t>
      </w:r>
      <w:r>
        <w:rPr>
          <w:lang w:val="zh-CN"/>
        </w:rPr>
        <w:t>《新疆维吾尔自治区水土保持规划（2018-2030年）》，2018年</w:t>
      </w:r>
      <w:r>
        <w:rPr>
          <w:rFonts w:hint="eastAsia"/>
          <w:lang w:val="zh-CN"/>
        </w:rPr>
        <w:t>0</w:t>
      </w:r>
      <w:r>
        <w:rPr>
          <w:lang w:val="zh-CN"/>
        </w:rPr>
        <w:t>8月；</w:t>
      </w:r>
      <w:r>
        <w:rPr>
          <w:rFonts w:hint="eastAsia"/>
          <w:lang w:val="zh-CN"/>
        </w:rPr>
        <w:t xml:space="preserve"> </w:t>
      </w:r>
    </w:p>
    <w:p w14:paraId="11F307A7">
      <w:pPr>
        <w:pStyle w:val="117"/>
        <w:ind w:firstLine="480"/>
        <w:rPr>
          <w:rFonts w:hint="eastAsia"/>
          <w:lang w:val="zh-CN"/>
        </w:rPr>
      </w:pPr>
      <w:r>
        <w:rPr>
          <w:rFonts w:hint="eastAsia"/>
          <w:lang w:val="zh-CN"/>
        </w:rPr>
        <w:t>（9）《关于加强沙区建设项目环境影响评价工作的通知》（新环环评发〔2</w:t>
      </w:r>
      <w:r>
        <w:rPr>
          <w:lang w:val="zh-CN"/>
        </w:rPr>
        <w:t>020</w:t>
      </w:r>
      <w:r>
        <w:rPr>
          <w:rFonts w:hint="eastAsia"/>
          <w:lang w:val="zh-CN"/>
        </w:rPr>
        <w:t>〕1</w:t>
      </w:r>
      <w:r>
        <w:rPr>
          <w:lang w:val="zh-CN"/>
        </w:rPr>
        <w:t>38</w:t>
      </w:r>
      <w:r>
        <w:rPr>
          <w:rFonts w:hint="eastAsia"/>
          <w:lang w:val="zh-CN"/>
        </w:rPr>
        <w:t>号），2020年09月04日；</w:t>
      </w:r>
    </w:p>
    <w:p w14:paraId="04912A84">
      <w:pPr>
        <w:pStyle w:val="117"/>
        <w:ind w:firstLine="480"/>
        <w:rPr>
          <w:rFonts w:hint="eastAsia"/>
          <w:lang w:val="zh-CN"/>
        </w:rPr>
      </w:pPr>
      <w:r>
        <w:rPr>
          <w:rFonts w:hint="eastAsia"/>
          <w:lang w:val="zh-CN"/>
        </w:rPr>
        <w:t>（10）</w:t>
      </w:r>
      <w:r>
        <w:rPr>
          <w:lang w:val="zh-CN"/>
        </w:rPr>
        <w:t>《新疆</w:t>
      </w:r>
      <w:r>
        <w:rPr>
          <w:rFonts w:hint="eastAsia"/>
          <w:lang w:val="zh-CN"/>
        </w:rPr>
        <w:t>维吾尔自治区</w:t>
      </w:r>
      <w:r>
        <w:rPr>
          <w:lang w:val="zh-CN"/>
        </w:rPr>
        <w:t>国家重点保护野生动物名录</w:t>
      </w:r>
      <w:r>
        <w:rPr>
          <w:rFonts w:hint="eastAsia"/>
          <w:lang w:val="zh-CN"/>
        </w:rPr>
        <w:t>（修订）</w:t>
      </w:r>
      <w:r>
        <w:rPr>
          <w:lang w:val="zh-CN"/>
        </w:rPr>
        <w:t>》，2022年</w:t>
      </w:r>
      <w:r>
        <w:rPr>
          <w:rFonts w:hint="eastAsia"/>
          <w:lang w:val="zh-CN"/>
        </w:rPr>
        <w:t>0</w:t>
      </w:r>
      <w:r>
        <w:rPr>
          <w:lang w:val="zh-CN"/>
        </w:rPr>
        <w:t>9月21日</w:t>
      </w:r>
      <w:r>
        <w:rPr>
          <w:rFonts w:hint="eastAsia"/>
          <w:lang w:val="zh-CN"/>
        </w:rPr>
        <w:t>；</w:t>
      </w:r>
    </w:p>
    <w:p w14:paraId="5018B124">
      <w:pPr>
        <w:pStyle w:val="117"/>
        <w:ind w:firstLine="480"/>
        <w:rPr>
          <w:rFonts w:hint="eastAsia"/>
          <w:lang w:val="zh-CN"/>
        </w:rPr>
      </w:pPr>
      <w:r>
        <w:rPr>
          <w:rFonts w:hint="eastAsia"/>
          <w:lang w:val="zh-CN"/>
        </w:rPr>
        <w:t>（11）《新疆维吾尔自治区重点保护野生植物名录》，2024年01月18日；</w:t>
      </w:r>
    </w:p>
    <w:p w14:paraId="5E508BD7">
      <w:pPr>
        <w:pStyle w:val="117"/>
        <w:ind w:firstLine="480"/>
        <w:rPr>
          <w:rFonts w:hint="eastAsia"/>
          <w:lang w:val="zh-CN"/>
        </w:rPr>
      </w:pPr>
      <w:r>
        <w:rPr>
          <w:rFonts w:hint="eastAsia"/>
          <w:lang w:val="zh-CN"/>
        </w:rPr>
        <w:t>（12）《新疆国家重点保护野生植物名录》，2</w:t>
      </w:r>
      <w:r>
        <w:rPr>
          <w:lang w:val="zh-CN"/>
        </w:rPr>
        <w:t>022</w:t>
      </w:r>
      <w:r>
        <w:rPr>
          <w:rFonts w:hint="eastAsia"/>
          <w:lang w:val="zh-CN"/>
        </w:rPr>
        <w:t>年0</w:t>
      </w:r>
      <w:r>
        <w:rPr>
          <w:lang w:val="zh-CN"/>
        </w:rPr>
        <w:t>3</w:t>
      </w:r>
      <w:r>
        <w:rPr>
          <w:rFonts w:hint="eastAsia"/>
          <w:lang w:val="zh-CN"/>
        </w:rPr>
        <w:t>月0</w:t>
      </w:r>
      <w:r>
        <w:rPr>
          <w:lang w:val="zh-CN"/>
        </w:rPr>
        <w:t>8</w:t>
      </w:r>
      <w:r>
        <w:rPr>
          <w:rFonts w:hint="eastAsia"/>
          <w:lang w:val="zh-CN"/>
        </w:rPr>
        <w:t>日；</w:t>
      </w:r>
    </w:p>
    <w:p w14:paraId="1D7920AE">
      <w:pPr>
        <w:pStyle w:val="117"/>
        <w:ind w:firstLine="480"/>
        <w:rPr>
          <w:rFonts w:hint="eastAsia"/>
          <w:lang w:val="zh-CN"/>
        </w:rPr>
      </w:pPr>
      <w:r>
        <w:rPr>
          <w:rFonts w:hint="eastAsia"/>
          <w:lang w:val="zh-CN"/>
        </w:rPr>
        <w:t>（1</w:t>
      </w:r>
      <w:r>
        <w:rPr>
          <w:lang w:val="zh-CN"/>
        </w:rPr>
        <w:t>2</w:t>
      </w:r>
      <w:r>
        <w:rPr>
          <w:rFonts w:hint="eastAsia"/>
          <w:lang w:val="zh-CN"/>
        </w:rPr>
        <w:t>）《关于印发自治区级水土流失重点预防区和重点治理区复核划分成果的通知》（新水〔2</w:t>
      </w:r>
      <w:r>
        <w:rPr>
          <w:lang w:val="zh-CN"/>
        </w:rPr>
        <w:t>019</w:t>
      </w:r>
      <w:r>
        <w:rPr>
          <w:rFonts w:hint="eastAsia"/>
          <w:lang w:val="zh-CN"/>
        </w:rPr>
        <w:t>〕</w:t>
      </w:r>
      <w:r>
        <w:rPr>
          <w:lang w:val="zh-CN"/>
        </w:rPr>
        <w:t>4</w:t>
      </w:r>
      <w:r>
        <w:rPr>
          <w:rFonts w:hint="eastAsia"/>
          <w:lang w:val="zh-CN"/>
        </w:rPr>
        <w:t>号）；</w:t>
      </w:r>
    </w:p>
    <w:p w14:paraId="07C2FED9">
      <w:pPr>
        <w:pStyle w:val="117"/>
        <w:ind w:firstLine="480"/>
        <w:rPr>
          <w:rFonts w:hint="eastAsia"/>
          <w:lang w:val="zh-CN"/>
        </w:rPr>
      </w:pPr>
      <w:r>
        <w:rPr>
          <w:rFonts w:hint="eastAsia"/>
          <w:lang w:val="zh-CN"/>
        </w:rPr>
        <w:t>（13）《新疆维吾尔自治区国民经济和社会发展第十四个五年规划和2035年远景目标纲要》，2021年02月05日；</w:t>
      </w:r>
    </w:p>
    <w:p w14:paraId="5EB7734B">
      <w:pPr>
        <w:pStyle w:val="117"/>
        <w:ind w:firstLine="480"/>
        <w:rPr>
          <w:rFonts w:hint="eastAsia"/>
          <w:lang w:val="zh-CN"/>
        </w:rPr>
      </w:pPr>
      <w:r>
        <w:rPr>
          <w:rFonts w:hint="eastAsia"/>
          <w:lang w:val="zh-CN"/>
        </w:rPr>
        <w:t>（14）</w:t>
      </w:r>
      <w:bookmarkStart w:id="51" w:name="OLE_LINK278"/>
      <w:r>
        <w:rPr>
          <w:rFonts w:hint="eastAsia"/>
          <w:lang w:val="zh-CN"/>
        </w:rPr>
        <w:t>《新疆生产建设兵团国民经济和社会发展第十四个五年规划和二〇三五年远景目标纲要》</w:t>
      </w:r>
      <w:bookmarkEnd w:id="51"/>
      <w:r>
        <w:rPr>
          <w:rFonts w:hint="eastAsia"/>
          <w:lang w:val="zh-CN"/>
        </w:rPr>
        <w:t>，2</w:t>
      </w:r>
      <w:r>
        <w:rPr>
          <w:lang w:val="zh-CN"/>
        </w:rPr>
        <w:t>021</w:t>
      </w:r>
      <w:r>
        <w:rPr>
          <w:rFonts w:hint="eastAsia"/>
          <w:lang w:val="zh-CN"/>
        </w:rPr>
        <w:t>年0</w:t>
      </w:r>
      <w:r>
        <w:rPr>
          <w:lang w:val="zh-CN"/>
        </w:rPr>
        <w:t>1</w:t>
      </w:r>
      <w:r>
        <w:rPr>
          <w:rFonts w:hint="eastAsia"/>
          <w:lang w:val="zh-CN"/>
        </w:rPr>
        <w:t>月0</w:t>
      </w:r>
      <w:r>
        <w:rPr>
          <w:lang w:val="zh-CN"/>
        </w:rPr>
        <w:t>8</w:t>
      </w:r>
      <w:r>
        <w:rPr>
          <w:rFonts w:hint="eastAsia"/>
          <w:lang w:val="zh-CN"/>
        </w:rPr>
        <w:t>日；</w:t>
      </w:r>
    </w:p>
    <w:p w14:paraId="4D189F24">
      <w:pPr>
        <w:pStyle w:val="117"/>
        <w:ind w:firstLine="480"/>
        <w:rPr>
          <w:rFonts w:hint="eastAsia"/>
          <w:lang w:val="zh-CN"/>
        </w:rPr>
      </w:pPr>
      <w:r>
        <w:rPr>
          <w:rFonts w:hint="eastAsia"/>
          <w:lang w:val="zh-CN"/>
        </w:rPr>
        <w:t>（15）《</w:t>
      </w:r>
      <w:r>
        <w:rPr>
          <w:lang w:val="zh-CN"/>
        </w:rPr>
        <w:t>新疆生态环境保护“十四五”规划</w:t>
      </w:r>
      <w:r>
        <w:rPr>
          <w:rFonts w:hint="eastAsia"/>
          <w:lang w:val="zh-CN"/>
        </w:rPr>
        <w:t>》，20</w:t>
      </w:r>
      <w:r>
        <w:rPr>
          <w:lang w:val="zh-CN"/>
        </w:rPr>
        <w:t>21</w:t>
      </w:r>
      <w:r>
        <w:rPr>
          <w:rFonts w:hint="eastAsia"/>
          <w:lang w:val="zh-CN"/>
        </w:rPr>
        <w:t>年</w:t>
      </w:r>
      <w:r>
        <w:rPr>
          <w:lang w:val="zh-CN"/>
        </w:rPr>
        <w:t>12</w:t>
      </w:r>
      <w:r>
        <w:rPr>
          <w:rFonts w:hint="eastAsia"/>
          <w:lang w:val="zh-CN"/>
        </w:rPr>
        <w:t>月2</w:t>
      </w:r>
      <w:r>
        <w:rPr>
          <w:lang w:val="zh-CN"/>
        </w:rPr>
        <w:t>4</w:t>
      </w:r>
      <w:r>
        <w:rPr>
          <w:rFonts w:hint="eastAsia"/>
          <w:lang w:val="zh-CN"/>
        </w:rPr>
        <w:t>日；</w:t>
      </w:r>
    </w:p>
    <w:p w14:paraId="78D7CFE9">
      <w:pPr>
        <w:pStyle w:val="117"/>
        <w:ind w:firstLine="480"/>
        <w:rPr>
          <w:rFonts w:hint="eastAsia"/>
          <w:lang w:val="zh-CN"/>
        </w:rPr>
      </w:pPr>
      <w:r>
        <w:rPr>
          <w:rFonts w:hint="eastAsia"/>
          <w:lang w:val="zh-CN"/>
        </w:rPr>
        <w:t>（16）</w:t>
      </w:r>
      <w:bookmarkStart w:id="52" w:name="OLE_LINK279"/>
      <w:r>
        <w:rPr>
          <w:rFonts w:hint="eastAsia"/>
          <w:lang w:val="zh-CN"/>
        </w:rPr>
        <w:t>《新疆生产建设兵团“十四五”生态环境保护规划》，2</w:t>
      </w:r>
      <w:r>
        <w:rPr>
          <w:lang w:val="zh-CN"/>
        </w:rPr>
        <w:t>021</w:t>
      </w:r>
      <w:r>
        <w:rPr>
          <w:rFonts w:hint="eastAsia"/>
          <w:lang w:val="zh-CN"/>
        </w:rPr>
        <w:t>年1</w:t>
      </w:r>
      <w:r>
        <w:rPr>
          <w:lang w:val="zh-CN"/>
        </w:rPr>
        <w:t>2</w:t>
      </w:r>
      <w:r>
        <w:rPr>
          <w:rFonts w:hint="eastAsia"/>
          <w:lang w:val="zh-CN"/>
        </w:rPr>
        <w:t>月1</w:t>
      </w:r>
      <w:r>
        <w:rPr>
          <w:lang w:val="zh-CN"/>
        </w:rPr>
        <w:t>7</w:t>
      </w:r>
      <w:r>
        <w:rPr>
          <w:rFonts w:hint="eastAsia"/>
          <w:lang w:val="zh-CN"/>
        </w:rPr>
        <w:t>日；</w:t>
      </w:r>
    </w:p>
    <w:p w14:paraId="0A500AF8">
      <w:pPr>
        <w:pStyle w:val="117"/>
        <w:ind w:firstLine="480"/>
        <w:rPr>
          <w:rFonts w:hint="eastAsia"/>
          <w:lang w:val="zh-CN"/>
        </w:rPr>
      </w:pPr>
      <w:r>
        <w:rPr>
          <w:rFonts w:hint="eastAsia"/>
          <w:lang w:val="zh-CN"/>
        </w:rPr>
        <w:t>（17）《第六师五家渠市“十四五”生态环境保护规划》</w:t>
      </w:r>
      <w:bookmarkEnd w:id="52"/>
      <w:r>
        <w:rPr>
          <w:rFonts w:hint="eastAsia"/>
          <w:lang w:val="zh-CN"/>
        </w:rPr>
        <w:t>（师市办发〔2</w:t>
      </w:r>
      <w:r>
        <w:rPr>
          <w:lang w:val="zh-CN"/>
        </w:rPr>
        <w:t>022</w:t>
      </w:r>
      <w:r>
        <w:rPr>
          <w:rFonts w:hint="eastAsia"/>
          <w:lang w:val="zh-CN"/>
        </w:rPr>
        <w:t>〕1</w:t>
      </w:r>
      <w:r>
        <w:rPr>
          <w:lang w:val="zh-CN"/>
        </w:rPr>
        <w:t>1</w:t>
      </w:r>
      <w:r>
        <w:rPr>
          <w:rFonts w:hint="eastAsia"/>
          <w:lang w:val="zh-CN"/>
        </w:rPr>
        <w:t>号），2</w:t>
      </w:r>
      <w:r>
        <w:rPr>
          <w:lang w:val="zh-CN"/>
        </w:rPr>
        <w:t>022</w:t>
      </w:r>
      <w:r>
        <w:rPr>
          <w:rFonts w:hint="eastAsia"/>
          <w:lang w:val="zh-CN"/>
        </w:rPr>
        <w:t>年0</w:t>
      </w:r>
      <w:r>
        <w:rPr>
          <w:lang w:val="zh-CN"/>
        </w:rPr>
        <w:t>6</w:t>
      </w:r>
      <w:r>
        <w:rPr>
          <w:rFonts w:hint="eastAsia"/>
          <w:lang w:val="zh-CN"/>
        </w:rPr>
        <w:t>月0</w:t>
      </w:r>
      <w:r>
        <w:rPr>
          <w:lang w:val="zh-CN"/>
        </w:rPr>
        <w:t>1</w:t>
      </w:r>
      <w:r>
        <w:rPr>
          <w:rFonts w:hint="eastAsia"/>
          <w:lang w:val="zh-CN"/>
        </w:rPr>
        <w:t>日；</w:t>
      </w:r>
    </w:p>
    <w:p w14:paraId="7BDCED29">
      <w:pPr>
        <w:pStyle w:val="117"/>
        <w:ind w:firstLine="480"/>
        <w:rPr>
          <w:rFonts w:hint="eastAsia"/>
          <w:lang w:val="zh-CN"/>
        </w:rPr>
      </w:pPr>
      <w:r>
        <w:rPr>
          <w:rFonts w:hint="eastAsia"/>
          <w:lang w:val="zh-CN"/>
        </w:rPr>
        <w:t>（18）《</w:t>
      </w:r>
      <w:r>
        <w:rPr>
          <w:lang w:val="zh-CN"/>
        </w:rPr>
        <w:t>新疆维吾尔自治区“三线一单”生态环境分区管控方案</w:t>
      </w:r>
      <w:r>
        <w:rPr>
          <w:rFonts w:hint="eastAsia"/>
          <w:lang w:val="zh-CN"/>
        </w:rPr>
        <w:t>》，2021年2月22日；</w:t>
      </w:r>
    </w:p>
    <w:p w14:paraId="57B1C891">
      <w:pPr>
        <w:pStyle w:val="117"/>
        <w:ind w:firstLine="480"/>
        <w:rPr>
          <w:rFonts w:hint="eastAsia"/>
          <w:lang w:val="zh-CN"/>
        </w:rPr>
      </w:pPr>
      <w:r>
        <w:rPr>
          <w:rFonts w:hint="eastAsia"/>
          <w:lang w:val="zh-CN"/>
        </w:rPr>
        <w:t>（19）</w:t>
      </w:r>
      <w:bookmarkStart w:id="53" w:name="OLE_LINK280"/>
      <w:r>
        <w:rPr>
          <w:rFonts w:hint="eastAsia"/>
          <w:lang w:val="zh-CN"/>
        </w:rPr>
        <w:t>《关于印发〈新疆生产建设兵团“三线一单”生态环境分区管控方案〉的通知》</w:t>
      </w:r>
      <w:bookmarkEnd w:id="53"/>
      <w:r>
        <w:rPr>
          <w:rFonts w:hint="eastAsia"/>
          <w:lang w:val="zh-CN"/>
        </w:rPr>
        <w:t>（新兵发〔2021〕16号），2</w:t>
      </w:r>
      <w:r>
        <w:rPr>
          <w:lang w:val="zh-CN"/>
        </w:rPr>
        <w:t>021</w:t>
      </w:r>
      <w:r>
        <w:rPr>
          <w:rFonts w:hint="eastAsia"/>
          <w:lang w:val="zh-CN"/>
        </w:rPr>
        <w:t>年0</w:t>
      </w:r>
      <w:r>
        <w:rPr>
          <w:lang w:val="zh-CN"/>
        </w:rPr>
        <w:t>4</w:t>
      </w:r>
      <w:r>
        <w:rPr>
          <w:rFonts w:hint="eastAsia"/>
          <w:lang w:val="zh-CN"/>
        </w:rPr>
        <w:t>月1</w:t>
      </w:r>
      <w:r>
        <w:rPr>
          <w:lang w:val="zh-CN"/>
        </w:rPr>
        <w:t>4</w:t>
      </w:r>
      <w:r>
        <w:rPr>
          <w:rFonts w:hint="eastAsia"/>
          <w:lang w:val="zh-CN"/>
        </w:rPr>
        <w:t>日；</w:t>
      </w:r>
    </w:p>
    <w:p w14:paraId="21129161">
      <w:pPr>
        <w:pStyle w:val="117"/>
        <w:ind w:firstLine="480"/>
        <w:rPr>
          <w:rFonts w:hint="eastAsia"/>
          <w:lang w:val="zh-CN"/>
        </w:rPr>
      </w:pPr>
      <w:r>
        <w:rPr>
          <w:rFonts w:hint="eastAsia"/>
          <w:lang w:val="zh-CN"/>
        </w:rPr>
        <w:t>（20）</w:t>
      </w:r>
      <w:bookmarkStart w:id="54" w:name="OLE_LINK113"/>
      <w:bookmarkStart w:id="55" w:name="OLE_LINK92"/>
      <w:r>
        <w:rPr>
          <w:rFonts w:hint="eastAsia"/>
          <w:lang w:bidi="ar"/>
        </w:rPr>
        <w:t>《第六师五家渠市生态环境分区管控更新成果（2023版）》</w:t>
      </w:r>
      <w:bookmarkEnd w:id="54"/>
      <w:r>
        <w:rPr>
          <w:rFonts w:hint="eastAsia"/>
          <w:lang w:val="zh-CN"/>
        </w:rPr>
        <w:t>，</w:t>
      </w:r>
      <w:bookmarkEnd w:id="55"/>
      <w:r>
        <w:rPr>
          <w:rFonts w:hint="eastAsia"/>
          <w:lang w:val="zh-CN"/>
        </w:rPr>
        <w:t>2024年07月24日；</w:t>
      </w:r>
    </w:p>
    <w:p w14:paraId="5841C679">
      <w:pPr>
        <w:pStyle w:val="117"/>
        <w:ind w:firstLine="480"/>
        <w:rPr>
          <w:rFonts w:hint="eastAsia"/>
        </w:rPr>
      </w:pPr>
      <w:r>
        <w:rPr>
          <w:rFonts w:hint="eastAsia"/>
          <w:lang w:val="zh-CN"/>
        </w:rPr>
        <w:t>（21）</w:t>
      </w:r>
      <w:r>
        <w:rPr>
          <w:rFonts w:hint="eastAsia"/>
        </w:rPr>
        <w:t>《新疆维吾尔自治区主体功能区规划》，2012年12月27日；</w:t>
      </w:r>
    </w:p>
    <w:p w14:paraId="1EACED78">
      <w:pPr>
        <w:pStyle w:val="117"/>
        <w:ind w:firstLine="480"/>
        <w:rPr>
          <w:rFonts w:hint="eastAsia"/>
        </w:rPr>
      </w:pPr>
      <w:r>
        <w:rPr>
          <w:rFonts w:hint="eastAsia"/>
        </w:rPr>
        <w:t>（22）《关于印发&lt;新疆维吾尔自治区重点行业生态环境准入条件（2024年）&gt;的通知》（新环环评发</w:t>
      </w:r>
      <w:r>
        <w:rPr>
          <w:rFonts w:hint="eastAsia"/>
          <w:lang w:val="zh-CN"/>
        </w:rPr>
        <w:t>〔2</w:t>
      </w:r>
      <w:r>
        <w:rPr>
          <w:lang w:val="zh-CN"/>
        </w:rPr>
        <w:t>02</w:t>
      </w:r>
      <w:r>
        <w:rPr>
          <w:rFonts w:hint="eastAsia"/>
          <w:lang w:val="zh-CN"/>
        </w:rPr>
        <w:t>4〕4号），2024年06月09日。</w:t>
      </w:r>
    </w:p>
    <w:bookmarkEnd w:id="47"/>
    <w:bookmarkEnd w:id="48"/>
    <w:bookmarkEnd w:id="49"/>
    <w:p w14:paraId="75308C00">
      <w:pPr>
        <w:pStyle w:val="4"/>
        <w:rPr>
          <w:rFonts w:hint="eastAsia"/>
          <w:lang w:val="zh-CN"/>
        </w:rPr>
      </w:pPr>
      <w:r>
        <w:rPr>
          <w:rFonts w:hint="eastAsia"/>
          <w:lang w:val="zh-CN"/>
        </w:rPr>
        <w:t>相关导则及指南</w:t>
      </w:r>
    </w:p>
    <w:p w14:paraId="6277DC47">
      <w:pPr>
        <w:pStyle w:val="117"/>
        <w:ind w:firstLine="480"/>
        <w:rPr>
          <w:rFonts w:hint="eastAsia"/>
          <w:lang w:val="zh-CN"/>
        </w:rPr>
      </w:pPr>
      <w:bookmarkStart w:id="56" w:name="_Toc445841960"/>
      <w:bookmarkStart w:id="57" w:name="_Toc445996323"/>
      <w:bookmarkStart w:id="58" w:name="_Toc7963"/>
      <w:r>
        <w:rPr>
          <w:rFonts w:hint="eastAsia"/>
          <w:lang w:val="zh-CN"/>
        </w:rPr>
        <w:t>（</w:t>
      </w:r>
      <w:r>
        <w:rPr>
          <w:rFonts w:hint="eastAsia"/>
        </w:rPr>
        <w:t>1</w:t>
      </w:r>
      <w:r>
        <w:rPr>
          <w:rFonts w:hint="eastAsia"/>
          <w:lang w:val="zh-CN"/>
        </w:rPr>
        <w:t>）《建设项目环境影响评价技术导则 总纲》（HJ2.1-2016），2017年01月01日；</w:t>
      </w:r>
    </w:p>
    <w:p w14:paraId="2B4A686F">
      <w:pPr>
        <w:pStyle w:val="117"/>
        <w:ind w:firstLine="480"/>
        <w:rPr>
          <w:rFonts w:hint="eastAsia"/>
          <w:lang w:val="zh-CN"/>
        </w:rPr>
      </w:pPr>
      <w:r>
        <w:rPr>
          <w:rFonts w:hint="eastAsia"/>
          <w:lang w:val="zh-CN"/>
        </w:rPr>
        <w:t>（</w:t>
      </w:r>
      <w:r>
        <w:rPr>
          <w:rFonts w:hint="eastAsia"/>
        </w:rPr>
        <w:t>2</w:t>
      </w:r>
      <w:r>
        <w:rPr>
          <w:rFonts w:hint="eastAsia"/>
          <w:lang w:val="zh-CN"/>
        </w:rPr>
        <w:t>）《环境影响评价技术导则 大气环境》（HJ2.2-2018），2018年12月01日；</w:t>
      </w:r>
    </w:p>
    <w:p w14:paraId="60953F97">
      <w:pPr>
        <w:pStyle w:val="117"/>
        <w:ind w:firstLine="480"/>
        <w:rPr>
          <w:rFonts w:hint="eastAsia"/>
          <w:lang w:val="zh-CN"/>
        </w:rPr>
      </w:pPr>
      <w:r>
        <w:rPr>
          <w:rFonts w:hint="eastAsia"/>
          <w:lang w:val="zh-CN"/>
        </w:rPr>
        <w:t>（</w:t>
      </w:r>
      <w:r>
        <w:rPr>
          <w:rFonts w:hint="eastAsia"/>
        </w:rPr>
        <w:t>3</w:t>
      </w:r>
      <w:r>
        <w:rPr>
          <w:rFonts w:hint="eastAsia"/>
          <w:lang w:val="zh-CN"/>
        </w:rPr>
        <w:t>）《环境影响评价技术导则 声环境》（HJ2.4-20</w:t>
      </w:r>
      <w:r>
        <w:rPr>
          <w:lang w:val="zh-CN"/>
        </w:rPr>
        <w:t>21</w:t>
      </w:r>
      <w:r>
        <w:rPr>
          <w:rFonts w:hint="eastAsia"/>
          <w:lang w:val="zh-CN"/>
        </w:rPr>
        <w:t>），20</w:t>
      </w:r>
      <w:r>
        <w:rPr>
          <w:lang w:val="zh-CN"/>
        </w:rPr>
        <w:t>22</w:t>
      </w:r>
      <w:r>
        <w:rPr>
          <w:rFonts w:hint="eastAsia"/>
          <w:lang w:val="zh-CN"/>
        </w:rPr>
        <w:t>年</w:t>
      </w:r>
      <w:r>
        <w:rPr>
          <w:lang w:val="zh-CN"/>
        </w:rPr>
        <w:t>07</w:t>
      </w:r>
      <w:r>
        <w:rPr>
          <w:rFonts w:hint="eastAsia"/>
          <w:lang w:val="zh-CN"/>
        </w:rPr>
        <w:t>月01日；</w:t>
      </w:r>
    </w:p>
    <w:p w14:paraId="58B578D1">
      <w:pPr>
        <w:pStyle w:val="117"/>
        <w:ind w:firstLine="480"/>
        <w:rPr>
          <w:rFonts w:hint="eastAsia"/>
          <w:lang w:val="zh-CN"/>
        </w:rPr>
      </w:pPr>
      <w:r>
        <w:rPr>
          <w:rFonts w:hint="eastAsia"/>
          <w:lang w:val="zh-CN"/>
        </w:rPr>
        <w:t>（</w:t>
      </w:r>
      <w:r>
        <w:rPr>
          <w:rFonts w:hint="eastAsia"/>
        </w:rPr>
        <w:t>4</w:t>
      </w:r>
      <w:r>
        <w:rPr>
          <w:rFonts w:hint="eastAsia"/>
          <w:lang w:val="zh-CN"/>
        </w:rPr>
        <w:t>）《环境影响评价技术导则 土壤环境（试行）》（HJ964-2018），2019年07月01日；</w:t>
      </w:r>
    </w:p>
    <w:p w14:paraId="44E8D885">
      <w:pPr>
        <w:pStyle w:val="117"/>
        <w:ind w:firstLine="480"/>
        <w:rPr>
          <w:rFonts w:hint="eastAsia"/>
          <w:lang w:val="zh-CN"/>
        </w:rPr>
      </w:pPr>
      <w:r>
        <w:rPr>
          <w:rFonts w:hint="eastAsia"/>
          <w:lang w:val="zh-CN"/>
        </w:rPr>
        <w:t>（</w:t>
      </w:r>
      <w:r>
        <w:rPr>
          <w:rFonts w:hint="eastAsia"/>
        </w:rPr>
        <w:t>5</w:t>
      </w:r>
      <w:r>
        <w:rPr>
          <w:rFonts w:hint="eastAsia"/>
          <w:lang w:val="zh-CN"/>
        </w:rPr>
        <w:t>）《环境影响评价技术导则 生态影响》（HJ19-20</w:t>
      </w:r>
      <w:r>
        <w:rPr>
          <w:lang w:val="zh-CN"/>
        </w:rPr>
        <w:t>22</w:t>
      </w:r>
      <w:r>
        <w:rPr>
          <w:rFonts w:hint="eastAsia"/>
          <w:lang w:val="zh-CN"/>
        </w:rPr>
        <w:t>），20</w:t>
      </w:r>
      <w:r>
        <w:rPr>
          <w:lang w:val="zh-CN"/>
        </w:rPr>
        <w:t>22</w:t>
      </w:r>
      <w:r>
        <w:rPr>
          <w:rFonts w:hint="eastAsia"/>
          <w:lang w:val="zh-CN"/>
        </w:rPr>
        <w:t>年</w:t>
      </w:r>
      <w:r>
        <w:rPr>
          <w:lang w:val="zh-CN"/>
        </w:rPr>
        <w:t>07</w:t>
      </w:r>
      <w:r>
        <w:rPr>
          <w:rFonts w:hint="eastAsia"/>
          <w:lang w:val="zh-CN"/>
        </w:rPr>
        <w:t>月01日；</w:t>
      </w:r>
    </w:p>
    <w:p w14:paraId="33C7440E">
      <w:pPr>
        <w:pStyle w:val="117"/>
        <w:ind w:firstLine="480"/>
        <w:rPr>
          <w:rFonts w:hint="eastAsia"/>
          <w:lang w:val="zh-CN"/>
        </w:rPr>
      </w:pPr>
      <w:r>
        <w:rPr>
          <w:rFonts w:hint="eastAsia"/>
          <w:lang w:val="zh-CN"/>
        </w:rPr>
        <w:t>（</w:t>
      </w:r>
      <w:r>
        <w:rPr>
          <w:rFonts w:hint="eastAsia"/>
        </w:rPr>
        <w:t>6</w:t>
      </w:r>
      <w:r>
        <w:rPr>
          <w:rFonts w:hint="eastAsia"/>
          <w:lang w:val="zh-CN"/>
        </w:rPr>
        <w:t>）《环境影响评价技术导则 地表水环境》（HJ2.3-2018），2019年03月01日；</w:t>
      </w:r>
    </w:p>
    <w:p w14:paraId="7E8A897A">
      <w:pPr>
        <w:pStyle w:val="117"/>
        <w:ind w:firstLine="480"/>
        <w:rPr>
          <w:rFonts w:hint="eastAsia"/>
          <w:lang w:val="zh-CN"/>
        </w:rPr>
      </w:pPr>
      <w:r>
        <w:rPr>
          <w:rFonts w:hint="eastAsia"/>
          <w:lang w:val="zh-CN"/>
        </w:rPr>
        <w:t>（</w:t>
      </w:r>
      <w:r>
        <w:rPr>
          <w:rFonts w:hint="eastAsia"/>
        </w:rPr>
        <w:t>7</w:t>
      </w:r>
      <w:r>
        <w:rPr>
          <w:rFonts w:hint="eastAsia"/>
          <w:lang w:val="zh-CN"/>
        </w:rPr>
        <w:t>）《环境影响评价技术导则 地下水环境》（HJ610-2016），2016年01月07日；</w:t>
      </w:r>
    </w:p>
    <w:p w14:paraId="23C8F699">
      <w:pPr>
        <w:pStyle w:val="117"/>
        <w:ind w:firstLine="480"/>
        <w:rPr>
          <w:rFonts w:hint="eastAsia"/>
          <w:lang w:val="zh-CN"/>
        </w:rPr>
      </w:pPr>
      <w:r>
        <w:rPr>
          <w:rFonts w:hint="eastAsia"/>
          <w:lang w:val="zh-CN"/>
        </w:rPr>
        <w:t>（</w:t>
      </w:r>
      <w:r>
        <w:rPr>
          <w:rFonts w:hint="eastAsia"/>
        </w:rPr>
        <w:t>8</w:t>
      </w:r>
      <w:r>
        <w:rPr>
          <w:rFonts w:hint="eastAsia"/>
          <w:lang w:val="zh-CN"/>
        </w:rPr>
        <w:t>）《建设项目环境风险评价技术导则》（HJ169-2018），2019年03月01日；</w:t>
      </w:r>
    </w:p>
    <w:p w14:paraId="6FA906FF">
      <w:pPr>
        <w:pStyle w:val="117"/>
        <w:ind w:firstLine="480"/>
        <w:rPr>
          <w:rFonts w:hint="eastAsia"/>
          <w:lang w:val="zh-CN"/>
        </w:rPr>
      </w:pPr>
      <w:r>
        <w:rPr>
          <w:rFonts w:hint="eastAsia"/>
          <w:lang w:val="zh-CN"/>
        </w:rPr>
        <w:t>（</w:t>
      </w:r>
      <w:r>
        <w:rPr>
          <w:rFonts w:hint="eastAsia"/>
        </w:rPr>
        <w:t>9</w:t>
      </w:r>
      <w:r>
        <w:rPr>
          <w:rFonts w:hint="eastAsia"/>
          <w:lang w:val="zh-CN"/>
        </w:rPr>
        <w:t>）《环境影响评价技术导则 陆地石油天然气开发建设项目》（HJ349-20</w:t>
      </w:r>
      <w:r>
        <w:rPr>
          <w:lang w:val="zh-CN"/>
        </w:rPr>
        <w:t>23</w:t>
      </w:r>
      <w:r>
        <w:rPr>
          <w:rFonts w:hint="eastAsia"/>
          <w:lang w:val="zh-CN"/>
        </w:rPr>
        <w:t>），20</w:t>
      </w:r>
      <w:r>
        <w:rPr>
          <w:lang w:val="zh-CN"/>
        </w:rPr>
        <w:t>24</w:t>
      </w:r>
      <w:r>
        <w:rPr>
          <w:rFonts w:hint="eastAsia"/>
          <w:lang w:val="zh-CN"/>
        </w:rPr>
        <w:t>年0</w:t>
      </w:r>
      <w:r>
        <w:rPr>
          <w:lang w:val="zh-CN"/>
        </w:rPr>
        <w:t>1</w:t>
      </w:r>
      <w:r>
        <w:rPr>
          <w:rFonts w:hint="eastAsia"/>
          <w:lang w:val="zh-CN"/>
        </w:rPr>
        <w:t>月01日；</w:t>
      </w:r>
    </w:p>
    <w:p w14:paraId="427E666A">
      <w:pPr>
        <w:pStyle w:val="117"/>
        <w:ind w:firstLine="480"/>
        <w:rPr>
          <w:rFonts w:hint="eastAsia"/>
          <w:lang w:val="zh-CN"/>
        </w:rPr>
      </w:pPr>
      <w:r>
        <w:rPr>
          <w:rFonts w:hint="eastAsia"/>
          <w:lang w:val="zh-CN"/>
        </w:rPr>
        <w:t>（1</w:t>
      </w:r>
      <w:r>
        <w:rPr>
          <w:lang w:val="zh-CN"/>
        </w:rPr>
        <w:t>0</w:t>
      </w:r>
      <w:r>
        <w:rPr>
          <w:rFonts w:hint="eastAsia"/>
          <w:lang w:val="zh-CN"/>
        </w:rPr>
        <w:t>）《危险废物管理计划和管理台账制定技术导则》（H</w:t>
      </w:r>
      <w:r>
        <w:rPr>
          <w:lang w:val="zh-CN"/>
        </w:rPr>
        <w:t>J1259-2022</w:t>
      </w:r>
      <w:r>
        <w:rPr>
          <w:rFonts w:hint="eastAsia"/>
          <w:lang w:val="zh-CN"/>
        </w:rPr>
        <w:t>）,</w:t>
      </w:r>
      <w:r>
        <w:rPr>
          <w:lang w:val="zh-CN"/>
        </w:rPr>
        <w:t>2022</w:t>
      </w:r>
      <w:r>
        <w:rPr>
          <w:rFonts w:hint="eastAsia"/>
          <w:lang w:val="zh-CN"/>
        </w:rPr>
        <w:t>年1</w:t>
      </w:r>
      <w:r>
        <w:rPr>
          <w:lang w:val="zh-CN"/>
        </w:rPr>
        <w:t>0</w:t>
      </w:r>
      <w:r>
        <w:rPr>
          <w:rFonts w:hint="eastAsia"/>
          <w:lang w:val="zh-CN"/>
        </w:rPr>
        <w:t>月0</w:t>
      </w:r>
      <w:r>
        <w:rPr>
          <w:lang w:val="zh-CN"/>
        </w:rPr>
        <w:t>1</w:t>
      </w:r>
      <w:r>
        <w:rPr>
          <w:rFonts w:hint="eastAsia"/>
          <w:lang w:val="zh-CN"/>
        </w:rPr>
        <w:t>日。</w:t>
      </w:r>
    </w:p>
    <w:p w14:paraId="062BBB11">
      <w:pPr>
        <w:pStyle w:val="117"/>
        <w:ind w:firstLine="480"/>
        <w:rPr>
          <w:rFonts w:hint="eastAsia"/>
          <w:lang w:val="zh-CN"/>
        </w:rPr>
      </w:pPr>
      <w:r>
        <w:rPr>
          <w:rFonts w:hint="eastAsia"/>
          <w:lang w:val="zh-CN"/>
        </w:rPr>
        <w:t>（</w:t>
      </w:r>
      <w:r>
        <w:rPr>
          <w:rFonts w:hint="eastAsia"/>
        </w:rPr>
        <w:t>1</w:t>
      </w:r>
      <w:r>
        <w:t>1</w:t>
      </w:r>
      <w:r>
        <w:rPr>
          <w:rFonts w:hint="eastAsia"/>
          <w:lang w:val="zh-CN"/>
        </w:rPr>
        <w:t>）《排污单位自行监测技术指南 总则》（HJ819-2017），2017年06月01日；</w:t>
      </w:r>
    </w:p>
    <w:p w14:paraId="56B42463">
      <w:pPr>
        <w:pStyle w:val="117"/>
        <w:ind w:firstLine="480"/>
        <w:rPr>
          <w:rFonts w:hint="eastAsia"/>
        </w:rPr>
      </w:pPr>
      <w:bookmarkStart w:id="59" w:name="_Hlk78381581"/>
      <w:bookmarkStart w:id="60" w:name="_Hlk33041429"/>
      <w:r>
        <w:rPr>
          <w:rFonts w:hint="eastAsia"/>
        </w:rPr>
        <w:t>（1</w:t>
      </w:r>
      <w:r>
        <w:t>2</w:t>
      </w:r>
      <w:r>
        <w:rPr>
          <w:rFonts w:hint="eastAsia"/>
        </w:rPr>
        <w:t>）《污染源源强核算技术指南</w:t>
      </w:r>
      <w:r>
        <w:t xml:space="preserve"> </w:t>
      </w:r>
      <w:r>
        <w:rPr>
          <w:rFonts w:hint="eastAsia"/>
        </w:rPr>
        <w:t>石油炼制工业》（H</w:t>
      </w:r>
      <w:r>
        <w:t>J982-2018</w:t>
      </w:r>
      <w:r>
        <w:rPr>
          <w:rFonts w:hint="eastAsia"/>
        </w:rPr>
        <w:t>），2</w:t>
      </w:r>
      <w:r>
        <w:t>019</w:t>
      </w:r>
      <w:r>
        <w:rPr>
          <w:rFonts w:hint="eastAsia"/>
        </w:rPr>
        <w:t>年01月01日；</w:t>
      </w:r>
    </w:p>
    <w:p w14:paraId="57E4C00E">
      <w:pPr>
        <w:pStyle w:val="117"/>
        <w:ind w:firstLine="480"/>
        <w:rPr>
          <w:rFonts w:hint="eastAsia"/>
        </w:rPr>
      </w:pPr>
      <w:r>
        <w:rPr>
          <w:rFonts w:hint="eastAsia"/>
        </w:rPr>
        <w:t>（1</w:t>
      </w:r>
      <w:r>
        <w:t>3</w:t>
      </w:r>
      <w:r>
        <w:rPr>
          <w:rFonts w:hint="eastAsia"/>
        </w:rPr>
        <w:t>）《石油和天然气开采行业清洁生产评价指标体系（试行)》，2</w:t>
      </w:r>
      <w:r>
        <w:t>009</w:t>
      </w:r>
      <w:r>
        <w:rPr>
          <w:rFonts w:hint="eastAsia"/>
        </w:rPr>
        <w:t>年02月；</w:t>
      </w:r>
    </w:p>
    <w:p w14:paraId="7DA8CDF8">
      <w:pPr>
        <w:pStyle w:val="117"/>
        <w:ind w:firstLine="480"/>
        <w:rPr>
          <w:rFonts w:hint="eastAsia"/>
        </w:rPr>
      </w:pPr>
      <w:bookmarkStart w:id="61" w:name="_Hlk92217251"/>
      <w:r>
        <w:rPr>
          <w:rFonts w:hint="eastAsia"/>
        </w:rPr>
        <w:t>（1</w:t>
      </w:r>
      <w:r>
        <w:t>4</w:t>
      </w:r>
      <w:r>
        <w:rPr>
          <w:rFonts w:hint="eastAsia"/>
        </w:rPr>
        <w:t>）《危险废物环境管理指南</w:t>
      </w:r>
      <w:r>
        <w:t xml:space="preserve"> </w:t>
      </w:r>
      <w:r>
        <w:rPr>
          <w:rFonts w:hint="eastAsia"/>
        </w:rPr>
        <w:t>陆上石油天然气开采》，2</w:t>
      </w:r>
      <w:r>
        <w:t>021</w:t>
      </w:r>
      <w:r>
        <w:rPr>
          <w:rFonts w:hint="eastAsia"/>
        </w:rPr>
        <w:t>年1</w:t>
      </w:r>
      <w:r>
        <w:t>2</w:t>
      </w:r>
      <w:r>
        <w:rPr>
          <w:rFonts w:hint="eastAsia"/>
        </w:rPr>
        <w:t>月2</w:t>
      </w:r>
      <w:r>
        <w:t>1</w:t>
      </w:r>
      <w:r>
        <w:rPr>
          <w:rFonts w:hint="eastAsia"/>
        </w:rPr>
        <w:t>日；</w:t>
      </w:r>
    </w:p>
    <w:p w14:paraId="4FF2B115">
      <w:pPr>
        <w:pStyle w:val="117"/>
        <w:ind w:firstLine="480"/>
        <w:rPr>
          <w:rFonts w:hint="eastAsia"/>
        </w:rPr>
      </w:pPr>
      <w:r>
        <w:rPr>
          <w:rFonts w:hint="eastAsia"/>
        </w:rPr>
        <w:t>（1</w:t>
      </w:r>
      <w:r>
        <w:t>5</w:t>
      </w:r>
      <w:r>
        <w:rPr>
          <w:rFonts w:hint="eastAsia"/>
        </w:rPr>
        <w:t>）《排污单位自行监测技术指南</w:t>
      </w:r>
      <w:r>
        <w:t xml:space="preserve"> </w:t>
      </w:r>
      <w:r>
        <w:rPr>
          <w:rFonts w:hint="eastAsia"/>
        </w:rPr>
        <w:t>陆上石油天然气开采业》（H</w:t>
      </w:r>
      <w:r>
        <w:t>J1248-2022</w:t>
      </w:r>
      <w:r>
        <w:rPr>
          <w:rFonts w:hint="eastAsia"/>
        </w:rPr>
        <w:t>），2</w:t>
      </w:r>
      <w:r>
        <w:t>022</w:t>
      </w:r>
      <w:r>
        <w:rPr>
          <w:rFonts w:hint="eastAsia"/>
        </w:rPr>
        <w:t>年07月01日。</w:t>
      </w:r>
    </w:p>
    <w:p w14:paraId="2C805490">
      <w:pPr>
        <w:pStyle w:val="117"/>
        <w:ind w:firstLine="480"/>
        <w:rPr>
          <w:rFonts w:hint="eastAsia" w:cs="宋体"/>
        </w:rPr>
      </w:pPr>
      <w:r>
        <w:rPr>
          <w:rFonts w:hint="eastAsia"/>
        </w:rPr>
        <w:t>（</w:t>
      </w:r>
      <w:r>
        <w:t>16</w:t>
      </w:r>
      <w:r>
        <w:rPr>
          <w:rFonts w:hint="eastAsia"/>
        </w:rPr>
        <w:t>）</w:t>
      </w:r>
      <w:r>
        <w:rPr>
          <w:rFonts w:hint="eastAsia" w:cs="宋体"/>
        </w:rPr>
        <w:t>《危险废物收集 贮存 运输技术规范》（HJ2025-2012)，2013年03月01日；</w:t>
      </w:r>
    </w:p>
    <w:p w14:paraId="79D108C3">
      <w:pPr>
        <w:pStyle w:val="117"/>
        <w:ind w:firstLine="480"/>
        <w:rPr>
          <w:rFonts w:hint="eastAsia" w:cs="宋体"/>
        </w:rPr>
      </w:pPr>
      <w:r>
        <w:rPr>
          <w:rFonts w:hint="eastAsia"/>
        </w:rPr>
        <w:t>（17）</w:t>
      </w:r>
      <w:r>
        <w:t>《陆上石油天然气开采业绿色矿山建设规范》</w:t>
      </w:r>
      <w:r>
        <w:rPr>
          <w:rFonts w:hint="eastAsia"/>
        </w:rPr>
        <w:t>（D</w:t>
      </w:r>
      <w:r>
        <w:t>Z/T 0317-2018</w:t>
      </w:r>
      <w:r>
        <w:rPr>
          <w:rFonts w:hint="eastAsia"/>
        </w:rPr>
        <w:t>）</w:t>
      </w:r>
      <w:r>
        <w:t>，2018年10月01日</w:t>
      </w:r>
      <w:r>
        <w:rPr>
          <w:rFonts w:hint="eastAsia"/>
        </w:rPr>
        <w:t>。</w:t>
      </w:r>
    </w:p>
    <w:bookmarkEnd w:id="59"/>
    <w:bookmarkEnd w:id="60"/>
    <w:bookmarkEnd w:id="61"/>
    <w:p w14:paraId="6D99F16E">
      <w:pPr>
        <w:pStyle w:val="4"/>
        <w:rPr>
          <w:rFonts w:hint="eastAsia"/>
          <w:lang w:val="zh-CN"/>
        </w:rPr>
      </w:pPr>
      <w:r>
        <w:rPr>
          <w:rFonts w:hint="eastAsia"/>
          <w:lang w:val="zh-CN"/>
        </w:rPr>
        <w:t>相关文件和技术资料</w:t>
      </w:r>
      <w:bookmarkEnd w:id="56"/>
      <w:bookmarkEnd w:id="57"/>
      <w:bookmarkEnd w:id="58"/>
    </w:p>
    <w:p w14:paraId="45CFEB57">
      <w:pPr>
        <w:pStyle w:val="117"/>
        <w:ind w:firstLine="480"/>
        <w:rPr>
          <w:rFonts w:hint="eastAsia"/>
          <w:lang w:val="zh-CN"/>
        </w:rPr>
      </w:pPr>
      <w:r>
        <w:rPr>
          <w:rFonts w:hint="eastAsia"/>
          <w:lang w:val="zh-CN"/>
        </w:rPr>
        <w:t>（1）《</w:t>
      </w:r>
      <w:r>
        <w:rPr>
          <w:rFonts w:hint="eastAsia"/>
        </w:rPr>
        <w:t>吉木萨尔凹陷芦草沟组页岩油J10031-吉179井区JHW17-41等5口井产能建设项目环评委托书》，2024年</w:t>
      </w:r>
      <w:r>
        <w:rPr>
          <w:rFonts w:hint="eastAsia"/>
          <w:lang w:val="zh-CN"/>
        </w:rPr>
        <w:t>年0</w:t>
      </w:r>
      <w:r>
        <w:rPr>
          <w:rFonts w:hint="eastAsia"/>
        </w:rPr>
        <w:t>3</w:t>
      </w:r>
      <w:r>
        <w:rPr>
          <w:rFonts w:hint="eastAsia"/>
          <w:lang w:val="zh-CN"/>
        </w:rPr>
        <w:t>月；</w:t>
      </w:r>
    </w:p>
    <w:p w14:paraId="1F201194">
      <w:pPr>
        <w:pStyle w:val="117"/>
        <w:ind w:firstLine="480"/>
        <w:rPr>
          <w:rFonts w:hint="eastAsia"/>
          <w:lang w:val="zh-CN"/>
        </w:rPr>
      </w:pPr>
      <w:r>
        <w:rPr>
          <w:rFonts w:hint="eastAsia"/>
          <w:lang w:val="zh-CN"/>
        </w:rPr>
        <w:t>（2）《2024年页岩油原油产能建设地面工程》，2024年01月；</w:t>
      </w:r>
    </w:p>
    <w:p w14:paraId="7153FE24">
      <w:pPr>
        <w:pStyle w:val="117"/>
        <w:ind w:firstLine="480"/>
        <w:rPr>
          <w:rFonts w:hint="eastAsia"/>
          <w:lang w:val="zh-CN"/>
        </w:rPr>
      </w:pPr>
      <w:r>
        <w:rPr>
          <w:rFonts w:hint="eastAsia"/>
          <w:lang w:val="zh-CN"/>
        </w:rPr>
        <w:t>（3）《</w:t>
      </w:r>
      <w:r>
        <w:rPr>
          <w:rFonts w:hint="eastAsia"/>
        </w:rPr>
        <w:t>吉木萨尔凹陷芦草沟组页岩油J10031-吉179井区JHW17-41等5口井产能建设项目环境质量现状检验检测报告</w:t>
      </w:r>
      <w:r>
        <w:rPr>
          <w:rFonts w:hint="eastAsia"/>
          <w:lang w:val="zh-CN"/>
        </w:rPr>
        <w:t>》，2024年06月。</w:t>
      </w:r>
    </w:p>
    <w:p w14:paraId="0DA5F29D">
      <w:pPr>
        <w:pStyle w:val="2"/>
        <w:rPr>
          <w:rFonts w:hint="eastAsia"/>
          <w:lang w:val="zh-CN"/>
        </w:rPr>
      </w:pPr>
      <w:bookmarkStart w:id="62" w:name="_Toc160381863"/>
      <w:bookmarkStart w:id="63" w:name="_Toc475624460"/>
      <w:r>
        <w:rPr>
          <w:rFonts w:hint="eastAsia"/>
          <w:lang w:val="zh-CN"/>
        </w:rPr>
        <w:t>评价目的与原则</w:t>
      </w:r>
      <w:bookmarkEnd w:id="62"/>
      <w:bookmarkEnd w:id="63"/>
    </w:p>
    <w:p w14:paraId="32592B68">
      <w:pPr>
        <w:pStyle w:val="4"/>
        <w:rPr>
          <w:rFonts w:hint="eastAsia"/>
          <w:lang w:val="zh-CN"/>
        </w:rPr>
      </w:pPr>
      <w:bookmarkStart w:id="64" w:name="_Toc445841963"/>
      <w:bookmarkStart w:id="65" w:name="_Toc445996325"/>
      <w:bookmarkStart w:id="66" w:name="_Toc19120"/>
      <w:r>
        <w:rPr>
          <w:rFonts w:hint="eastAsia"/>
          <w:lang w:val="zh-CN"/>
        </w:rPr>
        <w:t>评价目的</w:t>
      </w:r>
      <w:bookmarkEnd w:id="64"/>
      <w:bookmarkEnd w:id="65"/>
      <w:bookmarkEnd w:id="66"/>
    </w:p>
    <w:p w14:paraId="21E2FB5E">
      <w:pPr>
        <w:pStyle w:val="117"/>
        <w:ind w:firstLine="480"/>
        <w:rPr>
          <w:rFonts w:hint="eastAsia"/>
          <w:lang w:val="zh-CN"/>
        </w:rPr>
      </w:pPr>
      <w:r>
        <w:rPr>
          <w:rFonts w:hint="eastAsia"/>
          <w:lang w:val="zh-CN"/>
        </w:rPr>
        <w:t>（</w:t>
      </w:r>
      <w:r>
        <w:rPr>
          <w:lang w:val="zh-CN"/>
        </w:rPr>
        <w:t>1）通过</w:t>
      </w:r>
      <w:r>
        <w:rPr>
          <w:rFonts w:hint="eastAsia"/>
          <w:lang w:val="zh-CN"/>
        </w:rPr>
        <w:t>现场</w:t>
      </w:r>
      <w:r>
        <w:rPr>
          <w:lang w:val="zh-CN"/>
        </w:rPr>
        <w:t>调查</w:t>
      </w:r>
      <w:r>
        <w:rPr>
          <w:rFonts w:hint="eastAsia"/>
          <w:lang w:val="zh-CN"/>
        </w:rPr>
        <w:t>和环境质量</w:t>
      </w:r>
      <w:r>
        <w:rPr>
          <w:lang w:val="zh-CN"/>
        </w:rPr>
        <w:t>现状监测</w:t>
      </w:r>
      <w:r>
        <w:rPr>
          <w:rFonts w:hint="eastAsia"/>
          <w:lang w:val="zh-CN"/>
        </w:rPr>
        <w:t>，</w:t>
      </w:r>
      <w:r>
        <w:rPr>
          <w:lang w:val="zh-CN"/>
        </w:rPr>
        <w:t>了解</w:t>
      </w:r>
      <w:r>
        <w:rPr>
          <w:rFonts w:hint="eastAsia"/>
          <w:lang w:val="zh-CN"/>
        </w:rPr>
        <w:t>建设项目</w:t>
      </w:r>
      <w:r>
        <w:rPr>
          <w:lang w:val="zh-CN"/>
        </w:rPr>
        <w:t>所在地的自然环境</w:t>
      </w:r>
      <w:r>
        <w:rPr>
          <w:rFonts w:hint="eastAsia"/>
          <w:lang w:val="zh-CN"/>
        </w:rPr>
        <w:t>、大气环境、水环境、声环境、土壤环境及生态环境情况，掌握区域的环境质量现状。</w:t>
      </w:r>
    </w:p>
    <w:p w14:paraId="1BD1FCAC">
      <w:pPr>
        <w:pStyle w:val="117"/>
        <w:ind w:firstLine="480"/>
        <w:rPr>
          <w:rFonts w:hint="eastAsia"/>
        </w:rPr>
      </w:pPr>
      <w:r>
        <w:t>（2）通过工程分析，明确施工期、运营期和</w:t>
      </w:r>
      <w:r>
        <w:rPr>
          <w:rFonts w:hint="eastAsia"/>
        </w:rPr>
        <w:t>退役期</w:t>
      </w:r>
      <w:r>
        <w:t>主要污染源、污染物种类、</w:t>
      </w:r>
      <w:r>
        <w:rPr>
          <w:rFonts w:hint="eastAsia"/>
        </w:rPr>
        <w:t>源强、</w:t>
      </w:r>
      <w:r>
        <w:t>排放强度</w:t>
      </w:r>
      <w:r>
        <w:rPr>
          <w:rFonts w:hint="eastAsia"/>
        </w:rPr>
        <w:t>、排放方式及排放去向</w:t>
      </w:r>
      <w:r>
        <w:t>，分析环境污染的影响特征，预测和评价施工期、运营期及</w:t>
      </w:r>
      <w:r>
        <w:rPr>
          <w:rFonts w:hint="eastAsia"/>
        </w:rPr>
        <w:t>退役期</w:t>
      </w:r>
      <w:r>
        <w:t>对环境的影响程度，</w:t>
      </w:r>
      <w:r>
        <w:rPr>
          <w:rFonts w:hint="eastAsia"/>
        </w:rPr>
        <w:t>并对污染物达标排放进行分析</w:t>
      </w:r>
      <w:r>
        <w:t>。</w:t>
      </w:r>
    </w:p>
    <w:p w14:paraId="61D71CD0">
      <w:pPr>
        <w:pStyle w:val="117"/>
        <w:ind w:firstLine="480"/>
        <w:rPr>
          <w:rFonts w:hint="eastAsia"/>
        </w:rPr>
      </w:pPr>
      <w:r>
        <w:rPr>
          <w:rFonts w:hint="eastAsia"/>
        </w:rPr>
        <w:t>（3）</w:t>
      </w:r>
      <w:bookmarkStart w:id="67" w:name="_Hlk33042281"/>
      <w:r>
        <w:rPr>
          <w:rFonts w:hint="eastAsia"/>
        </w:rPr>
        <w:t>提出预防或者减轻不良环境影响的对策和措施，并论述拟采取的环境保护措施的可行性和合理性。</w:t>
      </w:r>
    </w:p>
    <w:bookmarkEnd w:id="67"/>
    <w:p w14:paraId="14793899">
      <w:pPr>
        <w:pStyle w:val="117"/>
        <w:ind w:firstLine="480"/>
        <w:rPr>
          <w:rFonts w:hint="eastAsia"/>
        </w:rPr>
      </w:pPr>
      <w:r>
        <w:t>（4）分析可能存在的</w:t>
      </w:r>
      <w:r>
        <w:rPr>
          <w:rFonts w:hint="eastAsia"/>
        </w:rPr>
        <w:t>环境风险</w:t>
      </w:r>
      <w:r>
        <w:t>事故隐患，</w:t>
      </w:r>
      <w:r>
        <w:rPr>
          <w:rFonts w:hint="eastAsia"/>
        </w:rPr>
        <w:t>分析环境</w:t>
      </w:r>
      <w:r>
        <w:t>风险事故可能产生的环境影响程度，提出环境风险防范措施。</w:t>
      </w:r>
    </w:p>
    <w:p w14:paraId="097D01AE">
      <w:pPr>
        <w:pStyle w:val="117"/>
        <w:ind w:firstLine="480"/>
        <w:rPr>
          <w:rFonts w:hint="eastAsia"/>
        </w:rPr>
      </w:pPr>
      <w:bookmarkStart w:id="68" w:name="_Hlk33042290"/>
      <w:r>
        <w:rPr>
          <w:rFonts w:hint="eastAsia"/>
          <w:kern w:val="0"/>
          <w:szCs w:val="20"/>
          <w:lang w:bidi="ar"/>
        </w:rPr>
        <w:t>（5）通过上述评价，论证项目在环境方面的可行性，给出环境影响评价结论，为生态环境主管部门提供决策依据。</w:t>
      </w:r>
    </w:p>
    <w:bookmarkEnd w:id="68"/>
    <w:p w14:paraId="1BB61740">
      <w:pPr>
        <w:pStyle w:val="4"/>
        <w:rPr>
          <w:rFonts w:hint="eastAsia"/>
          <w:lang w:val="zh-CN"/>
        </w:rPr>
      </w:pPr>
      <w:bookmarkStart w:id="69" w:name="_Toc445996326"/>
      <w:bookmarkStart w:id="70" w:name="_Toc27929"/>
      <w:bookmarkStart w:id="71" w:name="_Toc445841964"/>
      <w:r>
        <w:rPr>
          <w:rFonts w:hint="eastAsia"/>
          <w:lang w:val="zh-CN"/>
        </w:rPr>
        <w:t>评价原则</w:t>
      </w:r>
      <w:bookmarkEnd w:id="69"/>
      <w:bookmarkEnd w:id="70"/>
      <w:bookmarkEnd w:id="71"/>
    </w:p>
    <w:p w14:paraId="33A6BE14">
      <w:pPr>
        <w:pStyle w:val="117"/>
        <w:ind w:firstLine="480"/>
        <w:rPr>
          <w:rFonts w:hint="eastAsia"/>
        </w:rPr>
      </w:pPr>
      <w:bookmarkStart w:id="72" w:name="_Hlk33042321"/>
      <w:r>
        <w:rPr>
          <w:rFonts w:hint="eastAsia"/>
        </w:rPr>
        <w:t>突出环境影响评价的源头预防作用，坚持保护和改善环境质量。</w:t>
      </w:r>
    </w:p>
    <w:bookmarkEnd w:id="72"/>
    <w:p w14:paraId="1ED6D837">
      <w:pPr>
        <w:pStyle w:val="117"/>
        <w:ind w:firstLine="480"/>
        <w:rPr>
          <w:rFonts w:hint="eastAsia"/>
        </w:rPr>
      </w:pPr>
      <w:r>
        <w:rPr>
          <w:rFonts w:hint="eastAsia"/>
        </w:rPr>
        <w:t>（1）依法评价</w:t>
      </w:r>
    </w:p>
    <w:p w14:paraId="33316C61">
      <w:pPr>
        <w:pStyle w:val="117"/>
        <w:spacing w:line="480" w:lineRule="exact"/>
        <w:ind w:firstLine="480"/>
        <w:rPr>
          <w:rFonts w:hint="eastAsia"/>
        </w:rPr>
      </w:pPr>
      <w:r>
        <w:rPr>
          <w:rFonts w:hint="eastAsia"/>
        </w:rPr>
        <w:t>贯彻执行国家和地方环境保护相关法律法规、标准、政策和规划等，优化项目建设、服务环境管理。</w:t>
      </w:r>
    </w:p>
    <w:p w14:paraId="0A179A23">
      <w:pPr>
        <w:pStyle w:val="117"/>
        <w:spacing w:line="480" w:lineRule="exact"/>
        <w:ind w:firstLine="480"/>
        <w:rPr>
          <w:rFonts w:hint="eastAsia"/>
        </w:rPr>
      </w:pPr>
      <w:r>
        <w:rPr>
          <w:rFonts w:hint="eastAsia"/>
        </w:rPr>
        <w:t>（2）科学评价</w:t>
      </w:r>
    </w:p>
    <w:p w14:paraId="4680DC79">
      <w:pPr>
        <w:pStyle w:val="117"/>
        <w:adjustRightInd w:val="0"/>
        <w:snapToGrid w:val="0"/>
        <w:ind w:firstLine="480"/>
        <w:rPr>
          <w:rFonts w:hint="eastAsia"/>
        </w:rPr>
      </w:pPr>
      <w:r>
        <w:rPr>
          <w:rFonts w:hint="eastAsia"/>
        </w:rPr>
        <w:t>采用规范的环境影响评价方法，科学分析项目建设对环境质量的影响。</w:t>
      </w:r>
    </w:p>
    <w:p w14:paraId="5896EACB">
      <w:pPr>
        <w:pStyle w:val="117"/>
        <w:spacing w:line="480" w:lineRule="exact"/>
        <w:ind w:firstLine="480"/>
        <w:rPr>
          <w:rFonts w:hint="eastAsia"/>
        </w:rPr>
      </w:pPr>
      <w:r>
        <w:rPr>
          <w:rFonts w:hint="eastAsia"/>
        </w:rPr>
        <w:t>（3）突出重点</w:t>
      </w:r>
    </w:p>
    <w:p w14:paraId="30BA499C">
      <w:pPr>
        <w:pStyle w:val="117"/>
        <w:spacing w:line="480" w:lineRule="exact"/>
        <w:ind w:firstLine="480"/>
        <w:rPr>
          <w:rFonts w:hint="eastAsia"/>
        </w:rPr>
      </w:pPr>
      <w:r>
        <w:rPr>
          <w:rFonts w:hint="eastAsia"/>
        </w:rPr>
        <w:t>根据建设项目的工程内容及其特点，明确与环境要素间的作用效应关系，充分利用符合时效的数据资料及成果，对主要环境影响予以重点分析和评价。</w:t>
      </w:r>
    </w:p>
    <w:p w14:paraId="75A6B3AB">
      <w:pPr>
        <w:pStyle w:val="2"/>
        <w:spacing w:line="480" w:lineRule="exact"/>
        <w:rPr>
          <w:rFonts w:hint="eastAsia"/>
          <w:lang w:val="zh-CN"/>
        </w:rPr>
      </w:pPr>
      <w:bookmarkStart w:id="73" w:name="_Toc160381864"/>
      <w:r>
        <w:rPr>
          <w:rFonts w:hint="eastAsia"/>
          <w:lang w:val="zh-CN"/>
        </w:rPr>
        <w:t>评价时段</w:t>
      </w:r>
      <w:bookmarkEnd w:id="73"/>
    </w:p>
    <w:p w14:paraId="1747AAB3">
      <w:pPr>
        <w:pStyle w:val="117"/>
        <w:spacing w:line="480" w:lineRule="exact"/>
        <w:ind w:firstLine="480"/>
        <w:rPr>
          <w:rFonts w:hint="eastAsia"/>
        </w:rPr>
      </w:pPr>
      <w:r>
        <w:rPr>
          <w:rFonts w:hint="eastAsia"/>
        </w:rPr>
        <w:t>根据项目特点，确定评价时段为施工期、运营期和退役期，其中以施工期和运营期为主。</w:t>
      </w:r>
    </w:p>
    <w:p w14:paraId="336C4701">
      <w:pPr>
        <w:pStyle w:val="2"/>
        <w:rPr>
          <w:rFonts w:hint="eastAsia"/>
          <w:lang w:val="zh-CN"/>
        </w:rPr>
      </w:pPr>
      <w:bookmarkStart w:id="74" w:name="_Toc160381865"/>
      <w:r>
        <w:rPr>
          <w:rFonts w:hint="eastAsia"/>
          <w:lang w:val="zh-CN"/>
        </w:rPr>
        <w:t>环境影响因素识别与评价因子确定</w:t>
      </w:r>
      <w:bookmarkEnd w:id="74"/>
    </w:p>
    <w:p w14:paraId="5BECD11F">
      <w:pPr>
        <w:pStyle w:val="117"/>
        <w:ind w:firstLine="480"/>
        <w:rPr>
          <w:rFonts w:hint="eastAsia"/>
        </w:rPr>
      </w:pPr>
      <w:r>
        <w:rPr>
          <w:rFonts w:hint="eastAsia"/>
        </w:rPr>
        <w:t>环境影响因素包括：施工期——对环境的影响主要为施工扬尘、柴油机发电机燃烧烟气、施工机械及车辆尾气、焊接废气、管道试压废水、混凝土养护废水、生活污水、噪声、钻井岩屑、生活垃圾、废润滑油、废润滑油桶、沾油废防渗材料和建筑垃圾及工程占地对生态环境的影响；</w:t>
      </w:r>
    </w:p>
    <w:p w14:paraId="3DAA5F9F">
      <w:pPr>
        <w:pStyle w:val="117"/>
        <w:ind w:firstLine="480"/>
        <w:rPr>
          <w:rFonts w:hint="eastAsia"/>
        </w:rPr>
      </w:pPr>
      <w:r>
        <w:rPr>
          <w:rFonts w:hint="eastAsia"/>
        </w:rPr>
        <w:t>运营期——对环境的影响主要为无组织挥发性有机物、无组织硫化氢、放空火炬燃烧烟气、洗井废水、井下作业废液、清罐底泥、废润滑油、废润滑油桶、废含油抹布、劳保用品、沾油废防渗材料和废脱硫剂包装物等，各要素的影响程度见表2.4-1。</w:t>
      </w:r>
    </w:p>
    <w:p w14:paraId="7C4C2A10">
      <w:pPr>
        <w:pStyle w:val="15"/>
        <w:rPr>
          <w:rFonts w:hint="eastAsia"/>
        </w:rPr>
      </w:pPr>
      <w:r>
        <w:rPr>
          <w:rFonts w:hint="eastAsia"/>
        </w:rPr>
        <w:t>表2.4-1  环境</w:t>
      </w:r>
      <w:r>
        <w:t>影响因素识别一览表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31"/>
        <w:gridCol w:w="771"/>
        <w:gridCol w:w="2185"/>
        <w:gridCol w:w="1156"/>
        <w:gridCol w:w="875"/>
        <w:gridCol w:w="870"/>
        <w:gridCol w:w="1163"/>
        <w:gridCol w:w="728"/>
        <w:gridCol w:w="667"/>
      </w:tblGrid>
      <w:tr w14:paraId="76BED6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297" w:type="pct"/>
            <w:vMerge w:val="restart"/>
            <w:shd w:val="clear" w:color="auto" w:fill="auto"/>
            <w:vAlign w:val="center"/>
          </w:tcPr>
          <w:p w14:paraId="10F693A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时段</w:t>
            </w:r>
          </w:p>
        </w:tc>
        <w:tc>
          <w:tcPr>
            <w:tcW w:w="1652" w:type="pct"/>
            <w:gridSpan w:val="2"/>
            <w:vMerge w:val="restart"/>
            <w:shd w:val="clear" w:color="auto" w:fill="auto"/>
            <w:vAlign w:val="center"/>
          </w:tcPr>
          <w:p w14:paraId="5E8A966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影响因素</w:t>
            </w:r>
          </w:p>
        </w:tc>
        <w:tc>
          <w:tcPr>
            <w:tcW w:w="3052" w:type="pct"/>
            <w:gridSpan w:val="6"/>
            <w:shd w:val="clear" w:color="auto" w:fill="auto"/>
            <w:vAlign w:val="center"/>
          </w:tcPr>
          <w:p w14:paraId="05B7C9A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环境要素</w:t>
            </w:r>
          </w:p>
        </w:tc>
      </w:tr>
      <w:tr w14:paraId="41CCC5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297" w:type="pct"/>
            <w:vMerge w:val="continue"/>
            <w:shd w:val="clear" w:color="auto" w:fill="auto"/>
            <w:vAlign w:val="center"/>
          </w:tcPr>
          <w:p w14:paraId="123491CD">
            <w:pPr>
              <w:widowControl/>
              <w:adjustRightInd w:val="0"/>
              <w:snapToGrid w:val="0"/>
              <w:spacing w:line="300" w:lineRule="exact"/>
              <w:jc w:val="center"/>
              <w:rPr>
                <w:rFonts w:hint="eastAsia" w:ascii="宋体" w:hAnsi="宋体" w:cs="宋体"/>
                <w:kern w:val="0"/>
                <w:szCs w:val="21"/>
              </w:rPr>
            </w:pPr>
          </w:p>
        </w:tc>
        <w:tc>
          <w:tcPr>
            <w:tcW w:w="1652" w:type="pct"/>
            <w:gridSpan w:val="2"/>
            <w:vMerge w:val="continue"/>
            <w:shd w:val="clear" w:color="auto" w:fill="auto"/>
            <w:vAlign w:val="center"/>
          </w:tcPr>
          <w:p w14:paraId="05CA3187">
            <w:pPr>
              <w:widowControl/>
              <w:adjustRightInd w:val="0"/>
              <w:snapToGrid w:val="0"/>
              <w:spacing w:line="300" w:lineRule="exact"/>
              <w:jc w:val="center"/>
              <w:rPr>
                <w:rFonts w:hint="eastAsia" w:ascii="宋体" w:hAnsi="宋体" w:cs="宋体"/>
                <w:kern w:val="0"/>
                <w:szCs w:val="21"/>
              </w:rPr>
            </w:pPr>
          </w:p>
        </w:tc>
        <w:tc>
          <w:tcPr>
            <w:tcW w:w="646" w:type="pct"/>
            <w:shd w:val="clear" w:color="auto" w:fill="auto"/>
            <w:vAlign w:val="center"/>
          </w:tcPr>
          <w:p w14:paraId="38DAC98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环境空气</w:t>
            </w:r>
          </w:p>
        </w:tc>
        <w:tc>
          <w:tcPr>
            <w:tcW w:w="489" w:type="pct"/>
            <w:shd w:val="clear" w:color="auto" w:fill="auto"/>
            <w:vAlign w:val="center"/>
          </w:tcPr>
          <w:p w14:paraId="3C7236C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地下水</w:t>
            </w:r>
          </w:p>
        </w:tc>
        <w:tc>
          <w:tcPr>
            <w:tcW w:w="486" w:type="pct"/>
            <w:shd w:val="clear" w:color="auto" w:fill="auto"/>
            <w:vAlign w:val="center"/>
          </w:tcPr>
          <w:p w14:paraId="04AD52D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声环境</w:t>
            </w:r>
          </w:p>
        </w:tc>
        <w:tc>
          <w:tcPr>
            <w:tcW w:w="650" w:type="pct"/>
            <w:shd w:val="clear" w:color="auto" w:fill="auto"/>
            <w:vAlign w:val="center"/>
          </w:tcPr>
          <w:p w14:paraId="0850631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土壤环境</w:t>
            </w:r>
          </w:p>
        </w:tc>
        <w:tc>
          <w:tcPr>
            <w:tcW w:w="407" w:type="pct"/>
            <w:shd w:val="clear" w:color="auto" w:fill="auto"/>
            <w:vAlign w:val="center"/>
          </w:tcPr>
          <w:p w14:paraId="0EF73B4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植被</w:t>
            </w:r>
          </w:p>
        </w:tc>
        <w:tc>
          <w:tcPr>
            <w:tcW w:w="373" w:type="pct"/>
            <w:shd w:val="clear" w:color="auto" w:fill="auto"/>
            <w:vAlign w:val="center"/>
          </w:tcPr>
          <w:p w14:paraId="3DAA1AA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动物</w:t>
            </w:r>
          </w:p>
        </w:tc>
      </w:tr>
      <w:tr w14:paraId="3D7715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restart"/>
            <w:shd w:val="clear" w:color="auto" w:fill="auto"/>
            <w:vAlign w:val="center"/>
          </w:tcPr>
          <w:p w14:paraId="67B2EAE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施工期</w:t>
            </w:r>
          </w:p>
        </w:tc>
        <w:tc>
          <w:tcPr>
            <w:tcW w:w="431" w:type="pct"/>
            <w:shd w:val="clear" w:color="auto" w:fill="auto"/>
            <w:vAlign w:val="center"/>
          </w:tcPr>
          <w:p w14:paraId="55EBC74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生态</w:t>
            </w:r>
          </w:p>
        </w:tc>
        <w:tc>
          <w:tcPr>
            <w:tcW w:w="1221" w:type="pct"/>
            <w:shd w:val="clear" w:color="auto" w:fill="auto"/>
            <w:vAlign w:val="center"/>
          </w:tcPr>
          <w:p w14:paraId="5148398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占地</w:t>
            </w:r>
          </w:p>
        </w:tc>
        <w:tc>
          <w:tcPr>
            <w:tcW w:w="646" w:type="pct"/>
            <w:shd w:val="clear" w:color="auto" w:fill="auto"/>
            <w:vAlign w:val="center"/>
          </w:tcPr>
          <w:p w14:paraId="5AD3778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7D9DA2E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6" w:type="pct"/>
            <w:shd w:val="clear" w:color="auto" w:fill="auto"/>
            <w:vAlign w:val="center"/>
          </w:tcPr>
          <w:p w14:paraId="237F537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66B26E5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663F3B6B">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22D76CD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346A41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1C92CF32">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47236D8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废气</w:t>
            </w:r>
          </w:p>
        </w:tc>
        <w:tc>
          <w:tcPr>
            <w:tcW w:w="1221" w:type="pct"/>
            <w:shd w:val="clear" w:color="auto" w:fill="auto"/>
            <w:vAlign w:val="center"/>
          </w:tcPr>
          <w:p w14:paraId="352EC9D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施工扬尘、</w:t>
            </w:r>
            <w:r>
              <w:rPr>
                <w:rFonts w:hint="eastAsia"/>
              </w:rPr>
              <w:t>柴油机发电机燃烧烟气、施工机械及车辆尾气、焊接废气</w:t>
            </w:r>
          </w:p>
        </w:tc>
        <w:tc>
          <w:tcPr>
            <w:tcW w:w="646" w:type="pct"/>
            <w:shd w:val="clear" w:color="auto" w:fill="auto"/>
            <w:vAlign w:val="center"/>
          </w:tcPr>
          <w:p w14:paraId="5F02DEA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9" w:type="pct"/>
            <w:shd w:val="clear" w:color="auto" w:fill="auto"/>
            <w:vAlign w:val="center"/>
          </w:tcPr>
          <w:p w14:paraId="0C239AF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6" w:type="pct"/>
            <w:shd w:val="clear" w:color="auto" w:fill="auto"/>
            <w:vAlign w:val="center"/>
          </w:tcPr>
          <w:p w14:paraId="4CFB918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6A09AAB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07" w:type="pct"/>
            <w:shd w:val="clear" w:color="auto" w:fill="auto"/>
            <w:vAlign w:val="center"/>
          </w:tcPr>
          <w:p w14:paraId="0FE66EA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162F6CB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6E7D40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6B5FE553">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58ED9DD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废水</w:t>
            </w:r>
          </w:p>
        </w:tc>
        <w:tc>
          <w:tcPr>
            <w:tcW w:w="1221" w:type="pct"/>
            <w:shd w:val="clear" w:color="auto" w:fill="auto"/>
            <w:vAlign w:val="center"/>
          </w:tcPr>
          <w:p w14:paraId="2ECCD7C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管道试压废水、混凝土养护废水和生活污水</w:t>
            </w:r>
          </w:p>
        </w:tc>
        <w:tc>
          <w:tcPr>
            <w:tcW w:w="646" w:type="pct"/>
            <w:shd w:val="clear" w:color="auto" w:fill="auto"/>
            <w:vAlign w:val="center"/>
          </w:tcPr>
          <w:p w14:paraId="037FFB7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9" w:type="pct"/>
            <w:shd w:val="clear" w:color="auto" w:fill="auto"/>
            <w:vAlign w:val="center"/>
          </w:tcPr>
          <w:p w14:paraId="5FDEC0D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6" w:type="pct"/>
            <w:shd w:val="clear" w:color="auto" w:fill="auto"/>
            <w:vAlign w:val="center"/>
          </w:tcPr>
          <w:p w14:paraId="7F991CA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650" w:type="pct"/>
            <w:shd w:val="clear" w:color="auto" w:fill="auto"/>
            <w:vAlign w:val="center"/>
          </w:tcPr>
          <w:p w14:paraId="2FECE1A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07" w:type="pct"/>
            <w:shd w:val="clear" w:color="auto" w:fill="auto"/>
            <w:vAlign w:val="center"/>
          </w:tcPr>
          <w:p w14:paraId="2D9972F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373" w:type="pct"/>
            <w:shd w:val="clear" w:color="auto" w:fill="auto"/>
            <w:vAlign w:val="center"/>
          </w:tcPr>
          <w:p w14:paraId="72DB9F5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r>
      <w:tr w14:paraId="76D936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560EEC0B">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15823A3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固废</w:t>
            </w:r>
          </w:p>
        </w:tc>
        <w:tc>
          <w:tcPr>
            <w:tcW w:w="1221" w:type="pct"/>
            <w:shd w:val="clear" w:color="auto" w:fill="auto"/>
            <w:vAlign w:val="center"/>
          </w:tcPr>
          <w:p w14:paraId="3FFF1542">
            <w:pPr>
              <w:widowControl/>
              <w:adjustRightInd w:val="0"/>
              <w:snapToGrid w:val="0"/>
              <w:spacing w:line="300" w:lineRule="exact"/>
              <w:jc w:val="center"/>
              <w:rPr>
                <w:rFonts w:hint="eastAsia" w:ascii="宋体" w:hAnsi="宋体" w:cs="宋体"/>
                <w:kern w:val="0"/>
                <w:szCs w:val="21"/>
              </w:rPr>
            </w:pPr>
            <w:r>
              <w:rPr>
                <w:rFonts w:hint="eastAsia"/>
              </w:rPr>
              <w:t>钻井岩屑、生活垃圾、废润滑油、废润滑油桶、沾油废防渗材料和建筑垃圾</w:t>
            </w:r>
          </w:p>
        </w:tc>
        <w:tc>
          <w:tcPr>
            <w:tcW w:w="646" w:type="pct"/>
            <w:shd w:val="clear" w:color="auto" w:fill="auto"/>
            <w:vAlign w:val="center"/>
          </w:tcPr>
          <w:p w14:paraId="37DF6C4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114AB25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6" w:type="pct"/>
            <w:shd w:val="clear" w:color="auto" w:fill="auto"/>
            <w:vAlign w:val="center"/>
          </w:tcPr>
          <w:p w14:paraId="79A7C04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3388C22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208E3CC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0BBD43A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7FF617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060B09B6">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7080517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噪声</w:t>
            </w:r>
          </w:p>
        </w:tc>
        <w:tc>
          <w:tcPr>
            <w:tcW w:w="1221" w:type="pct"/>
            <w:shd w:val="clear" w:color="auto" w:fill="auto"/>
            <w:vAlign w:val="center"/>
          </w:tcPr>
          <w:p w14:paraId="05C27E4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施工车辆、施工设备</w:t>
            </w:r>
          </w:p>
        </w:tc>
        <w:tc>
          <w:tcPr>
            <w:tcW w:w="646" w:type="pct"/>
            <w:shd w:val="clear" w:color="auto" w:fill="auto"/>
            <w:vAlign w:val="center"/>
          </w:tcPr>
          <w:p w14:paraId="117426D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3001E76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6" w:type="pct"/>
            <w:shd w:val="clear" w:color="auto" w:fill="auto"/>
            <w:vAlign w:val="center"/>
          </w:tcPr>
          <w:p w14:paraId="5417658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650" w:type="pct"/>
            <w:shd w:val="clear" w:color="auto" w:fill="auto"/>
            <w:vAlign w:val="center"/>
          </w:tcPr>
          <w:p w14:paraId="20A0048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07" w:type="pct"/>
            <w:shd w:val="clear" w:color="auto" w:fill="auto"/>
            <w:vAlign w:val="center"/>
          </w:tcPr>
          <w:p w14:paraId="35DB7AC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373" w:type="pct"/>
            <w:shd w:val="clear" w:color="auto" w:fill="auto"/>
            <w:vAlign w:val="center"/>
          </w:tcPr>
          <w:p w14:paraId="4000F64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41F746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restart"/>
            <w:shd w:val="clear" w:color="auto" w:fill="auto"/>
            <w:vAlign w:val="center"/>
          </w:tcPr>
          <w:p w14:paraId="1EEBC68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运营期</w:t>
            </w:r>
          </w:p>
        </w:tc>
        <w:tc>
          <w:tcPr>
            <w:tcW w:w="431" w:type="pct"/>
            <w:shd w:val="clear" w:color="auto" w:fill="auto"/>
            <w:vAlign w:val="center"/>
          </w:tcPr>
          <w:p w14:paraId="562CA85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废气</w:t>
            </w:r>
          </w:p>
        </w:tc>
        <w:tc>
          <w:tcPr>
            <w:tcW w:w="1221" w:type="pct"/>
            <w:shd w:val="clear" w:color="auto" w:fill="auto"/>
            <w:vAlign w:val="center"/>
          </w:tcPr>
          <w:p w14:paraId="0A424C3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无组织挥发烃类、硫化氢、放空火炬燃烧烟气</w:t>
            </w:r>
          </w:p>
        </w:tc>
        <w:tc>
          <w:tcPr>
            <w:tcW w:w="646" w:type="pct"/>
            <w:shd w:val="clear" w:color="auto" w:fill="auto"/>
            <w:vAlign w:val="center"/>
          </w:tcPr>
          <w:p w14:paraId="2C72F8E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9" w:type="pct"/>
            <w:shd w:val="clear" w:color="auto" w:fill="auto"/>
            <w:vAlign w:val="center"/>
          </w:tcPr>
          <w:p w14:paraId="51C399B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6" w:type="pct"/>
            <w:shd w:val="clear" w:color="auto" w:fill="auto"/>
            <w:vAlign w:val="center"/>
          </w:tcPr>
          <w:p w14:paraId="57ED25F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3FD5A9A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07" w:type="pct"/>
            <w:shd w:val="clear" w:color="auto" w:fill="auto"/>
            <w:vAlign w:val="center"/>
          </w:tcPr>
          <w:p w14:paraId="02DA455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0AA39E2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1C7C1B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464B9DBA">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5DEEC96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废水</w:t>
            </w:r>
          </w:p>
        </w:tc>
        <w:tc>
          <w:tcPr>
            <w:tcW w:w="1221" w:type="pct"/>
            <w:shd w:val="clear" w:color="auto" w:fill="auto"/>
            <w:vAlign w:val="center"/>
          </w:tcPr>
          <w:p w14:paraId="2CB05BCA">
            <w:pPr>
              <w:widowControl/>
              <w:adjustRightInd w:val="0"/>
              <w:snapToGrid w:val="0"/>
              <w:spacing w:line="300" w:lineRule="exact"/>
              <w:jc w:val="center"/>
              <w:rPr>
                <w:rFonts w:hint="eastAsia" w:ascii="宋体" w:hAnsi="宋体" w:cs="宋体"/>
                <w:kern w:val="0"/>
                <w:szCs w:val="21"/>
              </w:rPr>
            </w:pPr>
            <w:r>
              <w:rPr>
                <w:rFonts w:hint="eastAsia"/>
              </w:rPr>
              <w:t>洗井废水、井下作业废液</w:t>
            </w:r>
          </w:p>
        </w:tc>
        <w:tc>
          <w:tcPr>
            <w:tcW w:w="646" w:type="pct"/>
            <w:shd w:val="clear" w:color="auto" w:fill="auto"/>
            <w:vAlign w:val="center"/>
          </w:tcPr>
          <w:p w14:paraId="04BE2E2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0EFD328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6" w:type="pct"/>
            <w:shd w:val="clear" w:color="auto" w:fill="auto"/>
            <w:vAlign w:val="center"/>
          </w:tcPr>
          <w:p w14:paraId="228782B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43AF5A8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393022D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06B658D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1AF028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603DE228">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411A087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固废</w:t>
            </w:r>
          </w:p>
        </w:tc>
        <w:tc>
          <w:tcPr>
            <w:tcW w:w="1221" w:type="pct"/>
            <w:shd w:val="clear" w:color="auto" w:fill="auto"/>
            <w:vAlign w:val="center"/>
          </w:tcPr>
          <w:p w14:paraId="1EC3F209">
            <w:pPr>
              <w:widowControl/>
              <w:adjustRightInd w:val="0"/>
              <w:snapToGrid w:val="0"/>
              <w:spacing w:line="300" w:lineRule="exact"/>
              <w:jc w:val="center"/>
              <w:rPr>
                <w:rFonts w:hint="eastAsia" w:ascii="宋体" w:hAnsi="宋体" w:cs="宋体"/>
                <w:kern w:val="0"/>
                <w:szCs w:val="21"/>
              </w:rPr>
            </w:pPr>
            <w:r>
              <w:rPr>
                <w:rFonts w:hint="eastAsia"/>
              </w:rPr>
              <w:t>清罐底泥、废润滑油、废润滑油桶、废含油抹布、劳保用品、废防渗材料和废脱硫剂包装物</w:t>
            </w:r>
          </w:p>
        </w:tc>
        <w:tc>
          <w:tcPr>
            <w:tcW w:w="646" w:type="pct"/>
            <w:shd w:val="clear" w:color="auto" w:fill="auto"/>
            <w:vAlign w:val="center"/>
          </w:tcPr>
          <w:p w14:paraId="5E29023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66469B4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6" w:type="pct"/>
            <w:shd w:val="clear" w:color="auto" w:fill="auto"/>
            <w:vAlign w:val="center"/>
          </w:tcPr>
          <w:p w14:paraId="3DBF951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79C8345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108D511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186CA48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5F4082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0A4FB550">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2EEB719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噪声</w:t>
            </w:r>
          </w:p>
        </w:tc>
        <w:tc>
          <w:tcPr>
            <w:tcW w:w="1221" w:type="pct"/>
            <w:shd w:val="clear" w:color="auto" w:fill="auto"/>
            <w:vAlign w:val="center"/>
          </w:tcPr>
          <w:p w14:paraId="19726CA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各类机泵</w:t>
            </w:r>
          </w:p>
        </w:tc>
        <w:tc>
          <w:tcPr>
            <w:tcW w:w="646" w:type="pct"/>
            <w:shd w:val="clear" w:color="auto" w:fill="auto"/>
            <w:vAlign w:val="center"/>
          </w:tcPr>
          <w:p w14:paraId="55BFFE1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4184938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6" w:type="pct"/>
            <w:shd w:val="clear" w:color="auto" w:fill="auto"/>
            <w:vAlign w:val="center"/>
          </w:tcPr>
          <w:p w14:paraId="161B5DB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650" w:type="pct"/>
            <w:shd w:val="clear" w:color="auto" w:fill="auto"/>
            <w:vAlign w:val="center"/>
          </w:tcPr>
          <w:p w14:paraId="32E7ACA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07" w:type="pct"/>
            <w:shd w:val="clear" w:color="auto" w:fill="auto"/>
            <w:vAlign w:val="center"/>
          </w:tcPr>
          <w:p w14:paraId="7CD7FEE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373" w:type="pct"/>
            <w:shd w:val="clear" w:color="auto" w:fill="auto"/>
            <w:vAlign w:val="center"/>
          </w:tcPr>
          <w:p w14:paraId="0559C0A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r>
      <w:tr w14:paraId="56415D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48CB6168">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3D649D5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环境风险</w:t>
            </w:r>
          </w:p>
        </w:tc>
        <w:tc>
          <w:tcPr>
            <w:tcW w:w="1221" w:type="pct"/>
            <w:shd w:val="clear" w:color="auto" w:fill="auto"/>
            <w:vAlign w:val="center"/>
          </w:tcPr>
          <w:p w14:paraId="57F4BBD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管线、拉油方罐泄漏、套管破损泄漏；井喷</w:t>
            </w:r>
          </w:p>
        </w:tc>
        <w:tc>
          <w:tcPr>
            <w:tcW w:w="646" w:type="pct"/>
            <w:shd w:val="clear" w:color="auto" w:fill="auto"/>
            <w:vAlign w:val="center"/>
          </w:tcPr>
          <w:p w14:paraId="62D6170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9" w:type="pct"/>
            <w:shd w:val="clear" w:color="auto" w:fill="auto"/>
            <w:vAlign w:val="center"/>
          </w:tcPr>
          <w:p w14:paraId="4A3DE95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6" w:type="pct"/>
            <w:shd w:val="clear" w:color="auto" w:fill="auto"/>
            <w:vAlign w:val="center"/>
          </w:tcPr>
          <w:p w14:paraId="442D963B">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23E9374B">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44FAF44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6A799B2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699FC3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restart"/>
            <w:shd w:val="clear" w:color="auto" w:fill="auto"/>
            <w:vAlign w:val="center"/>
          </w:tcPr>
          <w:p w14:paraId="24B3155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退役期</w:t>
            </w:r>
          </w:p>
        </w:tc>
        <w:tc>
          <w:tcPr>
            <w:tcW w:w="431" w:type="pct"/>
            <w:shd w:val="clear" w:color="auto" w:fill="auto"/>
            <w:vAlign w:val="center"/>
          </w:tcPr>
          <w:p w14:paraId="054617C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废气</w:t>
            </w:r>
          </w:p>
        </w:tc>
        <w:tc>
          <w:tcPr>
            <w:tcW w:w="1221" w:type="pct"/>
            <w:shd w:val="clear" w:color="auto" w:fill="auto"/>
            <w:vAlign w:val="center"/>
          </w:tcPr>
          <w:p w14:paraId="6D0BD69B">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施工扬尘、汽车尾气</w:t>
            </w:r>
          </w:p>
        </w:tc>
        <w:tc>
          <w:tcPr>
            <w:tcW w:w="646" w:type="pct"/>
            <w:shd w:val="clear" w:color="auto" w:fill="auto"/>
            <w:vAlign w:val="center"/>
          </w:tcPr>
          <w:p w14:paraId="7A34EEEB">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9" w:type="pct"/>
            <w:shd w:val="clear" w:color="auto" w:fill="auto"/>
            <w:vAlign w:val="center"/>
          </w:tcPr>
          <w:p w14:paraId="5BBE9BE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6" w:type="pct"/>
            <w:shd w:val="clear" w:color="auto" w:fill="auto"/>
            <w:vAlign w:val="center"/>
          </w:tcPr>
          <w:p w14:paraId="3A6F50A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650" w:type="pct"/>
            <w:shd w:val="clear" w:color="auto" w:fill="auto"/>
            <w:vAlign w:val="center"/>
          </w:tcPr>
          <w:p w14:paraId="5B769DF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7096F18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69BBEDD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2D631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311D8A0F">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55461DC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噪声</w:t>
            </w:r>
          </w:p>
        </w:tc>
        <w:tc>
          <w:tcPr>
            <w:tcW w:w="1221" w:type="pct"/>
            <w:shd w:val="clear" w:color="auto" w:fill="auto"/>
            <w:vAlign w:val="center"/>
          </w:tcPr>
          <w:p w14:paraId="7DF0CA8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施工车辆及机械</w:t>
            </w:r>
          </w:p>
        </w:tc>
        <w:tc>
          <w:tcPr>
            <w:tcW w:w="646" w:type="pct"/>
            <w:shd w:val="clear" w:color="auto" w:fill="auto"/>
            <w:vAlign w:val="center"/>
          </w:tcPr>
          <w:p w14:paraId="1995C30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9" w:type="pct"/>
            <w:shd w:val="clear" w:color="auto" w:fill="auto"/>
            <w:vAlign w:val="center"/>
          </w:tcPr>
          <w:p w14:paraId="2168C43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6" w:type="pct"/>
            <w:shd w:val="clear" w:color="auto" w:fill="auto"/>
            <w:vAlign w:val="center"/>
          </w:tcPr>
          <w:p w14:paraId="4B3CE49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650" w:type="pct"/>
            <w:shd w:val="clear" w:color="auto" w:fill="auto"/>
            <w:vAlign w:val="center"/>
          </w:tcPr>
          <w:p w14:paraId="7A1AA14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07" w:type="pct"/>
            <w:shd w:val="clear" w:color="auto" w:fill="auto"/>
            <w:vAlign w:val="center"/>
          </w:tcPr>
          <w:p w14:paraId="6AA985D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373" w:type="pct"/>
            <w:shd w:val="clear" w:color="auto" w:fill="auto"/>
            <w:vAlign w:val="center"/>
          </w:tcPr>
          <w:p w14:paraId="047F942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7CBA79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723FD616">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1604F07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废水</w:t>
            </w:r>
          </w:p>
        </w:tc>
        <w:tc>
          <w:tcPr>
            <w:tcW w:w="1221" w:type="pct"/>
            <w:shd w:val="clear" w:color="auto" w:fill="auto"/>
            <w:vAlign w:val="center"/>
          </w:tcPr>
          <w:p w14:paraId="568AFE3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管道吹扫废水</w:t>
            </w:r>
          </w:p>
        </w:tc>
        <w:tc>
          <w:tcPr>
            <w:tcW w:w="646" w:type="pct"/>
            <w:shd w:val="clear" w:color="auto" w:fill="auto"/>
            <w:vAlign w:val="center"/>
          </w:tcPr>
          <w:p w14:paraId="2D4697A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489" w:type="pct"/>
            <w:shd w:val="clear" w:color="auto" w:fill="auto"/>
            <w:vAlign w:val="center"/>
          </w:tcPr>
          <w:p w14:paraId="0834090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86" w:type="pct"/>
            <w:shd w:val="clear" w:color="auto" w:fill="auto"/>
            <w:vAlign w:val="center"/>
          </w:tcPr>
          <w:p w14:paraId="4F4B2FF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O</w:t>
            </w:r>
          </w:p>
        </w:tc>
        <w:tc>
          <w:tcPr>
            <w:tcW w:w="650" w:type="pct"/>
            <w:shd w:val="clear" w:color="auto" w:fill="auto"/>
            <w:vAlign w:val="center"/>
          </w:tcPr>
          <w:p w14:paraId="127B786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25C6322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3F7EC0E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r w14:paraId="31501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97" w:type="pct"/>
            <w:vMerge w:val="continue"/>
            <w:shd w:val="clear" w:color="auto" w:fill="auto"/>
            <w:vAlign w:val="center"/>
          </w:tcPr>
          <w:p w14:paraId="4D1744A7">
            <w:pPr>
              <w:widowControl/>
              <w:adjustRightInd w:val="0"/>
              <w:snapToGrid w:val="0"/>
              <w:spacing w:line="300" w:lineRule="exact"/>
              <w:jc w:val="center"/>
              <w:rPr>
                <w:rFonts w:hint="eastAsia" w:ascii="宋体" w:hAnsi="宋体" w:cs="宋体"/>
                <w:kern w:val="0"/>
                <w:szCs w:val="21"/>
              </w:rPr>
            </w:pPr>
          </w:p>
        </w:tc>
        <w:tc>
          <w:tcPr>
            <w:tcW w:w="431" w:type="pct"/>
            <w:shd w:val="clear" w:color="auto" w:fill="auto"/>
            <w:vAlign w:val="center"/>
          </w:tcPr>
          <w:p w14:paraId="10B18AB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固废</w:t>
            </w:r>
          </w:p>
        </w:tc>
        <w:tc>
          <w:tcPr>
            <w:tcW w:w="1221" w:type="pct"/>
            <w:shd w:val="clear" w:color="auto" w:fill="auto"/>
            <w:vAlign w:val="center"/>
          </w:tcPr>
          <w:p w14:paraId="062281D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拆卸后的建筑垃圾、废弃管线</w:t>
            </w:r>
          </w:p>
        </w:tc>
        <w:tc>
          <w:tcPr>
            <w:tcW w:w="646" w:type="pct"/>
            <w:shd w:val="clear" w:color="auto" w:fill="auto"/>
            <w:vAlign w:val="center"/>
          </w:tcPr>
          <w:p w14:paraId="74DBF14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9" w:type="pct"/>
            <w:shd w:val="clear" w:color="auto" w:fill="auto"/>
            <w:vAlign w:val="center"/>
          </w:tcPr>
          <w:p w14:paraId="34C3A79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486" w:type="pct"/>
            <w:shd w:val="clear" w:color="auto" w:fill="auto"/>
            <w:vAlign w:val="center"/>
          </w:tcPr>
          <w:p w14:paraId="5100A59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w:t>
            </w:r>
          </w:p>
        </w:tc>
        <w:tc>
          <w:tcPr>
            <w:tcW w:w="650" w:type="pct"/>
            <w:shd w:val="clear" w:color="auto" w:fill="auto"/>
            <w:vAlign w:val="center"/>
          </w:tcPr>
          <w:p w14:paraId="20DC8C7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407" w:type="pct"/>
            <w:shd w:val="clear" w:color="auto" w:fill="auto"/>
            <w:vAlign w:val="center"/>
          </w:tcPr>
          <w:p w14:paraId="48063E9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c>
          <w:tcPr>
            <w:tcW w:w="373" w:type="pct"/>
            <w:shd w:val="clear" w:color="auto" w:fill="auto"/>
            <w:vAlign w:val="center"/>
          </w:tcPr>
          <w:p w14:paraId="329C4D5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w:t>
            </w:r>
          </w:p>
        </w:tc>
      </w:tr>
    </w:tbl>
    <w:p w14:paraId="6903A8C7">
      <w:pPr>
        <w:spacing w:line="240" w:lineRule="exact"/>
        <w:rPr>
          <w:rFonts w:hint="eastAsia" w:ascii="宋体" w:hAnsi="宋体"/>
          <w:b/>
          <w:sz w:val="18"/>
          <w:szCs w:val="18"/>
        </w:rPr>
      </w:pPr>
      <w:r>
        <w:rPr>
          <w:rFonts w:hint="eastAsia" w:ascii="宋体" w:hAnsi="宋体"/>
          <w:b/>
          <w:sz w:val="18"/>
          <w:szCs w:val="18"/>
        </w:rPr>
        <w:t>注：</w:t>
      </w:r>
      <w:r>
        <w:rPr>
          <w:rFonts w:ascii="宋体" w:hAnsi="宋体"/>
          <w:b/>
          <w:sz w:val="18"/>
          <w:szCs w:val="18"/>
        </w:rPr>
        <w:t>O</w:t>
      </w:r>
      <w:r>
        <w:rPr>
          <w:rFonts w:hint="eastAsia" w:ascii="宋体" w:hAnsi="宋体"/>
          <w:b/>
          <w:sz w:val="18"/>
          <w:szCs w:val="18"/>
        </w:rPr>
        <w:t>：无影响；+：短期不利影响；++：长期不利影响。</w:t>
      </w:r>
    </w:p>
    <w:p w14:paraId="4C6ECE82">
      <w:pPr>
        <w:pStyle w:val="191"/>
        <w:ind w:firstLine="480"/>
        <w:rPr>
          <w:rFonts w:hint="eastAsia"/>
        </w:rPr>
      </w:pPr>
      <w:r>
        <w:rPr>
          <w:rFonts w:hint="eastAsia"/>
        </w:rPr>
        <w:t>根据环境影响因素、特征污染因子识别结果、《</w:t>
      </w:r>
      <w:r>
        <w:fldChar w:fldCharType="begin"/>
      </w:r>
      <w:r>
        <w:instrText xml:space="preserve"> HYPERLINK "https://www.mee.gov.cn/ywgz/fgbz/bz/bzwb/other/pjjsdz/202308/W020230823384966732141.pdf" </w:instrText>
      </w:r>
      <w:r>
        <w:fldChar w:fldCharType="separate"/>
      </w:r>
      <w:r>
        <w:rPr>
          <w:rFonts w:hint="eastAsia"/>
        </w:rPr>
        <w:t>环境影响评价技术导则 陆地石油天然气开发建设项目</w:t>
      </w:r>
      <w:r>
        <w:rPr>
          <w:rFonts w:hint="eastAsia"/>
        </w:rPr>
        <w:fldChar w:fldCharType="end"/>
      </w:r>
      <w:r>
        <w:rPr>
          <w:rFonts w:hint="eastAsia"/>
        </w:rPr>
        <w:t>》（HJ349—2023）附录B建设项目环境影响评价因子一览表，并结合本区环境质量状况，筛选本次评价因子，因</w:t>
      </w:r>
      <w:r>
        <w:rPr>
          <w:rFonts w:hint="eastAsia"/>
          <w:szCs w:val="20"/>
        </w:rPr>
        <w:t>《土壤环境质量</w:t>
      </w:r>
      <w:r>
        <w:rPr>
          <w:szCs w:val="20"/>
        </w:rPr>
        <w:t xml:space="preserve">  </w:t>
      </w:r>
      <w:r>
        <w:rPr>
          <w:rFonts w:hint="eastAsia"/>
          <w:szCs w:val="20"/>
        </w:rPr>
        <w:t>建设用地土壤污染风险管控标准（试行）》（</w:t>
      </w:r>
      <w:r>
        <w:rPr>
          <w:szCs w:val="20"/>
        </w:rPr>
        <w:t>GB36600-2018</w:t>
      </w:r>
      <w:r>
        <w:rPr>
          <w:rFonts w:hint="eastAsia"/>
          <w:szCs w:val="20"/>
        </w:rPr>
        <w:t>）和</w:t>
      </w:r>
      <w:r>
        <w:rPr>
          <w:rFonts w:hint="eastAsia" w:cs="宋体"/>
          <w:szCs w:val="21"/>
        </w:rPr>
        <w:t>《土壤环境质量 农用地土壤污染风险管控标准（试行）》(GB15618—2018)中未规定石油类、</w:t>
      </w:r>
      <w:r>
        <w:rPr>
          <w:rFonts w:hint="eastAsia" w:cstheme="minorBidi"/>
          <w:spacing w:val="-7"/>
          <w:szCs w:val="21"/>
          <w14:ligatures w14:val="standardContextual"/>
        </w:rPr>
        <w:t>石油烃</w:t>
      </w:r>
      <w:r>
        <w:rPr>
          <w:rFonts w:hint="eastAsia" w:cstheme="minorBidi"/>
          <w:position w:val="1"/>
          <w:szCs w:val="21"/>
          <w14:ligatures w14:val="standardContextual"/>
        </w:rPr>
        <w:t>（</w:t>
      </w:r>
      <w:r>
        <w:rPr>
          <w:rFonts w:cstheme="minorBidi"/>
          <w:position w:val="1"/>
          <w:szCs w:val="21"/>
          <w14:ligatures w14:val="standardContextual"/>
        </w:rPr>
        <w:t>C</w:t>
      </w:r>
      <w:r>
        <w:rPr>
          <w:rFonts w:cstheme="minorBidi"/>
          <w:szCs w:val="21"/>
          <w:vertAlign w:val="subscript"/>
          <w14:ligatures w14:val="standardContextual"/>
        </w:rPr>
        <w:t>6</w:t>
      </w:r>
      <w:r>
        <w:rPr>
          <w:rFonts w:hint="eastAsia" w:cstheme="minorBidi"/>
          <w:position w:val="1"/>
          <w:szCs w:val="21"/>
          <w14:ligatures w14:val="standardContextual"/>
        </w:rPr>
        <w:t>～</w:t>
      </w:r>
      <w:r>
        <w:rPr>
          <w:rFonts w:cstheme="minorBidi"/>
          <w:position w:val="1"/>
          <w:szCs w:val="21"/>
          <w14:ligatures w14:val="standardContextual"/>
        </w:rPr>
        <w:t>C</w:t>
      </w:r>
      <w:r>
        <w:rPr>
          <w:rFonts w:cstheme="minorBidi"/>
          <w:szCs w:val="21"/>
          <w:vertAlign w:val="subscript"/>
          <w14:ligatures w14:val="standardContextual"/>
        </w:rPr>
        <w:t>9</w:t>
      </w:r>
      <w:r>
        <w:rPr>
          <w:rFonts w:hint="eastAsia" w:cstheme="minorBidi"/>
          <w:position w:val="1"/>
          <w:szCs w:val="21"/>
          <w14:ligatures w14:val="standardContextual"/>
        </w:rPr>
        <w:t>）限值要求，故本次土壤评价因子不考虑</w:t>
      </w:r>
      <w:r>
        <w:rPr>
          <w:rFonts w:hint="eastAsia" w:cs="宋体"/>
          <w:szCs w:val="21"/>
        </w:rPr>
        <w:t>石油类、</w:t>
      </w:r>
      <w:r>
        <w:rPr>
          <w:rFonts w:hint="eastAsia" w:cstheme="minorBidi"/>
          <w:spacing w:val="-7"/>
          <w:szCs w:val="21"/>
          <w14:ligatures w14:val="standardContextual"/>
        </w:rPr>
        <w:t>石油烃</w:t>
      </w:r>
      <w:r>
        <w:rPr>
          <w:rFonts w:hint="eastAsia" w:cstheme="minorBidi"/>
          <w:position w:val="1"/>
          <w:szCs w:val="21"/>
          <w14:ligatures w14:val="standardContextual"/>
        </w:rPr>
        <w:t>（</w:t>
      </w:r>
      <w:r>
        <w:rPr>
          <w:rFonts w:cstheme="minorBidi"/>
          <w:position w:val="1"/>
          <w:szCs w:val="21"/>
          <w14:ligatures w14:val="standardContextual"/>
        </w:rPr>
        <w:t>C</w:t>
      </w:r>
      <w:r>
        <w:rPr>
          <w:rFonts w:cstheme="minorBidi"/>
          <w:szCs w:val="21"/>
          <w:vertAlign w:val="subscript"/>
          <w14:ligatures w14:val="standardContextual"/>
        </w:rPr>
        <w:t>6</w:t>
      </w:r>
      <w:r>
        <w:rPr>
          <w:rFonts w:hint="eastAsia" w:cstheme="minorBidi"/>
          <w:position w:val="1"/>
          <w:szCs w:val="21"/>
          <w14:ligatures w14:val="standardContextual"/>
        </w:rPr>
        <w:t>～</w:t>
      </w:r>
      <w:r>
        <w:rPr>
          <w:rFonts w:cstheme="minorBidi"/>
          <w:position w:val="1"/>
          <w:szCs w:val="21"/>
          <w14:ligatures w14:val="standardContextual"/>
        </w:rPr>
        <w:t>C</w:t>
      </w:r>
      <w:r>
        <w:rPr>
          <w:rFonts w:cstheme="minorBidi"/>
          <w:szCs w:val="21"/>
          <w:vertAlign w:val="subscript"/>
          <w14:ligatures w14:val="standardContextual"/>
        </w:rPr>
        <w:t>9</w:t>
      </w:r>
      <w:r>
        <w:rPr>
          <w:rFonts w:hint="eastAsia" w:cstheme="minorBidi"/>
          <w:position w:val="1"/>
          <w:szCs w:val="21"/>
          <w14:ligatures w14:val="standardContextual"/>
        </w:rPr>
        <w:t>），</w:t>
      </w:r>
      <w:r>
        <w:rPr>
          <w:rFonts w:hint="eastAsia"/>
        </w:rPr>
        <w:t>详见表2.4-2。</w:t>
      </w:r>
    </w:p>
    <w:p w14:paraId="418A30F3">
      <w:pPr>
        <w:pStyle w:val="15"/>
        <w:rPr>
          <w:rFonts w:hint="eastAsia"/>
        </w:rPr>
      </w:pPr>
      <w:bookmarkStart w:id="75" w:name="_Hlk147580851"/>
      <w:r>
        <w:rPr>
          <w:rFonts w:hint="eastAsia"/>
        </w:rPr>
        <w:t>表2.4-2  环境影响评价因子筛选一览表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61"/>
        <w:gridCol w:w="872"/>
        <w:gridCol w:w="1016"/>
        <w:gridCol w:w="1745"/>
        <w:gridCol w:w="1519"/>
        <w:gridCol w:w="1553"/>
        <w:gridCol w:w="1080"/>
      </w:tblGrid>
      <w:tr w14:paraId="681A9C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9" w:type="pct"/>
            <w:tcBorders>
              <w:tl2br w:val="single" w:color="auto" w:sz="4" w:space="0"/>
            </w:tcBorders>
            <w:shd w:val="clear" w:color="auto" w:fill="auto"/>
            <w:vAlign w:val="center"/>
          </w:tcPr>
          <w:p w14:paraId="6D84BA55">
            <w:pPr>
              <w:spacing w:line="300" w:lineRule="exact"/>
              <w:contextualSpacing/>
              <w:jc w:val="center"/>
              <w:rPr>
                <w:rFonts w:hint="eastAsia" w:ascii="宋体" w:hAnsi="宋体" w:cstheme="minorBidi"/>
                <w:szCs w:val="21"/>
                <w14:ligatures w14:val="standardContextual"/>
              </w:rPr>
            </w:pPr>
            <w:r>
              <w:rPr>
                <w:rFonts w:hint="eastAsia" w:ascii="宋体" w:hAnsi="宋体" w:cstheme="minorBidi"/>
                <w:szCs w:val="21"/>
                <w14:ligatures w14:val="standardContextual"/>
              </w:rPr>
              <w:t>环境要素</w:t>
            </w:r>
          </w:p>
          <w:p w14:paraId="17ED49D7">
            <w:pPr>
              <w:spacing w:line="300" w:lineRule="exact"/>
              <w:contextualSpacing/>
              <w:rPr>
                <w:rFonts w:hint="eastAsia" w:ascii="宋体" w:hAnsi="宋体" w:cstheme="minorBidi"/>
                <w:szCs w:val="21"/>
                <w14:ligatures w14:val="standardContextual"/>
              </w:rPr>
            </w:pPr>
            <w:r>
              <w:rPr>
                <w:rFonts w:hint="eastAsia" w:ascii="宋体" w:hAnsi="宋体" w:cstheme="minorBidi"/>
                <w:szCs w:val="21"/>
                <w14:ligatures w14:val="standardContextual"/>
              </w:rPr>
              <w:t>单项工程</w:t>
            </w:r>
          </w:p>
        </w:tc>
        <w:tc>
          <w:tcPr>
            <w:tcW w:w="487" w:type="pct"/>
            <w:shd w:val="clear" w:color="auto" w:fill="auto"/>
            <w:vAlign w:val="center"/>
          </w:tcPr>
          <w:p w14:paraId="0536736F">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时期</w:t>
            </w:r>
          </w:p>
        </w:tc>
        <w:tc>
          <w:tcPr>
            <w:tcW w:w="568" w:type="pct"/>
            <w:shd w:val="clear" w:color="auto" w:fill="auto"/>
            <w:vAlign w:val="center"/>
          </w:tcPr>
          <w:p w14:paraId="14F710E4">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大气</w:t>
            </w:r>
          </w:p>
        </w:tc>
        <w:tc>
          <w:tcPr>
            <w:tcW w:w="975" w:type="pct"/>
            <w:shd w:val="clear" w:color="auto" w:fill="auto"/>
            <w:vAlign w:val="center"/>
          </w:tcPr>
          <w:p w14:paraId="654FAAB5">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地下水</w:t>
            </w:r>
          </w:p>
        </w:tc>
        <w:tc>
          <w:tcPr>
            <w:tcW w:w="849" w:type="pct"/>
            <w:shd w:val="clear" w:color="auto" w:fill="auto"/>
            <w:vAlign w:val="center"/>
          </w:tcPr>
          <w:p w14:paraId="3C54BE37">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土壤</w:t>
            </w:r>
          </w:p>
        </w:tc>
        <w:tc>
          <w:tcPr>
            <w:tcW w:w="868" w:type="pct"/>
            <w:shd w:val="clear" w:color="auto" w:fill="auto"/>
            <w:vAlign w:val="center"/>
          </w:tcPr>
          <w:p w14:paraId="1A12235E">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生态</w:t>
            </w:r>
          </w:p>
        </w:tc>
        <w:tc>
          <w:tcPr>
            <w:tcW w:w="603" w:type="pct"/>
            <w:shd w:val="clear" w:color="auto" w:fill="auto"/>
            <w:vAlign w:val="center"/>
          </w:tcPr>
          <w:p w14:paraId="44E38964">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噪声</w:t>
            </w:r>
          </w:p>
        </w:tc>
      </w:tr>
      <w:tr w14:paraId="67E796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649" w:type="pct"/>
            <w:shd w:val="clear" w:color="auto" w:fill="auto"/>
            <w:vAlign w:val="center"/>
          </w:tcPr>
          <w:p w14:paraId="5FF90FB4">
            <w:pPr>
              <w:spacing w:line="300" w:lineRule="exact"/>
              <w:contextualSpacing/>
              <w:jc w:val="center"/>
              <w:rPr>
                <w:rFonts w:hint="eastAsia" w:ascii="宋体" w:hAnsi="宋体" w:cstheme="minorBidi"/>
                <w:szCs w:val="21"/>
                <w14:ligatures w14:val="standardContextual"/>
              </w:rPr>
            </w:pPr>
            <w:r>
              <w:rPr>
                <w:rFonts w:hint="eastAsia" w:ascii="宋体" w:hAnsi="宋体" w:cstheme="minorBidi"/>
                <w:szCs w:val="21"/>
                <w14:ligatures w14:val="standardContextual"/>
              </w:rPr>
              <w:t>钻前工程</w:t>
            </w:r>
          </w:p>
        </w:tc>
        <w:tc>
          <w:tcPr>
            <w:tcW w:w="487" w:type="pct"/>
            <w:shd w:val="clear" w:color="auto" w:fill="auto"/>
            <w:vAlign w:val="center"/>
          </w:tcPr>
          <w:p w14:paraId="70DC6672">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施工期</w:t>
            </w:r>
          </w:p>
        </w:tc>
        <w:tc>
          <w:tcPr>
            <w:tcW w:w="568" w:type="pct"/>
            <w:shd w:val="clear" w:color="auto" w:fill="auto"/>
            <w:vAlign w:val="center"/>
          </w:tcPr>
          <w:p w14:paraId="52531F7F">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颗粒物</w:t>
            </w:r>
          </w:p>
        </w:tc>
        <w:tc>
          <w:tcPr>
            <w:tcW w:w="975" w:type="pct"/>
            <w:shd w:val="clear" w:color="auto" w:fill="auto"/>
            <w:vAlign w:val="center"/>
          </w:tcPr>
          <w:p w14:paraId="59EC1D2F">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耗氧量、氨氮、石油类等</w:t>
            </w:r>
          </w:p>
        </w:tc>
        <w:tc>
          <w:tcPr>
            <w:tcW w:w="849" w:type="pct"/>
            <w:shd w:val="clear" w:color="auto" w:fill="auto"/>
            <w:vAlign w:val="center"/>
          </w:tcPr>
          <w:p w14:paraId="522869F1">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c>
          <w:tcPr>
            <w:tcW w:w="868" w:type="pct"/>
            <w:shd w:val="clear" w:color="auto" w:fill="auto"/>
            <w:vAlign w:val="center"/>
          </w:tcPr>
          <w:p w14:paraId="73752288">
            <w:pPr>
              <w:spacing w:line="300" w:lineRule="exact"/>
              <w:contextualSpacing/>
              <w:jc w:val="center"/>
              <w:rPr>
                <w:rFonts w:hint="eastAsia" w:ascii="宋体" w:hAnsi="宋体" w:cstheme="minorBidi"/>
                <w:spacing w:val="-6"/>
                <w:szCs w:val="21"/>
                <w14:ligatures w14:val="standardContextual"/>
              </w:rPr>
            </w:pPr>
            <w:r>
              <w:rPr>
                <w:rFonts w:hint="eastAsia" w:ascii="宋体" w:hAnsi="宋体" w:cstheme="minorBidi"/>
                <w:spacing w:val="-2"/>
                <w:szCs w:val="21"/>
                <w14:ligatures w14:val="standardContextual"/>
              </w:rPr>
              <w:t>地表扰动面积及</w:t>
            </w:r>
            <w:r>
              <w:rPr>
                <w:rFonts w:hint="eastAsia" w:ascii="宋体" w:hAnsi="宋体" w:cstheme="minorBidi"/>
                <w:spacing w:val="-10"/>
                <w:szCs w:val="21"/>
                <w14:ligatures w14:val="standardContextual"/>
              </w:rPr>
              <w:t>类型、生态系统完</w:t>
            </w:r>
            <w:r>
              <w:rPr>
                <w:rFonts w:hint="eastAsia" w:ascii="宋体" w:hAnsi="宋体" w:cstheme="minorBidi"/>
                <w:spacing w:val="-6"/>
                <w:szCs w:val="21"/>
                <w14:ligatures w14:val="standardContextual"/>
              </w:rPr>
              <w:t>整性</w:t>
            </w:r>
          </w:p>
        </w:tc>
        <w:tc>
          <w:tcPr>
            <w:tcW w:w="603" w:type="pct"/>
            <w:shd w:val="clear" w:color="auto" w:fill="auto"/>
            <w:vAlign w:val="center"/>
          </w:tcPr>
          <w:p w14:paraId="6FBAAF65">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r>
      <w:tr w14:paraId="00C775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649" w:type="pct"/>
            <w:shd w:val="clear" w:color="auto" w:fill="auto"/>
            <w:vAlign w:val="center"/>
          </w:tcPr>
          <w:p w14:paraId="3A829A41">
            <w:pPr>
              <w:spacing w:line="300" w:lineRule="exact"/>
              <w:contextualSpacing/>
              <w:jc w:val="center"/>
              <w:rPr>
                <w:rFonts w:hint="eastAsia" w:ascii="宋体" w:hAnsi="宋体" w:cstheme="minorBidi"/>
                <w:szCs w:val="21"/>
                <w14:ligatures w14:val="standardContextual"/>
              </w:rPr>
            </w:pPr>
            <w:r>
              <w:rPr>
                <w:rFonts w:hint="eastAsia" w:ascii="宋体" w:hAnsi="宋体" w:cstheme="minorBidi"/>
                <w:szCs w:val="21"/>
                <w14:ligatures w14:val="standardContextual"/>
              </w:rPr>
              <w:t>钻井工程</w:t>
            </w:r>
          </w:p>
        </w:tc>
        <w:tc>
          <w:tcPr>
            <w:tcW w:w="487" w:type="pct"/>
            <w:shd w:val="clear" w:color="auto" w:fill="auto"/>
            <w:vAlign w:val="center"/>
          </w:tcPr>
          <w:p w14:paraId="3F649478">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施工期</w:t>
            </w:r>
          </w:p>
        </w:tc>
        <w:tc>
          <w:tcPr>
            <w:tcW w:w="568" w:type="pct"/>
            <w:shd w:val="clear" w:color="auto" w:fill="auto"/>
            <w:vAlign w:val="center"/>
          </w:tcPr>
          <w:p w14:paraId="10A085CE">
            <w:pPr>
              <w:spacing w:line="300" w:lineRule="exact"/>
              <w:contextualSpacing/>
              <w:jc w:val="center"/>
              <w:rPr>
                <w:rFonts w:hint="eastAsia" w:ascii="宋体" w:hAnsi="宋体" w:cstheme="minorBidi"/>
                <w:spacing w:val="-2"/>
                <w:szCs w:val="21"/>
                <w14:ligatures w14:val="standardContextual"/>
              </w:rPr>
            </w:pPr>
            <w:r>
              <w:rPr>
                <w:rFonts w:ascii="宋体" w:hAnsi="宋体" w:cstheme="minorBidi"/>
                <w:position w:val="1"/>
                <w:szCs w:val="21"/>
                <w14:ligatures w14:val="standardContextual"/>
              </w:rPr>
              <w:t>SO</w:t>
            </w:r>
            <w:r>
              <w:rPr>
                <w:rFonts w:ascii="宋体" w:hAnsi="宋体" w:cstheme="minorBidi"/>
                <w:szCs w:val="21"/>
                <w:vertAlign w:val="subscript"/>
                <w14:ligatures w14:val="standardContextual"/>
              </w:rPr>
              <w:t>2</w:t>
            </w:r>
            <w:r>
              <w:rPr>
                <w:rFonts w:hint="eastAsia" w:ascii="宋体" w:hAnsi="宋体" w:cstheme="minorBidi"/>
                <w:position w:val="1"/>
                <w:szCs w:val="21"/>
                <w14:ligatures w14:val="standardContextual"/>
              </w:rPr>
              <w:t>、</w:t>
            </w:r>
            <w:r>
              <w:rPr>
                <w:rFonts w:ascii="宋体" w:hAnsi="宋体" w:cstheme="minorBidi"/>
                <w:position w:val="1"/>
                <w:szCs w:val="21"/>
                <w14:ligatures w14:val="standardContextual"/>
              </w:rPr>
              <w:t>NO</w:t>
            </w:r>
            <w:r>
              <w:rPr>
                <w:rFonts w:ascii="宋体" w:hAnsi="宋体" w:cstheme="minorBidi"/>
                <w:szCs w:val="21"/>
                <w:vertAlign w:val="subscript"/>
                <w14:ligatures w14:val="standardContextual"/>
              </w:rPr>
              <w:t>X</w:t>
            </w:r>
            <w:r>
              <w:rPr>
                <w:rFonts w:hint="eastAsia" w:ascii="宋体" w:hAnsi="宋体" w:cstheme="minorBidi"/>
                <w:spacing w:val="-10"/>
                <w:position w:val="1"/>
                <w:szCs w:val="21"/>
                <w14:ligatures w14:val="standardContextual"/>
              </w:rPr>
              <w:t>、</w:t>
            </w:r>
            <w:r>
              <w:rPr>
                <w:rFonts w:hint="eastAsia" w:ascii="宋体" w:hAnsi="宋体" w:cstheme="minorBidi"/>
                <w:spacing w:val="-2"/>
                <w:szCs w:val="21"/>
                <w14:ligatures w14:val="standardContextual"/>
              </w:rPr>
              <w:t>非甲烷总烃</w:t>
            </w:r>
          </w:p>
        </w:tc>
        <w:tc>
          <w:tcPr>
            <w:tcW w:w="975" w:type="pct"/>
            <w:shd w:val="clear" w:color="auto" w:fill="auto"/>
            <w:vAlign w:val="center"/>
          </w:tcPr>
          <w:p w14:paraId="7939EAE0">
            <w:pPr>
              <w:spacing w:line="300" w:lineRule="exact"/>
              <w:contextualSpacing/>
              <w:jc w:val="center"/>
              <w:rPr>
                <w:rFonts w:hint="eastAsia" w:ascii="宋体" w:hAnsi="宋体" w:cstheme="minorBidi"/>
                <w:spacing w:val="-2"/>
                <w:szCs w:val="21"/>
                <w14:ligatures w14:val="standardContextual"/>
              </w:rPr>
            </w:pPr>
            <w:r>
              <w:rPr>
                <w:rFonts w:ascii="宋体" w:hAnsi="宋体" w:cstheme="minorBidi"/>
                <w:spacing w:val="-4"/>
                <w:szCs w:val="21"/>
                <w14:ligatures w14:val="standardContextual"/>
              </w:rPr>
              <w:t>pH</w:t>
            </w:r>
            <w:r>
              <w:rPr>
                <w:rFonts w:hint="eastAsia" w:ascii="宋体" w:hAnsi="宋体" w:cstheme="minorBidi"/>
                <w:spacing w:val="-4"/>
                <w:szCs w:val="21"/>
                <w14:ligatures w14:val="standardContextual"/>
              </w:rPr>
              <w:t>值、挥发酚、耗氧量、</w:t>
            </w:r>
            <w:r>
              <w:rPr>
                <w:rFonts w:hint="eastAsia" w:ascii="宋体" w:hAnsi="宋体" w:cstheme="minorBidi"/>
                <w:spacing w:val="-2"/>
                <w:szCs w:val="21"/>
                <w14:ligatures w14:val="standardContextual"/>
              </w:rPr>
              <w:t>氨氮、硫化物、氯化物、石油类、总硬度、溶解性</w:t>
            </w:r>
            <w:r>
              <w:rPr>
                <w:rFonts w:hint="eastAsia" w:ascii="宋体" w:hAnsi="宋体" w:cstheme="minorBidi"/>
                <w:spacing w:val="-4"/>
                <w:szCs w:val="21"/>
                <w14:ligatures w14:val="standardContextual"/>
              </w:rPr>
              <w:t>总固体、钡、汞、砷、六价铬等</w:t>
            </w:r>
          </w:p>
        </w:tc>
        <w:tc>
          <w:tcPr>
            <w:tcW w:w="849" w:type="pct"/>
            <w:shd w:val="clear" w:color="auto" w:fill="auto"/>
            <w:vAlign w:val="center"/>
          </w:tcPr>
          <w:p w14:paraId="3DF498AC">
            <w:pPr>
              <w:spacing w:line="300" w:lineRule="exact"/>
              <w:contextualSpacing/>
              <w:jc w:val="center"/>
              <w:rPr>
                <w:rFonts w:hint="eastAsia" w:ascii="宋体" w:hAnsi="宋体" w:cstheme="minorBidi"/>
                <w:spacing w:val="-7"/>
                <w:szCs w:val="21"/>
                <w14:ligatures w14:val="standardContextual"/>
              </w:rPr>
            </w:pPr>
            <w:r>
              <w:rPr>
                <w:rFonts w:ascii="宋体" w:hAnsi="宋体" w:cstheme="minorBidi"/>
                <w:spacing w:val="-6"/>
                <w:szCs w:val="21"/>
                <w14:ligatures w14:val="standardContextual"/>
              </w:rPr>
              <w:t>pH</w:t>
            </w:r>
            <w:r>
              <w:rPr>
                <w:rFonts w:hint="eastAsia" w:ascii="宋体" w:hAnsi="宋体" w:cstheme="minorBidi"/>
                <w:spacing w:val="-7"/>
                <w:szCs w:val="21"/>
                <w14:ligatures w14:val="standardContextual"/>
              </w:rPr>
              <w:t>值</w:t>
            </w:r>
            <w:r>
              <w:rPr>
                <w:rFonts w:hint="eastAsia" w:ascii="宋体" w:hAnsi="宋体" w:cstheme="minorBidi"/>
                <w:position w:val="1"/>
                <w:szCs w:val="21"/>
                <w14:ligatures w14:val="standardContextual"/>
              </w:rPr>
              <w:t>、石油烃</w:t>
            </w:r>
            <w:r>
              <w:rPr>
                <w:rFonts w:hint="eastAsia" w:ascii="宋体" w:hAnsi="宋体" w:cstheme="minorBidi"/>
                <w:spacing w:val="-2"/>
                <w:position w:val="1"/>
                <w:szCs w:val="21"/>
                <w14:ligatures w14:val="standardContextual"/>
              </w:rPr>
              <w:t>（</w:t>
            </w:r>
            <w:r>
              <w:rPr>
                <w:rFonts w:ascii="宋体" w:hAnsi="宋体" w:cstheme="minorBidi"/>
                <w:spacing w:val="-2"/>
                <w:position w:val="1"/>
                <w:szCs w:val="21"/>
                <w14:ligatures w14:val="standardContextual"/>
              </w:rPr>
              <w:t>C</w:t>
            </w:r>
            <w:r>
              <w:rPr>
                <w:rFonts w:ascii="宋体" w:hAnsi="宋体" w:cstheme="minorBidi"/>
                <w:spacing w:val="-2"/>
                <w:szCs w:val="21"/>
                <w:vertAlign w:val="subscript"/>
                <w14:ligatures w14:val="standardContextual"/>
              </w:rPr>
              <w:t>10</w:t>
            </w:r>
            <w:r>
              <w:rPr>
                <w:rFonts w:hint="eastAsia" w:ascii="宋体" w:hAnsi="宋体" w:cstheme="minorBidi"/>
                <w:spacing w:val="-2"/>
                <w:position w:val="1"/>
                <w:szCs w:val="21"/>
                <w14:ligatures w14:val="standardContextual"/>
              </w:rPr>
              <w:t>～</w:t>
            </w:r>
            <w:r>
              <w:rPr>
                <w:rFonts w:ascii="宋体" w:hAnsi="宋体" w:cstheme="minorBidi"/>
                <w:spacing w:val="-2"/>
                <w:position w:val="1"/>
                <w:szCs w:val="21"/>
                <w14:ligatures w14:val="standardContextual"/>
              </w:rPr>
              <w:t>C</w:t>
            </w:r>
            <w:r>
              <w:rPr>
                <w:rFonts w:ascii="宋体" w:hAnsi="宋体" w:cstheme="minorBidi"/>
                <w:spacing w:val="-2"/>
                <w:szCs w:val="21"/>
                <w:vertAlign w:val="subscript"/>
                <w14:ligatures w14:val="standardContextual"/>
              </w:rPr>
              <w:t>40</w:t>
            </w:r>
            <w:r>
              <w:rPr>
                <w:rFonts w:hint="eastAsia" w:ascii="宋体" w:hAnsi="宋体" w:cstheme="minorBidi"/>
                <w:spacing w:val="-2"/>
                <w:position w:val="1"/>
                <w:szCs w:val="21"/>
                <w14:ligatures w14:val="standardContextual"/>
              </w:rPr>
              <w:t>）、汞、砷、</w:t>
            </w:r>
            <w:r>
              <w:rPr>
                <w:rFonts w:hint="eastAsia" w:ascii="宋体" w:hAnsi="宋体" w:cstheme="minorBidi"/>
                <w:spacing w:val="-1"/>
                <w:szCs w:val="21"/>
                <w14:ligatures w14:val="standardContextual"/>
              </w:rPr>
              <w:t>六价铬、土壤盐分含量</w:t>
            </w:r>
            <w:r>
              <w:rPr>
                <w:rFonts w:hint="eastAsia" w:ascii="宋体" w:hAnsi="宋体" w:cstheme="minorBidi"/>
                <w:szCs w:val="21"/>
                <w14:ligatures w14:val="standardContextual"/>
              </w:rPr>
              <w:t>等</w:t>
            </w:r>
          </w:p>
        </w:tc>
        <w:tc>
          <w:tcPr>
            <w:tcW w:w="868" w:type="pct"/>
            <w:shd w:val="clear" w:color="auto" w:fill="auto"/>
            <w:vAlign w:val="center"/>
          </w:tcPr>
          <w:p w14:paraId="6B91DDB7">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c>
          <w:tcPr>
            <w:tcW w:w="603" w:type="pct"/>
            <w:shd w:val="clear" w:color="auto" w:fill="auto"/>
            <w:vAlign w:val="center"/>
          </w:tcPr>
          <w:p w14:paraId="55F3B083">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昼间、夜间等效连续A声级</w:t>
            </w:r>
            <w:r>
              <w:rPr>
                <w:rFonts w:hint="eastAsia" w:ascii="宋体" w:hAnsi="宋体" w:cstheme="minorBidi"/>
                <w:spacing w:val="-2"/>
                <w:position w:val="1"/>
                <w:szCs w:val="21"/>
                <w14:ligatures w14:val="standardContextual"/>
              </w:rPr>
              <w:t>（</w:t>
            </w:r>
            <w:r>
              <w:rPr>
                <w:rFonts w:ascii="宋体" w:hAnsi="宋体" w:cstheme="minorBidi"/>
                <w:i/>
                <w:iCs/>
                <w:spacing w:val="-2"/>
                <w:position w:val="1"/>
                <w:szCs w:val="21"/>
                <w14:ligatures w14:val="standardContextual"/>
              </w:rPr>
              <w:t>L</w:t>
            </w:r>
            <w:r>
              <w:rPr>
                <w:rFonts w:ascii="宋体" w:hAnsi="宋体" w:cstheme="minorBidi"/>
                <w:spacing w:val="-2"/>
                <w:szCs w:val="21"/>
                <w14:ligatures w14:val="standardContextual"/>
              </w:rPr>
              <w:t>d</w:t>
            </w:r>
            <w:r>
              <w:rPr>
                <w:rFonts w:hint="eastAsia" w:ascii="宋体" w:hAnsi="宋体" w:cstheme="minorBidi"/>
                <w:spacing w:val="-2"/>
                <w:szCs w:val="21"/>
                <w14:ligatures w14:val="standardContextual"/>
              </w:rPr>
              <w:t>、Ln</w:t>
            </w:r>
            <w:r>
              <w:rPr>
                <w:rFonts w:hint="eastAsia" w:ascii="宋体" w:hAnsi="宋体" w:cstheme="minorBidi"/>
                <w:spacing w:val="-2"/>
                <w:position w:val="1"/>
                <w:szCs w:val="21"/>
                <w14:ligatures w14:val="standardContextual"/>
              </w:rPr>
              <w:t>）</w:t>
            </w:r>
          </w:p>
        </w:tc>
      </w:tr>
      <w:tr w14:paraId="3F2924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70" w:hRule="atLeast"/>
        </w:trPr>
        <w:tc>
          <w:tcPr>
            <w:tcW w:w="649" w:type="pct"/>
            <w:shd w:val="clear" w:color="auto" w:fill="auto"/>
            <w:vAlign w:val="center"/>
          </w:tcPr>
          <w:p w14:paraId="7EEC9B8F">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储层改造工程</w:t>
            </w:r>
          </w:p>
        </w:tc>
        <w:tc>
          <w:tcPr>
            <w:tcW w:w="487" w:type="pct"/>
            <w:shd w:val="clear" w:color="auto" w:fill="auto"/>
            <w:vAlign w:val="center"/>
          </w:tcPr>
          <w:p w14:paraId="5618B5CF">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施工期</w:t>
            </w:r>
          </w:p>
        </w:tc>
        <w:tc>
          <w:tcPr>
            <w:tcW w:w="568" w:type="pct"/>
            <w:shd w:val="clear" w:color="auto" w:fill="auto"/>
            <w:vAlign w:val="center"/>
          </w:tcPr>
          <w:p w14:paraId="0D03AB22">
            <w:pPr>
              <w:spacing w:line="300" w:lineRule="exact"/>
              <w:contextualSpacing/>
              <w:jc w:val="center"/>
              <w:rPr>
                <w:rFonts w:hint="eastAsia" w:ascii="宋体" w:hAnsi="宋体" w:cstheme="minorBidi"/>
                <w:spacing w:val="-10"/>
                <w:position w:val="1"/>
                <w:szCs w:val="21"/>
                <w14:ligatures w14:val="standardContextual"/>
              </w:rPr>
            </w:pPr>
            <w:r>
              <w:rPr>
                <w:rFonts w:ascii="宋体" w:hAnsi="宋体" w:cstheme="minorBidi"/>
                <w:position w:val="1"/>
                <w:szCs w:val="21"/>
                <w14:ligatures w14:val="standardContextual"/>
              </w:rPr>
              <w:t>SO</w:t>
            </w:r>
            <w:r>
              <w:rPr>
                <w:rFonts w:ascii="宋体" w:hAnsi="宋体" w:cstheme="minorBidi"/>
                <w:szCs w:val="21"/>
                <w:vertAlign w:val="subscript"/>
                <w14:ligatures w14:val="standardContextual"/>
              </w:rPr>
              <w:t>2</w:t>
            </w:r>
            <w:r>
              <w:rPr>
                <w:rFonts w:hint="eastAsia" w:ascii="宋体" w:hAnsi="宋体" w:cstheme="minorBidi"/>
                <w:position w:val="1"/>
                <w:szCs w:val="21"/>
                <w14:ligatures w14:val="standardContextual"/>
              </w:rPr>
              <w:t>、</w:t>
            </w:r>
            <w:r>
              <w:rPr>
                <w:rFonts w:ascii="宋体" w:hAnsi="宋体" w:cstheme="minorBidi"/>
                <w:position w:val="1"/>
                <w:szCs w:val="21"/>
                <w14:ligatures w14:val="standardContextual"/>
              </w:rPr>
              <w:t>NO</w:t>
            </w:r>
            <w:r>
              <w:rPr>
                <w:rFonts w:ascii="宋体" w:hAnsi="宋体" w:cstheme="minorBidi"/>
                <w:szCs w:val="21"/>
                <w:vertAlign w:val="subscript"/>
                <w14:ligatures w14:val="standardContextual"/>
              </w:rPr>
              <w:t>X</w:t>
            </w:r>
            <w:r>
              <w:rPr>
                <w:rFonts w:hint="eastAsia" w:ascii="宋体" w:hAnsi="宋体" w:cstheme="minorBidi"/>
                <w:spacing w:val="-10"/>
                <w:position w:val="1"/>
                <w:szCs w:val="21"/>
                <w14:ligatures w14:val="standardContextual"/>
              </w:rPr>
              <w:t>、</w:t>
            </w:r>
            <w:r>
              <w:rPr>
                <w:rFonts w:hint="eastAsia" w:ascii="宋体" w:hAnsi="宋体" w:cstheme="minorBidi"/>
                <w:spacing w:val="-2"/>
                <w:szCs w:val="21"/>
                <w14:ligatures w14:val="standardContextual"/>
              </w:rPr>
              <w:t>非甲烷总烃、硫化氢</w:t>
            </w:r>
          </w:p>
        </w:tc>
        <w:tc>
          <w:tcPr>
            <w:tcW w:w="975" w:type="pct"/>
            <w:shd w:val="clear" w:color="auto" w:fill="auto"/>
            <w:vAlign w:val="center"/>
          </w:tcPr>
          <w:p w14:paraId="60C8DE2A">
            <w:pPr>
              <w:spacing w:line="300" w:lineRule="exact"/>
              <w:contextualSpacing/>
              <w:jc w:val="center"/>
              <w:rPr>
                <w:rFonts w:hint="eastAsia" w:ascii="宋体" w:hAnsi="宋体" w:cstheme="minorBidi"/>
                <w:spacing w:val="-4"/>
                <w:szCs w:val="21"/>
                <w14:ligatures w14:val="standardContextual"/>
              </w:rPr>
            </w:pPr>
            <w:r>
              <w:rPr>
                <w:rFonts w:ascii="宋体" w:hAnsi="宋体" w:cstheme="minorBidi"/>
                <w:spacing w:val="-4"/>
                <w:szCs w:val="21"/>
                <w14:ligatures w14:val="standardContextual"/>
              </w:rPr>
              <w:t>pH</w:t>
            </w:r>
            <w:r>
              <w:rPr>
                <w:rFonts w:hint="eastAsia" w:ascii="宋体" w:hAnsi="宋体" w:cstheme="minorBidi"/>
                <w:spacing w:val="-4"/>
                <w:szCs w:val="21"/>
                <w14:ligatures w14:val="standardContextual"/>
              </w:rPr>
              <w:t>值、挥发酚、耗氧量、</w:t>
            </w:r>
            <w:r>
              <w:rPr>
                <w:rFonts w:hint="eastAsia" w:ascii="宋体" w:hAnsi="宋体" w:cstheme="minorBidi"/>
                <w:spacing w:val="-2"/>
                <w:szCs w:val="21"/>
                <w14:ligatures w14:val="standardContextual"/>
              </w:rPr>
              <w:t>氨氮、硫化物、氯化物、石油类、总硬度、溶解性总固体、钡、汞、砷、六</w:t>
            </w:r>
            <w:r>
              <w:rPr>
                <w:rFonts w:hint="eastAsia" w:ascii="宋体" w:hAnsi="宋体" w:cstheme="minorBidi"/>
                <w:spacing w:val="-4"/>
                <w:szCs w:val="21"/>
                <w14:ligatures w14:val="standardContextual"/>
              </w:rPr>
              <w:t>价铬等</w:t>
            </w:r>
          </w:p>
        </w:tc>
        <w:tc>
          <w:tcPr>
            <w:tcW w:w="849" w:type="pct"/>
            <w:shd w:val="clear" w:color="auto" w:fill="auto"/>
            <w:vAlign w:val="center"/>
          </w:tcPr>
          <w:p w14:paraId="14FFCE8C">
            <w:pPr>
              <w:spacing w:line="300" w:lineRule="exact"/>
              <w:contextualSpacing/>
              <w:jc w:val="center"/>
              <w:rPr>
                <w:rFonts w:hint="eastAsia" w:ascii="宋体" w:hAnsi="宋体" w:cstheme="minorBidi"/>
                <w:spacing w:val="-7"/>
                <w:szCs w:val="21"/>
                <w14:ligatures w14:val="standardContextual"/>
              </w:rPr>
            </w:pPr>
            <w:r>
              <w:rPr>
                <w:rFonts w:ascii="宋体" w:hAnsi="宋体" w:cstheme="minorBidi"/>
                <w:spacing w:val="-6"/>
                <w:szCs w:val="21"/>
                <w14:ligatures w14:val="standardContextual"/>
              </w:rPr>
              <w:t>pH</w:t>
            </w:r>
            <w:r>
              <w:rPr>
                <w:rFonts w:hint="eastAsia" w:ascii="宋体" w:hAnsi="宋体" w:cstheme="minorBidi"/>
                <w:spacing w:val="-7"/>
                <w:szCs w:val="21"/>
                <w14:ligatures w14:val="standardContextual"/>
              </w:rPr>
              <w:t>值</w:t>
            </w:r>
            <w:r>
              <w:rPr>
                <w:rFonts w:hint="eastAsia" w:ascii="宋体" w:hAnsi="宋体" w:cstheme="minorBidi"/>
                <w:position w:val="1"/>
                <w:szCs w:val="21"/>
                <w14:ligatures w14:val="standardContextual"/>
              </w:rPr>
              <w:t>、石油烃</w:t>
            </w:r>
            <w:r>
              <w:rPr>
                <w:rFonts w:hint="eastAsia" w:ascii="宋体" w:hAnsi="宋体" w:cstheme="minorBidi"/>
                <w:spacing w:val="-2"/>
                <w:position w:val="1"/>
                <w:szCs w:val="21"/>
                <w14:ligatures w14:val="standardContextual"/>
              </w:rPr>
              <w:t>（</w:t>
            </w:r>
            <w:r>
              <w:rPr>
                <w:rFonts w:ascii="宋体" w:hAnsi="宋体" w:cstheme="minorBidi"/>
                <w:spacing w:val="-2"/>
                <w:position w:val="1"/>
                <w:szCs w:val="21"/>
                <w14:ligatures w14:val="standardContextual"/>
              </w:rPr>
              <w:t>C</w:t>
            </w:r>
            <w:r>
              <w:rPr>
                <w:rFonts w:ascii="宋体" w:hAnsi="宋体" w:cstheme="minorBidi"/>
                <w:spacing w:val="-2"/>
                <w:szCs w:val="21"/>
                <w:vertAlign w:val="subscript"/>
                <w14:ligatures w14:val="standardContextual"/>
              </w:rPr>
              <w:t>10</w:t>
            </w:r>
            <w:r>
              <w:rPr>
                <w:rFonts w:hint="eastAsia" w:ascii="宋体" w:hAnsi="宋体" w:cstheme="minorBidi"/>
                <w:spacing w:val="-2"/>
                <w:position w:val="1"/>
                <w:szCs w:val="21"/>
                <w14:ligatures w14:val="standardContextual"/>
              </w:rPr>
              <w:t>～</w:t>
            </w:r>
            <w:r>
              <w:rPr>
                <w:rFonts w:ascii="宋体" w:hAnsi="宋体" w:cstheme="minorBidi"/>
                <w:spacing w:val="-2"/>
                <w:position w:val="1"/>
                <w:szCs w:val="21"/>
                <w14:ligatures w14:val="standardContextual"/>
              </w:rPr>
              <w:t>C</w:t>
            </w:r>
            <w:r>
              <w:rPr>
                <w:rFonts w:ascii="宋体" w:hAnsi="宋体" w:cstheme="minorBidi"/>
                <w:spacing w:val="-2"/>
                <w:szCs w:val="21"/>
                <w:vertAlign w:val="subscript"/>
                <w14:ligatures w14:val="standardContextual"/>
              </w:rPr>
              <w:t>40</w:t>
            </w:r>
            <w:r>
              <w:rPr>
                <w:rFonts w:hint="eastAsia" w:ascii="宋体" w:hAnsi="宋体" w:cstheme="minorBidi"/>
                <w:spacing w:val="-2"/>
                <w:position w:val="1"/>
                <w:szCs w:val="21"/>
                <w14:ligatures w14:val="standardContextual"/>
              </w:rPr>
              <w:t>）、汞、砷、</w:t>
            </w:r>
            <w:r>
              <w:rPr>
                <w:rFonts w:hint="eastAsia" w:ascii="宋体" w:hAnsi="宋体" w:cstheme="minorBidi"/>
                <w:spacing w:val="-2"/>
                <w:szCs w:val="21"/>
                <w14:ligatures w14:val="standardContextual"/>
              </w:rPr>
              <w:t>六价铬、土壤盐分含量</w:t>
            </w:r>
            <w:r>
              <w:rPr>
                <w:rFonts w:hint="eastAsia" w:ascii="宋体" w:hAnsi="宋体" w:cstheme="minorBidi"/>
                <w:spacing w:val="-10"/>
                <w:szCs w:val="21"/>
                <w14:ligatures w14:val="standardContextual"/>
              </w:rPr>
              <w:t>等</w:t>
            </w:r>
          </w:p>
        </w:tc>
        <w:tc>
          <w:tcPr>
            <w:tcW w:w="868" w:type="pct"/>
            <w:shd w:val="clear" w:color="auto" w:fill="auto"/>
            <w:vAlign w:val="center"/>
          </w:tcPr>
          <w:p w14:paraId="34A389CE">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c>
          <w:tcPr>
            <w:tcW w:w="603" w:type="pct"/>
            <w:shd w:val="clear" w:color="auto" w:fill="auto"/>
            <w:vAlign w:val="center"/>
          </w:tcPr>
          <w:p w14:paraId="00EA7F7A">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昼间、夜间等效连续A声级</w:t>
            </w:r>
            <w:r>
              <w:rPr>
                <w:rFonts w:hint="eastAsia" w:ascii="宋体" w:hAnsi="宋体" w:cstheme="minorBidi"/>
                <w:spacing w:val="-2"/>
                <w:position w:val="1"/>
                <w:szCs w:val="21"/>
                <w14:ligatures w14:val="standardContextual"/>
              </w:rPr>
              <w:t>（</w:t>
            </w:r>
            <w:r>
              <w:rPr>
                <w:rFonts w:ascii="宋体" w:hAnsi="宋体" w:cstheme="minorBidi"/>
                <w:i/>
                <w:iCs/>
                <w:spacing w:val="-2"/>
                <w:position w:val="1"/>
                <w:szCs w:val="21"/>
                <w14:ligatures w14:val="standardContextual"/>
              </w:rPr>
              <w:t>L</w:t>
            </w:r>
            <w:r>
              <w:rPr>
                <w:rFonts w:ascii="宋体" w:hAnsi="宋体" w:cstheme="minorBidi"/>
                <w:spacing w:val="-2"/>
                <w:szCs w:val="21"/>
                <w14:ligatures w14:val="standardContextual"/>
              </w:rPr>
              <w:t>d</w:t>
            </w:r>
            <w:r>
              <w:rPr>
                <w:rFonts w:hint="eastAsia" w:ascii="宋体" w:hAnsi="宋体" w:cstheme="minorBidi"/>
                <w:spacing w:val="-2"/>
                <w:szCs w:val="21"/>
                <w14:ligatures w14:val="standardContextual"/>
              </w:rPr>
              <w:t>、Ln</w:t>
            </w:r>
            <w:r>
              <w:rPr>
                <w:rFonts w:hint="eastAsia" w:ascii="宋体" w:hAnsi="宋体" w:cstheme="minorBidi"/>
                <w:spacing w:val="-2"/>
                <w:position w:val="1"/>
                <w:szCs w:val="21"/>
                <w14:ligatures w14:val="standardContextual"/>
              </w:rPr>
              <w:t>）</w:t>
            </w:r>
          </w:p>
        </w:tc>
      </w:tr>
      <w:tr w14:paraId="50FD20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649" w:type="pct"/>
            <w:vMerge w:val="restart"/>
            <w:shd w:val="clear" w:color="auto" w:fill="auto"/>
            <w:vAlign w:val="center"/>
          </w:tcPr>
          <w:p w14:paraId="2866E016">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油气集输工程</w:t>
            </w:r>
          </w:p>
        </w:tc>
        <w:tc>
          <w:tcPr>
            <w:tcW w:w="487" w:type="pct"/>
            <w:shd w:val="clear" w:color="auto" w:fill="auto"/>
            <w:vAlign w:val="center"/>
          </w:tcPr>
          <w:p w14:paraId="0DAF6850">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施工期</w:t>
            </w:r>
          </w:p>
        </w:tc>
        <w:tc>
          <w:tcPr>
            <w:tcW w:w="568" w:type="pct"/>
            <w:shd w:val="clear" w:color="auto" w:fill="auto"/>
            <w:vAlign w:val="center"/>
          </w:tcPr>
          <w:p w14:paraId="1D418102">
            <w:pPr>
              <w:spacing w:line="300" w:lineRule="exact"/>
              <w:contextualSpacing/>
              <w:jc w:val="center"/>
              <w:rPr>
                <w:rFonts w:hint="eastAsia" w:ascii="宋体" w:hAnsi="宋体" w:cstheme="minorBidi"/>
                <w:spacing w:val="-4"/>
                <w:szCs w:val="21"/>
                <w14:ligatures w14:val="standardContextual"/>
              </w:rPr>
            </w:pPr>
            <w:r>
              <w:rPr>
                <w:rFonts w:hint="eastAsia" w:ascii="宋体" w:hAnsi="宋体" w:cstheme="minorBidi"/>
                <w:spacing w:val="-4"/>
                <w:szCs w:val="21"/>
                <w14:ligatures w14:val="standardContextual"/>
              </w:rPr>
              <w:t>颗粒物</w:t>
            </w:r>
          </w:p>
        </w:tc>
        <w:tc>
          <w:tcPr>
            <w:tcW w:w="975" w:type="pct"/>
            <w:shd w:val="clear" w:color="auto" w:fill="auto"/>
            <w:vAlign w:val="center"/>
          </w:tcPr>
          <w:p w14:paraId="74FEE930">
            <w:pPr>
              <w:spacing w:line="300" w:lineRule="exact"/>
              <w:contextualSpacing/>
              <w:jc w:val="center"/>
              <w:rPr>
                <w:rFonts w:hint="eastAsia" w:ascii="宋体" w:hAnsi="宋体" w:cstheme="minorBidi"/>
                <w:spacing w:val="-5"/>
                <w:szCs w:val="21"/>
                <w14:ligatures w14:val="standardContextual"/>
              </w:rPr>
            </w:pPr>
            <w:r>
              <w:rPr>
                <w:rFonts w:hint="eastAsia" w:ascii="宋体" w:hAnsi="宋体" w:cstheme="minorBidi"/>
                <w:spacing w:val="-5"/>
                <w:szCs w:val="21"/>
                <w14:ligatures w14:val="standardContextual"/>
              </w:rPr>
              <w:t>耗氧量、氨氮、石油类等</w:t>
            </w:r>
          </w:p>
        </w:tc>
        <w:tc>
          <w:tcPr>
            <w:tcW w:w="849" w:type="pct"/>
            <w:shd w:val="clear" w:color="auto" w:fill="auto"/>
            <w:vAlign w:val="center"/>
          </w:tcPr>
          <w:p w14:paraId="7244D0DE">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c>
          <w:tcPr>
            <w:tcW w:w="868" w:type="pct"/>
            <w:shd w:val="clear" w:color="auto" w:fill="auto"/>
            <w:vAlign w:val="center"/>
          </w:tcPr>
          <w:p w14:paraId="550DCD5B">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地表扰动面积及类型、植被覆盖度、生物量损失、</w:t>
            </w:r>
            <w:r>
              <w:rPr>
                <w:rFonts w:hint="eastAsia" w:ascii="宋体" w:hAnsi="宋体" w:cstheme="minorBidi"/>
                <w:spacing w:val="-9"/>
                <w:szCs w:val="21"/>
                <w14:ligatures w14:val="standardContextual"/>
              </w:rPr>
              <w:t>物种多样性、生态</w:t>
            </w:r>
            <w:r>
              <w:rPr>
                <w:rFonts w:hint="eastAsia" w:ascii="宋体" w:hAnsi="宋体" w:cstheme="minorBidi"/>
                <w:spacing w:val="-2"/>
                <w:szCs w:val="21"/>
                <w14:ligatures w14:val="standardContextual"/>
              </w:rPr>
              <w:t>系统完整性等</w:t>
            </w:r>
          </w:p>
        </w:tc>
        <w:tc>
          <w:tcPr>
            <w:tcW w:w="603" w:type="pct"/>
            <w:shd w:val="clear" w:color="auto" w:fill="auto"/>
            <w:vAlign w:val="center"/>
          </w:tcPr>
          <w:p w14:paraId="0D8C0DE1">
            <w:pPr>
              <w:spacing w:line="300" w:lineRule="exact"/>
              <w:contextualSpacing/>
              <w:jc w:val="center"/>
              <w:rPr>
                <w:rFonts w:hint="eastAsia" w:ascii="宋体" w:hAnsi="宋体" w:cstheme="minorBidi"/>
                <w:szCs w:val="21"/>
                <w14:ligatures w14:val="standardContextual"/>
              </w:rPr>
            </w:pPr>
            <w:r>
              <w:rPr>
                <w:rFonts w:ascii="宋体" w:hAnsi="宋体" w:cstheme="minorBidi"/>
                <w:szCs w:val="21"/>
                <w14:ligatures w14:val="standardContextual"/>
              </w:rPr>
              <w:t>/</w:t>
            </w:r>
          </w:p>
        </w:tc>
      </w:tr>
      <w:tr w14:paraId="6B978E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63" w:hRule="atLeast"/>
        </w:trPr>
        <w:tc>
          <w:tcPr>
            <w:tcW w:w="649" w:type="pct"/>
            <w:vMerge w:val="continue"/>
            <w:shd w:val="clear" w:color="auto" w:fill="auto"/>
            <w:vAlign w:val="center"/>
          </w:tcPr>
          <w:p w14:paraId="19E1C97A">
            <w:pPr>
              <w:spacing w:line="300" w:lineRule="exact"/>
              <w:contextualSpacing/>
              <w:rPr>
                <w:rFonts w:hint="eastAsia" w:ascii="宋体" w:hAnsi="宋体" w:cs="黑体"/>
                <w:szCs w:val="21"/>
                <w14:ligatures w14:val="standardContextual"/>
              </w:rPr>
            </w:pPr>
          </w:p>
        </w:tc>
        <w:tc>
          <w:tcPr>
            <w:tcW w:w="487" w:type="pct"/>
            <w:shd w:val="clear" w:color="auto" w:fill="auto"/>
            <w:vAlign w:val="center"/>
          </w:tcPr>
          <w:p w14:paraId="05FAF9FB">
            <w:pPr>
              <w:spacing w:line="300" w:lineRule="exact"/>
              <w:contextualSpacing/>
              <w:jc w:val="center"/>
              <w:rPr>
                <w:rFonts w:hint="eastAsia" w:ascii="宋体" w:hAnsi="宋体" w:cs="黑体"/>
                <w:szCs w:val="21"/>
                <w14:ligatures w14:val="standardContextual"/>
              </w:rPr>
            </w:pPr>
            <w:r>
              <w:rPr>
                <w:rFonts w:hint="eastAsia" w:ascii="宋体" w:hAnsi="宋体" w:cstheme="minorBidi"/>
                <w:spacing w:val="-4"/>
                <w:szCs w:val="21"/>
                <w14:ligatures w14:val="standardContextual"/>
              </w:rPr>
              <w:t>运营期</w:t>
            </w:r>
          </w:p>
        </w:tc>
        <w:tc>
          <w:tcPr>
            <w:tcW w:w="568" w:type="pct"/>
            <w:shd w:val="clear" w:color="auto" w:fill="auto"/>
            <w:vAlign w:val="center"/>
          </w:tcPr>
          <w:p w14:paraId="0854CF8E">
            <w:pPr>
              <w:spacing w:line="300" w:lineRule="exact"/>
              <w:contextualSpacing/>
              <w:jc w:val="center"/>
              <w:rPr>
                <w:rFonts w:hint="eastAsia" w:ascii="宋体" w:hAnsi="宋体" w:cstheme="minorBidi"/>
                <w:spacing w:val="-10"/>
                <w:position w:val="1"/>
                <w:szCs w:val="21"/>
                <w14:ligatures w14:val="standardContextual"/>
              </w:rPr>
            </w:pPr>
            <w:r>
              <w:rPr>
                <w:rFonts w:ascii="宋体" w:hAnsi="宋体" w:cstheme="minorBidi"/>
                <w:position w:val="1"/>
                <w:szCs w:val="21"/>
                <w14:ligatures w14:val="standardContextual"/>
              </w:rPr>
              <w:t>SO</w:t>
            </w:r>
            <w:r>
              <w:rPr>
                <w:rFonts w:ascii="宋体" w:hAnsi="宋体" w:cstheme="minorBidi"/>
                <w:szCs w:val="21"/>
                <w:vertAlign w:val="subscript"/>
                <w14:ligatures w14:val="standardContextual"/>
              </w:rPr>
              <w:t>2</w:t>
            </w:r>
            <w:r>
              <w:rPr>
                <w:rFonts w:hint="eastAsia" w:ascii="宋体" w:hAnsi="宋体" w:cstheme="minorBidi"/>
                <w:position w:val="1"/>
                <w:szCs w:val="21"/>
                <w14:ligatures w14:val="standardContextual"/>
              </w:rPr>
              <w:t>、</w:t>
            </w:r>
            <w:r>
              <w:rPr>
                <w:rFonts w:ascii="宋体" w:hAnsi="宋体" w:cstheme="minorBidi"/>
                <w:position w:val="1"/>
                <w:szCs w:val="21"/>
                <w14:ligatures w14:val="standardContextual"/>
              </w:rPr>
              <w:t>NO</w:t>
            </w:r>
            <w:r>
              <w:rPr>
                <w:rFonts w:ascii="宋体" w:hAnsi="宋体" w:cstheme="minorBidi"/>
                <w:szCs w:val="21"/>
                <w:vertAlign w:val="subscript"/>
                <w14:ligatures w14:val="standardContextual"/>
              </w:rPr>
              <w:t>X</w:t>
            </w:r>
            <w:r>
              <w:rPr>
                <w:rFonts w:hint="eastAsia" w:ascii="宋体" w:hAnsi="宋体" w:cstheme="minorBidi"/>
                <w:spacing w:val="-10"/>
                <w:position w:val="1"/>
                <w:szCs w:val="21"/>
                <w14:ligatures w14:val="standardContextual"/>
              </w:rPr>
              <w:t>、</w:t>
            </w:r>
            <w:r>
              <w:rPr>
                <w:rFonts w:hint="eastAsia" w:ascii="宋体" w:hAnsi="宋体" w:cstheme="minorBidi"/>
                <w:spacing w:val="-2"/>
                <w:szCs w:val="21"/>
                <w14:ligatures w14:val="standardContextual"/>
              </w:rPr>
              <w:t>硫化氢、非</w:t>
            </w:r>
            <w:r>
              <w:rPr>
                <w:rFonts w:hint="eastAsia" w:ascii="宋体" w:hAnsi="宋体" w:cstheme="minorBidi"/>
                <w:spacing w:val="-4"/>
                <w:szCs w:val="21"/>
                <w14:ligatures w14:val="standardContextual"/>
              </w:rPr>
              <w:t>甲烷总烃</w:t>
            </w:r>
          </w:p>
        </w:tc>
        <w:tc>
          <w:tcPr>
            <w:tcW w:w="975" w:type="pct"/>
            <w:shd w:val="clear" w:color="auto" w:fill="auto"/>
            <w:vAlign w:val="center"/>
          </w:tcPr>
          <w:p w14:paraId="38AB24FF">
            <w:pPr>
              <w:spacing w:line="300" w:lineRule="exact"/>
              <w:contextualSpacing/>
              <w:jc w:val="center"/>
              <w:rPr>
                <w:rFonts w:hint="eastAsia" w:ascii="宋体" w:hAnsi="宋体" w:cs="黑体"/>
                <w:szCs w:val="21"/>
                <w14:ligatures w14:val="standardContextual"/>
              </w:rPr>
            </w:pPr>
            <w:r>
              <w:rPr>
                <w:rFonts w:hint="eastAsia" w:ascii="宋体" w:hAnsi="宋体" w:cstheme="minorBidi"/>
                <w:spacing w:val="-5"/>
                <w:szCs w:val="21"/>
                <w14:ligatures w14:val="standardContextual"/>
              </w:rPr>
              <w:t>耗氧量、氨氮、石油类等</w:t>
            </w:r>
          </w:p>
        </w:tc>
        <w:tc>
          <w:tcPr>
            <w:tcW w:w="849" w:type="pct"/>
            <w:shd w:val="clear" w:color="auto" w:fill="auto"/>
            <w:vAlign w:val="center"/>
          </w:tcPr>
          <w:p w14:paraId="18B71D23">
            <w:pPr>
              <w:spacing w:line="300" w:lineRule="exact"/>
              <w:contextualSpacing/>
              <w:jc w:val="center"/>
              <w:rPr>
                <w:rFonts w:hint="eastAsia" w:ascii="宋体" w:hAnsi="宋体" w:cs="黑体"/>
                <w:szCs w:val="21"/>
                <w14:ligatures w14:val="standardContextual"/>
              </w:rPr>
            </w:pPr>
            <w:r>
              <w:rPr>
                <w:rFonts w:ascii="宋体" w:hAnsi="宋体" w:cstheme="minorBidi"/>
                <w:szCs w:val="21"/>
                <w14:ligatures w14:val="standardContextual"/>
              </w:rPr>
              <w:t>/</w:t>
            </w:r>
          </w:p>
        </w:tc>
        <w:tc>
          <w:tcPr>
            <w:tcW w:w="868" w:type="pct"/>
            <w:shd w:val="clear" w:color="auto" w:fill="auto"/>
            <w:vAlign w:val="center"/>
          </w:tcPr>
          <w:p w14:paraId="43E57AAB">
            <w:pPr>
              <w:spacing w:line="300" w:lineRule="exact"/>
              <w:contextualSpacing/>
              <w:jc w:val="center"/>
              <w:rPr>
                <w:rFonts w:hint="eastAsia" w:ascii="宋体" w:hAnsi="宋体" w:cs="黑体"/>
                <w:szCs w:val="21"/>
                <w14:ligatures w14:val="standardContextual"/>
              </w:rPr>
            </w:pPr>
            <w:r>
              <w:rPr>
                <w:rFonts w:hint="eastAsia" w:ascii="宋体" w:hAnsi="宋体" w:cstheme="minorBidi"/>
                <w:spacing w:val="-2"/>
                <w:szCs w:val="21"/>
                <w14:ligatures w14:val="standardContextual"/>
              </w:rPr>
              <w:t>土壤肥力</w:t>
            </w:r>
            <w:r>
              <w:rPr>
                <w:rFonts w:hint="eastAsia" w:ascii="宋体" w:hAnsi="宋体" w:cstheme="minorBidi"/>
                <w:spacing w:val="-9"/>
                <w:szCs w:val="21"/>
                <w14:ligatures w14:val="standardContextual"/>
              </w:rPr>
              <w:t>、生物多</w:t>
            </w:r>
            <w:r>
              <w:rPr>
                <w:rFonts w:hint="eastAsia" w:ascii="宋体" w:hAnsi="宋体" w:cstheme="minorBidi"/>
                <w:spacing w:val="-10"/>
                <w:szCs w:val="21"/>
                <w14:ligatures w14:val="standardContextual"/>
              </w:rPr>
              <w:t>样性、生态系统完</w:t>
            </w:r>
            <w:r>
              <w:rPr>
                <w:rFonts w:hint="eastAsia" w:ascii="宋体" w:hAnsi="宋体" w:cstheme="minorBidi"/>
                <w:spacing w:val="-4"/>
                <w:szCs w:val="21"/>
                <w14:ligatures w14:val="standardContextual"/>
              </w:rPr>
              <w:t>整性等</w:t>
            </w:r>
          </w:p>
        </w:tc>
        <w:tc>
          <w:tcPr>
            <w:tcW w:w="603" w:type="pct"/>
            <w:shd w:val="clear" w:color="auto" w:fill="auto"/>
            <w:vAlign w:val="center"/>
          </w:tcPr>
          <w:p w14:paraId="559FB960">
            <w:pPr>
              <w:spacing w:line="300" w:lineRule="exact"/>
              <w:contextualSpacing/>
              <w:jc w:val="center"/>
              <w:rPr>
                <w:rFonts w:hint="eastAsia" w:ascii="宋体" w:hAnsi="宋体" w:cstheme="minorBidi"/>
                <w:spacing w:val="-2"/>
                <w:szCs w:val="21"/>
                <w14:ligatures w14:val="standardContextual"/>
              </w:rPr>
            </w:pPr>
            <w:r>
              <w:rPr>
                <w:rFonts w:hint="eastAsia" w:ascii="宋体" w:hAnsi="宋体" w:cstheme="minorBidi"/>
                <w:spacing w:val="-2"/>
                <w:szCs w:val="21"/>
                <w14:ligatures w14:val="standardContextual"/>
              </w:rPr>
              <w:t>昼间、夜间等效连续A声级</w:t>
            </w:r>
            <w:r>
              <w:rPr>
                <w:rFonts w:hint="eastAsia" w:ascii="宋体" w:hAnsi="宋体" w:cstheme="minorBidi"/>
                <w:spacing w:val="-2"/>
                <w:position w:val="1"/>
                <w:szCs w:val="21"/>
                <w14:ligatures w14:val="standardContextual"/>
              </w:rPr>
              <w:t>（</w:t>
            </w:r>
            <w:r>
              <w:rPr>
                <w:rFonts w:ascii="宋体" w:hAnsi="宋体" w:cstheme="minorBidi"/>
                <w:i/>
                <w:iCs/>
                <w:spacing w:val="-2"/>
                <w:position w:val="1"/>
                <w:szCs w:val="21"/>
                <w14:ligatures w14:val="standardContextual"/>
              </w:rPr>
              <w:t>L</w:t>
            </w:r>
            <w:r>
              <w:rPr>
                <w:rFonts w:ascii="宋体" w:hAnsi="宋体" w:cstheme="minorBidi"/>
                <w:spacing w:val="-2"/>
                <w:szCs w:val="21"/>
                <w14:ligatures w14:val="standardContextual"/>
              </w:rPr>
              <w:t>d</w:t>
            </w:r>
            <w:r>
              <w:rPr>
                <w:rFonts w:hint="eastAsia" w:ascii="宋体" w:hAnsi="宋体" w:cstheme="minorBidi"/>
                <w:spacing w:val="-2"/>
                <w:szCs w:val="21"/>
                <w14:ligatures w14:val="standardContextual"/>
              </w:rPr>
              <w:t>、Ln</w:t>
            </w:r>
            <w:r>
              <w:rPr>
                <w:rFonts w:hint="eastAsia" w:ascii="宋体" w:hAnsi="宋体" w:cstheme="minorBidi"/>
                <w:spacing w:val="-2"/>
                <w:position w:val="1"/>
                <w:szCs w:val="21"/>
                <w14:ligatures w14:val="standardContextual"/>
              </w:rPr>
              <w:t>）</w:t>
            </w:r>
          </w:p>
        </w:tc>
      </w:tr>
      <w:bookmarkEnd w:id="75"/>
    </w:tbl>
    <w:p w14:paraId="480804D2">
      <w:pPr>
        <w:pStyle w:val="2"/>
        <w:rPr>
          <w:rFonts w:hint="eastAsia"/>
          <w:lang w:val="zh-CN"/>
        </w:rPr>
      </w:pPr>
      <w:bookmarkStart w:id="76" w:name="_Toc160381866"/>
      <w:bookmarkStart w:id="77" w:name="_Toc445996329"/>
      <w:bookmarkStart w:id="78" w:name="_Toc12409"/>
      <w:bookmarkStart w:id="79" w:name="_Ref475267067"/>
      <w:bookmarkStart w:id="80" w:name="_Toc445841967"/>
      <w:bookmarkStart w:id="81" w:name="_Ref475267069"/>
      <w:r>
        <w:rPr>
          <w:rFonts w:hint="eastAsia"/>
          <w:lang w:val="zh-CN"/>
        </w:rPr>
        <w:t>环境功能区划与评价标准</w:t>
      </w:r>
      <w:bookmarkEnd w:id="76"/>
    </w:p>
    <w:p w14:paraId="76ADD842">
      <w:pPr>
        <w:pStyle w:val="4"/>
        <w:rPr>
          <w:rFonts w:hint="eastAsia"/>
          <w:lang w:val="zh-CN"/>
        </w:rPr>
      </w:pPr>
      <w:r>
        <w:rPr>
          <w:rFonts w:hint="eastAsia"/>
          <w:lang w:val="zh-CN"/>
        </w:rPr>
        <w:t>环境功能区划</w:t>
      </w:r>
    </w:p>
    <w:p w14:paraId="2D10C3A6">
      <w:pPr>
        <w:pStyle w:val="117"/>
        <w:spacing w:line="480" w:lineRule="exact"/>
        <w:ind w:firstLine="480"/>
        <w:rPr>
          <w:rFonts w:hint="eastAsia"/>
          <w:lang w:bidi="ar"/>
        </w:rPr>
      </w:pPr>
      <w:r>
        <w:rPr>
          <w:rFonts w:hint="eastAsia"/>
          <w:lang w:bidi="ar"/>
        </w:rPr>
        <w:t>环境功能区划情况详见表2</w:t>
      </w:r>
      <w:r>
        <w:rPr>
          <w:lang w:bidi="ar"/>
        </w:rPr>
        <w:t>.5</w:t>
      </w:r>
      <w:r>
        <w:rPr>
          <w:rFonts w:hint="eastAsia"/>
          <w:lang w:bidi="ar"/>
        </w:rPr>
        <w:t>-</w:t>
      </w:r>
      <w:r>
        <w:rPr>
          <w:lang w:bidi="ar"/>
        </w:rPr>
        <w:t>1</w:t>
      </w:r>
      <w:r>
        <w:rPr>
          <w:rFonts w:hint="eastAsia"/>
          <w:lang w:bidi="ar"/>
        </w:rPr>
        <w:t>。</w:t>
      </w:r>
    </w:p>
    <w:p w14:paraId="05BA9354">
      <w:pPr>
        <w:pStyle w:val="109"/>
        <w:rPr>
          <w:rFonts w:hint="eastAsia"/>
        </w:rPr>
      </w:pPr>
      <w:r>
        <w:rPr>
          <w:rFonts w:hint="eastAsia"/>
        </w:rPr>
        <w:t>表2</w:t>
      </w:r>
      <w:r>
        <w:t>.5</w:t>
      </w:r>
      <w:r>
        <w:rPr>
          <w:rFonts w:hint="eastAsia"/>
        </w:rPr>
        <w:t>-</w:t>
      </w:r>
      <w:r>
        <w:t>1</w:t>
      </w:r>
      <w:r>
        <w:rPr>
          <w:rFonts w:hint="eastAsia"/>
        </w:rPr>
        <w:t xml:space="preserve">  区域环境功能区划一览表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08"/>
        <w:gridCol w:w="5083"/>
        <w:gridCol w:w="2555"/>
      </w:tblGrid>
      <w:tr w14:paraId="0888D6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61B2B350">
            <w:pPr>
              <w:pStyle w:val="278"/>
              <w:adjustRightInd w:val="0"/>
              <w:snapToGrid w:val="0"/>
              <w:spacing w:line="300" w:lineRule="exact"/>
              <w:rPr>
                <w:rFonts w:hint="eastAsia" w:cs="宋体"/>
              </w:rPr>
            </w:pPr>
            <w:r>
              <w:rPr>
                <w:rFonts w:hint="eastAsia" w:cs="宋体"/>
              </w:rPr>
              <w:t>环境要素</w:t>
            </w:r>
          </w:p>
        </w:tc>
        <w:tc>
          <w:tcPr>
            <w:tcW w:w="2841" w:type="pct"/>
            <w:vAlign w:val="center"/>
          </w:tcPr>
          <w:p w14:paraId="1F95EDF0">
            <w:pPr>
              <w:pStyle w:val="278"/>
              <w:adjustRightInd w:val="0"/>
              <w:snapToGrid w:val="0"/>
              <w:spacing w:line="300" w:lineRule="exact"/>
              <w:rPr>
                <w:rFonts w:hint="eastAsia" w:cs="宋体"/>
              </w:rPr>
            </w:pPr>
            <w:r>
              <w:rPr>
                <w:rFonts w:hint="eastAsia" w:cs="宋体"/>
              </w:rPr>
              <w:t>环境功能区划</w:t>
            </w:r>
          </w:p>
        </w:tc>
        <w:tc>
          <w:tcPr>
            <w:tcW w:w="1428" w:type="pct"/>
            <w:vAlign w:val="center"/>
          </w:tcPr>
          <w:p w14:paraId="55D5DCEA">
            <w:pPr>
              <w:pStyle w:val="278"/>
              <w:adjustRightInd w:val="0"/>
              <w:snapToGrid w:val="0"/>
              <w:spacing w:line="300" w:lineRule="exact"/>
              <w:rPr>
                <w:rFonts w:hint="eastAsia"/>
              </w:rPr>
            </w:pPr>
            <w:r>
              <w:rPr>
                <w:rFonts w:hint="eastAsia"/>
              </w:rPr>
              <w:t>划分依据</w:t>
            </w:r>
          </w:p>
        </w:tc>
      </w:tr>
      <w:tr w14:paraId="461D0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04A71482">
            <w:pPr>
              <w:pStyle w:val="278"/>
              <w:adjustRightInd w:val="0"/>
              <w:snapToGrid w:val="0"/>
              <w:spacing w:line="300" w:lineRule="exact"/>
              <w:rPr>
                <w:rFonts w:hint="eastAsia" w:cs="宋体"/>
              </w:rPr>
            </w:pPr>
            <w:r>
              <w:rPr>
                <w:rFonts w:hint="eastAsia" w:cs="宋体"/>
              </w:rPr>
              <w:t>环境空气</w:t>
            </w:r>
          </w:p>
        </w:tc>
        <w:tc>
          <w:tcPr>
            <w:tcW w:w="2841" w:type="pct"/>
            <w:vAlign w:val="center"/>
          </w:tcPr>
          <w:p w14:paraId="18CA7241">
            <w:pPr>
              <w:pStyle w:val="278"/>
              <w:adjustRightInd w:val="0"/>
              <w:snapToGrid w:val="0"/>
              <w:spacing w:line="300" w:lineRule="exact"/>
              <w:rPr>
                <w:rFonts w:hint="eastAsia" w:cs="宋体"/>
              </w:rPr>
            </w:pPr>
            <w:r>
              <w:rPr>
                <w:rFonts w:hint="eastAsia" w:cs="宋体"/>
              </w:rPr>
              <w:t>《环境空气质量标准》（GB3095-2012）二类功能区</w:t>
            </w:r>
          </w:p>
        </w:tc>
        <w:tc>
          <w:tcPr>
            <w:tcW w:w="1428" w:type="pct"/>
            <w:vAlign w:val="center"/>
          </w:tcPr>
          <w:p w14:paraId="298DF5D7">
            <w:pPr>
              <w:pStyle w:val="278"/>
              <w:adjustRightInd w:val="0"/>
              <w:snapToGrid w:val="0"/>
              <w:spacing w:line="300" w:lineRule="exact"/>
              <w:rPr>
                <w:rFonts w:hint="eastAsia"/>
              </w:rPr>
            </w:pPr>
            <w:r>
              <w:rPr>
                <w:rFonts w:hint="eastAsia"/>
              </w:rPr>
              <w:t>项目区不属于自然保护区、风景名胜区和其他需要特殊保护的区域</w:t>
            </w:r>
          </w:p>
        </w:tc>
      </w:tr>
      <w:tr w14:paraId="39D1FA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625037E6">
            <w:pPr>
              <w:pStyle w:val="278"/>
              <w:adjustRightInd w:val="0"/>
              <w:snapToGrid w:val="0"/>
              <w:spacing w:line="300" w:lineRule="exact"/>
              <w:rPr>
                <w:rFonts w:hint="eastAsia" w:cs="宋体"/>
              </w:rPr>
            </w:pPr>
            <w:r>
              <w:rPr>
                <w:rFonts w:hint="eastAsia" w:cs="宋体"/>
              </w:rPr>
              <w:t>地下水环境</w:t>
            </w:r>
          </w:p>
        </w:tc>
        <w:tc>
          <w:tcPr>
            <w:tcW w:w="2841" w:type="pct"/>
            <w:vAlign w:val="center"/>
          </w:tcPr>
          <w:p w14:paraId="3A7D5370">
            <w:pPr>
              <w:pStyle w:val="278"/>
              <w:adjustRightInd w:val="0"/>
              <w:snapToGrid w:val="0"/>
              <w:spacing w:line="300" w:lineRule="exact"/>
              <w:rPr>
                <w:rFonts w:hint="eastAsia" w:cs="宋体"/>
              </w:rPr>
            </w:pPr>
            <w:r>
              <w:rPr>
                <w:rFonts w:hint="eastAsia" w:cs="宋体"/>
              </w:rPr>
              <w:t>《地下水质量标准》（GB/T14848-2017）Ⅲ类区</w:t>
            </w:r>
          </w:p>
        </w:tc>
        <w:tc>
          <w:tcPr>
            <w:tcW w:w="1428" w:type="pct"/>
            <w:vAlign w:val="center"/>
          </w:tcPr>
          <w:p w14:paraId="74F6C434">
            <w:pPr>
              <w:pStyle w:val="278"/>
              <w:adjustRightInd w:val="0"/>
              <w:snapToGrid w:val="0"/>
              <w:spacing w:line="300" w:lineRule="exact"/>
              <w:rPr>
                <w:rFonts w:hint="eastAsia"/>
              </w:rPr>
            </w:pPr>
            <w:r>
              <w:rPr>
                <w:rFonts w:hint="eastAsia"/>
              </w:rPr>
              <w:t>主要用于工业用水</w:t>
            </w:r>
          </w:p>
        </w:tc>
      </w:tr>
      <w:tr w14:paraId="11856C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479314B5">
            <w:pPr>
              <w:pStyle w:val="278"/>
              <w:adjustRightInd w:val="0"/>
              <w:snapToGrid w:val="0"/>
              <w:spacing w:line="300" w:lineRule="exact"/>
              <w:rPr>
                <w:rFonts w:hint="eastAsia" w:cs="宋体"/>
              </w:rPr>
            </w:pPr>
            <w:r>
              <w:rPr>
                <w:rFonts w:hint="eastAsia" w:cs="宋体"/>
              </w:rPr>
              <w:t>声环境</w:t>
            </w:r>
          </w:p>
        </w:tc>
        <w:tc>
          <w:tcPr>
            <w:tcW w:w="2841" w:type="pct"/>
            <w:vAlign w:val="center"/>
          </w:tcPr>
          <w:p w14:paraId="708E44B5">
            <w:pPr>
              <w:pStyle w:val="278"/>
              <w:adjustRightInd w:val="0"/>
              <w:snapToGrid w:val="0"/>
              <w:spacing w:line="300" w:lineRule="exact"/>
              <w:rPr>
                <w:rFonts w:hint="eastAsia" w:cs="宋体"/>
              </w:rPr>
            </w:pPr>
            <w:r>
              <w:rPr>
                <w:rFonts w:hint="eastAsia" w:cs="宋体"/>
              </w:rPr>
              <w:t>《声环境质量标准》（GB3096-2008）</w:t>
            </w:r>
            <w:r>
              <w:rPr>
                <w:rFonts w:cs="宋体"/>
              </w:rPr>
              <w:t>2</w:t>
            </w:r>
            <w:r>
              <w:rPr>
                <w:rFonts w:hint="eastAsia" w:cs="宋体"/>
              </w:rPr>
              <w:t>类功能区</w:t>
            </w:r>
          </w:p>
        </w:tc>
        <w:tc>
          <w:tcPr>
            <w:tcW w:w="1428" w:type="pct"/>
            <w:vAlign w:val="center"/>
          </w:tcPr>
          <w:p w14:paraId="1CEED59B">
            <w:pPr>
              <w:pStyle w:val="278"/>
              <w:adjustRightInd w:val="0"/>
              <w:snapToGrid w:val="0"/>
              <w:spacing w:line="300" w:lineRule="exact"/>
              <w:rPr>
                <w:rFonts w:hint="eastAsia"/>
              </w:rPr>
            </w:pPr>
            <w:r>
              <w:rPr>
                <w:rFonts w:hint="eastAsia"/>
              </w:rPr>
              <w:t>位于2类功能区</w:t>
            </w:r>
          </w:p>
        </w:tc>
      </w:tr>
      <w:tr w14:paraId="0F0EB2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Merge w:val="restart"/>
            <w:vAlign w:val="center"/>
          </w:tcPr>
          <w:p w14:paraId="46AFD2B4">
            <w:pPr>
              <w:pStyle w:val="278"/>
              <w:adjustRightInd w:val="0"/>
              <w:snapToGrid w:val="0"/>
              <w:spacing w:line="300" w:lineRule="exact"/>
              <w:rPr>
                <w:rFonts w:hint="eastAsia" w:cs="宋体"/>
              </w:rPr>
            </w:pPr>
            <w:r>
              <w:rPr>
                <w:rFonts w:hint="eastAsia" w:cs="宋体"/>
              </w:rPr>
              <w:t>土壤环境</w:t>
            </w:r>
          </w:p>
        </w:tc>
        <w:tc>
          <w:tcPr>
            <w:tcW w:w="2841" w:type="pct"/>
            <w:vAlign w:val="center"/>
          </w:tcPr>
          <w:p w14:paraId="623315BC">
            <w:pPr>
              <w:pStyle w:val="278"/>
              <w:adjustRightInd w:val="0"/>
              <w:snapToGrid w:val="0"/>
              <w:spacing w:line="300" w:lineRule="exact"/>
              <w:rPr>
                <w:rFonts w:hint="eastAsia" w:cs="宋体"/>
              </w:rPr>
            </w:pPr>
            <w:r>
              <w:rPr>
                <w:rFonts w:hint="eastAsia" w:cs="宋体"/>
              </w:rPr>
              <w:t>《土壤环境质量</w:t>
            </w:r>
            <w:r>
              <w:rPr>
                <w:rFonts w:cs="宋体"/>
              </w:rPr>
              <w:t xml:space="preserve">  </w:t>
            </w:r>
            <w:r>
              <w:rPr>
                <w:rFonts w:hint="eastAsia" w:cs="宋体"/>
              </w:rPr>
              <w:t>建设用地土壤污染风险管控标准（试行）》（</w:t>
            </w:r>
            <w:r>
              <w:rPr>
                <w:rFonts w:cs="宋体"/>
              </w:rPr>
              <w:t>GB36600-2018</w:t>
            </w:r>
            <w:r>
              <w:rPr>
                <w:rFonts w:hint="eastAsia" w:cs="宋体"/>
              </w:rPr>
              <w:t>）第二类用地筛选值</w:t>
            </w:r>
          </w:p>
        </w:tc>
        <w:tc>
          <w:tcPr>
            <w:tcW w:w="1428" w:type="pct"/>
            <w:vAlign w:val="center"/>
          </w:tcPr>
          <w:p w14:paraId="5CD5BF09">
            <w:pPr>
              <w:pStyle w:val="278"/>
              <w:adjustRightInd w:val="0"/>
              <w:snapToGrid w:val="0"/>
              <w:spacing w:line="300" w:lineRule="exact"/>
              <w:rPr>
                <w:rFonts w:hint="eastAsia"/>
              </w:rPr>
            </w:pPr>
            <w:r>
              <w:rPr>
                <w:rFonts w:hint="eastAsia"/>
              </w:rPr>
              <w:t>占地属于第二类建设项目用地</w:t>
            </w:r>
          </w:p>
        </w:tc>
      </w:tr>
      <w:tr w14:paraId="1A7818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Merge w:val="continue"/>
            <w:vAlign w:val="center"/>
          </w:tcPr>
          <w:p w14:paraId="64869AEE">
            <w:pPr>
              <w:pStyle w:val="278"/>
              <w:adjustRightInd w:val="0"/>
              <w:snapToGrid w:val="0"/>
              <w:spacing w:line="300" w:lineRule="exact"/>
              <w:rPr>
                <w:rFonts w:hint="eastAsia" w:cs="宋体"/>
              </w:rPr>
            </w:pPr>
          </w:p>
        </w:tc>
        <w:tc>
          <w:tcPr>
            <w:tcW w:w="2841" w:type="pct"/>
            <w:vAlign w:val="center"/>
          </w:tcPr>
          <w:p w14:paraId="1AF27CF9">
            <w:pPr>
              <w:pStyle w:val="278"/>
              <w:adjustRightInd w:val="0"/>
              <w:snapToGrid w:val="0"/>
              <w:spacing w:line="300" w:lineRule="exact"/>
              <w:rPr>
                <w:rFonts w:hint="eastAsia" w:cs="宋体"/>
              </w:rPr>
            </w:pPr>
            <w:r>
              <w:rPr>
                <w:rFonts w:hint="eastAsia" w:cs="宋体"/>
              </w:rPr>
              <w:t>《土壤环境质量 农用地土壤污染风险管控标准（试行）》(GB15618—2018)表1</w:t>
            </w:r>
          </w:p>
        </w:tc>
        <w:tc>
          <w:tcPr>
            <w:tcW w:w="1428" w:type="pct"/>
            <w:vAlign w:val="center"/>
          </w:tcPr>
          <w:p w14:paraId="63B10E22">
            <w:pPr>
              <w:pStyle w:val="278"/>
              <w:adjustRightInd w:val="0"/>
              <w:snapToGrid w:val="0"/>
              <w:spacing w:line="300" w:lineRule="exact"/>
              <w:rPr>
                <w:rFonts w:hint="eastAsia"/>
              </w:rPr>
            </w:pPr>
            <w:r>
              <w:rPr>
                <w:rFonts w:hint="eastAsia"/>
              </w:rPr>
              <w:t>评价范围内存在耕地</w:t>
            </w:r>
          </w:p>
        </w:tc>
      </w:tr>
      <w:tr w14:paraId="614D35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41D4917A">
            <w:pPr>
              <w:pStyle w:val="278"/>
              <w:adjustRightInd w:val="0"/>
              <w:snapToGrid w:val="0"/>
              <w:spacing w:line="300" w:lineRule="exact"/>
              <w:rPr>
                <w:rFonts w:hint="eastAsia" w:cs="宋体"/>
              </w:rPr>
            </w:pPr>
            <w:r>
              <w:rPr>
                <w:rFonts w:hint="eastAsia" w:cs="宋体"/>
              </w:rPr>
              <w:t>生态环境</w:t>
            </w:r>
          </w:p>
        </w:tc>
        <w:tc>
          <w:tcPr>
            <w:tcW w:w="4269" w:type="pct"/>
            <w:gridSpan w:val="2"/>
            <w:vAlign w:val="center"/>
          </w:tcPr>
          <w:p w14:paraId="12DDC7F8">
            <w:pPr>
              <w:pStyle w:val="278"/>
              <w:adjustRightInd w:val="0"/>
              <w:snapToGrid w:val="0"/>
              <w:spacing w:line="300" w:lineRule="exact"/>
              <w:jc w:val="left"/>
              <w:rPr>
                <w:rFonts w:hint="eastAsia" w:cs="宋体"/>
              </w:rPr>
            </w:pPr>
            <w:r>
              <w:rPr>
                <w:rFonts w:hint="eastAsia" w:cs="宋体"/>
              </w:rPr>
              <w:t>Ⅱ兵团准噶尔盆地温带干旱荒漠与绿洲生态区—Ⅱ</w:t>
            </w:r>
            <w:r>
              <w:rPr>
                <w:rFonts w:hint="eastAsia" w:cs="宋体"/>
                <w:vertAlign w:val="subscript"/>
              </w:rPr>
              <w:t>3</w:t>
            </w:r>
            <w:r>
              <w:rPr>
                <w:rFonts w:hint="eastAsia" w:cs="宋体"/>
              </w:rPr>
              <w:t>六、七、八十二师准噶尔盆地南部灌木、半灌木荒漠、绿洲农业生态亚区—13六师土墩子-奇台人工绿洲农业生态功能区</w:t>
            </w:r>
          </w:p>
        </w:tc>
      </w:tr>
    </w:tbl>
    <w:p w14:paraId="6A1CC38F">
      <w:pPr>
        <w:pStyle w:val="4"/>
        <w:rPr>
          <w:rFonts w:hint="eastAsia"/>
          <w:lang w:val="zh-CN"/>
        </w:rPr>
      </w:pPr>
      <w:r>
        <w:rPr>
          <w:rFonts w:hint="eastAsia"/>
          <w:lang w:val="zh-CN"/>
        </w:rPr>
        <w:t>评价标准</w:t>
      </w:r>
      <w:bookmarkEnd w:id="77"/>
      <w:bookmarkEnd w:id="78"/>
      <w:bookmarkEnd w:id="79"/>
      <w:bookmarkEnd w:id="80"/>
      <w:bookmarkEnd w:id="81"/>
    </w:p>
    <w:p w14:paraId="6C873BEF">
      <w:pPr>
        <w:pStyle w:val="117"/>
        <w:ind w:firstLine="480"/>
        <w:rPr>
          <w:rFonts w:hint="eastAsia"/>
        </w:rPr>
      </w:pPr>
      <w:r>
        <w:rPr>
          <w:rFonts w:hint="eastAsia"/>
        </w:rPr>
        <w:t>（1）</w:t>
      </w:r>
      <w:r>
        <w:t>环境质量标准</w:t>
      </w:r>
    </w:p>
    <w:p w14:paraId="1B132AC0">
      <w:pPr>
        <w:pStyle w:val="117"/>
        <w:ind w:firstLine="480"/>
        <w:rPr>
          <w:rFonts w:hint="eastAsia"/>
        </w:rPr>
      </w:pPr>
      <w:r>
        <w:rPr>
          <w:rFonts w:hint="eastAsia"/>
        </w:rPr>
        <w:t>①</w:t>
      </w:r>
      <w:r>
        <w:t>环境空气</w:t>
      </w:r>
    </w:p>
    <w:p w14:paraId="495BC305">
      <w:pPr>
        <w:pStyle w:val="117"/>
        <w:ind w:firstLine="480"/>
        <w:rPr>
          <w:rFonts w:hint="eastAsia"/>
        </w:rPr>
      </w:pPr>
      <w:r>
        <w:t>SO</w:t>
      </w:r>
      <w:r>
        <w:rPr>
          <w:vertAlign w:val="subscript"/>
        </w:rPr>
        <w:t>2</w:t>
      </w:r>
      <w:r>
        <w:t>、NO</w:t>
      </w:r>
      <w:r>
        <w:rPr>
          <w:vertAlign w:val="subscript"/>
        </w:rPr>
        <w:t>2</w:t>
      </w:r>
      <w:r>
        <w:t>、PM</w:t>
      </w:r>
      <w:r>
        <w:rPr>
          <w:vertAlign w:val="subscript"/>
        </w:rPr>
        <w:t>10</w:t>
      </w:r>
      <w:r>
        <w:rPr>
          <w:rFonts w:hint="eastAsia" w:cs="Arial"/>
        </w:rPr>
        <w:t>、P</w:t>
      </w:r>
      <w:r>
        <w:rPr>
          <w:rFonts w:cs="Arial"/>
        </w:rPr>
        <w:t>M</w:t>
      </w:r>
      <w:r>
        <w:rPr>
          <w:rFonts w:cs="Arial"/>
          <w:vertAlign w:val="subscript"/>
        </w:rPr>
        <w:t>2.5</w:t>
      </w:r>
      <w:r>
        <w:rPr>
          <w:rFonts w:hint="eastAsia" w:cs="Arial"/>
        </w:rPr>
        <w:t>、C</w:t>
      </w:r>
      <w:r>
        <w:rPr>
          <w:rFonts w:cs="Arial"/>
        </w:rPr>
        <w:t>O</w:t>
      </w:r>
      <w:r>
        <w:rPr>
          <w:rFonts w:hint="eastAsia" w:cs="Arial"/>
        </w:rPr>
        <w:t>、O</w:t>
      </w:r>
      <w:r>
        <w:rPr>
          <w:rFonts w:cs="Arial"/>
          <w:vertAlign w:val="subscript"/>
        </w:rPr>
        <w:t>3</w:t>
      </w:r>
      <w:r>
        <w:rPr>
          <w:rFonts w:hint="eastAsia" w:cs="Arial"/>
        </w:rPr>
        <w:t>六项基本项目</w:t>
      </w:r>
      <w:r>
        <w:t>执行《环境空气质量标准》（GB3095-2012）</w:t>
      </w:r>
      <w:r>
        <w:rPr>
          <w:rFonts w:hint="eastAsia"/>
        </w:rPr>
        <w:t>及修改单中的</w:t>
      </w:r>
      <w:r>
        <w:t>二级浓度限值；非甲烷总烃参照《</w:t>
      </w:r>
      <w:r>
        <w:rPr>
          <w:rFonts w:hint="eastAsia"/>
        </w:rPr>
        <w:t>〈</w:t>
      </w:r>
      <w:r>
        <w:t>大气污染物综合排放标准</w:t>
      </w:r>
      <w:r>
        <w:rPr>
          <w:rFonts w:hint="eastAsia"/>
        </w:rPr>
        <w:t>〉</w:t>
      </w:r>
      <w:r>
        <w:t>详解》中推荐值2.0mg/m</w:t>
      </w:r>
      <w:r>
        <w:rPr>
          <w:vertAlign w:val="superscript"/>
        </w:rPr>
        <w:t>3</w:t>
      </w:r>
      <w:r>
        <w:t>执行</w:t>
      </w:r>
      <w:r>
        <w:rPr>
          <w:rFonts w:hint="eastAsia"/>
        </w:rPr>
        <w:t>，H</w:t>
      </w:r>
      <w:r>
        <w:rPr>
          <w:rFonts w:hint="eastAsia"/>
          <w:vertAlign w:val="subscript"/>
        </w:rPr>
        <w:t>2</w:t>
      </w:r>
      <w:r>
        <w:rPr>
          <w:rFonts w:hint="eastAsia"/>
        </w:rPr>
        <w:t>S执行《环境影响评价技术导则大气环境》（</w:t>
      </w:r>
      <w:r>
        <w:t>HJ2.2-2018）附录D中</w:t>
      </w:r>
      <w:r>
        <w:rPr>
          <w:rFonts w:hint="eastAsia"/>
        </w:rPr>
        <w:t>推荐值，各</w:t>
      </w:r>
      <w:r>
        <w:t>标准取值见</w:t>
      </w:r>
      <w:r>
        <w:rPr>
          <w:rFonts w:hint="eastAsia"/>
        </w:rPr>
        <w:t>表</w:t>
      </w:r>
      <w:r>
        <w:t>2.5</w:t>
      </w:r>
      <w:r>
        <w:rPr>
          <w:rFonts w:hint="eastAsia"/>
        </w:rPr>
        <w:t>-</w:t>
      </w:r>
      <w:r>
        <w:t>2。</w:t>
      </w:r>
    </w:p>
    <w:p w14:paraId="6055644A">
      <w:pPr>
        <w:pStyle w:val="15"/>
        <w:rPr>
          <w:rFonts w:hint="eastAsia"/>
        </w:rPr>
      </w:pPr>
      <w:r>
        <w:rPr>
          <w:rFonts w:hint="eastAsia"/>
        </w:rPr>
        <w:t>表</w:t>
      </w:r>
      <w:r>
        <w:t>2.5</w:t>
      </w:r>
      <w:r>
        <w:rPr>
          <w:rFonts w:hint="eastAsia"/>
        </w:rPr>
        <w:t>-</w:t>
      </w:r>
      <w:r>
        <w:t>2</w:t>
      </w:r>
      <w:r>
        <w:rPr>
          <w:rFonts w:hint="eastAsia"/>
        </w:rPr>
        <w:t xml:space="preserve"> </w:t>
      </w:r>
      <w:r>
        <w:t xml:space="preserve"> 环境空气质量标准</w:t>
      </w:r>
      <w:r>
        <w:rPr>
          <w:rFonts w:hint="eastAsia"/>
        </w:rPr>
        <w:t>一览表</w:t>
      </w:r>
    </w:p>
    <w:tbl>
      <w:tblPr>
        <w:tblStyle w:val="51"/>
        <w:tblW w:w="8946" w:type="dxa"/>
        <w:tblInd w:w="108"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693"/>
        <w:gridCol w:w="1292"/>
        <w:gridCol w:w="2018"/>
        <w:gridCol w:w="1345"/>
        <w:gridCol w:w="889"/>
        <w:gridCol w:w="2709"/>
      </w:tblGrid>
      <w:tr w14:paraId="799BCED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blHeader/>
        </w:trPr>
        <w:tc>
          <w:tcPr>
            <w:tcW w:w="693" w:type="dxa"/>
            <w:tcBorders>
              <w:right w:val="single" w:color="auto" w:sz="4" w:space="0"/>
            </w:tcBorders>
            <w:vAlign w:val="center"/>
          </w:tcPr>
          <w:p w14:paraId="46F5640B">
            <w:pPr>
              <w:adjustRightInd w:val="0"/>
              <w:snapToGrid w:val="0"/>
              <w:spacing w:line="300" w:lineRule="exact"/>
              <w:jc w:val="center"/>
              <w:rPr>
                <w:rFonts w:hint="eastAsia" w:ascii="宋体" w:hAnsi="宋体" w:cs="宋体"/>
                <w:szCs w:val="21"/>
              </w:rPr>
            </w:pPr>
            <w:r>
              <w:rPr>
                <w:rFonts w:hint="eastAsia" w:ascii="宋体" w:hAnsi="宋体" w:cs="宋体"/>
                <w:szCs w:val="21"/>
              </w:rPr>
              <w:t>序号</w:t>
            </w:r>
          </w:p>
        </w:tc>
        <w:tc>
          <w:tcPr>
            <w:tcW w:w="1292" w:type="dxa"/>
            <w:tcBorders>
              <w:left w:val="single" w:color="auto" w:sz="4" w:space="0"/>
            </w:tcBorders>
            <w:vAlign w:val="center"/>
          </w:tcPr>
          <w:p w14:paraId="4F0BC8D2">
            <w:pPr>
              <w:adjustRightInd w:val="0"/>
              <w:snapToGrid w:val="0"/>
              <w:spacing w:line="300" w:lineRule="exact"/>
              <w:jc w:val="center"/>
              <w:rPr>
                <w:rFonts w:hint="eastAsia" w:ascii="宋体" w:hAnsi="宋体" w:cs="宋体"/>
                <w:szCs w:val="21"/>
              </w:rPr>
            </w:pPr>
            <w:r>
              <w:rPr>
                <w:rFonts w:hint="eastAsia" w:ascii="宋体" w:hAnsi="宋体" w:cs="宋体"/>
                <w:szCs w:val="21"/>
              </w:rPr>
              <w:t>污染物名称</w:t>
            </w:r>
          </w:p>
        </w:tc>
        <w:tc>
          <w:tcPr>
            <w:tcW w:w="2018" w:type="dxa"/>
            <w:vAlign w:val="center"/>
          </w:tcPr>
          <w:p w14:paraId="1223FD6E">
            <w:pPr>
              <w:adjustRightInd w:val="0"/>
              <w:snapToGrid w:val="0"/>
              <w:spacing w:line="300" w:lineRule="exact"/>
              <w:jc w:val="center"/>
              <w:rPr>
                <w:rFonts w:hint="eastAsia" w:ascii="宋体" w:hAnsi="宋体" w:cs="宋体"/>
                <w:szCs w:val="21"/>
              </w:rPr>
            </w:pPr>
            <w:r>
              <w:rPr>
                <w:rFonts w:hint="eastAsia" w:ascii="宋体" w:hAnsi="宋体" w:cs="宋体"/>
                <w:szCs w:val="21"/>
              </w:rPr>
              <w:t>取值时间</w:t>
            </w:r>
          </w:p>
        </w:tc>
        <w:tc>
          <w:tcPr>
            <w:tcW w:w="1345" w:type="dxa"/>
            <w:tcBorders>
              <w:bottom w:val="single" w:color="auto" w:sz="4" w:space="0"/>
            </w:tcBorders>
            <w:vAlign w:val="center"/>
          </w:tcPr>
          <w:p w14:paraId="09BE0FF9">
            <w:pPr>
              <w:adjustRightInd w:val="0"/>
              <w:snapToGrid w:val="0"/>
              <w:spacing w:line="300" w:lineRule="exact"/>
              <w:jc w:val="center"/>
              <w:rPr>
                <w:rFonts w:hint="eastAsia" w:ascii="宋体" w:hAnsi="宋体" w:cs="宋体"/>
                <w:szCs w:val="21"/>
              </w:rPr>
            </w:pPr>
            <w:r>
              <w:rPr>
                <w:rFonts w:hint="eastAsia" w:ascii="宋体" w:hAnsi="宋体" w:cs="宋体"/>
                <w:szCs w:val="21"/>
              </w:rPr>
              <w:t>浓度限值</w:t>
            </w:r>
          </w:p>
        </w:tc>
        <w:tc>
          <w:tcPr>
            <w:tcW w:w="889" w:type="dxa"/>
            <w:tcBorders>
              <w:bottom w:val="single" w:color="auto" w:sz="4" w:space="0"/>
            </w:tcBorders>
            <w:vAlign w:val="center"/>
          </w:tcPr>
          <w:p w14:paraId="5B7780F9">
            <w:pPr>
              <w:adjustRightInd w:val="0"/>
              <w:snapToGrid w:val="0"/>
              <w:spacing w:line="300" w:lineRule="exact"/>
              <w:jc w:val="center"/>
              <w:rPr>
                <w:rFonts w:hint="eastAsia" w:ascii="宋体" w:hAnsi="宋体" w:cs="宋体"/>
                <w:szCs w:val="21"/>
              </w:rPr>
            </w:pPr>
            <w:r>
              <w:rPr>
                <w:rFonts w:hint="eastAsia" w:ascii="宋体" w:hAnsi="宋体" w:cs="宋体"/>
                <w:szCs w:val="21"/>
              </w:rPr>
              <w:t>单位</w:t>
            </w:r>
          </w:p>
        </w:tc>
        <w:tc>
          <w:tcPr>
            <w:tcW w:w="2709" w:type="dxa"/>
            <w:tcBorders>
              <w:bottom w:val="single" w:color="auto" w:sz="4" w:space="0"/>
            </w:tcBorders>
            <w:vAlign w:val="center"/>
          </w:tcPr>
          <w:p w14:paraId="129BAF2B">
            <w:pPr>
              <w:adjustRightInd w:val="0"/>
              <w:snapToGrid w:val="0"/>
              <w:spacing w:line="300" w:lineRule="exact"/>
              <w:jc w:val="center"/>
              <w:rPr>
                <w:rFonts w:hint="eastAsia" w:ascii="宋体" w:hAnsi="宋体" w:cs="宋体"/>
                <w:szCs w:val="21"/>
              </w:rPr>
            </w:pPr>
            <w:r>
              <w:rPr>
                <w:rFonts w:hint="eastAsia" w:ascii="宋体" w:hAnsi="宋体" w:cs="宋体"/>
                <w:szCs w:val="21"/>
              </w:rPr>
              <w:t>标准来源</w:t>
            </w:r>
          </w:p>
        </w:tc>
      </w:tr>
      <w:tr w14:paraId="387A06F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695C4170">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c>
          <w:tcPr>
            <w:tcW w:w="1292" w:type="dxa"/>
            <w:vMerge w:val="restart"/>
            <w:tcBorders>
              <w:left w:val="single" w:color="auto" w:sz="4" w:space="0"/>
            </w:tcBorders>
            <w:vAlign w:val="center"/>
          </w:tcPr>
          <w:p w14:paraId="13474C6B">
            <w:pPr>
              <w:adjustRightInd w:val="0"/>
              <w:snapToGrid w:val="0"/>
              <w:spacing w:line="300" w:lineRule="exact"/>
              <w:jc w:val="center"/>
              <w:rPr>
                <w:rFonts w:hint="eastAsia" w:ascii="宋体" w:hAnsi="宋体" w:cs="宋体"/>
                <w:szCs w:val="21"/>
              </w:rPr>
            </w:pPr>
            <w:r>
              <w:rPr>
                <w:rFonts w:hint="eastAsia" w:ascii="宋体" w:hAnsi="宋体" w:cs="宋体"/>
                <w:szCs w:val="21"/>
              </w:rPr>
              <w:t>SO</w:t>
            </w:r>
            <w:r>
              <w:rPr>
                <w:rFonts w:hint="eastAsia" w:ascii="宋体" w:hAnsi="宋体" w:cs="宋体"/>
                <w:szCs w:val="21"/>
                <w:vertAlign w:val="subscript"/>
              </w:rPr>
              <w:t>2</w:t>
            </w:r>
          </w:p>
        </w:tc>
        <w:tc>
          <w:tcPr>
            <w:tcW w:w="2018" w:type="dxa"/>
            <w:vAlign w:val="center"/>
          </w:tcPr>
          <w:p w14:paraId="314B5979">
            <w:pPr>
              <w:adjustRightInd w:val="0"/>
              <w:snapToGrid w:val="0"/>
              <w:spacing w:line="300" w:lineRule="exact"/>
              <w:jc w:val="center"/>
              <w:rPr>
                <w:rFonts w:hint="eastAsia" w:ascii="宋体" w:hAnsi="宋体" w:cs="宋体"/>
                <w:szCs w:val="21"/>
              </w:rPr>
            </w:pPr>
            <w:r>
              <w:rPr>
                <w:rFonts w:hint="eastAsia" w:ascii="宋体" w:hAnsi="宋体" w:cs="宋体"/>
                <w:szCs w:val="21"/>
              </w:rPr>
              <w:t>年平均</w:t>
            </w:r>
          </w:p>
        </w:tc>
        <w:tc>
          <w:tcPr>
            <w:tcW w:w="1345" w:type="dxa"/>
            <w:vAlign w:val="center"/>
          </w:tcPr>
          <w:p w14:paraId="32B43E11">
            <w:pPr>
              <w:adjustRightInd w:val="0"/>
              <w:snapToGrid w:val="0"/>
              <w:spacing w:line="300" w:lineRule="exact"/>
              <w:jc w:val="center"/>
              <w:rPr>
                <w:rFonts w:hint="eastAsia" w:ascii="宋体" w:hAnsi="宋体" w:cs="宋体"/>
                <w:szCs w:val="21"/>
              </w:rPr>
            </w:pPr>
            <w:r>
              <w:rPr>
                <w:rFonts w:hint="eastAsia" w:ascii="宋体" w:hAnsi="宋体" w:cs="宋体"/>
                <w:szCs w:val="21"/>
              </w:rPr>
              <w:t>60</w:t>
            </w:r>
          </w:p>
        </w:tc>
        <w:tc>
          <w:tcPr>
            <w:tcW w:w="889" w:type="dxa"/>
            <w:vMerge w:val="restart"/>
            <w:vAlign w:val="center"/>
          </w:tcPr>
          <w:p w14:paraId="47BDD41D">
            <w:pPr>
              <w:adjustRightInd w:val="0"/>
              <w:snapToGrid w:val="0"/>
              <w:spacing w:line="300" w:lineRule="exact"/>
              <w:jc w:val="center"/>
              <w:rPr>
                <w:rFonts w:hint="eastAsia" w:ascii="宋体" w:hAnsi="宋体" w:cs="宋体"/>
                <w:szCs w:val="21"/>
                <w:vertAlign w:val="superscript"/>
              </w:rPr>
            </w:pPr>
            <w:r>
              <w:rPr>
                <w:rFonts w:hint="eastAsia" w:ascii="宋体" w:hAnsi="宋体" w:cs="宋体"/>
                <w:szCs w:val="21"/>
              </w:rPr>
              <w:t>μg/m</w:t>
            </w:r>
            <w:r>
              <w:rPr>
                <w:rFonts w:hint="eastAsia" w:ascii="宋体" w:hAnsi="宋体" w:cs="宋体"/>
                <w:szCs w:val="21"/>
                <w:vertAlign w:val="superscript"/>
              </w:rPr>
              <w:t>3</w:t>
            </w:r>
          </w:p>
        </w:tc>
        <w:tc>
          <w:tcPr>
            <w:tcW w:w="2709" w:type="dxa"/>
            <w:vMerge w:val="restart"/>
            <w:vAlign w:val="center"/>
          </w:tcPr>
          <w:p w14:paraId="587F3061">
            <w:pPr>
              <w:adjustRightInd w:val="0"/>
              <w:snapToGrid w:val="0"/>
              <w:spacing w:line="300" w:lineRule="exact"/>
              <w:jc w:val="center"/>
              <w:rPr>
                <w:rFonts w:hint="eastAsia" w:ascii="宋体" w:hAnsi="宋体" w:cs="宋体"/>
                <w:szCs w:val="21"/>
              </w:rPr>
            </w:pPr>
            <w:r>
              <w:rPr>
                <w:rFonts w:hint="eastAsia" w:ascii="宋体" w:hAnsi="宋体" w:cs="宋体"/>
                <w:szCs w:val="21"/>
              </w:rPr>
              <w:t>GB3095-2012及修改单</w:t>
            </w:r>
          </w:p>
          <w:p w14:paraId="226FDCE5">
            <w:pPr>
              <w:adjustRightInd w:val="0"/>
              <w:snapToGrid w:val="0"/>
              <w:spacing w:line="300" w:lineRule="exact"/>
              <w:jc w:val="center"/>
              <w:rPr>
                <w:rFonts w:hint="eastAsia" w:ascii="宋体" w:hAnsi="宋体" w:cs="宋体"/>
                <w:szCs w:val="21"/>
              </w:rPr>
            </w:pPr>
            <w:r>
              <w:rPr>
                <w:rFonts w:hint="eastAsia" w:ascii="宋体" w:hAnsi="宋体" w:cs="宋体"/>
                <w:szCs w:val="21"/>
              </w:rPr>
              <w:t>（二级）</w:t>
            </w:r>
          </w:p>
        </w:tc>
      </w:tr>
      <w:tr w14:paraId="0B0BAEF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421C20BE">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4C20F02A">
            <w:pPr>
              <w:adjustRightInd w:val="0"/>
              <w:snapToGrid w:val="0"/>
              <w:spacing w:line="300" w:lineRule="exact"/>
              <w:jc w:val="center"/>
              <w:rPr>
                <w:rFonts w:hint="eastAsia" w:ascii="宋体" w:hAnsi="宋体" w:cs="宋体"/>
                <w:szCs w:val="21"/>
              </w:rPr>
            </w:pPr>
          </w:p>
        </w:tc>
        <w:tc>
          <w:tcPr>
            <w:tcW w:w="2018" w:type="dxa"/>
            <w:vAlign w:val="center"/>
          </w:tcPr>
          <w:p w14:paraId="26AA5E9D">
            <w:pPr>
              <w:adjustRightInd w:val="0"/>
              <w:snapToGrid w:val="0"/>
              <w:spacing w:line="300" w:lineRule="exact"/>
              <w:jc w:val="center"/>
              <w:rPr>
                <w:rFonts w:hint="eastAsia" w:ascii="宋体" w:hAnsi="宋体" w:cs="宋体"/>
                <w:szCs w:val="21"/>
              </w:rPr>
            </w:pPr>
            <w:r>
              <w:rPr>
                <w:rFonts w:hint="eastAsia" w:ascii="宋体" w:hAnsi="宋体" w:cs="宋体"/>
                <w:szCs w:val="21"/>
              </w:rPr>
              <w:t>2</w:t>
            </w:r>
            <w:r>
              <w:rPr>
                <w:rFonts w:ascii="宋体" w:hAnsi="宋体" w:cs="宋体"/>
                <w:szCs w:val="21"/>
              </w:rPr>
              <w:t>4</w:t>
            </w:r>
            <w:r>
              <w:rPr>
                <w:rFonts w:hint="eastAsia" w:ascii="宋体" w:hAnsi="宋体" w:cs="宋体"/>
                <w:szCs w:val="21"/>
              </w:rPr>
              <w:t>小时平均</w:t>
            </w:r>
          </w:p>
        </w:tc>
        <w:tc>
          <w:tcPr>
            <w:tcW w:w="1345" w:type="dxa"/>
            <w:vAlign w:val="center"/>
          </w:tcPr>
          <w:p w14:paraId="70FC8154">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50</w:t>
            </w:r>
          </w:p>
        </w:tc>
        <w:tc>
          <w:tcPr>
            <w:tcW w:w="889" w:type="dxa"/>
            <w:vMerge w:val="continue"/>
            <w:vAlign w:val="center"/>
          </w:tcPr>
          <w:p w14:paraId="21FA5A9E">
            <w:pPr>
              <w:adjustRightInd w:val="0"/>
              <w:snapToGrid w:val="0"/>
              <w:spacing w:line="300" w:lineRule="exact"/>
              <w:jc w:val="center"/>
              <w:rPr>
                <w:rFonts w:hint="eastAsia" w:ascii="宋体" w:hAnsi="宋体" w:cs="宋体"/>
                <w:szCs w:val="21"/>
              </w:rPr>
            </w:pPr>
          </w:p>
        </w:tc>
        <w:tc>
          <w:tcPr>
            <w:tcW w:w="2709" w:type="dxa"/>
            <w:vMerge w:val="continue"/>
            <w:vAlign w:val="center"/>
          </w:tcPr>
          <w:p w14:paraId="1C7336D8">
            <w:pPr>
              <w:adjustRightInd w:val="0"/>
              <w:snapToGrid w:val="0"/>
              <w:spacing w:line="300" w:lineRule="exact"/>
              <w:jc w:val="center"/>
              <w:rPr>
                <w:rFonts w:hint="eastAsia" w:ascii="宋体" w:hAnsi="宋体" w:cs="宋体"/>
                <w:szCs w:val="21"/>
              </w:rPr>
            </w:pPr>
          </w:p>
        </w:tc>
      </w:tr>
      <w:tr w14:paraId="2AD6E5C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3C6B3B41">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78CD058D">
            <w:pPr>
              <w:adjustRightInd w:val="0"/>
              <w:snapToGrid w:val="0"/>
              <w:spacing w:line="300" w:lineRule="exact"/>
              <w:jc w:val="center"/>
              <w:rPr>
                <w:rFonts w:hint="eastAsia" w:ascii="宋体" w:hAnsi="宋体" w:cs="宋体"/>
                <w:szCs w:val="21"/>
              </w:rPr>
            </w:pPr>
          </w:p>
        </w:tc>
        <w:tc>
          <w:tcPr>
            <w:tcW w:w="2018" w:type="dxa"/>
            <w:vAlign w:val="center"/>
          </w:tcPr>
          <w:p w14:paraId="6C5AE35D">
            <w:pPr>
              <w:adjustRightInd w:val="0"/>
              <w:snapToGrid w:val="0"/>
              <w:spacing w:line="300" w:lineRule="exact"/>
              <w:jc w:val="center"/>
              <w:rPr>
                <w:rFonts w:hint="eastAsia" w:ascii="宋体" w:hAnsi="宋体" w:cs="宋体"/>
                <w:szCs w:val="21"/>
              </w:rPr>
            </w:pPr>
            <w:r>
              <w:rPr>
                <w:rFonts w:hint="eastAsia" w:ascii="宋体" w:hAnsi="宋体" w:cs="宋体"/>
                <w:szCs w:val="21"/>
              </w:rPr>
              <w:t>1小时平均</w:t>
            </w:r>
          </w:p>
        </w:tc>
        <w:tc>
          <w:tcPr>
            <w:tcW w:w="1345" w:type="dxa"/>
            <w:vAlign w:val="center"/>
          </w:tcPr>
          <w:p w14:paraId="75D14B69">
            <w:pPr>
              <w:adjustRightInd w:val="0"/>
              <w:snapToGrid w:val="0"/>
              <w:spacing w:line="300" w:lineRule="exact"/>
              <w:jc w:val="center"/>
              <w:rPr>
                <w:rFonts w:hint="eastAsia" w:ascii="宋体" w:hAnsi="宋体" w:cs="宋体"/>
                <w:szCs w:val="21"/>
              </w:rPr>
            </w:pPr>
            <w:r>
              <w:rPr>
                <w:rFonts w:hint="eastAsia" w:ascii="宋体" w:hAnsi="宋体" w:cs="宋体"/>
                <w:szCs w:val="21"/>
              </w:rPr>
              <w:t>500</w:t>
            </w:r>
          </w:p>
        </w:tc>
        <w:tc>
          <w:tcPr>
            <w:tcW w:w="889" w:type="dxa"/>
            <w:vMerge w:val="continue"/>
            <w:vAlign w:val="center"/>
          </w:tcPr>
          <w:p w14:paraId="7946F93F">
            <w:pPr>
              <w:adjustRightInd w:val="0"/>
              <w:snapToGrid w:val="0"/>
              <w:spacing w:line="300" w:lineRule="exact"/>
              <w:jc w:val="center"/>
              <w:rPr>
                <w:rFonts w:hint="eastAsia" w:ascii="宋体" w:hAnsi="宋体" w:cs="宋体"/>
                <w:szCs w:val="21"/>
              </w:rPr>
            </w:pPr>
          </w:p>
        </w:tc>
        <w:tc>
          <w:tcPr>
            <w:tcW w:w="2709" w:type="dxa"/>
            <w:vMerge w:val="continue"/>
            <w:vAlign w:val="center"/>
          </w:tcPr>
          <w:p w14:paraId="32D4DAB3">
            <w:pPr>
              <w:adjustRightInd w:val="0"/>
              <w:snapToGrid w:val="0"/>
              <w:spacing w:line="300" w:lineRule="exact"/>
              <w:jc w:val="center"/>
              <w:rPr>
                <w:rFonts w:hint="eastAsia" w:ascii="宋体" w:hAnsi="宋体" w:cs="宋体"/>
                <w:szCs w:val="21"/>
              </w:rPr>
            </w:pPr>
          </w:p>
        </w:tc>
      </w:tr>
      <w:tr w14:paraId="22F91C8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1139306D">
            <w:pPr>
              <w:adjustRightInd w:val="0"/>
              <w:snapToGrid w:val="0"/>
              <w:spacing w:line="300" w:lineRule="exact"/>
              <w:jc w:val="center"/>
              <w:rPr>
                <w:rFonts w:hint="eastAsia" w:ascii="宋体" w:hAnsi="宋体" w:cs="宋体"/>
                <w:szCs w:val="21"/>
              </w:rPr>
            </w:pPr>
            <w:r>
              <w:rPr>
                <w:rFonts w:hint="eastAsia" w:ascii="宋体" w:hAnsi="宋体" w:cs="宋体"/>
                <w:szCs w:val="21"/>
              </w:rPr>
              <w:t>2</w:t>
            </w:r>
          </w:p>
        </w:tc>
        <w:tc>
          <w:tcPr>
            <w:tcW w:w="1292" w:type="dxa"/>
            <w:vMerge w:val="restart"/>
            <w:tcBorders>
              <w:left w:val="single" w:color="auto" w:sz="4" w:space="0"/>
            </w:tcBorders>
            <w:vAlign w:val="center"/>
          </w:tcPr>
          <w:p w14:paraId="5A037D1E">
            <w:pPr>
              <w:adjustRightInd w:val="0"/>
              <w:snapToGrid w:val="0"/>
              <w:spacing w:line="300" w:lineRule="exact"/>
              <w:jc w:val="center"/>
              <w:rPr>
                <w:rFonts w:hint="eastAsia" w:ascii="宋体" w:hAnsi="宋体" w:cs="宋体"/>
                <w:szCs w:val="21"/>
              </w:rPr>
            </w:pPr>
            <w:r>
              <w:rPr>
                <w:rFonts w:hint="eastAsia" w:ascii="宋体" w:hAnsi="宋体" w:cs="宋体"/>
                <w:szCs w:val="21"/>
              </w:rPr>
              <w:t>NO</w:t>
            </w:r>
            <w:r>
              <w:rPr>
                <w:rFonts w:hint="eastAsia" w:ascii="宋体" w:hAnsi="宋体" w:cs="宋体"/>
                <w:szCs w:val="21"/>
                <w:vertAlign w:val="subscript"/>
              </w:rPr>
              <w:t>2</w:t>
            </w:r>
          </w:p>
        </w:tc>
        <w:tc>
          <w:tcPr>
            <w:tcW w:w="2018" w:type="dxa"/>
            <w:vAlign w:val="center"/>
          </w:tcPr>
          <w:p w14:paraId="52E3D897">
            <w:pPr>
              <w:adjustRightInd w:val="0"/>
              <w:snapToGrid w:val="0"/>
              <w:spacing w:line="300" w:lineRule="exact"/>
              <w:jc w:val="center"/>
              <w:rPr>
                <w:rFonts w:hint="eastAsia" w:ascii="宋体" w:hAnsi="宋体" w:cs="宋体"/>
                <w:szCs w:val="21"/>
              </w:rPr>
            </w:pPr>
            <w:r>
              <w:rPr>
                <w:rFonts w:hint="eastAsia" w:ascii="宋体" w:hAnsi="宋体" w:cs="宋体"/>
                <w:szCs w:val="21"/>
              </w:rPr>
              <w:t>年平均</w:t>
            </w:r>
          </w:p>
        </w:tc>
        <w:tc>
          <w:tcPr>
            <w:tcW w:w="1345" w:type="dxa"/>
            <w:vAlign w:val="center"/>
          </w:tcPr>
          <w:p w14:paraId="09F8F9E4">
            <w:pPr>
              <w:adjustRightInd w:val="0"/>
              <w:snapToGrid w:val="0"/>
              <w:spacing w:line="300" w:lineRule="exact"/>
              <w:jc w:val="center"/>
              <w:rPr>
                <w:rFonts w:hint="eastAsia" w:ascii="宋体" w:hAnsi="宋体" w:cs="宋体"/>
                <w:szCs w:val="21"/>
              </w:rPr>
            </w:pPr>
            <w:r>
              <w:rPr>
                <w:rFonts w:hint="eastAsia" w:ascii="宋体" w:hAnsi="宋体" w:cs="宋体"/>
                <w:szCs w:val="21"/>
              </w:rPr>
              <w:t>40</w:t>
            </w:r>
          </w:p>
        </w:tc>
        <w:tc>
          <w:tcPr>
            <w:tcW w:w="889" w:type="dxa"/>
            <w:vMerge w:val="continue"/>
            <w:vAlign w:val="center"/>
          </w:tcPr>
          <w:p w14:paraId="2F975BEC">
            <w:pPr>
              <w:adjustRightInd w:val="0"/>
              <w:snapToGrid w:val="0"/>
              <w:spacing w:line="300" w:lineRule="exact"/>
              <w:jc w:val="center"/>
              <w:rPr>
                <w:rFonts w:hint="eastAsia" w:ascii="宋体" w:hAnsi="宋体" w:cs="宋体"/>
                <w:szCs w:val="21"/>
              </w:rPr>
            </w:pPr>
          </w:p>
        </w:tc>
        <w:tc>
          <w:tcPr>
            <w:tcW w:w="2709" w:type="dxa"/>
            <w:vMerge w:val="continue"/>
            <w:vAlign w:val="center"/>
          </w:tcPr>
          <w:p w14:paraId="5CAE3A22">
            <w:pPr>
              <w:adjustRightInd w:val="0"/>
              <w:snapToGrid w:val="0"/>
              <w:spacing w:line="300" w:lineRule="exact"/>
              <w:jc w:val="center"/>
              <w:rPr>
                <w:rFonts w:hint="eastAsia" w:ascii="宋体" w:hAnsi="宋体" w:cs="宋体"/>
                <w:szCs w:val="21"/>
              </w:rPr>
            </w:pPr>
          </w:p>
        </w:tc>
      </w:tr>
      <w:tr w14:paraId="232160F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2FBD136D">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039F0A3A">
            <w:pPr>
              <w:adjustRightInd w:val="0"/>
              <w:snapToGrid w:val="0"/>
              <w:spacing w:line="300" w:lineRule="exact"/>
              <w:jc w:val="center"/>
              <w:rPr>
                <w:rFonts w:hint="eastAsia" w:ascii="宋体" w:hAnsi="宋体" w:cs="宋体"/>
                <w:szCs w:val="21"/>
              </w:rPr>
            </w:pPr>
          </w:p>
        </w:tc>
        <w:tc>
          <w:tcPr>
            <w:tcW w:w="2018" w:type="dxa"/>
            <w:vAlign w:val="center"/>
          </w:tcPr>
          <w:p w14:paraId="07580D71">
            <w:pPr>
              <w:adjustRightInd w:val="0"/>
              <w:snapToGrid w:val="0"/>
              <w:spacing w:line="300" w:lineRule="exact"/>
              <w:jc w:val="center"/>
              <w:rPr>
                <w:rFonts w:hint="eastAsia" w:ascii="宋体" w:hAnsi="宋体" w:cs="宋体"/>
                <w:szCs w:val="21"/>
              </w:rPr>
            </w:pPr>
            <w:r>
              <w:rPr>
                <w:rFonts w:hint="eastAsia" w:ascii="宋体" w:hAnsi="宋体" w:cs="宋体"/>
                <w:szCs w:val="21"/>
              </w:rPr>
              <w:t>2</w:t>
            </w:r>
            <w:r>
              <w:rPr>
                <w:rFonts w:ascii="宋体" w:hAnsi="宋体" w:cs="宋体"/>
                <w:szCs w:val="21"/>
              </w:rPr>
              <w:t>4</w:t>
            </w:r>
            <w:r>
              <w:rPr>
                <w:rFonts w:hint="eastAsia" w:ascii="宋体" w:hAnsi="宋体" w:cs="宋体"/>
                <w:szCs w:val="21"/>
              </w:rPr>
              <w:t>小时平均</w:t>
            </w:r>
          </w:p>
        </w:tc>
        <w:tc>
          <w:tcPr>
            <w:tcW w:w="1345" w:type="dxa"/>
            <w:vAlign w:val="center"/>
          </w:tcPr>
          <w:p w14:paraId="58086EA2">
            <w:pPr>
              <w:adjustRightInd w:val="0"/>
              <w:snapToGrid w:val="0"/>
              <w:spacing w:line="300" w:lineRule="exact"/>
              <w:jc w:val="center"/>
              <w:rPr>
                <w:rFonts w:hint="eastAsia" w:ascii="宋体" w:hAnsi="宋体" w:cs="宋体"/>
                <w:szCs w:val="21"/>
              </w:rPr>
            </w:pPr>
            <w:r>
              <w:rPr>
                <w:rFonts w:hint="eastAsia" w:ascii="宋体" w:hAnsi="宋体" w:cs="宋体"/>
                <w:szCs w:val="21"/>
              </w:rPr>
              <w:t>8</w:t>
            </w:r>
            <w:r>
              <w:rPr>
                <w:rFonts w:ascii="宋体" w:hAnsi="宋体" w:cs="宋体"/>
                <w:szCs w:val="21"/>
              </w:rPr>
              <w:t>0</w:t>
            </w:r>
          </w:p>
        </w:tc>
        <w:tc>
          <w:tcPr>
            <w:tcW w:w="889" w:type="dxa"/>
            <w:vMerge w:val="continue"/>
            <w:vAlign w:val="center"/>
          </w:tcPr>
          <w:p w14:paraId="56891ABC">
            <w:pPr>
              <w:adjustRightInd w:val="0"/>
              <w:snapToGrid w:val="0"/>
              <w:spacing w:line="300" w:lineRule="exact"/>
              <w:jc w:val="center"/>
              <w:rPr>
                <w:rFonts w:hint="eastAsia" w:ascii="宋体" w:hAnsi="宋体" w:cs="宋体"/>
                <w:szCs w:val="21"/>
              </w:rPr>
            </w:pPr>
          </w:p>
        </w:tc>
        <w:tc>
          <w:tcPr>
            <w:tcW w:w="2709" w:type="dxa"/>
            <w:vMerge w:val="continue"/>
            <w:vAlign w:val="center"/>
          </w:tcPr>
          <w:p w14:paraId="64D38EFD">
            <w:pPr>
              <w:adjustRightInd w:val="0"/>
              <w:snapToGrid w:val="0"/>
              <w:spacing w:line="300" w:lineRule="exact"/>
              <w:jc w:val="center"/>
              <w:rPr>
                <w:rFonts w:hint="eastAsia" w:ascii="宋体" w:hAnsi="宋体" w:cs="宋体"/>
                <w:szCs w:val="21"/>
              </w:rPr>
            </w:pPr>
          </w:p>
        </w:tc>
      </w:tr>
      <w:tr w14:paraId="4ECCB8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49C8D371">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386472D0">
            <w:pPr>
              <w:adjustRightInd w:val="0"/>
              <w:snapToGrid w:val="0"/>
              <w:spacing w:line="300" w:lineRule="exact"/>
              <w:jc w:val="center"/>
              <w:rPr>
                <w:rFonts w:hint="eastAsia" w:ascii="宋体" w:hAnsi="宋体" w:cs="宋体"/>
                <w:szCs w:val="21"/>
              </w:rPr>
            </w:pPr>
          </w:p>
        </w:tc>
        <w:tc>
          <w:tcPr>
            <w:tcW w:w="2018" w:type="dxa"/>
            <w:vAlign w:val="center"/>
          </w:tcPr>
          <w:p w14:paraId="00956A76">
            <w:pPr>
              <w:adjustRightInd w:val="0"/>
              <w:snapToGrid w:val="0"/>
              <w:spacing w:line="300" w:lineRule="exact"/>
              <w:jc w:val="center"/>
              <w:rPr>
                <w:rFonts w:hint="eastAsia" w:ascii="宋体" w:hAnsi="宋体" w:cs="宋体"/>
                <w:szCs w:val="21"/>
              </w:rPr>
            </w:pPr>
            <w:r>
              <w:rPr>
                <w:rFonts w:hint="eastAsia" w:ascii="宋体" w:hAnsi="宋体" w:cs="宋体"/>
                <w:szCs w:val="21"/>
              </w:rPr>
              <w:t>1小时平均</w:t>
            </w:r>
          </w:p>
        </w:tc>
        <w:tc>
          <w:tcPr>
            <w:tcW w:w="1345" w:type="dxa"/>
            <w:vAlign w:val="center"/>
          </w:tcPr>
          <w:p w14:paraId="7F21DC9F">
            <w:pPr>
              <w:adjustRightInd w:val="0"/>
              <w:snapToGrid w:val="0"/>
              <w:spacing w:line="300" w:lineRule="exact"/>
              <w:jc w:val="center"/>
              <w:rPr>
                <w:rFonts w:hint="eastAsia" w:ascii="宋体" w:hAnsi="宋体" w:cs="宋体"/>
                <w:szCs w:val="21"/>
              </w:rPr>
            </w:pPr>
            <w:r>
              <w:rPr>
                <w:rFonts w:hint="eastAsia" w:ascii="宋体" w:hAnsi="宋体" w:cs="宋体"/>
                <w:szCs w:val="21"/>
              </w:rPr>
              <w:t>200</w:t>
            </w:r>
          </w:p>
        </w:tc>
        <w:tc>
          <w:tcPr>
            <w:tcW w:w="889" w:type="dxa"/>
            <w:vMerge w:val="continue"/>
            <w:vAlign w:val="center"/>
          </w:tcPr>
          <w:p w14:paraId="5119C2F6">
            <w:pPr>
              <w:adjustRightInd w:val="0"/>
              <w:snapToGrid w:val="0"/>
              <w:spacing w:line="300" w:lineRule="exact"/>
              <w:jc w:val="center"/>
              <w:rPr>
                <w:rFonts w:hint="eastAsia" w:ascii="宋体" w:hAnsi="宋体" w:cs="宋体"/>
                <w:szCs w:val="21"/>
              </w:rPr>
            </w:pPr>
          </w:p>
        </w:tc>
        <w:tc>
          <w:tcPr>
            <w:tcW w:w="2709" w:type="dxa"/>
            <w:vMerge w:val="continue"/>
            <w:vAlign w:val="center"/>
          </w:tcPr>
          <w:p w14:paraId="64593ED7">
            <w:pPr>
              <w:adjustRightInd w:val="0"/>
              <w:snapToGrid w:val="0"/>
              <w:spacing w:line="300" w:lineRule="exact"/>
              <w:jc w:val="center"/>
              <w:rPr>
                <w:rFonts w:hint="eastAsia" w:ascii="宋体" w:hAnsi="宋体" w:cs="宋体"/>
                <w:szCs w:val="21"/>
              </w:rPr>
            </w:pPr>
          </w:p>
        </w:tc>
      </w:tr>
      <w:tr w14:paraId="241FCDF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1ECA9897">
            <w:pPr>
              <w:adjustRightInd w:val="0"/>
              <w:snapToGrid w:val="0"/>
              <w:spacing w:line="300" w:lineRule="exact"/>
              <w:jc w:val="center"/>
              <w:rPr>
                <w:rFonts w:hint="eastAsia" w:ascii="宋体" w:hAnsi="宋体" w:cs="宋体"/>
                <w:szCs w:val="21"/>
              </w:rPr>
            </w:pPr>
            <w:r>
              <w:rPr>
                <w:rFonts w:hint="eastAsia" w:ascii="宋体" w:hAnsi="宋体" w:cs="宋体"/>
                <w:szCs w:val="21"/>
              </w:rPr>
              <w:t>3</w:t>
            </w:r>
          </w:p>
        </w:tc>
        <w:tc>
          <w:tcPr>
            <w:tcW w:w="1292" w:type="dxa"/>
            <w:vMerge w:val="restart"/>
            <w:tcBorders>
              <w:left w:val="single" w:color="auto" w:sz="4" w:space="0"/>
            </w:tcBorders>
            <w:vAlign w:val="center"/>
          </w:tcPr>
          <w:p w14:paraId="5D4C9E8A">
            <w:pPr>
              <w:adjustRightInd w:val="0"/>
              <w:snapToGrid w:val="0"/>
              <w:spacing w:line="300" w:lineRule="exact"/>
              <w:jc w:val="center"/>
              <w:rPr>
                <w:rFonts w:hint="eastAsia" w:ascii="宋体" w:hAnsi="宋体" w:cs="宋体"/>
                <w:szCs w:val="21"/>
              </w:rPr>
            </w:pPr>
            <w:r>
              <w:rPr>
                <w:rFonts w:hint="eastAsia" w:ascii="宋体" w:hAnsi="宋体" w:cs="宋体"/>
                <w:szCs w:val="21"/>
              </w:rPr>
              <w:t>PM</w:t>
            </w:r>
            <w:r>
              <w:rPr>
                <w:rFonts w:hint="eastAsia" w:ascii="宋体" w:hAnsi="宋体" w:cs="宋体"/>
                <w:szCs w:val="21"/>
                <w:vertAlign w:val="subscript"/>
              </w:rPr>
              <w:t>10</w:t>
            </w:r>
          </w:p>
        </w:tc>
        <w:tc>
          <w:tcPr>
            <w:tcW w:w="2018" w:type="dxa"/>
            <w:vAlign w:val="center"/>
          </w:tcPr>
          <w:p w14:paraId="5F6AEB1F">
            <w:pPr>
              <w:adjustRightInd w:val="0"/>
              <w:snapToGrid w:val="0"/>
              <w:spacing w:line="300" w:lineRule="exact"/>
              <w:jc w:val="center"/>
              <w:rPr>
                <w:rFonts w:hint="eastAsia" w:ascii="宋体" w:hAnsi="宋体" w:cs="宋体"/>
                <w:szCs w:val="21"/>
              </w:rPr>
            </w:pPr>
            <w:r>
              <w:rPr>
                <w:rFonts w:hint="eastAsia" w:ascii="宋体" w:hAnsi="宋体" w:cs="宋体"/>
                <w:szCs w:val="21"/>
              </w:rPr>
              <w:t>年平均</w:t>
            </w:r>
          </w:p>
        </w:tc>
        <w:tc>
          <w:tcPr>
            <w:tcW w:w="1345" w:type="dxa"/>
            <w:vAlign w:val="center"/>
          </w:tcPr>
          <w:p w14:paraId="23CB000C">
            <w:pPr>
              <w:adjustRightInd w:val="0"/>
              <w:snapToGrid w:val="0"/>
              <w:spacing w:line="300" w:lineRule="exact"/>
              <w:jc w:val="center"/>
              <w:rPr>
                <w:rFonts w:hint="eastAsia" w:ascii="宋体" w:hAnsi="宋体" w:cs="宋体"/>
                <w:szCs w:val="21"/>
              </w:rPr>
            </w:pPr>
            <w:r>
              <w:rPr>
                <w:rFonts w:hint="eastAsia" w:ascii="宋体" w:hAnsi="宋体" w:cs="宋体"/>
                <w:szCs w:val="21"/>
              </w:rPr>
              <w:t>70</w:t>
            </w:r>
          </w:p>
        </w:tc>
        <w:tc>
          <w:tcPr>
            <w:tcW w:w="889" w:type="dxa"/>
            <w:vMerge w:val="continue"/>
            <w:vAlign w:val="center"/>
          </w:tcPr>
          <w:p w14:paraId="3DCD8288">
            <w:pPr>
              <w:adjustRightInd w:val="0"/>
              <w:snapToGrid w:val="0"/>
              <w:spacing w:line="300" w:lineRule="exact"/>
              <w:jc w:val="center"/>
              <w:rPr>
                <w:rFonts w:hint="eastAsia" w:ascii="宋体" w:hAnsi="宋体" w:cs="宋体"/>
                <w:szCs w:val="21"/>
              </w:rPr>
            </w:pPr>
          </w:p>
        </w:tc>
        <w:tc>
          <w:tcPr>
            <w:tcW w:w="2709" w:type="dxa"/>
            <w:vMerge w:val="continue"/>
            <w:vAlign w:val="center"/>
          </w:tcPr>
          <w:p w14:paraId="101581C3">
            <w:pPr>
              <w:adjustRightInd w:val="0"/>
              <w:snapToGrid w:val="0"/>
              <w:spacing w:line="300" w:lineRule="exact"/>
              <w:jc w:val="center"/>
              <w:rPr>
                <w:rFonts w:hint="eastAsia" w:ascii="宋体" w:hAnsi="宋体" w:cs="宋体"/>
                <w:szCs w:val="21"/>
              </w:rPr>
            </w:pPr>
          </w:p>
        </w:tc>
      </w:tr>
      <w:tr w14:paraId="759B488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732D3214">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27E70FB2">
            <w:pPr>
              <w:adjustRightInd w:val="0"/>
              <w:snapToGrid w:val="0"/>
              <w:spacing w:line="300" w:lineRule="exact"/>
              <w:jc w:val="center"/>
              <w:rPr>
                <w:rFonts w:hint="eastAsia" w:ascii="宋体" w:hAnsi="宋体" w:cs="宋体"/>
                <w:szCs w:val="21"/>
              </w:rPr>
            </w:pPr>
          </w:p>
        </w:tc>
        <w:tc>
          <w:tcPr>
            <w:tcW w:w="2018" w:type="dxa"/>
            <w:vAlign w:val="center"/>
          </w:tcPr>
          <w:p w14:paraId="6651DED4">
            <w:pPr>
              <w:adjustRightInd w:val="0"/>
              <w:snapToGrid w:val="0"/>
              <w:spacing w:line="300" w:lineRule="exact"/>
              <w:jc w:val="center"/>
              <w:rPr>
                <w:rFonts w:hint="eastAsia" w:ascii="宋体" w:hAnsi="宋体" w:cs="宋体"/>
                <w:szCs w:val="21"/>
              </w:rPr>
            </w:pPr>
            <w:r>
              <w:rPr>
                <w:rFonts w:hint="eastAsia" w:ascii="宋体" w:hAnsi="宋体" w:cs="宋体"/>
                <w:szCs w:val="21"/>
              </w:rPr>
              <w:t>24小时平均</w:t>
            </w:r>
          </w:p>
        </w:tc>
        <w:tc>
          <w:tcPr>
            <w:tcW w:w="1345" w:type="dxa"/>
            <w:vAlign w:val="center"/>
          </w:tcPr>
          <w:p w14:paraId="6DDE4993">
            <w:pPr>
              <w:adjustRightInd w:val="0"/>
              <w:snapToGrid w:val="0"/>
              <w:spacing w:line="300" w:lineRule="exact"/>
              <w:jc w:val="center"/>
              <w:rPr>
                <w:rFonts w:hint="eastAsia" w:ascii="宋体" w:hAnsi="宋体" w:cs="宋体"/>
                <w:szCs w:val="21"/>
              </w:rPr>
            </w:pPr>
            <w:r>
              <w:rPr>
                <w:rFonts w:hint="eastAsia" w:ascii="宋体" w:hAnsi="宋体" w:cs="宋体"/>
                <w:szCs w:val="21"/>
              </w:rPr>
              <w:t>150</w:t>
            </w:r>
          </w:p>
        </w:tc>
        <w:tc>
          <w:tcPr>
            <w:tcW w:w="889" w:type="dxa"/>
            <w:vMerge w:val="continue"/>
            <w:vAlign w:val="center"/>
          </w:tcPr>
          <w:p w14:paraId="03B96F16">
            <w:pPr>
              <w:adjustRightInd w:val="0"/>
              <w:snapToGrid w:val="0"/>
              <w:spacing w:line="300" w:lineRule="exact"/>
              <w:jc w:val="center"/>
              <w:rPr>
                <w:rFonts w:hint="eastAsia" w:ascii="宋体" w:hAnsi="宋体" w:cs="宋体"/>
                <w:szCs w:val="21"/>
              </w:rPr>
            </w:pPr>
          </w:p>
        </w:tc>
        <w:tc>
          <w:tcPr>
            <w:tcW w:w="2709" w:type="dxa"/>
            <w:vMerge w:val="continue"/>
            <w:vAlign w:val="center"/>
          </w:tcPr>
          <w:p w14:paraId="7BE75B02">
            <w:pPr>
              <w:adjustRightInd w:val="0"/>
              <w:snapToGrid w:val="0"/>
              <w:spacing w:line="300" w:lineRule="exact"/>
              <w:jc w:val="center"/>
              <w:rPr>
                <w:rFonts w:hint="eastAsia" w:ascii="宋体" w:hAnsi="宋体" w:cs="宋体"/>
                <w:szCs w:val="21"/>
              </w:rPr>
            </w:pPr>
          </w:p>
        </w:tc>
      </w:tr>
      <w:tr w14:paraId="5D9779C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613A0CA0">
            <w:pPr>
              <w:adjustRightInd w:val="0"/>
              <w:snapToGrid w:val="0"/>
              <w:spacing w:line="300" w:lineRule="exact"/>
              <w:jc w:val="center"/>
              <w:rPr>
                <w:rFonts w:hint="eastAsia" w:ascii="宋体" w:hAnsi="宋体" w:cs="宋体"/>
                <w:szCs w:val="21"/>
              </w:rPr>
            </w:pPr>
            <w:r>
              <w:rPr>
                <w:rFonts w:hint="eastAsia" w:ascii="宋体" w:hAnsi="宋体" w:cs="宋体"/>
                <w:szCs w:val="21"/>
              </w:rPr>
              <w:t>4</w:t>
            </w:r>
          </w:p>
        </w:tc>
        <w:tc>
          <w:tcPr>
            <w:tcW w:w="1292" w:type="dxa"/>
            <w:vMerge w:val="restart"/>
            <w:tcBorders>
              <w:left w:val="single" w:color="auto" w:sz="4" w:space="0"/>
            </w:tcBorders>
            <w:vAlign w:val="center"/>
          </w:tcPr>
          <w:p w14:paraId="0B034F23">
            <w:pPr>
              <w:adjustRightInd w:val="0"/>
              <w:snapToGrid w:val="0"/>
              <w:spacing w:line="300" w:lineRule="exact"/>
              <w:jc w:val="center"/>
              <w:rPr>
                <w:rFonts w:hint="eastAsia" w:ascii="宋体" w:hAnsi="宋体" w:cs="宋体"/>
                <w:szCs w:val="21"/>
              </w:rPr>
            </w:pPr>
            <w:r>
              <w:rPr>
                <w:rFonts w:hint="eastAsia" w:ascii="宋体" w:hAnsi="宋体" w:cs="宋体"/>
                <w:szCs w:val="21"/>
              </w:rPr>
              <w:t>PM</w:t>
            </w:r>
            <w:r>
              <w:rPr>
                <w:rFonts w:hint="eastAsia" w:ascii="宋体" w:hAnsi="宋体" w:cs="宋体"/>
                <w:szCs w:val="21"/>
                <w:vertAlign w:val="subscript"/>
              </w:rPr>
              <w:t>2.5</w:t>
            </w:r>
          </w:p>
        </w:tc>
        <w:tc>
          <w:tcPr>
            <w:tcW w:w="2018" w:type="dxa"/>
            <w:vAlign w:val="center"/>
          </w:tcPr>
          <w:p w14:paraId="18FFB29B">
            <w:pPr>
              <w:adjustRightInd w:val="0"/>
              <w:snapToGrid w:val="0"/>
              <w:spacing w:line="300" w:lineRule="exact"/>
              <w:jc w:val="center"/>
              <w:rPr>
                <w:rFonts w:hint="eastAsia" w:ascii="宋体" w:hAnsi="宋体" w:cs="宋体"/>
                <w:szCs w:val="21"/>
              </w:rPr>
            </w:pPr>
            <w:r>
              <w:rPr>
                <w:rFonts w:hint="eastAsia" w:ascii="宋体" w:hAnsi="宋体" w:cs="宋体"/>
                <w:szCs w:val="21"/>
              </w:rPr>
              <w:t>年平均</w:t>
            </w:r>
          </w:p>
        </w:tc>
        <w:tc>
          <w:tcPr>
            <w:tcW w:w="1345" w:type="dxa"/>
            <w:vAlign w:val="center"/>
          </w:tcPr>
          <w:p w14:paraId="2473A353">
            <w:pPr>
              <w:adjustRightInd w:val="0"/>
              <w:snapToGrid w:val="0"/>
              <w:spacing w:line="300" w:lineRule="exact"/>
              <w:jc w:val="center"/>
              <w:rPr>
                <w:rFonts w:hint="eastAsia" w:ascii="宋体" w:hAnsi="宋体" w:cs="宋体"/>
                <w:szCs w:val="21"/>
              </w:rPr>
            </w:pPr>
            <w:r>
              <w:rPr>
                <w:rFonts w:hint="eastAsia" w:ascii="宋体" w:hAnsi="宋体" w:cs="宋体"/>
                <w:szCs w:val="21"/>
              </w:rPr>
              <w:t>35</w:t>
            </w:r>
          </w:p>
        </w:tc>
        <w:tc>
          <w:tcPr>
            <w:tcW w:w="889" w:type="dxa"/>
            <w:vMerge w:val="continue"/>
            <w:vAlign w:val="center"/>
          </w:tcPr>
          <w:p w14:paraId="034D77C7">
            <w:pPr>
              <w:adjustRightInd w:val="0"/>
              <w:snapToGrid w:val="0"/>
              <w:spacing w:line="300" w:lineRule="exact"/>
              <w:jc w:val="center"/>
              <w:rPr>
                <w:rFonts w:hint="eastAsia" w:ascii="宋体" w:hAnsi="宋体" w:cs="宋体"/>
                <w:szCs w:val="21"/>
              </w:rPr>
            </w:pPr>
          </w:p>
        </w:tc>
        <w:tc>
          <w:tcPr>
            <w:tcW w:w="2709" w:type="dxa"/>
            <w:vMerge w:val="continue"/>
            <w:vAlign w:val="center"/>
          </w:tcPr>
          <w:p w14:paraId="4DF8D1DA">
            <w:pPr>
              <w:adjustRightInd w:val="0"/>
              <w:snapToGrid w:val="0"/>
              <w:spacing w:line="300" w:lineRule="exact"/>
              <w:jc w:val="center"/>
              <w:rPr>
                <w:rFonts w:hint="eastAsia" w:ascii="宋体" w:hAnsi="宋体" w:cs="宋体"/>
                <w:szCs w:val="21"/>
              </w:rPr>
            </w:pPr>
          </w:p>
        </w:tc>
      </w:tr>
      <w:tr w14:paraId="7484BB8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1726BEA0">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446BCDFA">
            <w:pPr>
              <w:adjustRightInd w:val="0"/>
              <w:snapToGrid w:val="0"/>
              <w:spacing w:line="300" w:lineRule="exact"/>
              <w:jc w:val="center"/>
              <w:rPr>
                <w:rFonts w:hint="eastAsia" w:ascii="宋体" w:hAnsi="宋体" w:cs="宋体"/>
                <w:szCs w:val="21"/>
              </w:rPr>
            </w:pPr>
          </w:p>
        </w:tc>
        <w:tc>
          <w:tcPr>
            <w:tcW w:w="2018" w:type="dxa"/>
            <w:vAlign w:val="center"/>
          </w:tcPr>
          <w:p w14:paraId="76C9BF17">
            <w:pPr>
              <w:adjustRightInd w:val="0"/>
              <w:snapToGrid w:val="0"/>
              <w:spacing w:line="300" w:lineRule="exact"/>
              <w:jc w:val="center"/>
              <w:rPr>
                <w:rFonts w:hint="eastAsia" w:ascii="宋体" w:hAnsi="宋体" w:cs="宋体"/>
                <w:szCs w:val="21"/>
              </w:rPr>
            </w:pPr>
            <w:r>
              <w:rPr>
                <w:rFonts w:hint="eastAsia" w:ascii="宋体" w:hAnsi="宋体" w:cs="宋体"/>
                <w:szCs w:val="21"/>
              </w:rPr>
              <w:t>24小时平均</w:t>
            </w:r>
          </w:p>
        </w:tc>
        <w:tc>
          <w:tcPr>
            <w:tcW w:w="1345" w:type="dxa"/>
            <w:vAlign w:val="center"/>
          </w:tcPr>
          <w:p w14:paraId="34B4DC4D">
            <w:pPr>
              <w:adjustRightInd w:val="0"/>
              <w:snapToGrid w:val="0"/>
              <w:spacing w:line="300" w:lineRule="exact"/>
              <w:jc w:val="center"/>
              <w:rPr>
                <w:rFonts w:hint="eastAsia" w:ascii="宋体" w:hAnsi="宋体" w:cs="宋体"/>
                <w:szCs w:val="21"/>
              </w:rPr>
            </w:pPr>
            <w:r>
              <w:rPr>
                <w:rFonts w:hint="eastAsia" w:ascii="宋体" w:hAnsi="宋体" w:cs="宋体"/>
                <w:szCs w:val="21"/>
              </w:rPr>
              <w:t>75</w:t>
            </w:r>
          </w:p>
        </w:tc>
        <w:tc>
          <w:tcPr>
            <w:tcW w:w="889" w:type="dxa"/>
            <w:vMerge w:val="continue"/>
            <w:vAlign w:val="center"/>
          </w:tcPr>
          <w:p w14:paraId="1974550F">
            <w:pPr>
              <w:adjustRightInd w:val="0"/>
              <w:snapToGrid w:val="0"/>
              <w:spacing w:line="300" w:lineRule="exact"/>
              <w:jc w:val="center"/>
              <w:rPr>
                <w:rFonts w:hint="eastAsia" w:ascii="宋体" w:hAnsi="宋体" w:cs="宋体"/>
                <w:szCs w:val="21"/>
              </w:rPr>
            </w:pPr>
          </w:p>
        </w:tc>
        <w:tc>
          <w:tcPr>
            <w:tcW w:w="2709" w:type="dxa"/>
            <w:vMerge w:val="continue"/>
            <w:vAlign w:val="center"/>
          </w:tcPr>
          <w:p w14:paraId="1EEFE72F">
            <w:pPr>
              <w:adjustRightInd w:val="0"/>
              <w:snapToGrid w:val="0"/>
              <w:spacing w:line="300" w:lineRule="exact"/>
              <w:jc w:val="center"/>
              <w:rPr>
                <w:rFonts w:hint="eastAsia" w:ascii="宋体" w:hAnsi="宋体" w:cs="宋体"/>
                <w:szCs w:val="21"/>
              </w:rPr>
            </w:pPr>
          </w:p>
        </w:tc>
      </w:tr>
      <w:tr w14:paraId="24233C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231B38DC">
            <w:pPr>
              <w:adjustRightInd w:val="0"/>
              <w:snapToGrid w:val="0"/>
              <w:spacing w:line="300" w:lineRule="exact"/>
              <w:jc w:val="center"/>
              <w:rPr>
                <w:rFonts w:hint="eastAsia" w:ascii="宋体" w:hAnsi="宋体" w:cs="宋体"/>
                <w:szCs w:val="21"/>
              </w:rPr>
            </w:pPr>
            <w:r>
              <w:rPr>
                <w:rFonts w:hint="eastAsia" w:ascii="宋体" w:hAnsi="宋体" w:cs="宋体"/>
                <w:szCs w:val="21"/>
              </w:rPr>
              <w:t>5</w:t>
            </w:r>
          </w:p>
        </w:tc>
        <w:tc>
          <w:tcPr>
            <w:tcW w:w="1292" w:type="dxa"/>
            <w:vMerge w:val="restart"/>
            <w:tcBorders>
              <w:left w:val="single" w:color="auto" w:sz="4" w:space="0"/>
            </w:tcBorders>
            <w:vAlign w:val="center"/>
          </w:tcPr>
          <w:p w14:paraId="66610B7D">
            <w:pPr>
              <w:adjustRightInd w:val="0"/>
              <w:snapToGrid w:val="0"/>
              <w:spacing w:line="300" w:lineRule="exact"/>
              <w:jc w:val="center"/>
              <w:rPr>
                <w:rFonts w:hint="eastAsia" w:ascii="宋体" w:hAnsi="宋体" w:cs="宋体"/>
                <w:szCs w:val="21"/>
              </w:rPr>
            </w:pPr>
            <w:r>
              <w:rPr>
                <w:rFonts w:hint="eastAsia" w:ascii="宋体" w:hAnsi="宋体" w:cs="宋体"/>
                <w:szCs w:val="21"/>
              </w:rPr>
              <w:t>O</w:t>
            </w:r>
            <w:r>
              <w:rPr>
                <w:rFonts w:hint="eastAsia" w:ascii="宋体" w:hAnsi="宋体" w:cs="宋体"/>
                <w:szCs w:val="21"/>
                <w:vertAlign w:val="subscript"/>
              </w:rPr>
              <w:t>3</w:t>
            </w:r>
          </w:p>
        </w:tc>
        <w:tc>
          <w:tcPr>
            <w:tcW w:w="2018" w:type="dxa"/>
            <w:vAlign w:val="center"/>
          </w:tcPr>
          <w:p w14:paraId="3402A3C3">
            <w:pPr>
              <w:adjustRightInd w:val="0"/>
              <w:snapToGrid w:val="0"/>
              <w:spacing w:line="300" w:lineRule="exact"/>
              <w:jc w:val="center"/>
              <w:rPr>
                <w:rFonts w:hint="eastAsia" w:ascii="宋体" w:hAnsi="宋体" w:cs="宋体"/>
                <w:szCs w:val="21"/>
              </w:rPr>
            </w:pPr>
            <w:r>
              <w:rPr>
                <w:rFonts w:hint="eastAsia" w:ascii="宋体" w:hAnsi="宋体" w:cs="宋体"/>
                <w:szCs w:val="21"/>
              </w:rPr>
              <w:t>日最大8小时平均</w:t>
            </w:r>
          </w:p>
        </w:tc>
        <w:tc>
          <w:tcPr>
            <w:tcW w:w="1345" w:type="dxa"/>
            <w:vAlign w:val="center"/>
          </w:tcPr>
          <w:p w14:paraId="64513226">
            <w:pPr>
              <w:adjustRightInd w:val="0"/>
              <w:snapToGrid w:val="0"/>
              <w:spacing w:line="300" w:lineRule="exact"/>
              <w:jc w:val="center"/>
              <w:rPr>
                <w:rFonts w:hint="eastAsia" w:ascii="宋体" w:hAnsi="宋体" w:cs="宋体"/>
                <w:szCs w:val="21"/>
              </w:rPr>
            </w:pPr>
            <w:r>
              <w:rPr>
                <w:rFonts w:hint="eastAsia" w:ascii="宋体" w:hAnsi="宋体" w:cs="宋体"/>
                <w:szCs w:val="21"/>
              </w:rPr>
              <w:t>160</w:t>
            </w:r>
          </w:p>
        </w:tc>
        <w:tc>
          <w:tcPr>
            <w:tcW w:w="889" w:type="dxa"/>
            <w:vMerge w:val="continue"/>
            <w:vAlign w:val="center"/>
          </w:tcPr>
          <w:p w14:paraId="19FDD27E">
            <w:pPr>
              <w:adjustRightInd w:val="0"/>
              <w:snapToGrid w:val="0"/>
              <w:spacing w:line="300" w:lineRule="exact"/>
              <w:jc w:val="center"/>
              <w:rPr>
                <w:rFonts w:hint="eastAsia" w:ascii="宋体" w:hAnsi="宋体" w:cs="宋体"/>
                <w:szCs w:val="21"/>
              </w:rPr>
            </w:pPr>
          </w:p>
        </w:tc>
        <w:tc>
          <w:tcPr>
            <w:tcW w:w="2709" w:type="dxa"/>
            <w:vMerge w:val="continue"/>
            <w:vAlign w:val="center"/>
          </w:tcPr>
          <w:p w14:paraId="3980FAD3">
            <w:pPr>
              <w:adjustRightInd w:val="0"/>
              <w:snapToGrid w:val="0"/>
              <w:spacing w:line="300" w:lineRule="exact"/>
              <w:jc w:val="center"/>
              <w:rPr>
                <w:rFonts w:hint="eastAsia" w:ascii="宋体" w:hAnsi="宋体" w:cs="宋体"/>
                <w:szCs w:val="21"/>
              </w:rPr>
            </w:pPr>
          </w:p>
        </w:tc>
      </w:tr>
      <w:tr w14:paraId="3CF2E5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50D5A5CF">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2F46E3D2">
            <w:pPr>
              <w:adjustRightInd w:val="0"/>
              <w:snapToGrid w:val="0"/>
              <w:spacing w:line="300" w:lineRule="exact"/>
              <w:jc w:val="center"/>
              <w:rPr>
                <w:rFonts w:hint="eastAsia" w:ascii="宋体" w:hAnsi="宋体" w:cs="宋体"/>
                <w:szCs w:val="21"/>
              </w:rPr>
            </w:pPr>
          </w:p>
        </w:tc>
        <w:tc>
          <w:tcPr>
            <w:tcW w:w="2018" w:type="dxa"/>
            <w:vAlign w:val="center"/>
          </w:tcPr>
          <w:p w14:paraId="4D9EBF2A">
            <w:pPr>
              <w:adjustRightInd w:val="0"/>
              <w:snapToGrid w:val="0"/>
              <w:spacing w:line="300" w:lineRule="exact"/>
              <w:jc w:val="center"/>
              <w:rPr>
                <w:rFonts w:hint="eastAsia" w:ascii="宋体" w:hAnsi="宋体" w:cs="宋体"/>
                <w:szCs w:val="21"/>
              </w:rPr>
            </w:pPr>
            <w:r>
              <w:rPr>
                <w:rFonts w:hint="eastAsia" w:ascii="宋体" w:hAnsi="宋体" w:cs="宋体"/>
                <w:szCs w:val="21"/>
              </w:rPr>
              <w:t>1小时平均</w:t>
            </w:r>
          </w:p>
        </w:tc>
        <w:tc>
          <w:tcPr>
            <w:tcW w:w="1345" w:type="dxa"/>
            <w:vAlign w:val="center"/>
          </w:tcPr>
          <w:p w14:paraId="5E1879DC">
            <w:pPr>
              <w:adjustRightInd w:val="0"/>
              <w:snapToGrid w:val="0"/>
              <w:spacing w:line="300" w:lineRule="exact"/>
              <w:jc w:val="center"/>
              <w:rPr>
                <w:rFonts w:hint="eastAsia" w:ascii="宋体" w:hAnsi="宋体" w:cs="宋体"/>
                <w:szCs w:val="21"/>
              </w:rPr>
            </w:pPr>
            <w:r>
              <w:rPr>
                <w:rFonts w:hint="eastAsia" w:ascii="宋体" w:hAnsi="宋体" w:cs="宋体"/>
                <w:szCs w:val="21"/>
              </w:rPr>
              <w:t>2</w:t>
            </w:r>
            <w:r>
              <w:rPr>
                <w:rFonts w:ascii="宋体" w:hAnsi="宋体" w:cs="宋体"/>
                <w:szCs w:val="21"/>
              </w:rPr>
              <w:t>00</w:t>
            </w:r>
          </w:p>
        </w:tc>
        <w:tc>
          <w:tcPr>
            <w:tcW w:w="889" w:type="dxa"/>
            <w:vMerge w:val="continue"/>
            <w:tcBorders>
              <w:bottom w:val="single" w:color="auto" w:sz="4" w:space="0"/>
            </w:tcBorders>
            <w:vAlign w:val="center"/>
          </w:tcPr>
          <w:p w14:paraId="6C07D153">
            <w:pPr>
              <w:adjustRightInd w:val="0"/>
              <w:snapToGrid w:val="0"/>
              <w:spacing w:line="300" w:lineRule="exact"/>
              <w:jc w:val="center"/>
              <w:rPr>
                <w:rFonts w:hint="eastAsia" w:ascii="宋体" w:hAnsi="宋体" w:cs="宋体"/>
                <w:szCs w:val="21"/>
              </w:rPr>
            </w:pPr>
          </w:p>
        </w:tc>
        <w:tc>
          <w:tcPr>
            <w:tcW w:w="2709" w:type="dxa"/>
            <w:vMerge w:val="continue"/>
            <w:vAlign w:val="center"/>
          </w:tcPr>
          <w:p w14:paraId="02F64648">
            <w:pPr>
              <w:adjustRightInd w:val="0"/>
              <w:snapToGrid w:val="0"/>
              <w:spacing w:line="300" w:lineRule="exact"/>
              <w:jc w:val="center"/>
              <w:rPr>
                <w:rFonts w:hint="eastAsia" w:ascii="宋体" w:hAnsi="宋体" w:cs="宋体"/>
                <w:szCs w:val="21"/>
              </w:rPr>
            </w:pPr>
          </w:p>
        </w:tc>
      </w:tr>
      <w:tr w14:paraId="13CC550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restart"/>
            <w:tcBorders>
              <w:right w:val="single" w:color="auto" w:sz="4" w:space="0"/>
            </w:tcBorders>
            <w:vAlign w:val="center"/>
          </w:tcPr>
          <w:p w14:paraId="76CE4DE3">
            <w:pPr>
              <w:adjustRightInd w:val="0"/>
              <w:snapToGrid w:val="0"/>
              <w:spacing w:line="300" w:lineRule="exact"/>
              <w:jc w:val="center"/>
              <w:rPr>
                <w:rFonts w:hint="eastAsia" w:ascii="宋体" w:hAnsi="宋体" w:cs="宋体"/>
                <w:szCs w:val="21"/>
              </w:rPr>
            </w:pPr>
            <w:r>
              <w:rPr>
                <w:rFonts w:ascii="宋体" w:hAnsi="宋体" w:cs="宋体"/>
                <w:szCs w:val="21"/>
              </w:rPr>
              <w:t>6</w:t>
            </w:r>
          </w:p>
        </w:tc>
        <w:tc>
          <w:tcPr>
            <w:tcW w:w="1292" w:type="dxa"/>
            <w:vMerge w:val="restart"/>
            <w:tcBorders>
              <w:left w:val="single" w:color="auto" w:sz="4" w:space="0"/>
            </w:tcBorders>
            <w:vAlign w:val="center"/>
          </w:tcPr>
          <w:p w14:paraId="638EE277">
            <w:pPr>
              <w:adjustRightInd w:val="0"/>
              <w:snapToGrid w:val="0"/>
              <w:spacing w:line="300" w:lineRule="exact"/>
              <w:jc w:val="center"/>
              <w:rPr>
                <w:rFonts w:hint="eastAsia" w:ascii="宋体" w:hAnsi="宋体" w:cs="宋体"/>
                <w:szCs w:val="21"/>
              </w:rPr>
            </w:pPr>
            <w:r>
              <w:rPr>
                <w:rFonts w:hint="eastAsia" w:ascii="宋体" w:hAnsi="宋体" w:cs="宋体"/>
                <w:szCs w:val="21"/>
              </w:rPr>
              <w:t>CO</w:t>
            </w:r>
          </w:p>
        </w:tc>
        <w:tc>
          <w:tcPr>
            <w:tcW w:w="2018" w:type="dxa"/>
            <w:vAlign w:val="center"/>
          </w:tcPr>
          <w:p w14:paraId="7B92E9BC">
            <w:pPr>
              <w:adjustRightInd w:val="0"/>
              <w:snapToGrid w:val="0"/>
              <w:spacing w:line="300" w:lineRule="exact"/>
              <w:jc w:val="center"/>
              <w:rPr>
                <w:rFonts w:hint="eastAsia" w:ascii="宋体" w:hAnsi="宋体" w:cs="宋体"/>
                <w:szCs w:val="21"/>
              </w:rPr>
            </w:pPr>
            <w:r>
              <w:rPr>
                <w:rFonts w:hint="eastAsia" w:ascii="宋体" w:hAnsi="宋体" w:cs="宋体"/>
                <w:szCs w:val="21"/>
              </w:rPr>
              <w:t>24小时平均</w:t>
            </w:r>
          </w:p>
        </w:tc>
        <w:tc>
          <w:tcPr>
            <w:tcW w:w="1345" w:type="dxa"/>
            <w:vAlign w:val="center"/>
          </w:tcPr>
          <w:p w14:paraId="4E1DD0D3">
            <w:pPr>
              <w:adjustRightInd w:val="0"/>
              <w:snapToGrid w:val="0"/>
              <w:spacing w:line="300" w:lineRule="exact"/>
              <w:jc w:val="center"/>
              <w:rPr>
                <w:rFonts w:hint="eastAsia" w:ascii="宋体" w:hAnsi="宋体" w:cs="宋体"/>
                <w:szCs w:val="21"/>
              </w:rPr>
            </w:pPr>
            <w:r>
              <w:rPr>
                <w:rFonts w:hint="eastAsia" w:ascii="宋体" w:hAnsi="宋体" w:cs="宋体"/>
                <w:szCs w:val="21"/>
              </w:rPr>
              <w:t>4</w:t>
            </w:r>
          </w:p>
        </w:tc>
        <w:tc>
          <w:tcPr>
            <w:tcW w:w="889" w:type="dxa"/>
            <w:vMerge w:val="restart"/>
            <w:tcBorders>
              <w:top w:val="single" w:color="auto" w:sz="4" w:space="0"/>
            </w:tcBorders>
            <w:vAlign w:val="center"/>
          </w:tcPr>
          <w:p w14:paraId="68E10E7C">
            <w:pPr>
              <w:adjustRightInd w:val="0"/>
              <w:snapToGrid w:val="0"/>
              <w:spacing w:line="300" w:lineRule="exact"/>
              <w:jc w:val="center"/>
              <w:rPr>
                <w:rFonts w:hint="eastAsia" w:ascii="宋体" w:hAnsi="宋体" w:cs="宋体"/>
                <w:szCs w:val="21"/>
              </w:rPr>
            </w:pPr>
            <w:r>
              <w:rPr>
                <w:rFonts w:hint="eastAsia" w:ascii="宋体" w:hAnsi="宋体" w:cs="宋体"/>
                <w:szCs w:val="21"/>
              </w:rPr>
              <w:t>mg/m</w:t>
            </w:r>
            <w:r>
              <w:rPr>
                <w:rFonts w:hint="eastAsia" w:ascii="宋体" w:hAnsi="宋体" w:cs="宋体"/>
                <w:szCs w:val="21"/>
                <w:vertAlign w:val="superscript"/>
              </w:rPr>
              <w:t>3</w:t>
            </w:r>
          </w:p>
        </w:tc>
        <w:tc>
          <w:tcPr>
            <w:tcW w:w="2709" w:type="dxa"/>
            <w:vMerge w:val="continue"/>
            <w:vAlign w:val="center"/>
          </w:tcPr>
          <w:p w14:paraId="1CF5911A">
            <w:pPr>
              <w:adjustRightInd w:val="0"/>
              <w:snapToGrid w:val="0"/>
              <w:spacing w:line="300" w:lineRule="exact"/>
              <w:jc w:val="center"/>
              <w:rPr>
                <w:rFonts w:hint="eastAsia" w:ascii="宋体" w:hAnsi="宋体" w:cs="宋体"/>
                <w:szCs w:val="21"/>
              </w:rPr>
            </w:pPr>
          </w:p>
        </w:tc>
      </w:tr>
      <w:tr w14:paraId="10348E7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vMerge w:val="continue"/>
            <w:tcBorders>
              <w:right w:val="single" w:color="auto" w:sz="4" w:space="0"/>
            </w:tcBorders>
            <w:vAlign w:val="center"/>
          </w:tcPr>
          <w:p w14:paraId="2F332DDE">
            <w:pPr>
              <w:adjustRightInd w:val="0"/>
              <w:snapToGrid w:val="0"/>
              <w:spacing w:line="300" w:lineRule="exact"/>
              <w:jc w:val="center"/>
              <w:rPr>
                <w:rFonts w:hint="eastAsia" w:ascii="宋体" w:hAnsi="宋体" w:cs="宋体"/>
                <w:szCs w:val="21"/>
              </w:rPr>
            </w:pPr>
          </w:p>
        </w:tc>
        <w:tc>
          <w:tcPr>
            <w:tcW w:w="1292" w:type="dxa"/>
            <w:vMerge w:val="continue"/>
            <w:tcBorders>
              <w:left w:val="single" w:color="auto" w:sz="4" w:space="0"/>
            </w:tcBorders>
            <w:vAlign w:val="center"/>
          </w:tcPr>
          <w:p w14:paraId="59737217">
            <w:pPr>
              <w:adjustRightInd w:val="0"/>
              <w:snapToGrid w:val="0"/>
              <w:spacing w:line="300" w:lineRule="exact"/>
              <w:jc w:val="center"/>
              <w:rPr>
                <w:rFonts w:hint="eastAsia" w:ascii="宋体" w:hAnsi="宋体" w:cs="宋体"/>
                <w:szCs w:val="21"/>
              </w:rPr>
            </w:pPr>
          </w:p>
        </w:tc>
        <w:tc>
          <w:tcPr>
            <w:tcW w:w="2018" w:type="dxa"/>
            <w:vAlign w:val="center"/>
          </w:tcPr>
          <w:p w14:paraId="3CECD165">
            <w:pPr>
              <w:adjustRightInd w:val="0"/>
              <w:snapToGrid w:val="0"/>
              <w:spacing w:line="300" w:lineRule="exact"/>
              <w:jc w:val="center"/>
              <w:rPr>
                <w:rFonts w:hint="eastAsia" w:ascii="宋体" w:hAnsi="宋体" w:cs="宋体"/>
                <w:szCs w:val="21"/>
              </w:rPr>
            </w:pPr>
            <w:r>
              <w:rPr>
                <w:rFonts w:hint="eastAsia" w:ascii="宋体" w:hAnsi="宋体" w:cs="宋体"/>
                <w:szCs w:val="21"/>
              </w:rPr>
              <w:t>1小时平均</w:t>
            </w:r>
          </w:p>
        </w:tc>
        <w:tc>
          <w:tcPr>
            <w:tcW w:w="1345" w:type="dxa"/>
            <w:vAlign w:val="center"/>
          </w:tcPr>
          <w:p w14:paraId="6429DEE4">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0</w:t>
            </w:r>
          </w:p>
        </w:tc>
        <w:tc>
          <w:tcPr>
            <w:tcW w:w="889" w:type="dxa"/>
            <w:vMerge w:val="continue"/>
            <w:tcBorders>
              <w:bottom w:val="single" w:color="auto" w:sz="4" w:space="0"/>
            </w:tcBorders>
            <w:vAlign w:val="center"/>
          </w:tcPr>
          <w:p w14:paraId="3558AA71">
            <w:pPr>
              <w:adjustRightInd w:val="0"/>
              <w:snapToGrid w:val="0"/>
              <w:spacing w:line="300" w:lineRule="exact"/>
              <w:jc w:val="center"/>
              <w:rPr>
                <w:rFonts w:hint="eastAsia" w:ascii="宋体" w:hAnsi="宋体" w:cs="宋体"/>
                <w:szCs w:val="21"/>
              </w:rPr>
            </w:pPr>
          </w:p>
        </w:tc>
        <w:tc>
          <w:tcPr>
            <w:tcW w:w="2709" w:type="dxa"/>
            <w:vMerge w:val="continue"/>
            <w:vAlign w:val="center"/>
          </w:tcPr>
          <w:p w14:paraId="258F942F">
            <w:pPr>
              <w:adjustRightInd w:val="0"/>
              <w:snapToGrid w:val="0"/>
              <w:spacing w:line="300" w:lineRule="exact"/>
              <w:jc w:val="center"/>
              <w:rPr>
                <w:rFonts w:hint="eastAsia" w:ascii="宋体" w:hAnsi="宋体" w:cs="宋体"/>
                <w:szCs w:val="21"/>
              </w:rPr>
            </w:pPr>
          </w:p>
        </w:tc>
      </w:tr>
      <w:tr w14:paraId="063CD0A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tcBorders>
              <w:right w:val="single" w:color="auto" w:sz="4" w:space="0"/>
            </w:tcBorders>
            <w:vAlign w:val="center"/>
          </w:tcPr>
          <w:p w14:paraId="20E7E649">
            <w:pPr>
              <w:adjustRightInd w:val="0"/>
              <w:snapToGrid w:val="0"/>
              <w:spacing w:line="300" w:lineRule="exact"/>
              <w:jc w:val="center"/>
              <w:rPr>
                <w:rFonts w:hint="eastAsia" w:ascii="宋体" w:hAnsi="宋体" w:cs="宋体"/>
                <w:szCs w:val="21"/>
              </w:rPr>
            </w:pPr>
            <w:r>
              <w:rPr>
                <w:rFonts w:hint="eastAsia" w:ascii="宋体" w:hAnsi="宋体" w:cs="宋体"/>
                <w:szCs w:val="21"/>
              </w:rPr>
              <w:t>7</w:t>
            </w:r>
          </w:p>
        </w:tc>
        <w:tc>
          <w:tcPr>
            <w:tcW w:w="1292" w:type="dxa"/>
            <w:tcBorders>
              <w:left w:val="single" w:color="auto" w:sz="4" w:space="0"/>
            </w:tcBorders>
            <w:vAlign w:val="center"/>
          </w:tcPr>
          <w:p w14:paraId="7B7A3D15">
            <w:pPr>
              <w:adjustRightInd w:val="0"/>
              <w:snapToGrid w:val="0"/>
              <w:spacing w:line="300" w:lineRule="exact"/>
              <w:jc w:val="center"/>
              <w:rPr>
                <w:rFonts w:hint="eastAsia" w:ascii="宋体" w:hAnsi="宋体" w:cs="宋体"/>
                <w:szCs w:val="21"/>
              </w:rPr>
            </w:pPr>
            <w:r>
              <w:rPr>
                <w:rFonts w:hint="eastAsia" w:ascii="宋体" w:hAnsi="宋体" w:cs="宋体"/>
                <w:szCs w:val="21"/>
              </w:rPr>
              <w:t>NMHC</w:t>
            </w:r>
          </w:p>
        </w:tc>
        <w:tc>
          <w:tcPr>
            <w:tcW w:w="2018" w:type="dxa"/>
            <w:vAlign w:val="center"/>
          </w:tcPr>
          <w:p w14:paraId="1B86422C">
            <w:pPr>
              <w:adjustRightInd w:val="0"/>
              <w:snapToGrid w:val="0"/>
              <w:spacing w:line="300" w:lineRule="exact"/>
              <w:jc w:val="center"/>
              <w:rPr>
                <w:rFonts w:hint="eastAsia" w:ascii="宋体" w:hAnsi="宋体" w:cs="宋体"/>
                <w:szCs w:val="21"/>
              </w:rPr>
            </w:pPr>
            <w:r>
              <w:rPr>
                <w:rFonts w:hint="eastAsia" w:ascii="宋体" w:hAnsi="宋体" w:cs="宋体"/>
                <w:szCs w:val="21"/>
              </w:rPr>
              <w:t>一次浓度限值</w:t>
            </w:r>
          </w:p>
        </w:tc>
        <w:tc>
          <w:tcPr>
            <w:tcW w:w="1345" w:type="dxa"/>
            <w:vAlign w:val="center"/>
          </w:tcPr>
          <w:p w14:paraId="08A5490F">
            <w:pPr>
              <w:adjustRightInd w:val="0"/>
              <w:snapToGrid w:val="0"/>
              <w:spacing w:line="300" w:lineRule="exact"/>
              <w:jc w:val="center"/>
              <w:rPr>
                <w:rFonts w:hint="eastAsia" w:ascii="宋体" w:hAnsi="宋体" w:cs="宋体"/>
                <w:szCs w:val="21"/>
              </w:rPr>
            </w:pPr>
            <w:r>
              <w:rPr>
                <w:rFonts w:hint="eastAsia" w:ascii="宋体" w:hAnsi="宋体" w:cs="宋体"/>
                <w:szCs w:val="21"/>
              </w:rPr>
              <w:t>2.0</w:t>
            </w:r>
          </w:p>
        </w:tc>
        <w:tc>
          <w:tcPr>
            <w:tcW w:w="889" w:type="dxa"/>
            <w:vAlign w:val="center"/>
          </w:tcPr>
          <w:p w14:paraId="47F08B55">
            <w:pPr>
              <w:adjustRightInd w:val="0"/>
              <w:snapToGrid w:val="0"/>
              <w:spacing w:line="300" w:lineRule="exact"/>
              <w:jc w:val="center"/>
              <w:rPr>
                <w:rFonts w:hint="eastAsia" w:ascii="宋体" w:hAnsi="宋体" w:cs="宋体"/>
                <w:szCs w:val="21"/>
              </w:rPr>
            </w:pPr>
            <w:r>
              <w:rPr>
                <w:rFonts w:hint="eastAsia" w:ascii="宋体" w:hAnsi="宋体" w:cs="宋体"/>
                <w:szCs w:val="21"/>
              </w:rPr>
              <w:t>mg/m</w:t>
            </w:r>
            <w:r>
              <w:rPr>
                <w:rFonts w:hint="eastAsia" w:ascii="宋体" w:hAnsi="宋体" w:cs="宋体"/>
                <w:szCs w:val="21"/>
                <w:vertAlign w:val="superscript"/>
              </w:rPr>
              <w:t>3</w:t>
            </w:r>
          </w:p>
        </w:tc>
        <w:tc>
          <w:tcPr>
            <w:tcW w:w="2709" w:type="dxa"/>
            <w:vAlign w:val="center"/>
          </w:tcPr>
          <w:p w14:paraId="721E0F45">
            <w:pPr>
              <w:adjustRightInd w:val="0"/>
              <w:snapToGrid w:val="0"/>
              <w:spacing w:line="300" w:lineRule="exact"/>
              <w:jc w:val="center"/>
              <w:rPr>
                <w:rFonts w:hint="eastAsia" w:ascii="宋体" w:hAnsi="宋体" w:cs="宋体"/>
                <w:szCs w:val="21"/>
              </w:rPr>
            </w:pPr>
            <w:r>
              <w:rPr>
                <w:rFonts w:hint="eastAsia"/>
              </w:rPr>
              <w:t>《</w:t>
            </w:r>
            <w:r>
              <w:t>大气污染物综合排放标准》详解</w:t>
            </w:r>
          </w:p>
        </w:tc>
      </w:tr>
      <w:tr w14:paraId="2C9F34A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93" w:type="dxa"/>
            <w:tcBorders>
              <w:right w:val="single" w:color="auto" w:sz="4" w:space="0"/>
            </w:tcBorders>
            <w:vAlign w:val="center"/>
          </w:tcPr>
          <w:p w14:paraId="661CDFBE">
            <w:pPr>
              <w:adjustRightInd w:val="0"/>
              <w:snapToGrid w:val="0"/>
              <w:spacing w:line="300" w:lineRule="exact"/>
              <w:jc w:val="center"/>
              <w:rPr>
                <w:rFonts w:hint="eastAsia" w:ascii="宋体" w:hAnsi="宋体" w:cs="宋体"/>
                <w:szCs w:val="21"/>
              </w:rPr>
            </w:pPr>
            <w:r>
              <w:rPr>
                <w:rFonts w:hint="eastAsia" w:ascii="宋体" w:hAnsi="宋体" w:cs="宋体"/>
                <w:szCs w:val="21"/>
              </w:rPr>
              <w:t>8</w:t>
            </w:r>
          </w:p>
        </w:tc>
        <w:tc>
          <w:tcPr>
            <w:tcW w:w="1292" w:type="dxa"/>
            <w:tcBorders>
              <w:left w:val="single" w:color="auto" w:sz="4" w:space="0"/>
            </w:tcBorders>
            <w:vAlign w:val="center"/>
          </w:tcPr>
          <w:p w14:paraId="7CC076C1">
            <w:pPr>
              <w:adjustRightInd w:val="0"/>
              <w:snapToGrid w:val="0"/>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2018" w:type="dxa"/>
            <w:vAlign w:val="center"/>
          </w:tcPr>
          <w:p w14:paraId="7E98B82E">
            <w:pPr>
              <w:adjustRightInd w:val="0"/>
              <w:snapToGrid w:val="0"/>
              <w:spacing w:line="300" w:lineRule="exact"/>
              <w:jc w:val="center"/>
              <w:rPr>
                <w:rFonts w:hint="eastAsia" w:ascii="宋体" w:hAnsi="宋体" w:cs="宋体"/>
                <w:szCs w:val="21"/>
              </w:rPr>
            </w:pPr>
            <w:r>
              <w:rPr>
                <w:rFonts w:hint="eastAsia" w:ascii="宋体" w:hAnsi="宋体" w:cs="宋体"/>
                <w:szCs w:val="21"/>
              </w:rPr>
              <w:t>1小时平均</w:t>
            </w:r>
          </w:p>
        </w:tc>
        <w:tc>
          <w:tcPr>
            <w:tcW w:w="1345" w:type="dxa"/>
            <w:vAlign w:val="center"/>
          </w:tcPr>
          <w:p w14:paraId="43DEB678">
            <w:pPr>
              <w:adjustRightInd w:val="0"/>
              <w:snapToGrid w:val="0"/>
              <w:spacing w:line="300" w:lineRule="exact"/>
              <w:jc w:val="center"/>
              <w:rPr>
                <w:rFonts w:hint="eastAsia" w:ascii="宋体" w:hAnsi="宋体" w:cs="宋体"/>
                <w:szCs w:val="21"/>
              </w:rPr>
            </w:pPr>
            <w:r>
              <w:rPr>
                <w:rFonts w:hint="eastAsia" w:ascii="宋体" w:hAnsi="宋体" w:cs="宋体"/>
                <w:szCs w:val="21"/>
              </w:rPr>
              <w:t>10</w:t>
            </w:r>
          </w:p>
        </w:tc>
        <w:tc>
          <w:tcPr>
            <w:tcW w:w="889" w:type="dxa"/>
            <w:vAlign w:val="center"/>
          </w:tcPr>
          <w:p w14:paraId="520AF9E0">
            <w:pPr>
              <w:adjustRightInd w:val="0"/>
              <w:snapToGrid w:val="0"/>
              <w:spacing w:line="300" w:lineRule="exact"/>
              <w:jc w:val="center"/>
              <w:rPr>
                <w:rFonts w:hint="eastAsia" w:ascii="宋体" w:hAnsi="宋体" w:cs="宋体"/>
                <w:szCs w:val="21"/>
              </w:rPr>
            </w:pPr>
            <w:r>
              <w:rPr>
                <w:rFonts w:hint="eastAsia" w:ascii="宋体" w:hAnsi="宋体" w:cs="宋体"/>
                <w:szCs w:val="21"/>
              </w:rPr>
              <w:t>μg/m</w:t>
            </w:r>
            <w:r>
              <w:rPr>
                <w:rFonts w:hint="eastAsia" w:ascii="宋体" w:hAnsi="宋体" w:cs="宋体"/>
                <w:szCs w:val="21"/>
                <w:vertAlign w:val="superscript"/>
              </w:rPr>
              <w:t>3</w:t>
            </w:r>
          </w:p>
        </w:tc>
        <w:tc>
          <w:tcPr>
            <w:tcW w:w="2709" w:type="dxa"/>
            <w:vAlign w:val="center"/>
          </w:tcPr>
          <w:p w14:paraId="0A20EFE1">
            <w:pPr>
              <w:adjustRightInd w:val="0"/>
              <w:snapToGrid w:val="0"/>
              <w:spacing w:line="300" w:lineRule="exact"/>
              <w:jc w:val="center"/>
              <w:rPr>
                <w:rFonts w:hint="eastAsia" w:ascii="宋体" w:hAnsi="宋体" w:cs="宋体"/>
                <w:szCs w:val="21"/>
                <w:lang w:bidi="ar"/>
              </w:rPr>
            </w:pPr>
            <w:r>
              <w:rPr>
                <w:rFonts w:hint="eastAsia" w:ascii="宋体" w:hAnsi="宋体" w:cs="宋体"/>
                <w:szCs w:val="21"/>
                <w:lang w:bidi="ar"/>
              </w:rPr>
              <w:t>HJ2.2-2018附录D中的1h平均浓度限值</w:t>
            </w:r>
          </w:p>
        </w:tc>
      </w:tr>
    </w:tbl>
    <w:p w14:paraId="72B2A634">
      <w:pPr>
        <w:spacing w:line="500" w:lineRule="exact"/>
        <w:ind w:firstLine="480" w:firstLineChars="200"/>
        <w:rPr>
          <w:rFonts w:hint="eastAsia" w:ascii="宋体" w:hAnsi="宋体"/>
          <w:sz w:val="24"/>
          <w:szCs w:val="24"/>
        </w:rPr>
      </w:pPr>
      <w:r>
        <w:rPr>
          <w:rFonts w:hint="eastAsia" w:ascii="宋体" w:hAnsi="宋体"/>
          <w:sz w:val="24"/>
          <w:szCs w:val="24"/>
        </w:rPr>
        <w:t>②地下水</w:t>
      </w:r>
    </w:p>
    <w:p w14:paraId="4A9F0F0D">
      <w:pPr>
        <w:pStyle w:val="191"/>
        <w:ind w:firstLine="480"/>
        <w:rPr>
          <w:rFonts w:hint="eastAsia"/>
        </w:rPr>
      </w:pPr>
      <w:r>
        <w:rPr>
          <w:rFonts w:hint="eastAsia"/>
          <w:lang w:val="zh-CN"/>
        </w:rPr>
        <w:t>地下水环境质量执</w:t>
      </w:r>
      <w:r>
        <w:rPr>
          <w:rFonts w:hint="eastAsia" w:cs="MS PGothic"/>
          <w:lang w:val="zh-CN"/>
        </w:rPr>
        <w:t>行《地下水</w:t>
      </w:r>
      <w:r>
        <w:rPr>
          <w:rFonts w:hint="eastAsia"/>
          <w:lang w:val="zh-CN"/>
        </w:rPr>
        <w:t>质</w:t>
      </w:r>
      <w:r>
        <w:rPr>
          <w:rFonts w:hint="eastAsia" w:cs="MS PGothic"/>
          <w:lang w:val="zh-CN"/>
        </w:rPr>
        <w:t>量</w:t>
      </w:r>
      <w:r>
        <w:rPr>
          <w:rFonts w:hint="eastAsia"/>
          <w:lang w:val="zh-CN"/>
        </w:rPr>
        <w:t>标</w:t>
      </w:r>
      <w:r>
        <w:rPr>
          <w:rFonts w:hint="eastAsia" w:cs="MS PGothic"/>
          <w:lang w:val="zh-CN"/>
        </w:rPr>
        <w:t>准》</w:t>
      </w:r>
      <w:r>
        <w:rPr>
          <w:lang w:val="zh-CN"/>
        </w:rPr>
        <w:t>（GB/T14843-2017)</w:t>
      </w:r>
      <w:r>
        <w:rPr>
          <w:rFonts w:hint="eastAsia"/>
          <w:lang w:val="zh-CN"/>
        </w:rPr>
        <w:t>Ⅲ类标</w:t>
      </w:r>
      <w:r>
        <w:rPr>
          <w:rFonts w:hint="eastAsia" w:cs="MS PGothic"/>
          <w:lang w:val="zh-CN"/>
        </w:rPr>
        <w:t>准，</w:t>
      </w:r>
      <w:r>
        <w:rPr>
          <w:rFonts w:cs="Arial"/>
          <w:lang w:val="zh-CN"/>
        </w:rPr>
        <w:t>石油</w:t>
      </w:r>
      <w:r>
        <w:rPr>
          <w:rFonts w:hint="eastAsia"/>
          <w:lang w:val="zh-CN"/>
        </w:rPr>
        <w:t>类</w:t>
      </w:r>
      <w:r>
        <w:rPr>
          <w:rFonts w:hint="eastAsia" w:cs="MS PGothic"/>
          <w:lang w:val="zh-CN"/>
        </w:rPr>
        <w:t>参照《地表水</w:t>
      </w:r>
      <w:r>
        <w:rPr>
          <w:rFonts w:hint="eastAsia"/>
          <w:lang w:val="zh-CN"/>
        </w:rPr>
        <w:t>环</w:t>
      </w:r>
      <w:r>
        <w:rPr>
          <w:rFonts w:hint="eastAsia" w:cs="MS PGothic"/>
          <w:lang w:val="zh-CN"/>
        </w:rPr>
        <w:t>境</w:t>
      </w:r>
      <w:r>
        <w:rPr>
          <w:rFonts w:hint="eastAsia"/>
          <w:lang w:val="zh-CN"/>
        </w:rPr>
        <w:t>质</w:t>
      </w:r>
      <w:r>
        <w:rPr>
          <w:rFonts w:hint="eastAsia" w:cs="MS PGothic"/>
          <w:lang w:val="zh-CN"/>
        </w:rPr>
        <w:t>量</w:t>
      </w:r>
      <w:r>
        <w:rPr>
          <w:rFonts w:hint="eastAsia"/>
          <w:lang w:val="zh-CN"/>
        </w:rPr>
        <w:t>标</w:t>
      </w:r>
      <w:r>
        <w:rPr>
          <w:rFonts w:hint="eastAsia" w:cs="MS PGothic"/>
          <w:lang w:val="zh-CN"/>
        </w:rPr>
        <w:t>准》（</w:t>
      </w:r>
      <w:r>
        <w:rPr>
          <w:rFonts w:cs="Arial"/>
          <w:lang w:val="zh-CN"/>
        </w:rPr>
        <w:t>GB3838-2002）</w:t>
      </w:r>
      <w:r>
        <w:rPr>
          <w:rFonts w:hint="eastAsia"/>
          <w:lang w:val="zh-CN"/>
        </w:rPr>
        <w:t>Ⅲ类标</w:t>
      </w:r>
      <w:r>
        <w:rPr>
          <w:rFonts w:hint="eastAsia" w:cs="MS PGothic"/>
          <w:lang w:val="zh-CN"/>
        </w:rPr>
        <w:t>准，具体</w:t>
      </w:r>
      <w:r>
        <w:rPr>
          <w:rFonts w:hint="eastAsia"/>
          <w:lang w:val="zh-CN"/>
        </w:rPr>
        <w:t>标</w:t>
      </w:r>
      <w:r>
        <w:rPr>
          <w:rFonts w:hint="eastAsia"/>
        </w:rPr>
        <w:t>准值见表</w:t>
      </w:r>
      <w:r>
        <w:t>2.5</w:t>
      </w:r>
      <w:r>
        <w:rPr>
          <w:rFonts w:hint="eastAsia"/>
        </w:rPr>
        <w:t>-</w:t>
      </w:r>
      <w:r>
        <w:t>3</w:t>
      </w:r>
      <w:r>
        <w:rPr>
          <w:rFonts w:hint="eastAsia"/>
        </w:rPr>
        <w:t>。</w:t>
      </w:r>
    </w:p>
    <w:p w14:paraId="531150CB">
      <w:pPr>
        <w:pStyle w:val="109"/>
        <w:rPr>
          <w:rFonts w:hint="eastAsia"/>
        </w:rPr>
      </w:pPr>
      <w:r>
        <w:rPr>
          <w:rFonts w:hint="eastAsia"/>
        </w:rPr>
        <w:t>表</w:t>
      </w:r>
      <w:r>
        <w:t>2.5</w:t>
      </w:r>
      <w:r>
        <w:rPr>
          <w:rFonts w:hint="eastAsia"/>
        </w:rPr>
        <w:t>-</w:t>
      </w:r>
      <w:r>
        <w:t xml:space="preserve">3 </w:t>
      </w:r>
      <w:r>
        <w:rPr>
          <w:rFonts w:hint="eastAsia"/>
        </w:rPr>
        <w:t xml:space="preserve"> 地下水质量标准值          [单位mg/L，pH无量纲]</w:t>
      </w:r>
    </w:p>
    <w:tbl>
      <w:tblPr>
        <w:tblStyle w:val="51"/>
        <w:tblW w:w="894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4"/>
        <w:gridCol w:w="1965"/>
        <w:gridCol w:w="1745"/>
        <w:gridCol w:w="993"/>
        <w:gridCol w:w="1545"/>
        <w:gridCol w:w="1764"/>
      </w:tblGrid>
      <w:tr w14:paraId="0D468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14E23E4B">
            <w:pPr>
              <w:pStyle w:val="278"/>
              <w:rPr>
                <w:rFonts w:hint="eastAsia"/>
              </w:rPr>
            </w:pPr>
            <w:r>
              <w:rPr>
                <w:rFonts w:hint="eastAsia"/>
              </w:rPr>
              <w:t>序号</w:t>
            </w:r>
          </w:p>
        </w:tc>
        <w:tc>
          <w:tcPr>
            <w:tcW w:w="1965" w:type="dxa"/>
            <w:vAlign w:val="center"/>
          </w:tcPr>
          <w:p w14:paraId="467C7C1E">
            <w:pPr>
              <w:pStyle w:val="278"/>
              <w:rPr>
                <w:rFonts w:hint="eastAsia"/>
              </w:rPr>
            </w:pPr>
            <w:r>
              <w:rPr>
                <w:rFonts w:hint="eastAsia"/>
              </w:rPr>
              <w:t>监测项目</w:t>
            </w:r>
          </w:p>
        </w:tc>
        <w:tc>
          <w:tcPr>
            <w:tcW w:w="1745" w:type="dxa"/>
            <w:vAlign w:val="center"/>
          </w:tcPr>
          <w:p w14:paraId="30B25F92">
            <w:pPr>
              <w:pStyle w:val="278"/>
              <w:rPr>
                <w:rFonts w:hint="eastAsia"/>
              </w:rPr>
            </w:pPr>
            <w:r>
              <w:rPr>
                <w:rFonts w:hint="eastAsia"/>
              </w:rPr>
              <w:t>标准值（</w:t>
            </w:r>
            <w:r>
              <w:rPr>
                <w:rFonts w:hint="eastAsia"/>
                <w:spacing w:val="6"/>
              </w:rPr>
              <w:t>Ⅲ</w:t>
            </w:r>
            <w:r>
              <w:rPr>
                <w:rFonts w:hint="eastAsia"/>
              </w:rPr>
              <w:t>类）</w:t>
            </w:r>
          </w:p>
        </w:tc>
        <w:tc>
          <w:tcPr>
            <w:tcW w:w="993" w:type="dxa"/>
            <w:vAlign w:val="center"/>
          </w:tcPr>
          <w:p w14:paraId="46092141">
            <w:pPr>
              <w:pStyle w:val="278"/>
              <w:rPr>
                <w:rFonts w:hint="eastAsia"/>
              </w:rPr>
            </w:pPr>
            <w:r>
              <w:rPr>
                <w:rFonts w:hint="eastAsia"/>
              </w:rPr>
              <w:t>序号</w:t>
            </w:r>
          </w:p>
        </w:tc>
        <w:tc>
          <w:tcPr>
            <w:tcW w:w="1545" w:type="dxa"/>
            <w:vAlign w:val="center"/>
          </w:tcPr>
          <w:p w14:paraId="674DA3CF">
            <w:pPr>
              <w:pStyle w:val="278"/>
              <w:rPr>
                <w:rFonts w:hint="eastAsia"/>
              </w:rPr>
            </w:pPr>
            <w:r>
              <w:rPr>
                <w:rFonts w:hint="eastAsia"/>
              </w:rPr>
              <w:t>监测项目</w:t>
            </w:r>
          </w:p>
        </w:tc>
        <w:tc>
          <w:tcPr>
            <w:tcW w:w="1764" w:type="dxa"/>
            <w:vAlign w:val="center"/>
          </w:tcPr>
          <w:p w14:paraId="28923D4D">
            <w:pPr>
              <w:pStyle w:val="278"/>
              <w:rPr>
                <w:rFonts w:hint="eastAsia"/>
              </w:rPr>
            </w:pPr>
            <w:r>
              <w:rPr>
                <w:rFonts w:hint="eastAsia"/>
              </w:rPr>
              <w:t>标准值（</w:t>
            </w:r>
            <w:r>
              <w:rPr>
                <w:rFonts w:hint="eastAsia"/>
                <w:spacing w:val="6"/>
              </w:rPr>
              <w:t>Ⅲ</w:t>
            </w:r>
            <w:r>
              <w:rPr>
                <w:rFonts w:hint="eastAsia"/>
              </w:rPr>
              <w:t>类）</w:t>
            </w:r>
          </w:p>
        </w:tc>
      </w:tr>
      <w:tr w14:paraId="72264E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6663FB6E">
            <w:pPr>
              <w:pStyle w:val="278"/>
              <w:rPr>
                <w:rFonts w:hint="eastAsia"/>
              </w:rPr>
            </w:pPr>
            <w:r>
              <w:rPr>
                <w:rFonts w:hint="eastAsia"/>
              </w:rPr>
              <w:t>1</w:t>
            </w:r>
          </w:p>
        </w:tc>
        <w:tc>
          <w:tcPr>
            <w:tcW w:w="1965" w:type="dxa"/>
            <w:vAlign w:val="center"/>
          </w:tcPr>
          <w:p w14:paraId="24B1A40C">
            <w:pPr>
              <w:pStyle w:val="278"/>
              <w:rPr>
                <w:rFonts w:hint="eastAsia"/>
              </w:rPr>
            </w:pPr>
            <w:r>
              <w:rPr>
                <w:rFonts w:hint="eastAsia"/>
              </w:rPr>
              <w:t>pH值</w:t>
            </w:r>
          </w:p>
        </w:tc>
        <w:tc>
          <w:tcPr>
            <w:tcW w:w="1745" w:type="dxa"/>
            <w:vAlign w:val="center"/>
          </w:tcPr>
          <w:p w14:paraId="4DEF2837">
            <w:pPr>
              <w:pStyle w:val="278"/>
              <w:rPr>
                <w:rFonts w:hint="eastAsia"/>
              </w:rPr>
            </w:pPr>
            <w:r>
              <w:rPr>
                <w:rFonts w:hint="eastAsia" w:cs="宋体"/>
                <w:lang w:val="zh-CN"/>
              </w:rPr>
              <w:t>6.5～8.5</w:t>
            </w:r>
          </w:p>
        </w:tc>
        <w:tc>
          <w:tcPr>
            <w:tcW w:w="993" w:type="dxa"/>
            <w:vAlign w:val="center"/>
          </w:tcPr>
          <w:p w14:paraId="6AE6A73C">
            <w:pPr>
              <w:pStyle w:val="278"/>
              <w:rPr>
                <w:rFonts w:hint="eastAsia"/>
              </w:rPr>
            </w:pPr>
            <w:r>
              <w:rPr>
                <w:rFonts w:hint="eastAsia"/>
              </w:rPr>
              <w:t>1</w:t>
            </w:r>
            <w:r>
              <w:t>2</w:t>
            </w:r>
          </w:p>
        </w:tc>
        <w:tc>
          <w:tcPr>
            <w:tcW w:w="1545" w:type="dxa"/>
            <w:vAlign w:val="center"/>
          </w:tcPr>
          <w:p w14:paraId="2DAAA029">
            <w:pPr>
              <w:pStyle w:val="278"/>
              <w:rPr>
                <w:rFonts w:hint="eastAsia"/>
              </w:rPr>
            </w:pPr>
            <w:r>
              <w:rPr>
                <w:rFonts w:hint="eastAsia"/>
              </w:rPr>
              <w:t>亚硝酸盐</w:t>
            </w:r>
          </w:p>
        </w:tc>
        <w:tc>
          <w:tcPr>
            <w:tcW w:w="1764" w:type="dxa"/>
            <w:vAlign w:val="center"/>
          </w:tcPr>
          <w:p w14:paraId="05CF0603">
            <w:pPr>
              <w:pStyle w:val="278"/>
              <w:rPr>
                <w:rFonts w:hint="eastAsia"/>
              </w:rPr>
            </w:pPr>
            <w:r>
              <w:rPr>
                <w:rFonts w:hint="eastAsia"/>
              </w:rPr>
              <w:t>≤1</w:t>
            </w:r>
          </w:p>
        </w:tc>
      </w:tr>
      <w:tr w14:paraId="19842C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42A3FA91">
            <w:pPr>
              <w:pStyle w:val="278"/>
              <w:rPr>
                <w:rFonts w:hint="eastAsia"/>
              </w:rPr>
            </w:pPr>
            <w:r>
              <w:rPr>
                <w:rFonts w:hint="eastAsia"/>
              </w:rPr>
              <w:t>2</w:t>
            </w:r>
          </w:p>
        </w:tc>
        <w:tc>
          <w:tcPr>
            <w:tcW w:w="1965" w:type="dxa"/>
            <w:vAlign w:val="center"/>
          </w:tcPr>
          <w:p w14:paraId="27D05270">
            <w:pPr>
              <w:pStyle w:val="278"/>
              <w:rPr>
                <w:rFonts w:hint="eastAsia"/>
              </w:rPr>
            </w:pPr>
            <w:r>
              <w:rPr>
                <w:rFonts w:hint="eastAsia"/>
              </w:rPr>
              <w:t>总硬度</w:t>
            </w:r>
          </w:p>
        </w:tc>
        <w:tc>
          <w:tcPr>
            <w:tcW w:w="1745" w:type="dxa"/>
            <w:vAlign w:val="center"/>
          </w:tcPr>
          <w:p w14:paraId="7DF74A48">
            <w:pPr>
              <w:pStyle w:val="278"/>
              <w:rPr>
                <w:rFonts w:hint="eastAsia"/>
              </w:rPr>
            </w:pPr>
            <w:r>
              <w:rPr>
                <w:rFonts w:hint="eastAsia" w:cs="宋体"/>
                <w:lang w:val="zh-CN"/>
              </w:rPr>
              <w:t>≤450</w:t>
            </w:r>
          </w:p>
        </w:tc>
        <w:tc>
          <w:tcPr>
            <w:tcW w:w="993" w:type="dxa"/>
            <w:vAlign w:val="center"/>
          </w:tcPr>
          <w:p w14:paraId="12E9A3D2">
            <w:pPr>
              <w:pStyle w:val="278"/>
              <w:rPr>
                <w:rFonts w:hint="eastAsia"/>
              </w:rPr>
            </w:pPr>
            <w:r>
              <w:rPr>
                <w:rFonts w:hint="eastAsia"/>
              </w:rPr>
              <w:t>1</w:t>
            </w:r>
            <w:r>
              <w:t>3</w:t>
            </w:r>
          </w:p>
        </w:tc>
        <w:tc>
          <w:tcPr>
            <w:tcW w:w="1545" w:type="dxa"/>
            <w:vAlign w:val="center"/>
          </w:tcPr>
          <w:p w14:paraId="283E65EA">
            <w:pPr>
              <w:pStyle w:val="278"/>
              <w:rPr>
                <w:rFonts w:hint="eastAsia"/>
              </w:rPr>
            </w:pPr>
            <w:r>
              <w:rPr>
                <w:rFonts w:hint="eastAsia"/>
              </w:rPr>
              <w:t>总大肠菌群，N</w:t>
            </w:r>
            <w:r>
              <w:t>/100</w:t>
            </w:r>
            <w:r>
              <w:rPr>
                <w:rFonts w:hint="eastAsia"/>
              </w:rPr>
              <w:t>m</w:t>
            </w:r>
            <w:r>
              <w:t>L</w:t>
            </w:r>
          </w:p>
        </w:tc>
        <w:tc>
          <w:tcPr>
            <w:tcW w:w="1764" w:type="dxa"/>
            <w:vAlign w:val="center"/>
          </w:tcPr>
          <w:p w14:paraId="7CD88571">
            <w:pPr>
              <w:pStyle w:val="278"/>
              <w:rPr>
                <w:rFonts w:hint="eastAsia"/>
              </w:rPr>
            </w:pPr>
            <w:r>
              <w:rPr>
                <w:rFonts w:hint="eastAsia"/>
              </w:rPr>
              <w:t>≤3</w:t>
            </w:r>
            <w:r>
              <w:t>.0</w:t>
            </w:r>
          </w:p>
        </w:tc>
      </w:tr>
      <w:tr w14:paraId="3F0DC9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7E9F7204">
            <w:pPr>
              <w:pStyle w:val="278"/>
              <w:rPr>
                <w:rFonts w:hint="eastAsia"/>
              </w:rPr>
            </w:pPr>
            <w:r>
              <w:rPr>
                <w:rFonts w:hint="eastAsia"/>
              </w:rPr>
              <w:t>3</w:t>
            </w:r>
          </w:p>
        </w:tc>
        <w:tc>
          <w:tcPr>
            <w:tcW w:w="1965" w:type="dxa"/>
            <w:vAlign w:val="center"/>
          </w:tcPr>
          <w:p w14:paraId="45E60215">
            <w:pPr>
              <w:pStyle w:val="278"/>
              <w:rPr>
                <w:rFonts w:hint="eastAsia"/>
              </w:rPr>
            </w:pPr>
            <w:r>
              <w:rPr>
                <w:rFonts w:hint="eastAsia"/>
              </w:rPr>
              <w:t>溶解性总固体</w:t>
            </w:r>
          </w:p>
        </w:tc>
        <w:tc>
          <w:tcPr>
            <w:tcW w:w="1745" w:type="dxa"/>
            <w:vAlign w:val="center"/>
          </w:tcPr>
          <w:p w14:paraId="23EAB892">
            <w:pPr>
              <w:pStyle w:val="278"/>
              <w:rPr>
                <w:rFonts w:hint="eastAsia"/>
              </w:rPr>
            </w:pPr>
            <w:r>
              <w:rPr>
                <w:rFonts w:hint="eastAsia" w:cs="宋体"/>
                <w:lang w:val="zh-CN"/>
              </w:rPr>
              <w:t>≤1000</w:t>
            </w:r>
          </w:p>
        </w:tc>
        <w:tc>
          <w:tcPr>
            <w:tcW w:w="993" w:type="dxa"/>
            <w:vAlign w:val="center"/>
          </w:tcPr>
          <w:p w14:paraId="7EB783D0">
            <w:pPr>
              <w:pStyle w:val="278"/>
              <w:rPr>
                <w:rFonts w:hint="eastAsia"/>
              </w:rPr>
            </w:pPr>
            <w:r>
              <w:rPr>
                <w:rFonts w:hint="eastAsia"/>
              </w:rPr>
              <w:t>1</w:t>
            </w:r>
            <w:r>
              <w:t>4</w:t>
            </w:r>
          </w:p>
        </w:tc>
        <w:tc>
          <w:tcPr>
            <w:tcW w:w="1545" w:type="dxa"/>
            <w:vAlign w:val="center"/>
          </w:tcPr>
          <w:p w14:paraId="6148CD67">
            <w:pPr>
              <w:pStyle w:val="278"/>
              <w:rPr>
                <w:rFonts w:hint="eastAsia"/>
              </w:rPr>
            </w:pPr>
            <w:r>
              <w:rPr>
                <w:rFonts w:hint="eastAsia"/>
              </w:rPr>
              <w:t>六价铬</w:t>
            </w:r>
          </w:p>
        </w:tc>
        <w:tc>
          <w:tcPr>
            <w:tcW w:w="1764" w:type="dxa"/>
            <w:vAlign w:val="center"/>
          </w:tcPr>
          <w:p w14:paraId="40FCD896">
            <w:pPr>
              <w:pStyle w:val="278"/>
              <w:rPr>
                <w:rFonts w:hint="eastAsia"/>
              </w:rPr>
            </w:pPr>
            <w:r>
              <w:rPr>
                <w:rFonts w:hint="eastAsia"/>
              </w:rPr>
              <w:t>≤0</w:t>
            </w:r>
            <w:r>
              <w:t>.05</w:t>
            </w:r>
          </w:p>
        </w:tc>
      </w:tr>
      <w:tr w14:paraId="73FE1F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0EE9101D">
            <w:pPr>
              <w:pStyle w:val="278"/>
              <w:rPr>
                <w:rFonts w:hint="eastAsia"/>
              </w:rPr>
            </w:pPr>
            <w:r>
              <w:rPr>
                <w:rFonts w:hint="eastAsia"/>
              </w:rPr>
              <w:t>4</w:t>
            </w:r>
          </w:p>
        </w:tc>
        <w:tc>
          <w:tcPr>
            <w:tcW w:w="1965" w:type="dxa"/>
            <w:vAlign w:val="center"/>
          </w:tcPr>
          <w:p w14:paraId="1E1BF351">
            <w:pPr>
              <w:pStyle w:val="278"/>
              <w:rPr>
                <w:rFonts w:hint="eastAsia"/>
              </w:rPr>
            </w:pPr>
            <w:r>
              <w:rPr>
                <w:rFonts w:hint="eastAsia"/>
              </w:rPr>
              <w:t>挥发性酚类</w:t>
            </w:r>
          </w:p>
        </w:tc>
        <w:tc>
          <w:tcPr>
            <w:tcW w:w="1745" w:type="dxa"/>
            <w:vAlign w:val="center"/>
          </w:tcPr>
          <w:p w14:paraId="3152288B">
            <w:pPr>
              <w:pStyle w:val="278"/>
              <w:rPr>
                <w:rFonts w:hint="eastAsia"/>
              </w:rPr>
            </w:pPr>
            <w:r>
              <w:rPr>
                <w:rFonts w:hint="eastAsia"/>
              </w:rPr>
              <w:t>≤0</w:t>
            </w:r>
            <w:r>
              <w:t>.002</w:t>
            </w:r>
          </w:p>
        </w:tc>
        <w:tc>
          <w:tcPr>
            <w:tcW w:w="993" w:type="dxa"/>
            <w:vAlign w:val="center"/>
          </w:tcPr>
          <w:p w14:paraId="37EA263A">
            <w:pPr>
              <w:pStyle w:val="278"/>
              <w:rPr>
                <w:rFonts w:hint="eastAsia"/>
              </w:rPr>
            </w:pPr>
            <w:r>
              <w:rPr>
                <w:rFonts w:hint="eastAsia"/>
              </w:rPr>
              <w:t>1</w:t>
            </w:r>
            <w:r>
              <w:t>5</w:t>
            </w:r>
          </w:p>
        </w:tc>
        <w:tc>
          <w:tcPr>
            <w:tcW w:w="1545" w:type="dxa"/>
            <w:vAlign w:val="center"/>
          </w:tcPr>
          <w:p w14:paraId="2CC94EB8">
            <w:pPr>
              <w:pStyle w:val="278"/>
              <w:rPr>
                <w:rFonts w:hint="eastAsia"/>
              </w:rPr>
            </w:pPr>
            <w:r>
              <w:rPr>
                <w:rFonts w:hint="eastAsia"/>
              </w:rPr>
              <w:t>汞</w:t>
            </w:r>
          </w:p>
        </w:tc>
        <w:tc>
          <w:tcPr>
            <w:tcW w:w="1764" w:type="dxa"/>
            <w:vAlign w:val="center"/>
          </w:tcPr>
          <w:p w14:paraId="41DDC5E8">
            <w:pPr>
              <w:pStyle w:val="278"/>
              <w:rPr>
                <w:rFonts w:hint="eastAsia"/>
              </w:rPr>
            </w:pPr>
            <w:r>
              <w:rPr>
                <w:rFonts w:hint="eastAsia"/>
              </w:rPr>
              <w:t>≤</w:t>
            </w:r>
            <w:r>
              <w:t>0.001</w:t>
            </w:r>
          </w:p>
        </w:tc>
      </w:tr>
      <w:tr w14:paraId="74D84D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77126492">
            <w:pPr>
              <w:pStyle w:val="278"/>
              <w:rPr>
                <w:rFonts w:hint="eastAsia"/>
              </w:rPr>
            </w:pPr>
            <w:r>
              <w:rPr>
                <w:rFonts w:hint="eastAsia"/>
              </w:rPr>
              <w:t>5</w:t>
            </w:r>
          </w:p>
        </w:tc>
        <w:tc>
          <w:tcPr>
            <w:tcW w:w="1965" w:type="dxa"/>
            <w:vAlign w:val="center"/>
          </w:tcPr>
          <w:p w14:paraId="17A939BD">
            <w:pPr>
              <w:pStyle w:val="278"/>
              <w:rPr>
                <w:rFonts w:hint="eastAsia"/>
              </w:rPr>
            </w:pPr>
            <w:r>
              <w:rPr>
                <w:rFonts w:hint="eastAsia"/>
              </w:rPr>
              <w:t>氨氮</w:t>
            </w:r>
          </w:p>
        </w:tc>
        <w:tc>
          <w:tcPr>
            <w:tcW w:w="1745" w:type="dxa"/>
            <w:vAlign w:val="center"/>
          </w:tcPr>
          <w:p w14:paraId="5218D583">
            <w:pPr>
              <w:pStyle w:val="278"/>
              <w:rPr>
                <w:rFonts w:hint="eastAsia"/>
              </w:rPr>
            </w:pPr>
            <w:r>
              <w:rPr>
                <w:rFonts w:hint="eastAsia"/>
              </w:rPr>
              <w:t>≤0</w:t>
            </w:r>
            <w:r>
              <w:t>.5</w:t>
            </w:r>
          </w:p>
        </w:tc>
        <w:tc>
          <w:tcPr>
            <w:tcW w:w="993" w:type="dxa"/>
            <w:vAlign w:val="center"/>
          </w:tcPr>
          <w:p w14:paraId="1DC3D1DE">
            <w:pPr>
              <w:pStyle w:val="278"/>
              <w:rPr>
                <w:rFonts w:hint="eastAsia"/>
              </w:rPr>
            </w:pPr>
            <w:r>
              <w:rPr>
                <w:rFonts w:hint="eastAsia"/>
              </w:rPr>
              <w:t>1</w:t>
            </w:r>
            <w:r>
              <w:t>6</w:t>
            </w:r>
          </w:p>
        </w:tc>
        <w:tc>
          <w:tcPr>
            <w:tcW w:w="1545" w:type="dxa"/>
            <w:vAlign w:val="center"/>
          </w:tcPr>
          <w:p w14:paraId="7C56EBDD">
            <w:pPr>
              <w:pStyle w:val="278"/>
              <w:rPr>
                <w:rFonts w:hint="eastAsia"/>
              </w:rPr>
            </w:pPr>
            <w:r>
              <w:rPr>
                <w:rFonts w:hint="eastAsia"/>
              </w:rPr>
              <w:t>铁</w:t>
            </w:r>
          </w:p>
        </w:tc>
        <w:tc>
          <w:tcPr>
            <w:tcW w:w="1764" w:type="dxa"/>
            <w:vAlign w:val="center"/>
          </w:tcPr>
          <w:p w14:paraId="2DA382A9">
            <w:pPr>
              <w:pStyle w:val="278"/>
              <w:rPr>
                <w:rFonts w:hint="eastAsia"/>
              </w:rPr>
            </w:pPr>
            <w:r>
              <w:rPr>
                <w:rFonts w:hint="eastAsia"/>
              </w:rPr>
              <w:t>≤</w:t>
            </w:r>
            <w:r>
              <w:t>0.3</w:t>
            </w:r>
          </w:p>
        </w:tc>
      </w:tr>
      <w:tr w14:paraId="79099D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2914E77A">
            <w:pPr>
              <w:pStyle w:val="278"/>
              <w:rPr>
                <w:rFonts w:hint="eastAsia"/>
              </w:rPr>
            </w:pPr>
            <w:r>
              <w:rPr>
                <w:rFonts w:hint="eastAsia"/>
              </w:rPr>
              <w:t>6</w:t>
            </w:r>
          </w:p>
        </w:tc>
        <w:tc>
          <w:tcPr>
            <w:tcW w:w="1965" w:type="dxa"/>
            <w:vAlign w:val="center"/>
          </w:tcPr>
          <w:p w14:paraId="2200F52F">
            <w:pPr>
              <w:pStyle w:val="278"/>
              <w:rPr>
                <w:rFonts w:hint="eastAsia"/>
              </w:rPr>
            </w:pPr>
            <w:r>
              <w:rPr>
                <w:rFonts w:hint="eastAsia"/>
              </w:rPr>
              <w:t>氰化物</w:t>
            </w:r>
          </w:p>
        </w:tc>
        <w:tc>
          <w:tcPr>
            <w:tcW w:w="1745" w:type="dxa"/>
            <w:vAlign w:val="center"/>
          </w:tcPr>
          <w:p w14:paraId="19CAD8F4">
            <w:pPr>
              <w:pStyle w:val="278"/>
              <w:rPr>
                <w:rFonts w:hint="eastAsia"/>
              </w:rPr>
            </w:pPr>
            <w:r>
              <w:rPr>
                <w:rFonts w:hint="eastAsia"/>
              </w:rPr>
              <w:t>≤0</w:t>
            </w:r>
            <w:r>
              <w:t>.05</w:t>
            </w:r>
          </w:p>
        </w:tc>
        <w:tc>
          <w:tcPr>
            <w:tcW w:w="993" w:type="dxa"/>
            <w:vAlign w:val="center"/>
          </w:tcPr>
          <w:p w14:paraId="15F1CA0E">
            <w:pPr>
              <w:pStyle w:val="278"/>
              <w:rPr>
                <w:rFonts w:hint="eastAsia"/>
              </w:rPr>
            </w:pPr>
            <w:r>
              <w:rPr>
                <w:rFonts w:hint="eastAsia"/>
              </w:rPr>
              <w:t>1</w:t>
            </w:r>
            <w:r>
              <w:t>7</w:t>
            </w:r>
          </w:p>
        </w:tc>
        <w:tc>
          <w:tcPr>
            <w:tcW w:w="1545" w:type="dxa"/>
            <w:vAlign w:val="center"/>
          </w:tcPr>
          <w:p w14:paraId="77E14483">
            <w:pPr>
              <w:pStyle w:val="278"/>
              <w:rPr>
                <w:rFonts w:hint="eastAsia"/>
              </w:rPr>
            </w:pPr>
            <w:r>
              <w:rPr>
                <w:rFonts w:hint="eastAsia"/>
              </w:rPr>
              <w:t>砷</w:t>
            </w:r>
          </w:p>
        </w:tc>
        <w:tc>
          <w:tcPr>
            <w:tcW w:w="1764" w:type="dxa"/>
            <w:vAlign w:val="center"/>
          </w:tcPr>
          <w:p w14:paraId="180E5618">
            <w:pPr>
              <w:pStyle w:val="278"/>
              <w:rPr>
                <w:rFonts w:hint="eastAsia"/>
              </w:rPr>
            </w:pPr>
            <w:r>
              <w:rPr>
                <w:rFonts w:hint="eastAsia"/>
              </w:rPr>
              <w:t>≤0</w:t>
            </w:r>
            <w:r>
              <w:t>.01</w:t>
            </w:r>
          </w:p>
        </w:tc>
      </w:tr>
      <w:tr w14:paraId="45F0BA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00FE4FB3">
            <w:pPr>
              <w:pStyle w:val="278"/>
              <w:rPr>
                <w:rFonts w:hint="eastAsia"/>
              </w:rPr>
            </w:pPr>
            <w:r>
              <w:rPr>
                <w:rFonts w:hint="eastAsia"/>
              </w:rPr>
              <w:t>7</w:t>
            </w:r>
          </w:p>
        </w:tc>
        <w:tc>
          <w:tcPr>
            <w:tcW w:w="1965" w:type="dxa"/>
            <w:vAlign w:val="center"/>
          </w:tcPr>
          <w:p w14:paraId="37442B6B">
            <w:pPr>
              <w:pStyle w:val="278"/>
              <w:rPr>
                <w:rFonts w:hint="eastAsia"/>
              </w:rPr>
            </w:pPr>
            <w:r>
              <w:rPr>
                <w:rFonts w:hint="eastAsia"/>
              </w:rPr>
              <w:t>石油类</w:t>
            </w:r>
          </w:p>
        </w:tc>
        <w:tc>
          <w:tcPr>
            <w:tcW w:w="1745" w:type="dxa"/>
            <w:vAlign w:val="center"/>
          </w:tcPr>
          <w:p w14:paraId="4D4273D9">
            <w:pPr>
              <w:pStyle w:val="278"/>
              <w:rPr>
                <w:rFonts w:hint="eastAsia"/>
              </w:rPr>
            </w:pPr>
            <w:r>
              <w:rPr>
                <w:rFonts w:hint="eastAsia"/>
              </w:rPr>
              <w:t>≤0</w:t>
            </w:r>
            <w:r>
              <w:t>.05</w:t>
            </w:r>
          </w:p>
        </w:tc>
        <w:tc>
          <w:tcPr>
            <w:tcW w:w="993" w:type="dxa"/>
            <w:vAlign w:val="center"/>
          </w:tcPr>
          <w:p w14:paraId="0963382F">
            <w:pPr>
              <w:pStyle w:val="278"/>
              <w:rPr>
                <w:rFonts w:hint="eastAsia"/>
              </w:rPr>
            </w:pPr>
            <w:r>
              <w:rPr>
                <w:rFonts w:hint="eastAsia"/>
              </w:rPr>
              <w:t>1</w:t>
            </w:r>
            <w:r>
              <w:t>8</w:t>
            </w:r>
          </w:p>
        </w:tc>
        <w:tc>
          <w:tcPr>
            <w:tcW w:w="1545" w:type="dxa"/>
            <w:vAlign w:val="center"/>
          </w:tcPr>
          <w:p w14:paraId="3E6F0937">
            <w:pPr>
              <w:pStyle w:val="278"/>
              <w:rPr>
                <w:rFonts w:hint="eastAsia"/>
              </w:rPr>
            </w:pPr>
            <w:r>
              <w:rPr>
                <w:rFonts w:hint="eastAsia"/>
              </w:rPr>
              <w:t>耗氧量</w:t>
            </w:r>
          </w:p>
        </w:tc>
        <w:tc>
          <w:tcPr>
            <w:tcW w:w="1764" w:type="dxa"/>
            <w:vAlign w:val="center"/>
          </w:tcPr>
          <w:p w14:paraId="44C147EA">
            <w:pPr>
              <w:pStyle w:val="278"/>
              <w:rPr>
                <w:rFonts w:hint="eastAsia"/>
              </w:rPr>
            </w:pPr>
            <w:r>
              <w:rPr>
                <w:rFonts w:hint="eastAsia"/>
              </w:rPr>
              <w:t>≤</w:t>
            </w:r>
            <w:r>
              <w:t>3</w:t>
            </w:r>
          </w:p>
        </w:tc>
      </w:tr>
      <w:tr w14:paraId="77BAE2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3F1E1043">
            <w:pPr>
              <w:pStyle w:val="278"/>
              <w:rPr>
                <w:rFonts w:hint="eastAsia"/>
              </w:rPr>
            </w:pPr>
            <w:r>
              <w:rPr>
                <w:rFonts w:hint="eastAsia"/>
              </w:rPr>
              <w:t>8</w:t>
            </w:r>
          </w:p>
        </w:tc>
        <w:tc>
          <w:tcPr>
            <w:tcW w:w="1965" w:type="dxa"/>
            <w:vAlign w:val="center"/>
          </w:tcPr>
          <w:p w14:paraId="7F62B320">
            <w:pPr>
              <w:pStyle w:val="278"/>
              <w:rPr>
                <w:rFonts w:hint="eastAsia"/>
              </w:rPr>
            </w:pPr>
            <w:r>
              <w:rPr>
                <w:rFonts w:hint="eastAsia"/>
              </w:rPr>
              <w:t>氟化物</w:t>
            </w:r>
          </w:p>
        </w:tc>
        <w:tc>
          <w:tcPr>
            <w:tcW w:w="1745" w:type="dxa"/>
            <w:vAlign w:val="center"/>
          </w:tcPr>
          <w:p w14:paraId="087EDC32">
            <w:pPr>
              <w:pStyle w:val="278"/>
              <w:rPr>
                <w:rFonts w:hint="eastAsia"/>
              </w:rPr>
            </w:pPr>
            <w:r>
              <w:rPr>
                <w:rFonts w:hint="eastAsia"/>
              </w:rPr>
              <w:t>≤1</w:t>
            </w:r>
            <w:r>
              <w:t>.0</w:t>
            </w:r>
          </w:p>
        </w:tc>
        <w:tc>
          <w:tcPr>
            <w:tcW w:w="993" w:type="dxa"/>
            <w:vAlign w:val="center"/>
          </w:tcPr>
          <w:p w14:paraId="05D23087">
            <w:pPr>
              <w:pStyle w:val="278"/>
              <w:rPr>
                <w:rFonts w:hint="eastAsia"/>
              </w:rPr>
            </w:pPr>
            <w:r>
              <w:rPr>
                <w:rFonts w:hint="eastAsia"/>
              </w:rPr>
              <w:t>1</w:t>
            </w:r>
            <w:r>
              <w:t>9</w:t>
            </w:r>
          </w:p>
        </w:tc>
        <w:tc>
          <w:tcPr>
            <w:tcW w:w="1545" w:type="dxa"/>
            <w:vAlign w:val="center"/>
          </w:tcPr>
          <w:p w14:paraId="6B9C4DA8">
            <w:pPr>
              <w:pStyle w:val="278"/>
              <w:rPr>
                <w:rFonts w:hint="eastAsia"/>
              </w:rPr>
            </w:pPr>
            <w:r>
              <w:rPr>
                <w:rFonts w:hint="eastAsia"/>
              </w:rPr>
              <w:t>铅</w:t>
            </w:r>
          </w:p>
        </w:tc>
        <w:tc>
          <w:tcPr>
            <w:tcW w:w="1764" w:type="dxa"/>
            <w:vAlign w:val="center"/>
          </w:tcPr>
          <w:p w14:paraId="665C2316">
            <w:pPr>
              <w:pStyle w:val="278"/>
              <w:rPr>
                <w:rFonts w:hint="eastAsia"/>
              </w:rPr>
            </w:pPr>
            <w:r>
              <w:rPr>
                <w:rFonts w:hint="eastAsia"/>
              </w:rPr>
              <w:t>≤0</w:t>
            </w:r>
            <w:r>
              <w:t>.20</w:t>
            </w:r>
          </w:p>
        </w:tc>
      </w:tr>
      <w:tr w14:paraId="68EF69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57A25E72">
            <w:pPr>
              <w:pStyle w:val="278"/>
              <w:rPr>
                <w:rFonts w:hint="eastAsia"/>
              </w:rPr>
            </w:pPr>
            <w:r>
              <w:rPr>
                <w:rFonts w:hint="eastAsia"/>
              </w:rPr>
              <w:t>9</w:t>
            </w:r>
          </w:p>
        </w:tc>
        <w:tc>
          <w:tcPr>
            <w:tcW w:w="1965" w:type="dxa"/>
            <w:vAlign w:val="center"/>
          </w:tcPr>
          <w:p w14:paraId="0B0E1C26">
            <w:pPr>
              <w:pStyle w:val="278"/>
              <w:rPr>
                <w:rFonts w:hint="eastAsia"/>
              </w:rPr>
            </w:pPr>
            <w:r>
              <w:rPr>
                <w:rFonts w:hint="eastAsia"/>
              </w:rPr>
              <w:t>氯化物</w:t>
            </w:r>
          </w:p>
        </w:tc>
        <w:tc>
          <w:tcPr>
            <w:tcW w:w="1745" w:type="dxa"/>
            <w:vAlign w:val="center"/>
          </w:tcPr>
          <w:p w14:paraId="375AA463">
            <w:pPr>
              <w:pStyle w:val="278"/>
              <w:rPr>
                <w:rFonts w:hint="eastAsia"/>
              </w:rPr>
            </w:pPr>
            <w:r>
              <w:rPr>
                <w:rFonts w:hint="eastAsia"/>
              </w:rPr>
              <w:t>≤2</w:t>
            </w:r>
            <w:r>
              <w:t>50</w:t>
            </w:r>
          </w:p>
        </w:tc>
        <w:tc>
          <w:tcPr>
            <w:tcW w:w="993" w:type="dxa"/>
            <w:vAlign w:val="center"/>
          </w:tcPr>
          <w:p w14:paraId="2B6147DA">
            <w:pPr>
              <w:pStyle w:val="278"/>
              <w:rPr>
                <w:rFonts w:hint="eastAsia"/>
              </w:rPr>
            </w:pPr>
            <w:r>
              <w:rPr>
                <w:rFonts w:hint="eastAsia"/>
              </w:rPr>
              <w:t>2</w:t>
            </w:r>
            <w:r>
              <w:t>0</w:t>
            </w:r>
          </w:p>
        </w:tc>
        <w:tc>
          <w:tcPr>
            <w:tcW w:w="1545" w:type="dxa"/>
            <w:vAlign w:val="center"/>
          </w:tcPr>
          <w:p w14:paraId="4E0E4086">
            <w:pPr>
              <w:pStyle w:val="278"/>
              <w:rPr>
                <w:rFonts w:hint="eastAsia"/>
              </w:rPr>
            </w:pPr>
            <w:r>
              <w:rPr>
                <w:rFonts w:hint="eastAsia"/>
              </w:rPr>
              <w:t>镉</w:t>
            </w:r>
          </w:p>
        </w:tc>
        <w:tc>
          <w:tcPr>
            <w:tcW w:w="1764" w:type="dxa"/>
            <w:vAlign w:val="center"/>
          </w:tcPr>
          <w:p w14:paraId="13CE35B7">
            <w:pPr>
              <w:pStyle w:val="278"/>
              <w:rPr>
                <w:rFonts w:hint="eastAsia"/>
              </w:rPr>
            </w:pPr>
            <w:r>
              <w:rPr>
                <w:rFonts w:hint="eastAsia"/>
              </w:rPr>
              <w:t>≤</w:t>
            </w:r>
            <w:r>
              <w:t>0.005</w:t>
            </w:r>
          </w:p>
        </w:tc>
      </w:tr>
      <w:tr w14:paraId="44096A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43B1F9CE">
            <w:pPr>
              <w:pStyle w:val="278"/>
              <w:rPr>
                <w:rFonts w:hint="eastAsia"/>
              </w:rPr>
            </w:pPr>
            <w:r>
              <w:rPr>
                <w:rFonts w:hint="eastAsia"/>
              </w:rPr>
              <w:t>1</w:t>
            </w:r>
            <w:r>
              <w:t>0</w:t>
            </w:r>
          </w:p>
        </w:tc>
        <w:tc>
          <w:tcPr>
            <w:tcW w:w="1965" w:type="dxa"/>
            <w:vAlign w:val="center"/>
          </w:tcPr>
          <w:p w14:paraId="1DC91FAA">
            <w:pPr>
              <w:pStyle w:val="278"/>
              <w:rPr>
                <w:rFonts w:hint="eastAsia"/>
              </w:rPr>
            </w:pPr>
            <w:r>
              <w:rPr>
                <w:rFonts w:hint="eastAsia"/>
              </w:rPr>
              <w:t>硫酸盐</w:t>
            </w:r>
          </w:p>
        </w:tc>
        <w:tc>
          <w:tcPr>
            <w:tcW w:w="1745" w:type="dxa"/>
            <w:vAlign w:val="center"/>
          </w:tcPr>
          <w:p w14:paraId="47D08FB4">
            <w:pPr>
              <w:pStyle w:val="278"/>
              <w:rPr>
                <w:rFonts w:hint="eastAsia"/>
              </w:rPr>
            </w:pPr>
            <w:r>
              <w:rPr>
                <w:rFonts w:hint="eastAsia"/>
              </w:rPr>
              <w:t>≤2</w:t>
            </w:r>
            <w:r>
              <w:t>50</w:t>
            </w:r>
          </w:p>
        </w:tc>
        <w:tc>
          <w:tcPr>
            <w:tcW w:w="993" w:type="dxa"/>
            <w:vAlign w:val="center"/>
          </w:tcPr>
          <w:p w14:paraId="2725C927">
            <w:pPr>
              <w:pStyle w:val="278"/>
              <w:rPr>
                <w:rFonts w:hint="eastAsia"/>
              </w:rPr>
            </w:pPr>
            <w:r>
              <w:rPr>
                <w:rFonts w:hint="eastAsia"/>
              </w:rPr>
              <w:t>2</w:t>
            </w:r>
            <w:r>
              <w:t>1</w:t>
            </w:r>
          </w:p>
        </w:tc>
        <w:tc>
          <w:tcPr>
            <w:tcW w:w="1545" w:type="dxa"/>
            <w:vAlign w:val="center"/>
          </w:tcPr>
          <w:p w14:paraId="6FA2B20F">
            <w:pPr>
              <w:pStyle w:val="278"/>
              <w:rPr>
                <w:rFonts w:hint="eastAsia"/>
              </w:rPr>
            </w:pPr>
            <w:r>
              <w:rPr>
                <w:rFonts w:hint="eastAsia"/>
              </w:rPr>
              <w:t>镍</w:t>
            </w:r>
          </w:p>
        </w:tc>
        <w:tc>
          <w:tcPr>
            <w:tcW w:w="1764" w:type="dxa"/>
            <w:vAlign w:val="center"/>
          </w:tcPr>
          <w:p w14:paraId="4F95E1EF">
            <w:pPr>
              <w:pStyle w:val="278"/>
              <w:rPr>
                <w:rFonts w:hint="eastAsia"/>
              </w:rPr>
            </w:pPr>
            <w:r>
              <w:rPr>
                <w:rFonts w:hint="eastAsia"/>
              </w:rPr>
              <w:t>≤</w:t>
            </w:r>
            <w:r>
              <w:t>0.02</w:t>
            </w:r>
          </w:p>
        </w:tc>
      </w:tr>
      <w:tr w14:paraId="0D6C93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34" w:type="dxa"/>
            <w:vAlign w:val="center"/>
          </w:tcPr>
          <w:p w14:paraId="384DB142">
            <w:pPr>
              <w:pStyle w:val="278"/>
              <w:rPr>
                <w:rFonts w:hint="eastAsia"/>
              </w:rPr>
            </w:pPr>
            <w:r>
              <w:rPr>
                <w:rFonts w:hint="eastAsia"/>
              </w:rPr>
              <w:t>1</w:t>
            </w:r>
            <w:r>
              <w:t>1</w:t>
            </w:r>
          </w:p>
        </w:tc>
        <w:tc>
          <w:tcPr>
            <w:tcW w:w="1965" w:type="dxa"/>
            <w:vAlign w:val="center"/>
          </w:tcPr>
          <w:p w14:paraId="1795FEFB">
            <w:pPr>
              <w:pStyle w:val="278"/>
              <w:rPr>
                <w:rFonts w:hint="eastAsia"/>
              </w:rPr>
            </w:pPr>
            <w:r>
              <w:rPr>
                <w:rFonts w:hint="eastAsia"/>
              </w:rPr>
              <w:t>硝酸盐</w:t>
            </w:r>
          </w:p>
        </w:tc>
        <w:tc>
          <w:tcPr>
            <w:tcW w:w="1745" w:type="dxa"/>
            <w:vAlign w:val="center"/>
          </w:tcPr>
          <w:p w14:paraId="70639A07">
            <w:pPr>
              <w:pStyle w:val="278"/>
              <w:rPr>
                <w:rFonts w:hint="eastAsia"/>
              </w:rPr>
            </w:pPr>
            <w:r>
              <w:rPr>
                <w:rFonts w:hint="eastAsia"/>
              </w:rPr>
              <w:t>≤2</w:t>
            </w:r>
            <w:r>
              <w:t>0</w:t>
            </w:r>
          </w:p>
        </w:tc>
        <w:tc>
          <w:tcPr>
            <w:tcW w:w="993" w:type="dxa"/>
            <w:vAlign w:val="center"/>
          </w:tcPr>
          <w:p w14:paraId="3818FD3F">
            <w:pPr>
              <w:pStyle w:val="278"/>
              <w:rPr>
                <w:rFonts w:hint="eastAsia"/>
              </w:rPr>
            </w:pPr>
            <w:r>
              <w:rPr>
                <w:rFonts w:hint="eastAsia"/>
              </w:rPr>
              <w:t>2</w:t>
            </w:r>
            <w:r>
              <w:t>2</w:t>
            </w:r>
          </w:p>
        </w:tc>
        <w:tc>
          <w:tcPr>
            <w:tcW w:w="1545" w:type="dxa"/>
            <w:vAlign w:val="center"/>
          </w:tcPr>
          <w:p w14:paraId="31B839B9">
            <w:pPr>
              <w:pStyle w:val="278"/>
              <w:rPr>
                <w:rFonts w:hint="eastAsia"/>
              </w:rPr>
            </w:pPr>
            <w:r>
              <w:rPr>
                <w:rFonts w:hint="eastAsia"/>
              </w:rPr>
              <w:t>钠</w:t>
            </w:r>
          </w:p>
        </w:tc>
        <w:tc>
          <w:tcPr>
            <w:tcW w:w="1764" w:type="dxa"/>
            <w:vAlign w:val="center"/>
          </w:tcPr>
          <w:p w14:paraId="038B2DE6">
            <w:pPr>
              <w:pStyle w:val="278"/>
              <w:rPr>
                <w:rFonts w:hint="eastAsia"/>
              </w:rPr>
            </w:pPr>
            <w:r>
              <w:rPr>
                <w:rFonts w:hint="eastAsia"/>
              </w:rPr>
              <w:t>≤2</w:t>
            </w:r>
            <w:r>
              <w:t>00</w:t>
            </w:r>
          </w:p>
        </w:tc>
      </w:tr>
    </w:tbl>
    <w:p w14:paraId="52910B02">
      <w:pPr>
        <w:pStyle w:val="117"/>
        <w:ind w:firstLine="480"/>
        <w:rPr>
          <w:rFonts w:hint="eastAsia"/>
        </w:rPr>
      </w:pPr>
      <w:r>
        <w:rPr>
          <w:rFonts w:hint="eastAsia"/>
        </w:rPr>
        <w:t>③</w:t>
      </w:r>
      <w:r>
        <w:t>声环境</w:t>
      </w:r>
    </w:p>
    <w:p w14:paraId="21603C92">
      <w:pPr>
        <w:pStyle w:val="117"/>
        <w:ind w:firstLine="480"/>
        <w:rPr>
          <w:rFonts w:hint="eastAsia"/>
          <w:kern w:val="0"/>
        </w:rPr>
      </w:pPr>
      <w:r>
        <w:rPr>
          <w:rFonts w:hint="eastAsia"/>
          <w:kern w:val="0"/>
        </w:rPr>
        <w:t>声环境质量</w:t>
      </w:r>
      <w:r>
        <w:rPr>
          <w:kern w:val="0"/>
        </w:rPr>
        <w:t>执行《声环境质量标准》（GB3096-2008）2类</w:t>
      </w:r>
      <w:r>
        <w:rPr>
          <w:rFonts w:hint="eastAsia"/>
          <w:kern w:val="0"/>
        </w:rPr>
        <w:t>区</w:t>
      </w:r>
      <w:r>
        <w:rPr>
          <w:kern w:val="0"/>
        </w:rPr>
        <w:t>限值，见</w:t>
      </w:r>
      <w:r>
        <w:rPr>
          <w:rFonts w:hint="eastAsia"/>
        </w:rPr>
        <w:t>表</w:t>
      </w:r>
      <w:r>
        <w:t>2.5</w:t>
      </w:r>
      <w:r>
        <w:rPr>
          <w:rFonts w:hint="eastAsia"/>
        </w:rPr>
        <w:t>-</w:t>
      </w:r>
      <w:r>
        <w:t>4</w:t>
      </w:r>
      <w:r>
        <w:rPr>
          <w:rFonts w:hint="eastAsia"/>
          <w:kern w:val="0"/>
        </w:rPr>
        <w:t>。</w:t>
      </w:r>
    </w:p>
    <w:p w14:paraId="1CAF0102">
      <w:pPr>
        <w:pStyle w:val="109"/>
        <w:rPr>
          <w:rFonts w:hint="eastAsia"/>
        </w:rPr>
      </w:pPr>
    </w:p>
    <w:p w14:paraId="040075A6">
      <w:pPr>
        <w:pStyle w:val="109"/>
        <w:rPr>
          <w:rFonts w:hint="eastAsia"/>
        </w:rPr>
      </w:pPr>
      <w:r>
        <w:rPr>
          <w:rFonts w:hint="eastAsia"/>
        </w:rPr>
        <w:t>表</w:t>
      </w:r>
      <w:r>
        <w:t>2.5</w:t>
      </w:r>
      <w:r>
        <w:rPr>
          <w:rFonts w:hint="eastAsia"/>
        </w:rPr>
        <w:t>-</w:t>
      </w:r>
      <w:r>
        <w:t>4</w:t>
      </w:r>
      <w:r>
        <w:rPr>
          <w:rFonts w:hint="eastAsia"/>
        </w:rPr>
        <w:t xml:space="preserve">  </w:t>
      </w:r>
      <w:r>
        <w:t>声环境质量</w:t>
      </w:r>
      <w:r>
        <w:rPr>
          <w:rFonts w:hint="eastAsia"/>
        </w:rPr>
        <w:t>评价</w:t>
      </w:r>
      <w:r>
        <w:t>标准</w:t>
      </w:r>
      <w:r>
        <w:rPr>
          <w:rFonts w:hint="eastAsia"/>
        </w:rPr>
        <w:t>一览表</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140"/>
        <w:gridCol w:w="2128"/>
        <w:gridCol w:w="2149"/>
        <w:gridCol w:w="2369"/>
      </w:tblGrid>
      <w:tr w14:paraId="0B2574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40" w:type="dxa"/>
            <w:vMerge w:val="restart"/>
            <w:vAlign w:val="center"/>
          </w:tcPr>
          <w:p w14:paraId="20AE1528">
            <w:pPr>
              <w:pStyle w:val="286"/>
              <w:adjustRightInd w:val="0"/>
              <w:snapToGrid w:val="0"/>
              <w:spacing w:line="300" w:lineRule="exact"/>
              <w:rPr>
                <w:rFonts w:hint="eastAsia" w:cs="宋体"/>
                <w:sz w:val="21"/>
              </w:rPr>
            </w:pPr>
            <w:r>
              <w:rPr>
                <w:rFonts w:hint="eastAsia" w:cs="宋体"/>
                <w:sz w:val="21"/>
              </w:rPr>
              <w:t>评价因子</w:t>
            </w:r>
          </w:p>
        </w:tc>
        <w:tc>
          <w:tcPr>
            <w:tcW w:w="4277" w:type="dxa"/>
            <w:gridSpan w:val="2"/>
            <w:vAlign w:val="center"/>
          </w:tcPr>
          <w:p w14:paraId="516E6DAE">
            <w:pPr>
              <w:pStyle w:val="286"/>
              <w:adjustRightInd w:val="0"/>
              <w:snapToGrid w:val="0"/>
              <w:spacing w:line="300" w:lineRule="exact"/>
              <w:rPr>
                <w:rFonts w:hint="eastAsia" w:cs="宋体"/>
                <w:sz w:val="21"/>
              </w:rPr>
            </w:pPr>
            <w:r>
              <w:rPr>
                <w:rFonts w:hint="eastAsia" w:cs="宋体"/>
                <w:sz w:val="21"/>
              </w:rPr>
              <w:t>标准值[</w:t>
            </w:r>
            <w:r>
              <w:rPr>
                <w:rFonts w:cs="宋体"/>
                <w:sz w:val="21"/>
              </w:rPr>
              <w:t>dB（A)]</w:t>
            </w:r>
          </w:p>
        </w:tc>
        <w:tc>
          <w:tcPr>
            <w:tcW w:w="2369" w:type="dxa"/>
            <w:vMerge w:val="restart"/>
            <w:vAlign w:val="center"/>
          </w:tcPr>
          <w:p w14:paraId="1472975D">
            <w:pPr>
              <w:pStyle w:val="286"/>
              <w:adjustRightInd w:val="0"/>
              <w:snapToGrid w:val="0"/>
              <w:spacing w:line="300" w:lineRule="exact"/>
              <w:rPr>
                <w:rFonts w:hint="eastAsia" w:cs="宋体"/>
                <w:sz w:val="21"/>
              </w:rPr>
            </w:pPr>
            <w:r>
              <w:rPr>
                <w:rFonts w:hint="eastAsia" w:cs="宋体"/>
                <w:sz w:val="21"/>
              </w:rPr>
              <w:t>标准来源</w:t>
            </w:r>
          </w:p>
        </w:tc>
      </w:tr>
      <w:tr w14:paraId="486713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40" w:type="dxa"/>
            <w:vMerge w:val="continue"/>
            <w:vAlign w:val="center"/>
          </w:tcPr>
          <w:p w14:paraId="36F3F2D3">
            <w:pPr>
              <w:pStyle w:val="286"/>
              <w:adjustRightInd w:val="0"/>
              <w:snapToGrid w:val="0"/>
              <w:spacing w:line="300" w:lineRule="exact"/>
              <w:rPr>
                <w:rFonts w:hint="eastAsia" w:cs="宋体"/>
                <w:sz w:val="21"/>
              </w:rPr>
            </w:pPr>
          </w:p>
        </w:tc>
        <w:tc>
          <w:tcPr>
            <w:tcW w:w="2128" w:type="dxa"/>
            <w:vAlign w:val="center"/>
          </w:tcPr>
          <w:p w14:paraId="47B760B1">
            <w:pPr>
              <w:pStyle w:val="286"/>
              <w:adjustRightInd w:val="0"/>
              <w:snapToGrid w:val="0"/>
              <w:spacing w:line="300" w:lineRule="exact"/>
              <w:rPr>
                <w:rFonts w:hint="eastAsia" w:cs="宋体"/>
                <w:sz w:val="21"/>
              </w:rPr>
            </w:pPr>
            <w:r>
              <w:rPr>
                <w:rFonts w:hint="eastAsia" w:cs="宋体"/>
                <w:sz w:val="21"/>
              </w:rPr>
              <w:t>昼间</w:t>
            </w:r>
          </w:p>
        </w:tc>
        <w:tc>
          <w:tcPr>
            <w:tcW w:w="2149" w:type="dxa"/>
            <w:vAlign w:val="center"/>
          </w:tcPr>
          <w:p w14:paraId="6105508C">
            <w:pPr>
              <w:pStyle w:val="286"/>
              <w:adjustRightInd w:val="0"/>
              <w:snapToGrid w:val="0"/>
              <w:spacing w:line="300" w:lineRule="exact"/>
              <w:rPr>
                <w:rFonts w:hint="eastAsia" w:cs="宋体"/>
                <w:sz w:val="21"/>
              </w:rPr>
            </w:pPr>
            <w:r>
              <w:rPr>
                <w:rFonts w:hint="eastAsia" w:cs="宋体"/>
                <w:sz w:val="21"/>
              </w:rPr>
              <w:t>夜间</w:t>
            </w:r>
          </w:p>
        </w:tc>
        <w:tc>
          <w:tcPr>
            <w:tcW w:w="2369" w:type="dxa"/>
            <w:vMerge w:val="continue"/>
            <w:vAlign w:val="center"/>
          </w:tcPr>
          <w:p w14:paraId="23EFFA6E">
            <w:pPr>
              <w:pStyle w:val="286"/>
              <w:adjustRightInd w:val="0"/>
              <w:snapToGrid w:val="0"/>
              <w:spacing w:line="300" w:lineRule="exact"/>
              <w:rPr>
                <w:rFonts w:hint="eastAsia" w:cs="宋体"/>
                <w:sz w:val="21"/>
              </w:rPr>
            </w:pPr>
          </w:p>
        </w:tc>
      </w:tr>
      <w:tr w14:paraId="7A927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40" w:type="dxa"/>
            <w:vAlign w:val="center"/>
          </w:tcPr>
          <w:p w14:paraId="355838B6">
            <w:pPr>
              <w:pStyle w:val="286"/>
              <w:adjustRightInd w:val="0"/>
              <w:snapToGrid w:val="0"/>
              <w:spacing w:line="300" w:lineRule="exact"/>
              <w:rPr>
                <w:rFonts w:hint="eastAsia" w:cs="宋体"/>
                <w:sz w:val="21"/>
              </w:rPr>
            </w:pPr>
            <w:r>
              <w:rPr>
                <w:rFonts w:hint="eastAsia" w:cs="宋体"/>
                <w:sz w:val="21"/>
              </w:rPr>
              <w:t>等效连续</w:t>
            </w:r>
            <w:r>
              <w:rPr>
                <w:rFonts w:cs="宋体"/>
                <w:sz w:val="21"/>
              </w:rPr>
              <w:t>A</w:t>
            </w:r>
            <w:r>
              <w:rPr>
                <w:rFonts w:hint="eastAsia" w:cs="宋体"/>
                <w:sz w:val="21"/>
              </w:rPr>
              <w:t>声级</w:t>
            </w:r>
          </w:p>
        </w:tc>
        <w:tc>
          <w:tcPr>
            <w:tcW w:w="2128" w:type="dxa"/>
            <w:vAlign w:val="center"/>
          </w:tcPr>
          <w:p w14:paraId="148465E7">
            <w:pPr>
              <w:pStyle w:val="286"/>
              <w:adjustRightInd w:val="0"/>
              <w:snapToGrid w:val="0"/>
              <w:spacing w:line="300" w:lineRule="exact"/>
              <w:rPr>
                <w:rFonts w:hint="eastAsia" w:cs="宋体"/>
                <w:sz w:val="21"/>
              </w:rPr>
            </w:pPr>
            <w:r>
              <w:rPr>
                <w:rFonts w:cs="宋体"/>
                <w:sz w:val="21"/>
              </w:rPr>
              <w:t>60</w:t>
            </w:r>
          </w:p>
        </w:tc>
        <w:tc>
          <w:tcPr>
            <w:tcW w:w="2149" w:type="dxa"/>
            <w:vAlign w:val="center"/>
          </w:tcPr>
          <w:p w14:paraId="364602D8">
            <w:pPr>
              <w:pStyle w:val="286"/>
              <w:adjustRightInd w:val="0"/>
              <w:snapToGrid w:val="0"/>
              <w:spacing w:line="300" w:lineRule="exact"/>
              <w:rPr>
                <w:rFonts w:hint="eastAsia" w:cs="宋体"/>
                <w:sz w:val="21"/>
              </w:rPr>
            </w:pPr>
            <w:r>
              <w:rPr>
                <w:rFonts w:cs="宋体"/>
                <w:sz w:val="21"/>
              </w:rPr>
              <w:t>50</w:t>
            </w:r>
          </w:p>
        </w:tc>
        <w:tc>
          <w:tcPr>
            <w:tcW w:w="2369" w:type="dxa"/>
            <w:vAlign w:val="center"/>
          </w:tcPr>
          <w:p w14:paraId="36E7ED97">
            <w:pPr>
              <w:pStyle w:val="286"/>
              <w:adjustRightInd w:val="0"/>
              <w:snapToGrid w:val="0"/>
              <w:spacing w:line="300" w:lineRule="exact"/>
              <w:rPr>
                <w:rFonts w:hint="eastAsia" w:cs="宋体"/>
                <w:sz w:val="21"/>
              </w:rPr>
            </w:pPr>
            <w:r>
              <w:rPr>
                <w:rFonts w:cs="宋体"/>
                <w:sz w:val="21"/>
              </w:rPr>
              <w:t>GB3096-2008 2</w:t>
            </w:r>
            <w:r>
              <w:rPr>
                <w:rFonts w:hint="eastAsia" w:cs="宋体"/>
                <w:sz w:val="21"/>
              </w:rPr>
              <w:t>类</w:t>
            </w:r>
          </w:p>
        </w:tc>
      </w:tr>
    </w:tbl>
    <w:p w14:paraId="607310CA">
      <w:pPr>
        <w:pStyle w:val="117"/>
        <w:ind w:firstLine="480"/>
        <w:rPr>
          <w:rFonts w:hint="eastAsia"/>
        </w:rPr>
      </w:pPr>
      <w:r>
        <w:rPr>
          <w:rFonts w:hint="eastAsia"/>
        </w:rPr>
        <w:t>④土壤</w:t>
      </w:r>
      <w:r>
        <w:t>环境</w:t>
      </w:r>
    </w:p>
    <w:p w14:paraId="3957F285">
      <w:pPr>
        <w:pStyle w:val="117"/>
        <w:ind w:firstLine="480"/>
        <w:rPr>
          <w:rFonts w:hint="eastAsia"/>
          <w:szCs w:val="20"/>
        </w:rPr>
      </w:pPr>
      <w:r>
        <w:rPr>
          <w:rFonts w:hint="eastAsia"/>
          <w:szCs w:val="20"/>
        </w:rPr>
        <w:t>占地范围内全部监测因子及占地范围外的六价铬、石油烃、半挥发性和挥发性有机物均执行《土壤环境质量</w:t>
      </w:r>
      <w:r>
        <w:rPr>
          <w:szCs w:val="20"/>
        </w:rPr>
        <w:t xml:space="preserve">  </w:t>
      </w:r>
      <w:r>
        <w:rPr>
          <w:rFonts w:hint="eastAsia"/>
          <w:szCs w:val="20"/>
        </w:rPr>
        <w:t>建设用地土壤污染风险管控标准（试行）》（</w:t>
      </w:r>
      <w:r>
        <w:rPr>
          <w:szCs w:val="20"/>
        </w:rPr>
        <w:t>GB36600-2018</w:t>
      </w:r>
      <w:r>
        <w:rPr>
          <w:rFonts w:hint="eastAsia"/>
          <w:szCs w:val="20"/>
        </w:rPr>
        <w:t>）中第二类用地筛选值，占地范围外</w:t>
      </w:r>
      <w:r>
        <w:rPr>
          <w:rFonts w:hint="eastAsia"/>
        </w:rPr>
        <w:t>各监测点的重金属及无机物</w:t>
      </w:r>
      <w:r>
        <w:rPr>
          <w:rFonts w:hint="eastAsia"/>
          <w:szCs w:val="20"/>
        </w:rPr>
        <w:t>执行</w:t>
      </w:r>
      <w:r>
        <w:rPr>
          <w:rFonts w:hint="eastAsia" w:cs="宋体"/>
          <w:szCs w:val="21"/>
        </w:rPr>
        <w:t>《土壤环境质量 农用地土壤污染风险管控标准（试行）》(GB15618—2018)表1限值要求。</w:t>
      </w:r>
      <w:r>
        <w:rPr>
          <w:rFonts w:hint="eastAsia"/>
          <w:szCs w:val="20"/>
        </w:rPr>
        <w:t>标准限值见表</w:t>
      </w:r>
      <w:r>
        <w:rPr>
          <w:szCs w:val="20"/>
        </w:rPr>
        <w:t>2.5</w:t>
      </w:r>
      <w:r>
        <w:rPr>
          <w:rFonts w:hint="eastAsia"/>
          <w:szCs w:val="20"/>
        </w:rPr>
        <w:t>-</w:t>
      </w:r>
      <w:r>
        <w:rPr>
          <w:szCs w:val="20"/>
        </w:rPr>
        <w:t>5</w:t>
      </w:r>
      <w:r>
        <w:rPr>
          <w:rFonts w:hint="eastAsia"/>
          <w:szCs w:val="20"/>
        </w:rPr>
        <w:t>和表2.5-6。</w:t>
      </w:r>
    </w:p>
    <w:p w14:paraId="7DFFA9AF">
      <w:pPr>
        <w:pStyle w:val="109"/>
        <w:rPr>
          <w:rFonts w:hint="eastAsia"/>
        </w:rPr>
      </w:pPr>
      <w:r>
        <w:rPr>
          <w:rFonts w:hint="eastAsia"/>
        </w:rPr>
        <w:t>表</w:t>
      </w:r>
      <w:r>
        <w:t>2.5</w:t>
      </w:r>
      <w:r>
        <w:rPr>
          <w:rFonts w:hint="eastAsia"/>
        </w:rPr>
        <w:t>-</w:t>
      </w:r>
      <w:r>
        <w:t>5</w:t>
      </w:r>
      <w:r>
        <w:rPr>
          <w:rFonts w:hint="eastAsia"/>
        </w:rPr>
        <w:t xml:space="preserve"> </w:t>
      </w:r>
      <w:r>
        <w:t xml:space="preserve"> 土壤环境质量评价标准一览表</w:t>
      </w:r>
    </w:p>
    <w:tbl>
      <w:tblPr>
        <w:tblStyle w:val="51"/>
        <w:tblW w:w="878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63"/>
        <w:gridCol w:w="1950"/>
        <w:gridCol w:w="1531"/>
        <w:gridCol w:w="1114"/>
        <w:gridCol w:w="2075"/>
        <w:gridCol w:w="1453"/>
      </w:tblGrid>
      <w:tr w14:paraId="3A64D1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63" w:type="dxa"/>
            <w:vAlign w:val="center"/>
          </w:tcPr>
          <w:p w14:paraId="541DA8D1">
            <w:pPr>
              <w:pStyle w:val="286"/>
              <w:adjustRightInd w:val="0"/>
              <w:snapToGrid w:val="0"/>
              <w:spacing w:line="300" w:lineRule="exact"/>
              <w:rPr>
                <w:rFonts w:hint="eastAsia" w:cs="宋体"/>
                <w:sz w:val="21"/>
              </w:rPr>
            </w:pPr>
            <w:r>
              <w:rPr>
                <w:rFonts w:hint="eastAsia" w:cs="宋体"/>
                <w:sz w:val="21"/>
              </w:rPr>
              <w:t>序号</w:t>
            </w:r>
          </w:p>
        </w:tc>
        <w:tc>
          <w:tcPr>
            <w:tcW w:w="1950" w:type="dxa"/>
            <w:vAlign w:val="center"/>
          </w:tcPr>
          <w:p w14:paraId="10E238B7">
            <w:pPr>
              <w:pStyle w:val="286"/>
              <w:adjustRightInd w:val="0"/>
              <w:snapToGrid w:val="0"/>
              <w:spacing w:line="300" w:lineRule="exact"/>
              <w:rPr>
                <w:rFonts w:hint="eastAsia" w:cs="宋体"/>
                <w:sz w:val="21"/>
              </w:rPr>
            </w:pPr>
            <w:r>
              <w:rPr>
                <w:rFonts w:hint="eastAsia" w:cs="宋体"/>
                <w:sz w:val="21"/>
              </w:rPr>
              <w:t>污染物项目</w:t>
            </w:r>
          </w:p>
        </w:tc>
        <w:tc>
          <w:tcPr>
            <w:tcW w:w="1531" w:type="dxa"/>
            <w:vAlign w:val="center"/>
          </w:tcPr>
          <w:p w14:paraId="51A66F57">
            <w:pPr>
              <w:pStyle w:val="286"/>
              <w:adjustRightInd w:val="0"/>
              <w:snapToGrid w:val="0"/>
              <w:spacing w:line="300" w:lineRule="exact"/>
              <w:rPr>
                <w:rFonts w:hint="eastAsia" w:cs="宋体"/>
                <w:sz w:val="21"/>
              </w:rPr>
            </w:pPr>
            <w:r>
              <w:rPr>
                <w:rFonts w:hint="eastAsia" w:cs="宋体"/>
                <w:sz w:val="21"/>
              </w:rPr>
              <w:t>第二类用地筛选值（mg/kg）</w:t>
            </w:r>
          </w:p>
        </w:tc>
        <w:tc>
          <w:tcPr>
            <w:tcW w:w="1114" w:type="dxa"/>
            <w:vAlign w:val="center"/>
          </w:tcPr>
          <w:p w14:paraId="790A328C">
            <w:pPr>
              <w:pStyle w:val="286"/>
              <w:adjustRightInd w:val="0"/>
              <w:snapToGrid w:val="0"/>
              <w:spacing w:line="300" w:lineRule="exact"/>
              <w:rPr>
                <w:rFonts w:hint="eastAsia" w:cs="宋体"/>
                <w:sz w:val="21"/>
              </w:rPr>
            </w:pPr>
            <w:r>
              <w:rPr>
                <w:rFonts w:hint="eastAsia" w:cs="宋体"/>
                <w:sz w:val="21"/>
              </w:rPr>
              <w:t>序号</w:t>
            </w:r>
          </w:p>
        </w:tc>
        <w:tc>
          <w:tcPr>
            <w:tcW w:w="2075" w:type="dxa"/>
            <w:vAlign w:val="center"/>
          </w:tcPr>
          <w:p w14:paraId="17420BD0">
            <w:pPr>
              <w:pStyle w:val="286"/>
              <w:adjustRightInd w:val="0"/>
              <w:snapToGrid w:val="0"/>
              <w:spacing w:line="300" w:lineRule="exact"/>
              <w:rPr>
                <w:rFonts w:hint="eastAsia" w:cs="宋体"/>
                <w:sz w:val="21"/>
              </w:rPr>
            </w:pPr>
            <w:r>
              <w:rPr>
                <w:rFonts w:hint="eastAsia" w:cs="宋体"/>
                <w:sz w:val="21"/>
              </w:rPr>
              <w:t>污染物项目</w:t>
            </w:r>
          </w:p>
        </w:tc>
        <w:tc>
          <w:tcPr>
            <w:tcW w:w="1453" w:type="dxa"/>
            <w:vAlign w:val="center"/>
          </w:tcPr>
          <w:p w14:paraId="5BCBF437">
            <w:pPr>
              <w:pStyle w:val="286"/>
              <w:adjustRightInd w:val="0"/>
              <w:snapToGrid w:val="0"/>
              <w:spacing w:line="300" w:lineRule="exact"/>
              <w:rPr>
                <w:rFonts w:hint="eastAsia" w:cs="宋体"/>
                <w:sz w:val="21"/>
              </w:rPr>
            </w:pPr>
            <w:r>
              <w:rPr>
                <w:rFonts w:hint="eastAsia" w:cs="宋体"/>
                <w:sz w:val="21"/>
              </w:rPr>
              <w:t>第二类用地筛选值（mg/kg）</w:t>
            </w:r>
          </w:p>
        </w:tc>
      </w:tr>
      <w:tr w14:paraId="311B1D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786" w:type="dxa"/>
            <w:gridSpan w:val="6"/>
            <w:vAlign w:val="center"/>
          </w:tcPr>
          <w:p w14:paraId="48B3B45D">
            <w:pPr>
              <w:pStyle w:val="286"/>
              <w:adjustRightInd w:val="0"/>
              <w:snapToGrid w:val="0"/>
              <w:spacing w:line="300" w:lineRule="exact"/>
              <w:rPr>
                <w:rFonts w:hint="eastAsia" w:cs="宋体"/>
                <w:sz w:val="21"/>
              </w:rPr>
            </w:pPr>
            <w:r>
              <w:rPr>
                <w:rFonts w:hint="eastAsia" w:cs="宋体"/>
                <w:sz w:val="21"/>
              </w:rPr>
              <w:t>基本项目（重金属和无机物）</w:t>
            </w:r>
          </w:p>
        </w:tc>
      </w:tr>
      <w:tr w14:paraId="639573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7853A015">
            <w:pPr>
              <w:pStyle w:val="286"/>
              <w:adjustRightInd w:val="0"/>
              <w:snapToGrid w:val="0"/>
              <w:spacing w:line="300" w:lineRule="exact"/>
              <w:rPr>
                <w:rFonts w:hint="eastAsia" w:cs="宋体"/>
                <w:sz w:val="21"/>
              </w:rPr>
            </w:pPr>
            <w:r>
              <w:rPr>
                <w:rFonts w:hint="eastAsia" w:cs="宋体"/>
                <w:sz w:val="21"/>
              </w:rPr>
              <w:t>1</w:t>
            </w:r>
          </w:p>
        </w:tc>
        <w:tc>
          <w:tcPr>
            <w:tcW w:w="1950" w:type="dxa"/>
            <w:vAlign w:val="center"/>
          </w:tcPr>
          <w:p w14:paraId="3B313892">
            <w:pPr>
              <w:pStyle w:val="286"/>
              <w:adjustRightInd w:val="0"/>
              <w:snapToGrid w:val="0"/>
              <w:spacing w:line="300" w:lineRule="exact"/>
              <w:rPr>
                <w:rFonts w:hint="eastAsia" w:cs="宋体"/>
                <w:sz w:val="21"/>
              </w:rPr>
            </w:pPr>
            <w:r>
              <w:rPr>
                <w:rFonts w:hint="eastAsia" w:cs="宋体"/>
                <w:sz w:val="21"/>
              </w:rPr>
              <w:t>砷</w:t>
            </w:r>
          </w:p>
        </w:tc>
        <w:tc>
          <w:tcPr>
            <w:tcW w:w="1531" w:type="dxa"/>
            <w:vAlign w:val="center"/>
          </w:tcPr>
          <w:p w14:paraId="6A540517">
            <w:pPr>
              <w:pStyle w:val="286"/>
              <w:adjustRightInd w:val="0"/>
              <w:snapToGrid w:val="0"/>
              <w:spacing w:line="300" w:lineRule="exact"/>
              <w:rPr>
                <w:rFonts w:hint="eastAsia" w:cs="宋体"/>
                <w:sz w:val="21"/>
              </w:rPr>
            </w:pPr>
            <w:r>
              <w:rPr>
                <w:rFonts w:hint="eastAsia" w:cs="宋体"/>
                <w:sz w:val="21"/>
              </w:rPr>
              <w:t>60</w:t>
            </w:r>
          </w:p>
        </w:tc>
        <w:tc>
          <w:tcPr>
            <w:tcW w:w="1114" w:type="dxa"/>
            <w:vAlign w:val="center"/>
          </w:tcPr>
          <w:p w14:paraId="34542B35">
            <w:pPr>
              <w:pStyle w:val="286"/>
              <w:adjustRightInd w:val="0"/>
              <w:snapToGrid w:val="0"/>
              <w:spacing w:line="300" w:lineRule="exact"/>
              <w:rPr>
                <w:rFonts w:hint="eastAsia" w:cs="宋体"/>
                <w:sz w:val="21"/>
              </w:rPr>
            </w:pPr>
            <w:r>
              <w:rPr>
                <w:rFonts w:hint="eastAsia" w:cs="宋体"/>
                <w:sz w:val="21"/>
              </w:rPr>
              <w:t>5</w:t>
            </w:r>
          </w:p>
        </w:tc>
        <w:tc>
          <w:tcPr>
            <w:tcW w:w="2075" w:type="dxa"/>
            <w:vAlign w:val="center"/>
          </w:tcPr>
          <w:p w14:paraId="1C0A60A8">
            <w:pPr>
              <w:pStyle w:val="286"/>
              <w:adjustRightInd w:val="0"/>
              <w:snapToGrid w:val="0"/>
              <w:spacing w:line="300" w:lineRule="exact"/>
              <w:rPr>
                <w:rFonts w:hint="eastAsia" w:cs="宋体"/>
                <w:sz w:val="21"/>
              </w:rPr>
            </w:pPr>
            <w:r>
              <w:rPr>
                <w:rFonts w:hint="eastAsia" w:cs="宋体"/>
                <w:sz w:val="21"/>
              </w:rPr>
              <w:t>铅</w:t>
            </w:r>
          </w:p>
        </w:tc>
        <w:tc>
          <w:tcPr>
            <w:tcW w:w="1453" w:type="dxa"/>
            <w:vAlign w:val="center"/>
          </w:tcPr>
          <w:p w14:paraId="552ABCAF">
            <w:pPr>
              <w:pStyle w:val="286"/>
              <w:adjustRightInd w:val="0"/>
              <w:snapToGrid w:val="0"/>
              <w:spacing w:line="300" w:lineRule="exact"/>
              <w:rPr>
                <w:rFonts w:hint="eastAsia" w:cs="宋体"/>
                <w:sz w:val="21"/>
              </w:rPr>
            </w:pPr>
            <w:r>
              <w:rPr>
                <w:rFonts w:hint="eastAsia" w:cs="宋体"/>
                <w:sz w:val="21"/>
              </w:rPr>
              <w:t>800</w:t>
            </w:r>
          </w:p>
        </w:tc>
      </w:tr>
      <w:tr w14:paraId="06E514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777C9484">
            <w:pPr>
              <w:pStyle w:val="286"/>
              <w:adjustRightInd w:val="0"/>
              <w:snapToGrid w:val="0"/>
              <w:spacing w:line="300" w:lineRule="exact"/>
              <w:rPr>
                <w:rFonts w:hint="eastAsia" w:cs="宋体"/>
                <w:sz w:val="21"/>
              </w:rPr>
            </w:pPr>
            <w:r>
              <w:rPr>
                <w:rFonts w:hint="eastAsia" w:cs="宋体"/>
                <w:sz w:val="21"/>
              </w:rPr>
              <w:t>2</w:t>
            </w:r>
          </w:p>
        </w:tc>
        <w:tc>
          <w:tcPr>
            <w:tcW w:w="1950" w:type="dxa"/>
            <w:vAlign w:val="center"/>
          </w:tcPr>
          <w:p w14:paraId="015A93CD">
            <w:pPr>
              <w:pStyle w:val="286"/>
              <w:adjustRightInd w:val="0"/>
              <w:snapToGrid w:val="0"/>
              <w:spacing w:line="300" w:lineRule="exact"/>
              <w:rPr>
                <w:rFonts w:hint="eastAsia" w:cs="宋体"/>
                <w:sz w:val="21"/>
              </w:rPr>
            </w:pPr>
            <w:r>
              <w:rPr>
                <w:rFonts w:hint="eastAsia" w:cs="宋体"/>
                <w:sz w:val="21"/>
              </w:rPr>
              <w:t>镉</w:t>
            </w:r>
          </w:p>
        </w:tc>
        <w:tc>
          <w:tcPr>
            <w:tcW w:w="1531" w:type="dxa"/>
            <w:vAlign w:val="center"/>
          </w:tcPr>
          <w:p w14:paraId="0AE4DF17">
            <w:pPr>
              <w:pStyle w:val="286"/>
              <w:adjustRightInd w:val="0"/>
              <w:snapToGrid w:val="0"/>
              <w:spacing w:line="300" w:lineRule="exact"/>
              <w:rPr>
                <w:rFonts w:hint="eastAsia" w:cs="宋体"/>
                <w:sz w:val="21"/>
              </w:rPr>
            </w:pPr>
            <w:r>
              <w:rPr>
                <w:rFonts w:hint="eastAsia" w:cs="宋体"/>
                <w:sz w:val="21"/>
              </w:rPr>
              <w:t>65</w:t>
            </w:r>
          </w:p>
        </w:tc>
        <w:tc>
          <w:tcPr>
            <w:tcW w:w="1114" w:type="dxa"/>
            <w:vAlign w:val="center"/>
          </w:tcPr>
          <w:p w14:paraId="094F3101">
            <w:pPr>
              <w:pStyle w:val="286"/>
              <w:adjustRightInd w:val="0"/>
              <w:snapToGrid w:val="0"/>
              <w:spacing w:line="300" w:lineRule="exact"/>
              <w:rPr>
                <w:rFonts w:hint="eastAsia" w:cs="宋体"/>
                <w:sz w:val="21"/>
              </w:rPr>
            </w:pPr>
            <w:r>
              <w:rPr>
                <w:rFonts w:hint="eastAsia" w:cs="宋体"/>
                <w:sz w:val="21"/>
              </w:rPr>
              <w:t>6</w:t>
            </w:r>
          </w:p>
        </w:tc>
        <w:tc>
          <w:tcPr>
            <w:tcW w:w="2075" w:type="dxa"/>
            <w:vAlign w:val="center"/>
          </w:tcPr>
          <w:p w14:paraId="3E17A275">
            <w:pPr>
              <w:pStyle w:val="286"/>
              <w:adjustRightInd w:val="0"/>
              <w:snapToGrid w:val="0"/>
              <w:spacing w:line="300" w:lineRule="exact"/>
              <w:rPr>
                <w:rFonts w:hint="eastAsia" w:cs="宋体"/>
                <w:sz w:val="21"/>
              </w:rPr>
            </w:pPr>
            <w:r>
              <w:rPr>
                <w:rFonts w:hint="eastAsia" w:cs="宋体"/>
                <w:sz w:val="21"/>
              </w:rPr>
              <w:t>汞</w:t>
            </w:r>
          </w:p>
        </w:tc>
        <w:tc>
          <w:tcPr>
            <w:tcW w:w="1453" w:type="dxa"/>
            <w:vAlign w:val="center"/>
          </w:tcPr>
          <w:p w14:paraId="2BC02F58">
            <w:pPr>
              <w:pStyle w:val="286"/>
              <w:adjustRightInd w:val="0"/>
              <w:snapToGrid w:val="0"/>
              <w:spacing w:line="300" w:lineRule="exact"/>
              <w:rPr>
                <w:rFonts w:hint="eastAsia" w:cs="宋体"/>
                <w:sz w:val="21"/>
              </w:rPr>
            </w:pPr>
            <w:r>
              <w:rPr>
                <w:rFonts w:hint="eastAsia" w:cs="宋体"/>
                <w:sz w:val="21"/>
              </w:rPr>
              <w:t>38</w:t>
            </w:r>
          </w:p>
        </w:tc>
      </w:tr>
      <w:tr w14:paraId="5EF563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D3EB201">
            <w:pPr>
              <w:pStyle w:val="286"/>
              <w:adjustRightInd w:val="0"/>
              <w:snapToGrid w:val="0"/>
              <w:spacing w:line="300" w:lineRule="exact"/>
              <w:rPr>
                <w:rFonts w:hint="eastAsia" w:cs="宋体"/>
                <w:sz w:val="21"/>
              </w:rPr>
            </w:pPr>
            <w:r>
              <w:rPr>
                <w:rFonts w:hint="eastAsia" w:cs="宋体"/>
                <w:sz w:val="21"/>
              </w:rPr>
              <w:t>3</w:t>
            </w:r>
          </w:p>
        </w:tc>
        <w:tc>
          <w:tcPr>
            <w:tcW w:w="1950" w:type="dxa"/>
            <w:vAlign w:val="center"/>
          </w:tcPr>
          <w:p w14:paraId="093F9932">
            <w:pPr>
              <w:pStyle w:val="286"/>
              <w:adjustRightInd w:val="0"/>
              <w:snapToGrid w:val="0"/>
              <w:spacing w:line="300" w:lineRule="exact"/>
              <w:rPr>
                <w:rFonts w:hint="eastAsia" w:cs="宋体"/>
                <w:sz w:val="21"/>
              </w:rPr>
            </w:pPr>
            <w:r>
              <w:rPr>
                <w:rFonts w:hint="eastAsia" w:cs="宋体"/>
                <w:sz w:val="21"/>
              </w:rPr>
              <w:t>铬（六价）</w:t>
            </w:r>
          </w:p>
        </w:tc>
        <w:tc>
          <w:tcPr>
            <w:tcW w:w="1531" w:type="dxa"/>
            <w:vAlign w:val="center"/>
          </w:tcPr>
          <w:p w14:paraId="67E4DBEB">
            <w:pPr>
              <w:pStyle w:val="286"/>
              <w:adjustRightInd w:val="0"/>
              <w:snapToGrid w:val="0"/>
              <w:spacing w:line="300" w:lineRule="exact"/>
              <w:rPr>
                <w:rFonts w:hint="eastAsia" w:cs="宋体"/>
                <w:sz w:val="21"/>
              </w:rPr>
            </w:pPr>
            <w:r>
              <w:rPr>
                <w:rFonts w:hint="eastAsia" w:cs="宋体"/>
                <w:sz w:val="21"/>
              </w:rPr>
              <w:t>5.7</w:t>
            </w:r>
          </w:p>
        </w:tc>
        <w:tc>
          <w:tcPr>
            <w:tcW w:w="1114" w:type="dxa"/>
            <w:vAlign w:val="center"/>
          </w:tcPr>
          <w:p w14:paraId="51D5AE85">
            <w:pPr>
              <w:pStyle w:val="286"/>
              <w:adjustRightInd w:val="0"/>
              <w:snapToGrid w:val="0"/>
              <w:spacing w:line="300" w:lineRule="exact"/>
              <w:rPr>
                <w:rFonts w:hint="eastAsia" w:cs="宋体"/>
                <w:sz w:val="21"/>
              </w:rPr>
            </w:pPr>
            <w:r>
              <w:rPr>
                <w:rFonts w:hint="eastAsia" w:cs="宋体"/>
                <w:sz w:val="21"/>
              </w:rPr>
              <w:t>7</w:t>
            </w:r>
          </w:p>
        </w:tc>
        <w:tc>
          <w:tcPr>
            <w:tcW w:w="2075" w:type="dxa"/>
            <w:vAlign w:val="center"/>
          </w:tcPr>
          <w:p w14:paraId="0D951097">
            <w:pPr>
              <w:pStyle w:val="286"/>
              <w:adjustRightInd w:val="0"/>
              <w:snapToGrid w:val="0"/>
              <w:spacing w:line="300" w:lineRule="exact"/>
              <w:rPr>
                <w:rFonts w:hint="eastAsia" w:cs="宋体"/>
                <w:sz w:val="21"/>
              </w:rPr>
            </w:pPr>
            <w:r>
              <w:rPr>
                <w:rFonts w:hint="eastAsia" w:cs="宋体"/>
                <w:sz w:val="21"/>
              </w:rPr>
              <w:t>镍</w:t>
            </w:r>
          </w:p>
        </w:tc>
        <w:tc>
          <w:tcPr>
            <w:tcW w:w="1453" w:type="dxa"/>
            <w:vAlign w:val="center"/>
          </w:tcPr>
          <w:p w14:paraId="2AAA3664">
            <w:pPr>
              <w:pStyle w:val="286"/>
              <w:adjustRightInd w:val="0"/>
              <w:snapToGrid w:val="0"/>
              <w:spacing w:line="300" w:lineRule="exact"/>
              <w:rPr>
                <w:rFonts w:hint="eastAsia" w:cs="宋体"/>
                <w:sz w:val="21"/>
              </w:rPr>
            </w:pPr>
            <w:r>
              <w:rPr>
                <w:rFonts w:hint="eastAsia" w:cs="宋体"/>
                <w:sz w:val="21"/>
              </w:rPr>
              <w:t>900</w:t>
            </w:r>
          </w:p>
        </w:tc>
      </w:tr>
      <w:tr w14:paraId="2DB4AB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06F28444">
            <w:pPr>
              <w:pStyle w:val="286"/>
              <w:adjustRightInd w:val="0"/>
              <w:snapToGrid w:val="0"/>
              <w:spacing w:line="300" w:lineRule="exact"/>
              <w:rPr>
                <w:rFonts w:hint="eastAsia" w:cs="宋体"/>
                <w:sz w:val="21"/>
              </w:rPr>
            </w:pPr>
            <w:r>
              <w:rPr>
                <w:rFonts w:hint="eastAsia" w:cs="宋体"/>
                <w:sz w:val="21"/>
              </w:rPr>
              <w:t>4</w:t>
            </w:r>
          </w:p>
        </w:tc>
        <w:tc>
          <w:tcPr>
            <w:tcW w:w="1950" w:type="dxa"/>
            <w:vAlign w:val="center"/>
          </w:tcPr>
          <w:p w14:paraId="20C8DA21">
            <w:pPr>
              <w:pStyle w:val="286"/>
              <w:adjustRightInd w:val="0"/>
              <w:snapToGrid w:val="0"/>
              <w:spacing w:line="300" w:lineRule="exact"/>
              <w:rPr>
                <w:rFonts w:hint="eastAsia" w:cs="宋体"/>
                <w:sz w:val="21"/>
              </w:rPr>
            </w:pPr>
            <w:r>
              <w:rPr>
                <w:rFonts w:hint="eastAsia" w:cs="宋体"/>
                <w:sz w:val="21"/>
              </w:rPr>
              <w:t>铜</w:t>
            </w:r>
          </w:p>
        </w:tc>
        <w:tc>
          <w:tcPr>
            <w:tcW w:w="1531" w:type="dxa"/>
            <w:vAlign w:val="center"/>
          </w:tcPr>
          <w:p w14:paraId="5464EB05">
            <w:pPr>
              <w:pStyle w:val="286"/>
              <w:adjustRightInd w:val="0"/>
              <w:snapToGrid w:val="0"/>
              <w:spacing w:line="300" w:lineRule="exact"/>
              <w:rPr>
                <w:rFonts w:hint="eastAsia" w:cs="宋体"/>
                <w:sz w:val="21"/>
              </w:rPr>
            </w:pPr>
            <w:r>
              <w:rPr>
                <w:rFonts w:hint="eastAsia" w:cs="宋体"/>
                <w:sz w:val="21"/>
              </w:rPr>
              <w:t>18000</w:t>
            </w:r>
          </w:p>
        </w:tc>
        <w:tc>
          <w:tcPr>
            <w:tcW w:w="1114" w:type="dxa"/>
            <w:vAlign w:val="center"/>
          </w:tcPr>
          <w:p w14:paraId="3E990026">
            <w:pPr>
              <w:pStyle w:val="286"/>
              <w:adjustRightInd w:val="0"/>
              <w:snapToGrid w:val="0"/>
              <w:spacing w:line="300" w:lineRule="exact"/>
              <w:rPr>
                <w:rFonts w:hint="eastAsia" w:cs="宋体"/>
                <w:sz w:val="21"/>
              </w:rPr>
            </w:pPr>
          </w:p>
        </w:tc>
        <w:tc>
          <w:tcPr>
            <w:tcW w:w="2075" w:type="dxa"/>
            <w:vAlign w:val="center"/>
          </w:tcPr>
          <w:p w14:paraId="0EA789C6">
            <w:pPr>
              <w:pStyle w:val="286"/>
              <w:adjustRightInd w:val="0"/>
              <w:snapToGrid w:val="0"/>
              <w:spacing w:line="300" w:lineRule="exact"/>
              <w:rPr>
                <w:rFonts w:hint="eastAsia" w:cs="宋体"/>
                <w:sz w:val="21"/>
              </w:rPr>
            </w:pPr>
          </w:p>
        </w:tc>
        <w:tc>
          <w:tcPr>
            <w:tcW w:w="1453" w:type="dxa"/>
            <w:vAlign w:val="center"/>
          </w:tcPr>
          <w:p w14:paraId="4C5D2DD9">
            <w:pPr>
              <w:pStyle w:val="286"/>
              <w:adjustRightInd w:val="0"/>
              <w:snapToGrid w:val="0"/>
              <w:spacing w:line="300" w:lineRule="exact"/>
              <w:rPr>
                <w:rFonts w:hint="eastAsia" w:cs="宋体"/>
                <w:sz w:val="21"/>
              </w:rPr>
            </w:pPr>
          </w:p>
        </w:tc>
      </w:tr>
      <w:tr w14:paraId="19B7AB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786" w:type="dxa"/>
            <w:gridSpan w:val="6"/>
            <w:vAlign w:val="center"/>
          </w:tcPr>
          <w:p w14:paraId="071708C2">
            <w:pPr>
              <w:pStyle w:val="286"/>
              <w:adjustRightInd w:val="0"/>
              <w:snapToGrid w:val="0"/>
              <w:spacing w:line="300" w:lineRule="exact"/>
              <w:rPr>
                <w:rFonts w:hint="eastAsia" w:cs="宋体"/>
                <w:sz w:val="21"/>
              </w:rPr>
            </w:pPr>
            <w:r>
              <w:rPr>
                <w:rFonts w:hint="eastAsia" w:cs="宋体"/>
                <w:sz w:val="21"/>
              </w:rPr>
              <w:t>基本项目（挥发性有机物）</w:t>
            </w:r>
          </w:p>
        </w:tc>
      </w:tr>
      <w:tr w14:paraId="596BC0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362EE019">
            <w:pPr>
              <w:pStyle w:val="286"/>
              <w:adjustRightInd w:val="0"/>
              <w:snapToGrid w:val="0"/>
              <w:spacing w:line="300" w:lineRule="exact"/>
              <w:rPr>
                <w:rFonts w:hint="eastAsia" w:cs="宋体"/>
                <w:sz w:val="21"/>
              </w:rPr>
            </w:pPr>
            <w:r>
              <w:rPr>
                <w:rFonts w:hint="eastAsia" w:cs="宋体"/>
                <w:sz w:val="21"/>
              </w:rPr>
              <w:t>8</w:t>
            </w:r>
          </w:p>
        </w:tc>
        <w:tc>
          <w:tcPr>
            <w:tcW w:w="1950" w:type="dxa"/>
            <w:vAlign w:val="center"/>
          </w:tcPr>
          <w:p w14:paraId="3F57F77F">
            <w:pPr>
              <w:pStyle w:val="286"/>
              <w:adjustRightInd w:val="0"/>
              <w:snapToGrid w:val="0"/>
              <w:spacing w:line="300" w:lineRule="exact"/>
              <w:rPr>
                <w:rFonts w:hint="eastAsia" w:cs="宋体"/>
                <w:sz w:val="21"/>
              </w:rPr>
            </w:pPr>
            <w:r>
              <w:rPr>
                <w:rFonts w:hint="eastAsia" w:cs="宋体"/>
                <w:sz w:val="21"/>
              </w:rPr>
              <w:t>四氯化碳</w:t>
            </w:r>
          </w:p>
        </w:tc>
        <w:tc>
          <w:tcPr>
            <w:tcW w:w="1531" w:type="dxa"/>
            <w:vAlign w:val="center"/>
          </w:tcPr>
          <w:p w14:paraId="2CBEA9DD">
            <w:pPr>
              <w:pStyle w:val="286"/>
              <w:adjustRightInd w:val="0"/>
              <w:snapToGrid w:val="0"/>
              <w:spacing w:line="300" w:lineRule="exact"/>
              <w:rPr>
                <w:rFonts w:hint="eastAsia" w:cs="宋体"/>
                <w:sz w:val="21"/>
              </w:rPr>
            </w:pPr>
            <w:r>
              <w:rPr>
                <w:rFonts w:hint="eastAsia" w:cs="宋体"/>
                <w:sz w:val="21"/>
              </w:rPr>
              <w:t>2.8</w:t>
            </w:r>
          </w:p>
        </w:tc>
        <w:tc>
          <w:tcPr>
            <w:tcW w:w="1114" w:type="dxa"/>
            <w:vAlign w:val="center"/>
          </w:tcPr>
          <w:p w14:paraId="29875E40">
            <w:pPr>
              <w:pStyle w:val="286"/>
              <w:adjustRightInd w:val="0"/>
              <w:snapToGrid w:val="0"/>
              <w:spacing w:line="300" w:lineRule="exact"/>
              <w:rPr>
                <w:rFonts w:hint="eastAsia" w:cs="宋体"/>
                <w:sz w:val="21"/>
              </w:rPr>
            </w:pPr>
            <w:r>
              <w:rPr>
                <w:rFonts w:hint="eastAsia" w:cs="宋体"/>
                <w:sz w:val="21"/>
              </w:rPr>
              <w:t>22</w:t>
            </w:r>
          </w:p>
        </w:tc>
        <w:tc>
          <w:tcPr>
            <w:tcW w:w="2075" w:type="dxa"/>
            <w:vAlign w:val="center"/>
          </w:tcPr>
          <w:p w14:paraId="4937845B">
            <w:pPr>
              <w:pStyle w:val="286"/>
              <w:adjustRightInd w:val="0"/>
              <w:snapToGrid w:val="0"/>
              <w:spacing w:line="300" w:lineRule="exact"/>
              <w:rPr>
                <w:rFonts w:hint="eastAsia" w:cs="宋体"/>
                <w:sz w:val="21"/>
              </w:rPr>
            </w:pPr>
            <w:r>
              <w:rPr>
                <w:rFonts w:hint="eastAsia" w:cs="宋体"/>
                <w:sz w:val="21"/>
              </w:rPr>
              <w:t>1,1,2-三氯乙烷</w:t>
            </w:r>
          </w:p>
        </w:tc>
        <w:tc>
          <w:tcPr>
            <w:tcW w:w="1453" w:type="dxa"/>
            <w:vAlign w:val="center"/>
          </w:tcPr>
          <w:p w14:paraId="71DD7F5B">
            <w:pPr>
              <w:pStyle w:val="286"/>
              <w:adjustRightInd w:val="0"/>
              <w:snapToGrid w:val="0"/>
              <w:spacing w:line="300" w:lineRule="exact"/>
              <w:rPr>
                <w:rFonts w:hint="eastAsia" w:cs="宋体"/>
                <w:sz w:val="21"/>
              </w:rPr>
            </w:pPr>
            <w:r>
              <w:rPr>
                <w:rFonts w:hint="eastAsia" w:cs="宋体"/>
                <w:sz w:val="21"/>
              </w:rPr>
              <w:t>2.8</w:t>
            </w:r>
          </w:p>
        </w:tc>
      </w:tr>
      <w:tr w14:paraId="54A4D4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5BBD470">
            <w:pPr>
              <w:pStyle w:val="286"/>
              <w:adjustRightInd w:val="0"/>
              <w:snapToGrid w:val="0"/>
              <w:spacing w:line="300" w:lineRule="exact"/>
              <w:rPr>
                <w:rFonts w:hint="eastAsia" w:cs="宋体"/>
                <w:sz w:val="21"/>
              </w:rPr>
            </w:pPr>
            <w:r>
              <w:rPr>
                <w:rFonts w:hint="eastAsia" w:cs="宋体"/>
                <w:sz w:val="21"/>
              </w:rPr>
              <w:t>9</w:t>
            </w:r>
          </w:p>
        </w:tc>
        <w:tc>
          <w:tcPr>
            <w:tcW w:w="1950" w:type="dxa"/>
            <w:vAlign w:val="center"/>
          </w:tcPr>
          <w:p w14:paraId="61D17718">
            <w:pPr>
              <w:pStyle w:val="286"/>
              <w:adjustRightInd w:val="0"/>
              <w:snapToGrid w:val="0"/>
              <w:spacing w:line="300" w:lineRule="exact"/>
              <w:rPr>
                <w:rFonts w:hint="eastAsia" w:cs="宋体"/>
                <w:sz w:val="21"/>
              </w:rPr>
            </w:pPr>
            <w:r>
              <w:rPr>
                <w:rFonts w:hint="eastAsia" w:cs="宋体"/>
                <w:sz w:val="21"/>
              </w:rPr>
              <w:t>氯仿</w:t>
            </w:r>
          </w:p>
        </w:tc>
        <w:tc>
          <w:tcPr>
            <w:tcW w:w="1531" w:type="dxa"/>
            <w:vAlign w:val="center"/>
          </w:tcPr>
          <w:p w14:paraId="3BD2CC94">
            <w:pPr>
              <w:pStyle w:val="286"/>
              <w:adjustRightInd w:val="0"/>
              <w:snapToGrid w:val="0"/>
              <w:spacing w:line="300" w:lineRule="exact"/>
              <w:rPr>
                <w:rFonts w:hint="eastAsia" w:cs="宋体"/>
                <w:sz w:val="21"/>
              </w:rPr>
            </w:pPr>
            <w:r>
              <w:rPr>
                <w:rFonts w:hint="eastAsia" w:cs="宋体"/>
                <w:sz w:val="21"/>
              </w:rPr>
              <w:t>0.9</w:t>
            </w:r>
          </w:p>
        </w:tc>
        <w:tc>
          <w:tcPr>
            <w:tcW w:w="1114" w:type="dxa"/>
            <w:vAlign w:val="center"/>
          </w:tcPr>
          <w:p w14:paraId="20FF2315">
            <w:pPr>
              <w:pStyle w:val="286"/>
              <w:adjustRightInd w:val="0"/>
              <w:snapToGrid w:val="0"/>
              <w:spacing w:line="300" w:lineRule="exact"/>
              <w:rPr>
                <w:rFonts w:hint="eastAsia" w:cs="宋体"/>
                <w:sz w:val="21"/>
              </w:rPr>
            </w:pPr>
            <w:r>
              <w:rPr>
                <w:rFonts w:hint="eastAsia" w:cs="宋体"/>
                <w:sz w:val="21"/>
              </w:rPr>
              <w:t>23</w:t>
            </w:r>
          </w:p>
        </w:tc>
        <w:tc>
          <w:tcPr>
            <w:tcW w:w="2075" w:type="dxa"/>
            <w:vAlign w:val="center"/>
          </w:tcPr>
          <w:p w14:paraId="76F1A3E2">
            <w:pPr>
              <w:pStyle w:val="286"/>
              <w:adjustRightInd w:val="0"/>
              <w:snapToGrid w:val="0"/>
              <w:spacing w:line="300" w:lineRule="exact"/>
              <w:rPr>
                <w:rFonts w:hint="eastAsia" w:cs="宋体"/>
                <w:sz w:val="21"/>
              </w:rPr>
            </w:pPr>
            <w:r>
              <w:rPr>
                <w:rFonts w:hint="eastAsia" w:cs="宋体"/>
                <w:sz w:val="21"/>
              </w:rPr>
              <w:t>三氯乙烯</w:t>
            </w:r>
          </w:p>
        </w:tc>
        <w:tc>
          <w:tcPr>
            <w:tcW w:w="1453" w:type="dxa"/>
            <w:vAlign w:val="center"/>
          </w:tcPr>
          <w:p w14:paraId="2F290B57">
            <w:pPr>
              <w:pStyle w:val="286"/>
              <w:adjustRightInd w:val="0"/>
              <w:snapToGrid w:val="0"/>
              <w:spacing w:line="300" w:lineRule="exact"/>
              <w:rPr>
                <w:rFonts w:hint="eastAsia" w:cs="宋体"/>
                <w:sz w:val="21"/>
              </w:rPr>
            </w:pPr>
            <w:r>
              <w:rPr>
                <w:rFonts w:hint="eastAsia" w:cs="宋体"/>
                <w:sz w:val="21"/>
              </w:rPr>
              <w:t>2.8</w:t>
            </w:r>
          </w:p>
        </w:tc>
      </w:tr>
      <w:tr w14:paraId="08DAB0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52739966">
            <w:pPr>
              <w:pStyle w:val="286"/>
              <w:adjustRightInd w:val="0"/>
              <w:snapToGrid w:val="0"/>
              <w:spacing w:line="300" w:lineRule="exact"/>
              <w:rPr>
                <w:rFonts w:hint="eastAsia" w:cs="宋体"/>
                <w:sz w:val="21"/>
              </w:rPr>
            </w:pPr>
            <w:r>
              <w:rPr>
                <w:rFonts w:hint="eastAsia" w:cs="宋体"/>
                <w:sz w:val="21"/>
              </w:rPr>
              <w:t>10</w:t>
            </w:r>
          </w:p>
        </w:tc>
        <w:tc>
          <w:tcPr>
            <w:tcW w:w="1950" w:type="dxa"/>
            <w:vAlign w:val="center"/>
          </w:tcPr>
          <w:p w14:paraId="37D0BEF0">
            <w:pPr>
              <w:pStyle w:val="286"/>
              <w:adjustRightInd w:val="0"/>
              <w:snapToGrid w:val="0"/>
              <w:spacing w:line="300" w:lineRule="exact"/>
              <w:rPr>
                <w:rFonts w:hint="eastAsia" w:cs="宋体"/>
                <w:sz w:val="21"/>
              </w:rPr>
            </w:pPr>
            <w:r>
              <w:rPr>
                <w:rFonts w:hint="eastAsia" w:cs="宋体"/>
                <w:sz w:val="21"/>
              </w:rPr>
              <w:t>氯甲烷</w:t>
            </w:r>
          </w:p>
        </w:tc>
        <w:tc>
          <w:tcPr>
            <w:tcW w:w="1531" w:type="dxa"/>
            <w:vAlign w:val="center"/>
          </w:tcPr>
          <w:p w14:paraId="5E39D1B5">
            <w:pPr>
              <w:pStyle w:val="286"/>
              <w:adjustRightInd w:val="0"/>
              <w:snapToGrid w:val="0"/>
              <w:spacing w:line="300" w:lineRule="exact"/>
              <w:rPr>
                <w:rFonts w:hint="eastAsia" w:cs="宋体"/>
                <w:sz w:val="21"/>
              </w:rPr>
            </w:pPr>
            <w:r>
              <w:rPr>
                <w:rFonts w:hint="eastAsia" w:cs="宋体"/>
                <w:sz w:val="21"/>
              </w:rPr>
              <w:t>37</w:t>
            </w:r>
          </w:p>
        </w:tc>
        <w:tc>
          <w:tcPr>
            <w:tcW w:w="1114" w:type="dxa"/>
            <w:vAlign w:val="center"/>
          </w:tcPr>
          <w:p w14:paraId="6B2EE265">
            <w:pPr>
              <w:pStyle w:val="286"/>
              <w:adjustRightInd w:val="0"/>
              <w:snapToGrid w:val="0"/>
              <w:spacing w:line="300" w:lineRule="exact"/>
              <w:rPr>
                <w:rFonts w:hint="eastAsia" w:cs="宋体"/>
                <w:sz w:val="21"/>
              </w:rPr>
            </w:pPr>
            <w:r>
              <w:rPr>
                <w:rFonts w:hint="eastAsia" w:cs="宋体"/>
                <w:sz w:val="21"/>
              </w:rPr>
              <w:t>24</w:t>
            </w:r>
          </w:p>
        </w:tc>
        <w:tc>
          <w:tcPr>
            <w:tcW w:w="2075" w:type="dxa"/>
            <w:vAlign w:val="center"/>
          </w:tcPr>
          <w:p w14:paraId="00B02E23">
            <w:pPr>
              <w:pStyle w:val="286"/>
              <w:adjustRightInd w:val="0"/>
              <w:snapToGrid w:val="0"/>
              <w:spacing w:line="300" w:lineRule="exact"/>
              <w:rPr>
                <w:rFonts w:hint="eastAsia" w:cs="宋体"/>
                <w:sz w:val="21"/>
              </w:rPr>
            </w:pPr>
            <w:r>
              <w:rPr>
                <w:rFonts w:hint="eastAsia" w:cs="宋体"/>
                <w:sz w:val="21"/>
              </w:rPr>
              <w:t>1,2,3-三氯丙烷</w:t>
            </w:r>
          </w:p>
        </w:tc>
        <w:tc>
          <w:tcPr>
            <w:tcW w:w="1453" w:type="dxa"/>
            <w:vAlign w:val="center"/>
          </w:tcPr>
          <w:p w14:paraId="01E6A87F">
            <w:pPr>
              <w:pStyle w:val="286"/>
              <w:adjustRightInd w:val="0"/>
              <w:snapToGrid w:val="0"/>
              <w:spacing w:line="300" w:lineRule="exact"/>
              <w:rPr>
                <w:rFonts w:hint="eastAsia" w:cs="宋体"/>
                <w:sz w:val="21"/>
              </w:rPr>
            </w:pPr>
            <w:r>
              <w:rPr>
                <w:rFonts w:hint="eastAsia" w:cs="宋体"/>
                <w:sz w:val="21"/>
              </w:rPr>
              <w:t>0.5</w:t>
            </w:r>
          </w:p>
        </w:tc>
      </w:tr>
      <w:tr w14:paraId="4A0B0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48C37B68">
            <w:pPr>
              <w:pStyle w:val="286"/>
              <w:adjustRightInd w:val="0"/>
              <w:snapToGrid w:val="0"/>
              <w:spacing w:line="300" w:lineRule="exact"/>
              <w:rPr>
                <w:rFonts w:hint="eastAsia" w:cs="宋体"/>
                <w:sz w:val="21"/>
              </w:rPr>
            </w:pPr>
            <w:r>
              <w:rPr>
                <w:rFonts w:hint="eastAsia" w:cs="宋体"/>
                <w:sz w:val="21"/>
              </w:rPr>
              <w:t>11</w:t>
            </w:r>
          </w:p>
        </w:tc>
        <w:tc>
          <w:tcPr>
            <w:tcW w:w="1950" w:type="dxa"/>
            <w:vAlign w:val="center"/>
          </w:tcPr>
          <w:p w14:paraId="0E623287">
            <w:pPr>
              <w:pStyle w:val="286"/>
              <w:adjustRightInd w:val="0"/>
              <w:snapToGrid w:val="0"/>
              <w:spacing w:line="300" w:lineRule="exact"/>
              <w:rPr>
                <w:rFonts w:hint="eastAsia" w:cs="宋体"/>
                <w:sz w:val="21"/>
              </w:rPr>
            </w:pPr>
            <w:r>
              <w:rPr>
                <w:rFonts w:hint="eastAsia" w:cs="宋体"/>
                <w:sz w:val="21"/>
              </w:rPr>
              <w:t>1,1-二氯乙烷</w:t>
            </w:r>
          </w:p>
        </w:tc>
        <w:tc>
          <w:tcPr>
            <w:tcW w:w="1531" w:type="dxa"/>
            <w:vAlign w:val="center"/>
          </w:tcPr>
          <w:p w14:paraId="68391512">
            <w:pPr>
              <w:pStyle w:val="286"/>
              <w:adjustRightInd w:val="0"/>
              <w:snapToGrid w:val="0"/>
              <w:spacing w:line="300" w:lineRule="exact"/>
              <w:rPr>
                <w:rFonts w:hint="eastAsia" w:cs="宋体"/>
                <w:sz w:val="21"/>
              </w:rPr>
            </w:pPr>
            <w:r>
              <w:rPr>
                <w:rFonts w:hint="eastAsia" w:cs="宋体"/>
                <w:sz w:val="21"/>
              </w:rPr>
              <w:t>9</w:t>
            </w:r>
          </w:p>
        </w:tc>
        <w:tc>
          <w:tcPr>
            <w:tcW w:w="1114" w:type="dxa"/>
            <w:vAlign w:val="center"/>
          </w:tcPr>
          <w:p w14:paraId="70EA3DEF">
            <w:pPr>
              <w:pStyle w:val="286"/>
              <w:adjustRightInd w:val="0"/>
              <w:snapToGrid w:val="0"/>
              <w:spacing w:line="300" w:lineRule="exact"/>
              <w:rPr>
                <w:rFonts w:hint="eastAsia" w:cs="宋体"/>
                <w:sz w:val="21"/>
              </w:rPr>
            </w:pPr>
            <w:r>
              <w:rPr>
                <w:rFonts w:hint="eastAsia" w:cs="宋体"/>
                <w:sz w:val="21"/>
              </w:rPr>
              <w:t>25</w:t>
            </w:r>
          </w:p>
        </w:tc>
        <w:tc>
          <w:tcPr>
            <w:tcW w:w="2075" w:type="dxa"/>
            <w:vAlign w:val="center"/>
          </w:tcPr>
          <w:p w14:paraId="6556F754">
            <w:pPr>
              <w:pStyle w:val="286"/>
              <w:adjustRightInd w:val="0"/>
              <w:snapToGrid w:val="0"/>
              <w:spacing w:line="300" w:lineRule="exact"/>
              <w:rPr>
                <w:rFonts w:hint="eastAsia" w:cs="宋体"/>
                <w:sz w:val="21"/>
              </w:rPr>
            </w:pPr>
            <w:r>
              <w:rPr>
                <w:rFonts w:hint="eastAsia" w:cs="宋体"/>
                <w:sz w:val="21"/>
              </w:rPr>
              <w:t>氯乙烯</w:t>
            </w:r>
          </w:p>
        </w:tc>
        <w:tc>
          <w:tcPr>
            <w:tcW w:w="1453" w:type="dxa"/>
            <w:vAlign w:val="center"/>
          </w:tcPr>
          <w:p w14:paraId="545B34F2">
            <w:pPr>
              <w:pStyle w:val="286"/>
              <w:adjustRightInd w:val="0"/>
              <w:snapToGrid w:val="0"/>
              <w:spacing w:line="300" w:lineRule="exact"/>
              <w:rPr>
                <w:rFonts w:hint="eastAsia" w:cs="宋体"/>
                <w:sz w:val="21"/>
              </w:rPr>
            </w:pPr>
            <w:r>
              <w:rPr>
                <w:rFonts w:hint="eastAsia" w:cs="宋体"/>
                <w:sz w:val="21"/>
              </w:rPr>
              <w:t>0.43</w:t>
            </w:r>
          </w:p>
        </w:tc>
      </w:tr>
      <w:tr w14:paraId="2E0BB6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385B854">
            <w:pPr>
              <w:pStyle w:val="286"/>
              <w:adjustRightInd w:val="0"/>
              <w:snapToGrid w:val="0"/>
              <w:spacing w:line="300" w:lineRule="exact"/>
              <w:rPr>
                <w:rFonts w:hint="eastAsia" w:cs="宋体"/>
                <w:sz w:val="21"/>
              </w:rPr>
            </w:pPr>
            <w:r>
              <w:rPr>
                <w:rFonts w:hint="eastAsia" w:cs="宋体"/>
                <w:sz w:val="21"/>
              </w:rPr>
              <w:t>12</w:t>
            </w:r>
          </w:p>
        </w:tc>
        <w:tc>
          <w:tcPr>
            <w:tcW w:w="1950" w:type="dxa"/>
            <w:vAlign w:val="center"/>
          </w:tcPr>
          <w:p w14:paraId="5BFD4655">
            <w:pPr>
              <w:pStyle w:val="286"/>
              <w:adjustRightInd w:val="0"/>
              <w:snapToGrid w:val="0"/>
              <w:spacing w:line="300" w:lineRule="exact"/>
              <w:rPr>
                <w:rFonts w:hint="eastAsia" w:cs="宋体"/>
                <w:sz w:val="21"/>
              </w:rPr>
            </w:pPr>
            <w:r>
              <w:rPr>
                <w:rFonts w:hint="eastAsia" w:cs="宋体"/>
                <w:sz w:val="21"/>
              </w:rPr>
              <w:t>1,2-二氯乙烷</w:t>
            </w:r>
          </w:p>
        </w:tc>
        <w:tc>
          <w:tcPr>
            <w:tcW w:w="1531" w:type="dxa"/>
            <w:vAlign w:val="center"/>
          </w:tcPr>
          <w:p w14:paraId="1E800039">
            <w:pPr>
              <w:pStyle w:val="286"/>
              <w:adjustRightInd w:val="0"/>
              <w:snapToGrid w:val="0"/>
              <w:spacing w:line="300" w:lineRule="exact"/>
              <w:rPr>
                <w:rFonts w:hint="eastAsia" w:cs="宋体"/>
                <w:sz w:val="21"/>
              </w:rPr>
            </w:pPr>
            <w:r>
              <w:rPr>
                <w:rFonts w:hint="eastAsia" w:cs="宋体"/>
                <w:sz w:val="21"/>
              </w:rPr>
              <w:t>5</w:t>
            </w:r>
          </w:p>
        </w:tc>
        <w:tc>
          <w:tcPr>
            <w:tcW w:w="1114" w:type="dxa"/>
            <w:vAlign w:val="center"/>
          </w:tcPr>
          <w:p w14:paraId="2F956047">
            <w:pPr>
              <w:pStyle w:val="286"/>
              <w:adjustRightInd w:val="0"/>
              <w:snapToGrid w:val="0"/>
              <w:spacing w:line="300" w:lineRule="exact"/>
              <w:rPr>
                <w:rFonts w:hint="eastAsia" w:cs="宋体"/>
                <w:sz w:val="21"/>
              </w:rPr>
            </w:pPr>
            <w:r>
              <w:rPr>
                <w:rFonts w:hint="eastAsia" w:cs="宋体"/>
                <w:sz w:val="21"/>
              </w:rPr>
              <w:t>26</w:t>
            </w:r>
          </w:p>
        </w:tc>
        <w:tc>
          <w:tcPr>
            <w:tcW w:w="2075" w:type="dxa"/>
            <w:vAlign w:val="center"/>
          </w:tcPr>
          <w:p w14:paraId="109B47E8">
            <w:pPr>
              <w:pStyle w:val="286"/>
              <w:adjustRightInd w:val="0"/>
              <w:snapToGrid w:val="0"/>
              <w:spacing w:line="300" w:lineRule="exact"/>
              <w:rPr>
                <w:rFonts w:hint="eastAsia" w:cs="宋体"/>
                <w:sz w:val="21"/>
              </w:rPr>
            </w:pPr>
            <w:r>
              <w:rPr>
                <w:rFonts w:hint="eastAsia" w:cs="宋体"/>
                <w:sz w:val="21"/>
              </w:rPr>
              <w:t>苯</w:t>
            </w:r>
          </w:p>
        </w:tc>
        <w:tc>
          <w:tcPr>
            <w:tcW w:w="1453" w:type="dxa"/>
            <w:vAlign w:val="center"/>
          </w:tcPr>
          <w:p w14:paraId="30224707">
            <w:pPr>
              <w:pStyle w:val="286"/>
              <w:adjustRightInd w:val="0"/>
              <w:snapToGrid w:val="0"/>
              <w:spacing w:line="300" w:lineRule="exact"/>
              <w:rPr>
                <w:rFonts w:hint="eastAsia" w:cs="宋体"/>
                <w:sz w:val="21"/>
              </w:rPr>
            </w:pPr>
            <w:r>
              <w:rPr>
                <w:rFonts w:hint="eastAsia" w:cs="宋体"/>
                <w:sz w:val="21"/>
              </w:rPr>
              <w:t>4</w:t>
            </w:r>
          </w:p>
        </w:tc>
      </w:tr>
      <w:tr w14:paraId="3C0B9A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26FC4F7">
            <w:pPr>
              <w:pStyle w:val="286"/>
              <w:adjustRightInd w:val="0"/>
              <w:snapToGrid w:val="0"/>
              <w:spacing w:line="300" w:lineRule="exact"/>
              <w:rPr>
                <w:rFonts w:hint="eastAsia" w:cs="宋体"/>
                <w:sz w:val="21"/>
              </w:rPr>
            </w:pPr>
            <w:r>
              <w:rPr>
                <w:rFonts w:hint="eastAsia" w:cs="宋体"/>
                <w:sz w:val="21"/>
              </w:rPr>
              <w:t>13</w:t>
            </w:r>
          </w:p>
        </w:tc>
        <w:tc>
          <w:tcPr>
            <w:tcW w:w="1950" w:type="dxa"/>
            <w:vAlign w:val="center"/>
          </w:tcPr>
          <w:p w14:paraId="64E3F4F2">
            <w:pPr>
              <w:pStyle w:val="286"/>
              <w:adjustRightInd w:val="0"/>
              <w:snapToGrid w:val="0"/>
              <w:spacing w:line="300" w:lineRule="exact"/>
              <w:rPr>
                <w:rFonts w:hint="eastAsia" w:cs="宋体"/>
                <w:sz w:val="21"/>
              </w:rPr>
            </w:pPr>
            <w:r>
              <w:rPr>
                <w:rFonts w:hint="eastAsia" w:cs="宋体"/>
                <w:sz w:val="21"/>
              </w:rPr>
              <w:t>1,1-二氯乙烯</w:t>
            </w:r>
          </w:p>
        </w:tc>
        <w:tc>
          <w:tcPr>
            <w:tcW w:w="1531" w:type="dxa"/>
            <w:vAlign w:val="center"/>
          </w:tcPr>
          <w:p w14:paraId="1838D11E">
            <w:pPr>
              <w:pStyle w:val="286"/>
              <w:adjustRightInd w:val="0"/>
              <w:snapToGrid w:val="0"/>
              <w:spacing w:line="300" w:lineRule="exact"/>
              <w:rPr>
                <w:rFonts w:hint="eastAsia" w:cs="宋体"/>
                <w:sz w:val="21"/>
              </w:rPr>
            </w:pPr>
            <w:r>
              <w:rPr>
                <w:rFonts w:hint="eastAsia" w:cs="宋体"/>
                <w:sz w:val="21"/>
              </w:rPr>
              <w:t>66</w:t>
            </w:r>
          </w:p>
        </w:tc>
        <w:tc>
          <w:tcPr>
            <w:tcW w:w="1114" w:type="dxa"/>
            <w:vAlign w:val="center"/>
          </w:tcPr>
          <w:p w14:paraId="56BB2046">
            <w:pPr>
              <w:pStyle w:val="286"/>
              <w:adjustRightInd w:val="0"/>
              <w:snapToGrid w:val="0"/>
              <w:spacing w:line="300" w:lineRule="exact"/>
              <w:rPr>
                <w:rFonts w:hint="eastAsia" w:cs="宋体"/>
                <w:sz w:val="21"/>
              </w:rPr>
            </w:pPr>
            <w:r>
              <w:rPr>
                <w:rFonts w:hint="eastAsia" w:cs="宋体"/>
                <w:sz w:val="21"/>
              </w:rPr>
              <w:t>27</w:t>
            </w:r>
          </w:p>
        </w:tc>
        <w:tc>
          <w:tcPr>
            <w:tcW w:w="2075" w:type="dxa"/>
            <w:vAlign w:val="center"/>
          </w:tcPr>
          <w:p w14:paraId="63D1F5FE">
            <w:pPr>
              <w:pStyle w:val="286"/>
              <w:adjustRightInd w:val="0"/>
              <w:snapToGrid w:val="0"/>
              <w:spacing w:line="300" w:lineRule="exact"/>
              <w:rPr>
                <w:rFonts w:hint="eastAsia" w:cs="宋体"/>
                <w:sz w:val="21"/>
              </w:rPr>
            </w:pPr>
            <w:r>
              <w:rPr>
                <w:rFonts w:hint="eastAsia" w:cs="宋体"/>
                <w:sz w:val="21"/>
              </w:rPr>
              <w:t>氯苯</w:t>
            </w:r>
          </w:p>
        </w:tc>
        <w:tc>
          <w:tcPr>
            <w:tcW w:w="1453" w:type="dxa"/>
            <w:vAlign w:val="center"/>
          </w:tcPr>
          <w:p w14:paraId="08D705F1">
            <w:pPr>
              <w:pStyle w:val="286"/>
              <w:adjustRightInd w:val="0"/>
              <w:snapToGrid w:val="0"/>
              <w:spacing w:line="300" w:lineRule="exact"/>
              <w:rPr>
                <w:rFonts w:hint="eastAsia" w:cs="宋体"/>
                <w:sz w:val="21"/>
              </w:rPr>
            </w:pPr>
            <w:r>
              <w:rPr>
                <w:rFonts w:hint="eastAsia" w:cs="宋体"/>
                <w:sz w:val="21"/>
              </w:rPr>
              <w:t>270</w:t>
            </w:r>
          </w:p>
        </w:tc>
      </w:tr>
      <w:tr w14:paraId="259375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442A481">
            <w:pPr>
              <w:pStyle w:val="286"/>
              <w:adjustRightInd w:val="0"/>
              <w:snapToGrid w:val="0"/>
              <w:spacing w:line="300" w:lineRule="exact"/>
              <w:rPr>
                <w:rFonts w:hint="eastAsia" w:cs="宋体"/>
                <w:sz w:val="21"/>
              </w:rPr>
            </w:pPr>
            <w:r>
              <w:rPr>
                <w:rFonts w:hint="eastAsia" w:cs="宋体"/>
                <w:sz w:val="21"/>
              </w:rPr>
              <w:t>14</w:t>
            </w:r>
          </w:p>
        </w:tc>
        <w:tc>
          <w:tcPr>
            <w:tcW w:w="1950" w:type="dxa"/>
            <w:vAlign w:val="center"/>
          </w:tcPr>
          <w:p w14:paraId="2BADA3C2">
            <w:pPr>
              <w:pStyle w:val="286"/>
              <w:adjustRightInd w:val="0"/>
              <w:snapToGrid w:val="0"/>
              <w:spacing w:line="300" w:lineRule="exact"/>
              <w:rPr>
                <w:rFonts w:hint="eastAsia" w:cs="宋体"/>
                <w:sz w:val="21"/>
              </w:rPr>
            </w:pPr>
            <w:r>
              <w:rPr>
                <w:rFonts w:hint="eastAsia" w:cs="宋体"/>
                <w:sz w:val="21"/>
              </w:rPr>
              <w:t>顺-1,2-二氯乙烯</w:t>
            </w:r>
          </w:p>
        </w:tc>
        <w:tc>
          <w:tcPr>
            <w:tcW w:w="1531" w:type="dxa"/>
            <w:vAlign w:val="center"/>
          </w:tcPr>
          <w:p w14:paraId="3F701A79">
            <w:pPr>
              <w:pStyle w:val="286"/>
              <w:adjustRightInd w:val="0"/>
              <w:snapToGrid w:val="0"/>
              <w:spacing w:line="300" w:lineRule="exact"/>
              <w:rPr>
                <w:rFonts w:hint="eastAsia" w:cs="宋体"/>
                <w:sz w:val="21"/>
              </w:rPr>
            </w:pPr>
            <w:r>
              <w:rPr>
                <w:rFonts w:hint="eastAsia" w:cs="宋体"/>
                <w:sz w:val="21"/>
              </w:rPr>
              <w:t>596</w:t>
            </w:r>
          </w:p>
        </w:tc>
        <w:tc>
          <w:tcPr>
            <w:tcW w:w="1114" w:type="dxa"/>
            <w:vAlign w:val="center"/>
          </w:tcPr>
          <w:p w14:paraId="4AB47B5C">
            <w:pPr>
              <w:pStyle w:val="286"/>
              <w:adjustRightInd w:val="0"/>
              <w:snapToGrid w:val="0"/>
              <w:spacing w:line="300" w:lineRule="exact"/>
              <w:rPr>
                <w:rFonts w:hint="eastAsia" w:cs="宋体"/>
                <w:sz w:val="21"/>
              </w:rPr>
            </w:pPr>
            <w:r>
              <w:rPr>
                <w:rFonts w:hint="eastAsia" w:cs="宋体"/>
                <w:sz w:val="21"/>
              </w:rPr>
              <w:t>28</w:t>
            </w:r>
          </w:p>
        </w:tc>
        <w:tc>
          <w:tcPr>
            <w:tcW w:w="2075" w:type="dxa"/>
            <w:vAlign w:val="center"/>
          </w:tcPr>
          <w:p w14:paraId="08ED4560">
            <w:pPr>
              <w:pStyle w:val="286"/>
              <w:adjustRightInd w:val="0"/>
              <w:snapToGrid w:val="0"/>
              <w:spacing w:line="300" w:lineRule="exact"/>
              <w:rPr>
                <w:rFonts w:hint="eastAsia" w:cs="宋体"/>
                <w:sz w:val="21"/>
              </w:rPr>
            </w:pPr>
            <w:r>
              <w:rPr>
                <w:rFonts w:hint="eastAsia" w:cs="宋体"/>
                <w:sz w:val="21"/>
              </w:rPr>
              <w:t>1,2-二氯苯</w:t>
            </w:r>
          </w:p>
        </w:tc>
        <w:tc>
          <w:tcPr>
            <w:tcW w:w="1453" w:type="dxa"/>
            <w:vAlign w:val="center"/>
          </w:tcPr>
          <w:p w14:paraId="118B3C42">
            <w:pPr>
              <w:pStyle w:val="286"/>
              <w:adjustRightInd w:val="0"/>
              <w:snapToGrid w:val="0"/>
              <w:spacing w:line="300" w:lineRule="exact"/>
              <w:rPr>
                <w:rFonts w:hint="eastAsia" w:cs="宋体"/>
                <w:sz w:val="21"/>
              </w:rPr>
            </w:pPr>
            <w:r>
              <w:rPr>
                <w:rFonts w:hint="eastAsia" w:cs="宋体"/>
                <w:sz w:val="21"/>
              </w:rPr>
              <w:t>560</w:t>
            </w:r>
          </w:p>
        </w:tc>
      </w:tr>
      <w:tr w14:paraId="014AE5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5074C09">
            <w:pPr>
              <w:pStyle w:val="286"/>
              <w:adjustRightInd w:val="0"/>
              <w:snapToGrid w:val="0"/>
              <w:spacing w:line="300" w:lineRule="exact"/>
              <w:rPr>
                <w:rFonts w:hint="eastAsia" w:cs="宋体"/>
                <w:sz w:val="21"/>
              </w:rPr>
            </w:pPr>
            <w:r>
              <w:rPr>
                <w:rFonts w:hint="eastAsia" w:cs="宋体"/>
                <w:sz w:val="21"/>
              </w:rPr>
              <w:t>15</w:t>
            </w:r>
          </w:p>
        </w:tc>
        <w:tc>
          <w:tcPr>
            <w:tcW w:w="1950" w:type="dxa"/>
            <w:vAlign w:val="center"/>
          </w:tcPr>
          <w:p w14:paraId="23FCB8EF">
            <w:pPr>
              <w:pStyle w:val="286"/>
              <w:adjustRightInd w:val="0"/>
              <w:snapToGrid w:val="0"/>
              <w:spacing w:line="300" w:lineRule="exact"/>
              <w:rPr>
                <w:rFonts w:hint="eastAsia" w:cs="宋体"/>
                <w:sz w:val="21"/>
              </w:rPr>
            </w:pPr>
            <w:r>
              <w:rPr>
                <w:rFonts w:hint="eastAsia" w:cs="宋体"/>
                <w:sz w:val="21"/>
              </w:rPr>
              <w:t>反-1,2-二氯乙烯</w:t>
            </w:r>
          </w:p>
        </w:tc>
        <w:tc>
          <w:tcPr>
            <w:tcW w:w="1531" w:type="dxa"/>
            <w:vAlign w:val="center"/>
          </w:tcPr>
          <w:p w14:paraId="314F5D20">
            <w:pPr>
              <w:pStyle w:val="286"/>
              <w:adjustRightInd w:val="0"/>
              <w:snapToGrid w:val="0"/>
              <w:spacing w:line="300" w:lineRule="exact"/>
              <w:rPr>
                <w:rFonts w:hint="eastAsia" w:cs="宋体"/>
                <w:sz w:val="21"/>
              </w:rPr>
            </w:pPr>
            <w:r>
              <w:rPr>
                <w:rFonts w:hint="eastAsia" w:cs="宋体"/>
                <w:sz w:val="21"/>
              </w:rPr>
              <w:t>54</w:t>
            </w:r>
          </w:p>
        </w:tc>
        <w:tc>
          <w:tcPr>
            <w:tcW w:w="1114" w:type="dxa"/>
            <w:vAlign w:val="center"/>
          </w:tcPr>
          <w:p w14:paraId="4CB46639">
            <w:pPr>
              <w:pStyle w:val="286"/>
              <w:adjustRightInd w:val="0"/>
              <w:snapToGrid w:val="0"/>
              <w:spacing w:line="300" w:lineRule="exact"/>
              <w:rPr>
                <w:rFonts w:hint="eastAsia" w:cs="宋体"/>
                <w:sz w:val="21"/>
              </w:rPr>
            </w:pPr>
            <w:r>
              <w:rPr>
                <w:rFonts w:hint="eastAsia" w:cs="宋体"/>
                <w:sz w:val="21"/>
              </w:rPr>
              <w:t>29</w:t>
            </w:r>
          </w:p>
        </w:tc>
        <w:tc>
          <w:tcPr>
            <w:tcW w:w="2075" w:type="dxa"/>
            <w:vAlign w:val="center"/>
          </w:tcPr>
          <w:p w14:paraId="3FC26B21">
            <w:pPr>
              <w:pStyle w:val="286"/>
              <w:adjustRightInd w:val="0"/>
              <w:snapToGrid w:val="0"/>
              <w:spacing w:line="300" w:lineRule="exact"/>
              <w:rPr>
                <w:rFonts w:hint="eastAsia" w:cs="宋体"/>
                <w:sz w:val="21"/>
              </w:rPr>
            </w:pPr>
            <w:r>
              <w:rPr>
                <w:rFonts w:hint="eastAsia" w:cs="宋体"/>
                <w:sz w:val="21"/>
              </w:rPr>
              <w:t>1,4-二氯苯</w:t>
            </w:r>
          </w:p>
        </w:tc>
        <w:tc>
          <w:tcPr>
            <w:tcW w:w="1453" w:type="dxa"/>
            <w:vAlign w:val="center"/>
          </w:tcPr>
          <w:p w14:paraId="2094A356">
            <w:pPr>
              <w:pStyle w:val="286"/>
              <w:adjustRightInd w:val="0"/>
              <w:snapToGrid w:val="0"/>
              <w:spacing w:line="300" w:lineRule="exact"/>
              <w:rPr>
                <w:rFonts w:hint="eastAsia" w:cs="宋体"/>
                <w:sz w:val="21"/>
              </w:rPr>
            </w:pPr>
            <w:r>
              <w:rPr>
                <w:rFonts w:hint="eastAsia" w:cs="宋体"/>
                <w:sz w:val="21"/>
              </w:rPr>
              <w:t>20</w:t>
            </w:r>
          </w:p>
        </w:tc>
      </w:tr>
      <w:tr w14:paraId="6089E3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3157D443">
            <w:pPr>
              <w:pStyle w:val="286"/>
              <w:adjustRightInd w:val="0"/>
              <w:snapToGrid w:val="0"/>
              <w:spacing w:line="300" w:lineRule="exact"/>
              <w:rPr>
                <w:rFonts w:hint="eastAsia" w:cs="宋体"/>
                <w:sz w:val="21"/>
              </w:rPr>
            </w:pPr>
            <w:r>
              <w:rPr>
                <w:rFonts w:hint="eastAsia" w:cs="宋体"/>
                <w:sz w:val="21"/>
              </w:rPr>
              <w:t>16</w:t>
            </w:r>
          </w:p>
        </w:tc>
        <w:tc>
          <w:tcPr>
            <w:tcW w:w="1950" w:type="dxa"/>
            <w:vAlign w:val="center"/>
          </w:tcPr>
          <w:p w14:paraId="1176DD78">
            <w:pPr>
              <w:pStyle w:val="286"/>
              <w:adjustRightInd w:val="0"/>
              <w:snapToGrid w:val="0"/>
              <w:spacing w:line="300" w:lineRule="exact"/>
              <w:rPr>
                <w:rFonts w:hint="eastAsia" w:cs="宋体"/>
                <w:sz w:val="21"/>
              </w:rPr>
            </w:pPr>
            <w:r>
              <w:rPr>
                <w:rFonts w:hint="eastAsia" w:cs="宋体"/>
                <w:sz w:val="21"/>
              </w:rPr>
              <w:t>二氯甲烷</w:t>
            </w:r>
          </w:p>
        </w:tc>
        <w:tc>
          <w:tcPr>
            <w:tcW w:w="1531" w:type="dxa"/>
            <w:vAlign w:val="center"/>
          </w:tcPr>
          <w:p w14:paraId="181AFC61">
            <w:pPr>
              <w:pStyle w:val="286"/>
              <w:adjustRightInd w:val="0"/>
              <w:snapToGrid w:val="0"/>
              <w:spacing w:line="300" w:lineRule="exact"/>
              <w:rPr>
                <w:rFonts w:hint="eastAsia" w:cs="宋体"/>
                <w:sz w:val="21"/>
              </w:rPr>
            </w:pPr>
            <w:r>
              <w:rPr>
                <w:rFonts w:hint="eastAsia" w:cs="宋体"/>
                <w:sz w:val="21"/>
              </w:rPr>
              <w:t>616</w:t>
            </w:r>
          </w:p>
        </w:tc>
        <w:tc>
          <w:tcPr>
            <w:tcW w:w="1114" w:type="dxa"/>
            <w:vAlign w:val="center"/>
          </w:tcPr>
          <w:p w14:paraId="5E50E4C6">
            <w:pPr>
              <w:pStyle w:val="286"/>
              <w:adjustRightInd w:val="0"/>
              <w:snapToGrid w:val="0"/>
              <w:spacing w:line="300" w:lineRule="exact"/>
              <w:rPr>
                <w:rFonts w:hint="eastAsia" w:cs="宋体"/>
                <w:sz w:val="21"/>
              </w:rPr>
            </w:pPr>
            <w:r>
              <w:rPr>
                <w:rFonts w:hint="eastAsia" w:cs="宋体"/>
                <w:sz w:val="21"/>
              </w:rPr>
              <w:t>30</w:t>
            </w:r>
          </w:p>
        </w:tc>
        <w:tc>
          <w:tcPr>
            <w:tcW w:w="2075" w:type="dxa"/>
            <w:vAlign w:val="center"/>
          </w:tcPr>
          <w:p w14:paraId="606565B8">
            <w:pPr>
              <w:pStyle w:val="286"/>
              <w:adjustRightInd w:val="0"/>
              <w:snapToGrid w:val="0"/>
              <w:spacing w:line="300" w:lineRule="exact"/>
              <w:rPr>
                <w:rFonts w:hint="eastAsia" w:cs="宋体"/>
                <w:sz w:val="21"/>
              </w:rPr>
            </w:pPr>
            <w:r>
              <w:rPr>
                <w:rFonts w:hint="eastAsia" w:cs="宋体"/>
                <w:sz w:val="21"/>
              </w:rPr>
              <w:t>乙苯</w:t>
            </w:r>
          </w:p>
        </w:tc>
        <w:tc>
          <w:tcPr>
            <w:tcW w:w="1453" w:type="dxa"/>
            <w:vAlign w:val="center"/>
          </w:tcPr>
          <w:p w14:paraId="2CFC27A6">
            <w:pPr>
              <w:pStyle w:val="286"/>
              <w:adjustRightInd w:val="0"/>
              <w:snapToGrid w:val="0"/>
              <w:spacing w:line="300" w:lineRule="exact"/>
              <w:rPr>
                <w:rFonts w:hint="eastAsia" w:cs="宋体"/>
                <w:sz w:val="21"/>
              </w:rPr>
            </w:pPr>
            <w:r>
              <w:rPr>
                <w:rFonts w:hint="eastAsia" w:cs="宋体"/>
                <w:sz w:val="21"/>
              </w:rPr>
              <w:t>28</w:t>
            </w:r>
          </w:p>
        </w:tc>
      </w:tr>
      <w:tr w14:paraId="1CBF7A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4D811BD">
            <w:pPr>
              <w:pStyle w:val="286"/>
              <w:adjustRightInd w:val="0"/>
              <w:snapToGrid w:val="0"/>
              <w:spacing w:line="300" w:lineRule="exact"/>
              <w:rPr>
                <w:rFonts w:hint="eastAsia" w:cs="宋体"/>
                <w:sz w:val="21"/>
              </w:rPr>
            </w:pPr>
            <w:r>
              <w:rPr>
                <w:rFonts w:hint="eastAsia" w:cs="宋体"/>
                <w:sz w:val="21"/>
              </w:rPr>
              <w:t>17</w:t>
            </w:r>
          </w:p>
        </w:tc>
        <w:tc>
          <w:tcPr>
            <w:tcW w:w="1950" w:type="dxa"/>
            <w:vAlign w:val="center"/>
          </w:tcPr>
          <w:p w14:paraId="102D32FD">
            <w:pPr>
              <w:pStyle w:val="286"/>
              <w:adjustRightInd w:val="0"/>
              <w:snapToGrid w:val="0"/>
              <w:spacing w:line="300" w:lineRule="exact"/>
              <w:rPr>
                <w:rFonts w:hint="eastAsia" w:cs="宋体"/>
                <w:sz w:val="21"/>
              </w:rPr>
            </w:pPr>
            <w:r>
              <w:rPr>
                <w:rFonts w:hint="eastAsia" w:cs="宋体"/>
                <w:sz w:val="21"/>
              </w:rPr>
              <w:t>1,2-二氯丙烷</w:t>
            </w:r>
          </w:p>
        </w:tc>
        <w:tc>
          <w:tcPr>
            <w:tcW w:w="1531" w:type="dxa"/>
            <w:vAlign w:val="center"/>
          </w:tcPr>
          <w:p w14:paraId="3109D7A6">
            <w:pPr>
              <w:pStyle w:val="286"/>
              <w:adjustRightInd w:val="0"/>
              <w:snapToGrid w:val="0"/>
              <w:spacing w:line="300" w:lineRule="exact"/>
              <w:rPr>
                <w:rFonts w:hint="eastAsia" w:cs="宋体"/>
                <w:sz w:val="21"/>
              </w:rPr>
            </w:pPr>
            <w:r>
              <w:rPr>
                <w:rFonts w:hint="eastAsia" w:cs="宋体"/>
                <w:sz w:val="21"/>
              </w:rPr>
              <w:t>5</w:t>
            </w:r>
          </w:p>
        </w:tc>
        <w:tc>
          <w:tcPr>
            <w:tcW w:w="1114" w:type="dxa"/>
            <w:vAlign w:val="center"/>
          </w:tcPr>
          <w:p w14:paraId="61A2B692">
            <w:pPr>
              <w:pStyle w:val="286"/>
              <w:adjustRightInd w:val="0"/>
              <w:snapToGrid w:val="0"/>
              <w:spacing w:line="300" w:lineRule="exact"/>
              <w:rPr>
                <w:rFonts w:hint="eastAsia" w:cs="宋体"/>
                <w:sz w:val="21"/>
              </w:rPr>
            </w:pPr>
            <w:r>
              <w:rPr>
                <w:rFonts w:hint="eastAsia" w:cs="宋体"/>
                <w:sz w:val="21"/>
              </w:rPr>
              <w:t>31</w:t>
            </w:r>
          </w:p>
        </w:tc>
        <w:tc>
          <w:tcPr>
            <w:tcW w:w="2075" w:type="dxa"/>
            <w:vAlign w:val="center"/>
          </w:tcPr>
          <w:p w14:paraId="3A42F2E1">
            <w:pPr>
              <w:pStyle w:val="286"/>
              <w:adjustRightInd w:val="0"/>
              <w:snapToGrid w:val="0"/>
              <w:spacing w:line="300" w:lineRule="exact"/>
              <w:rPr>
                <w:rFonts w:hint="eastAsia" w:cs="宋体"/>
                <w:sz w:val="21"/>
              </w:rPr>
            </w:pPr>
            <w:r>
              <w:rPr>
                <w:rFonts w:hint="eastAsia" w:cs="宋体"/>
                <w:sz w:val="21"/>
              </w:rPr>
              <w:t>苯乙烯</w:t>
            </w:r>
          </w:p>
        </w:tc>
        <w:tc>
          <w:tcPr>
            <w:tcW w:w="1453" w:type="dxa"/>
            <w:vAlign w:val="center"/>
          </w:tcPr>
          <w:p w14:paraId="356C7489">
            <w:pPr>
              <w:pStyle w:val="286"/>
              <w:adjustRightInd w:val="0"/>
              <w:snapToGrid w:val="0"/>
              <w:spacing w:line="300" w:lineRule="exact"/>
              <w:rPr>
                <w:rFonts w:hint="eastAsia" w:cs="宋体"/>
                <w:sz w:val="21"/>
              </w:rPr>
            </w:pPr>
            <w:r>
              <w:rPr>
                <w:rFonts w:hint="eastAsia" w:cs="宋体"/>
                <w:sz w:val="21"/>
              </w:rPr>
              <w:t>1290</w:t>
            </w:r>
          </w:p>
        </w:tc>
      </w:tr>
      <w:tr w14:paraId="0D258A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78CEF65A">
            <w:pPr>
              <w:pStyle w:val="286"/>
              <w:adjustRightInd w:val="0"/>
              <w:snapToGrid w:val="0"/>
              <w:spacing w:line="300" w:lineRule="exact"/>
              <w:rPr>
                <w:rFonts w:hint="eastAsia" w:cs="宋体"/>
                <w:sz w:val="21"/>
              </w:rPr>
            </w:pPr>
            <w:r>
              <w:rPr>
                <w:rFonts w:hint="eastAsia" w:cs="宋体"/>
                <w:sz w:val="21"/>
              </w:rPr>
              <w:t>18</w:t>
            </w:r>
          </w:p>
        </w:tc>
        <w:tc>
          <w:tcPr>
            <w:tcW w:w="1950" w:type="dxa"/>
            <w:vAlign w:val="center"/>
          </w:tcPr>
          <w:p w14:paraId="36CDD26E">
            <w:pPr>
              <w:pStyle w:val="286"/>
              <w:adjustRightInd w:val="0"/>
              <w:snapToGrid w:val="0"/>
              <w:spacing w:line="300" w:lineRule="exact"/>
              <w:rPr>
                <w:rFonts w:hint="eastAsia" w:cs="宋体"/>
                <w:sz w:val="21"/>
              </w:rPr>
            </w:pPr>
            <w:r>
              <w:rPr>
                <w:rFonts w:hint="eastAsia" w:cs="宋体"/>
                <w:sz w:val="21"/>
              </w:rPr>
              <w:t>1,1,1,2-四氯乙烷</w:t>
            </w:r>
          </w:p>
        </w:tc>
        <w:tc>
          <w:tcPr>
            <w:tcW w:w="1531" w:type="dxa"/>
            <w:vAlign w:val="center"/>
          </w:tcPr>
          <w:p w14:paraId="110EA9FE">
            <w:pPr>
              <w:pStyle w:val="286"/>
              <w:adjustRightInd w:val="0"/>
              <w:snapToGrid w:val="0"/>
              <w:spacing w:line="300" w:lineRule="exact"/>
              <w:rPr>
                <w:rFonts w:hint="eastAsia" w:cs="宋体"/>
                <w:sz w:val="21"/>
              </w:rPr>
            </w:pPr>
            <w:r>
              <w:rPr>
                <w:rFonts w:hint="eastAsia" w:cs="宋体"/>
                <w:sz w:val="21"/>
              </w:rPr>
              <w:t>10</w:t>
            </w:r>
          </w:p>
        </w:tc>
        <w:tc>
          <w:tcPr>
            <w:tcW w:w="1114" w:type="dxa"/>
            <w:vAlign w:val="center"/>
          </w:tcPr>
          <w:p w14:paraId="7A9C3B8E">
            <w:pPr>
              <w:pStyle w:val="286"/>
              <w:adjustRightInd w:val="0"/>
              <w:snapToGrid w:val="0"/>
              <w:spacing w:line="300" w:lineRule="exact"/>
              <w:rPr>
                <w:rFonts w:hint="eastAsia" w:cs="宋体"/>
                <w:sz w:val="21"/>
              </w:rPr>
            </w:pPr>
            <w:r>
              <w:rPr>
                <w:rFonts w:hint="eastAsia" w:cs="宋体"/>
                <w:sz w:val="21"/>
              </w:rPr>
              <w:t>32</w:t>
            </w:r>
          </w:p>
        </w:tc>
        <w:tc>
          <w:tcPr>
            <w:tcW w:w="2075" w:type="dxa"/>
            <w:vAlign w:val="center"/>
          </w:tcPr>
          <w:p w14:paraId="56A59EF6">
            <w:pPr>
              <w:pStyle w:val="286"/>
              <w:adjustRightInd w:val="0"/>
              <w:snapToGrid w:val="0"/>
              <w:spacing w:line="300" w:lineRule="exact"/>
              <w:rPr>
                <w:rFonts w:hint="eastAsia" w:cs="宋体"/>
                <w:sz w:val="21"/>
              </w:rPr>
            </w:pPr>
            <w:r>
              <w:rPr>
                <w:rFonts w:hint="eastAsia" w:cs="宋体"/>
                <w:sz w:val="21"/>
              </w:rPr>
              <w:t>甲苯</w:t>
            </w:r>
          </w:p>
        </w:tc>
        <w:tc>
          <w:tcPr>
            <w:tcW w:w="1453" w:type="dxa"/>
            <w:vAlign w:val="center"/>
          </w:tcPr>
          <w:p w14:paraId="2AD01E42">
            <w:pPr>
              <w:pStyle w:val="286"/>
              <w:adjustRightInd w:val="0"/>
              <w:snapToGrid w:val="0"/>
              <w:spacing w:line="300" w:lineRule="exact"/>
              <w:rPr>
                <w:rFonts w:hint="eastAsia" w:cs="宋体"/>
                <w:sz w:val="21"/>
              </w:rPr>
            </w:pPr>
            <w:r>
              <w:rPr>
                <w:rFonts w:hint="eastAsia" w:cs="宋体"/>
                <w:sz w:val="21"/>
              </w:rPr>
              <w:t>1200</w:t>
            </w:r>
          </w:p>
        </w:tc>
      </w:tr>
      <w:tr w14:paraId="6BA16A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743066F4">
            <w:pPr>
              <w:pStyle w:val="286"/>
              <w:adjustRightInd w:val="0"/>
              <w:snapToGrid w:val="0"/>
              <w:spacing w:line="300" w:lineRule="exact"/>
              <w:rPr>
                <w:rFonts w:hint="eastAsia" w:cs="宋体"/>
                <w:sz w:val="21"/>
              </w:rPr>
            </w:pPr>
            <w:r>
              <w:rPr>
                <w:rFonts w:hint="eastAsia" w:cs="宋体"/>
                <w:sz w:val="21"/>
              </w:rPr>
              <w:t>19</w:t>
            </w:r>
          </w:p>
        </w:tc>
        <w:tc>
          <w:tcPr>
            <w:tcW w:w="1950" w:type="dxa"/>
            <w:vAlign w:val="center"/>
          </w:tcPr>
          <w:p w14:paraId="7FEA9878">
            <w:pPr>
              <w:pStyle w:val="286"/>
              <w:adjustRightInd w:val="0"/>
              <w:snapToGrid w:val="0"/>
              <w:spacing w:line="300" w:lineRule="exact"/>
              <w:rPr>
                <w:rFonts w:hint="eastAsia" w:cs="宋体"/>
                <w:sz w:val="21"/>
              </w:rPr>
            </w:pPr>
            <w:r>
              <w:rPr>
                <w:rFonts w:hint="eastAsia" w:cs="宋体"/>
                <w:sz w:val="21"/>
              </w:rPr>
              <w:t>1,1,2,2-四氯乙烷</w:t>
            </w:r>
          </w:p>
        </w:tc>
        <w:tc>
          <w:tcPr>
            <w:tcW w:w="1531" w:type="dxa"/>
            <w:vAlign w:val="center"/>
          </w:tcPr>
          <w:p w14:paraId="65E84148">
            <w:pPr>
              <w:pStyle w:val="286"/>
              <w:adjustRightInd w:val="0"/>
              <w:snapToGrid w:val="0"/>
              <w:spacing w:line="300" w:lineRule="exact"/>
              <w:rPr>
                <w:rFonts w:hint="eastAsia" w:cs="宋体"/>
                <w:sz w:val="21"/>
              </w:rPr>
            </w:pPr>
            <w:r>
              <w:rPr>
                <w:rFonts w:hint="eastAsia" w:cs="宋体"/>
                <w:sz w:val="21"/>
              </w:rPr>
              <w:t>6.8</w:t>
            </w:r>
          </w:p>
        </w:tc>
        <w:tc>
          <w:tcPr>
            <w:tcW w:w="1114" w:type="dxa"/>
            <w:vAlign w:val="center"/>
          </w:tcPr>
          <w:p w14:paraId="1A1D5395">
            <w:pPr>
              <w:pStyle w:val="286"/>
              <w:adjustRightInd w:val="0"/>
              <w:snapToGrid w:val="0"/>
              <w:spacing w:line="300" w:lineRule="exact"/>
              <w:rPr>
                <w:rFonts w:hint="eastAsia" w:cs="宋体"/>
                <w:sz w:val="21"/>
              </w:rPr>
            </w:pPr>
            <w:r>
              <w:rPr>
                <w:rFonts w:hint="eastAsia" w:cs="宋体"/>
                <w:sz w:val="21"/>
              </w:rPr>
              <w:t>33</w:t>
            </w:r>
          </w:p>
        </w:tc>
        <w:tc>
          <w:tcPr>
            <w:tcW w:w="2075" w:type="dxa"/>
            <w:vAlign w:val="center"/>
          </w:tcPr>
          <w:p w14:paraId="721C283C">
            <w:pPr>
              <w:pStyle w:val="286"/>
              <w:adjustRightInd w:val="0"/>
              <w:snapToGrid w:val="0"/>
              <w:spacing w:line="300" w:lineRule="exact"/>
              <w:rPr>
                <w:rFonts w:hint="eastAsia" w:cs="宋体"/>
                <w:sz w:val="21"/>
              </w:rPr>
            </w:pPr>
            <w:r>
              <w:rPr>
                <w:rFonts w:hint="eastAsia" w:cs="宋体"/>
                <w:sz w:val="21"/>
              </w:rPr>
              <w:t>间二甲苯+对二甲苯</w:t>
            </w:r>
          </w:p>
        </w:tc>
        <w:tc>
          <w:tcPr>
            <w:tcW w:w="1453" w:type="dxa"/>
            <w:vAlign w:val="center"/>
          </w:tcPr>
          <w:p w14:paraId="3D406CF9">
            <w:pPr>
              <w:pStyle w:val="286"/>
              <w:adjustRightInd w:val="0"/>
              <w:snapToGrid w:val="0"/>
              <w:spacing w:line="300" w:lineRule="exact"/>
              <w:rPr>
                <w:rFonts w:hint="eastAsia" w:cs="宋体"/>
                <w:sz w:val="21"/>
              </w:rPr>
            </w:pPr>
            <w:r>
              <w:rPr>
                <w:rFonts w:hint="eastAsia" w:cs="宋体"/>
                <w:sz w:val="21"/>
              </w:rPr>
              <w:t>570</w:t>
            </w:r>
          </w:p>
        </w:tc>
      </w:tr>
      <w:tr w14:paraId="7C8AE6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A907B44">
            <w:pPr>
              <w:pStyle w:val="286"/>
              <w:adjustRightInd w:val="0"/>
              <w:snapToGrid w:val="0"/>
              <w:spacing w:line="300" w:lineRule="exact"/>
              <w:rPr>
                <w:rFonts w:hint="eastAsia" w:cs="宋体"/>
                <w:sz w:val="21"/>
              </w:rPr>
            </w:pPr>
            <w:r>
              <w:rPr>
                <w:rFonts w:hint="eastAsia" w:cs="宋体"/>
                <w:sz w:val="21"/>
              </w:rPr>
              <w:t>20</w:t>
            </w:r>
          </w:p>
        </w:tc>
        <w:tc>
          <w:tcPr>
            <w:tcW w:w="1950" w:type="dxa"/>
            <w:vAlign w:val="center"/>
          </w:tcPr>
          <w:p w14:paraId="03D59FC5">
            <w:pPr>
              <w:pStyle w:val="286"/>
              <w:adjustRightInd w:val="0"/>
              <w:snapToGrid w:val="0"/>
              <w:spacing w:line="300" w:lineRule="exact"/>
              <w:rPr>
                <w:rFonts w:hint="eastAsia" w:cs="宋体"/>
                <w:sz w:val="21"/>
              </w:rPr>
            </w:pPr>
            <w:r>
              <w:rPr>
                <w:rFonts w:hint="eastAsia" w:cs="宋体"/>
                <w:sz w:val="21"/>
              </w:rPr>
              <w:t>四氯乙烯</w:t>
            </w:r>
          </w:p>
        </w:tc>
        <w:tc>
          <w:tcPr>
            <w:tcW w:w="1531" w:type="dxa"/>
            <w:vAlign w:val="center"/>
          </w:tcPr>
          <w:p w14:paraId="355F07A8">
            <w:pPr>
              <w:pStyle w:val="286"/>
              <w:adjustRightInd w:val="0"/>
              <w:snapToGrid w:val="0"/>
              <w:spacing w:line="300" w:lineRule="exact"/>
              <w:rPr>
                <w:rFonts w:hint="eastAsia" w:cs="宋体"/>
                <w:sz w:val="21"/>
              </w:rPr>
            </w:pPr>
            <w:r>
              <w:rPr>
                <w:rFonts w:hint="eastAsia" w:cs="宋体"/>
                <w:sz w:val="21"/>
              </w:rPr>
              <w:t>53</w:t>
            </w:r>
          </w:p>
        </w:tc>
        <w:tc>
          <w:tcPr>
            <w:tcW w:w="1114" w:type="dxa"/>
            <w:vAlign w:val="center"/>
          </w:tcPr>
          <w:p w14:paraId="19B58FA0">
            <w:pPr>
              <w:pStyle w:val="286"/>
              <w:adjustRightInd w:val="0"/>
              <w:snapToGrid w:val="0"/>
              <w:spacing w:line="300" w:lineRule="exact"/>
              <w:rPr>
                <w:rFonts w:hint="eastAsia" w:cs="宋体"/>
                <w:sz w:val="21"/>
              </w:rPr>
            </w:pPr>
            <w:r>
              <w:rPr>
                <w:rFonts w:hint="eastAsia" w:cs="宋体"/>
                <w:sz w:val="21"/>
              </w:rPr>
              <w:t>34</w:t>
            </w:r>
          </w:p>
        </w:tc>
        <w:tc>
          <w:tcPr>
            <w:tcW w:w="2075" w:type="dxa"/>
            <w:vAlign w:val="center"/>
          </w:tcPr>
          <w:p w14:paraId="6553AD90">
            <w:pPr>
              <w:pStyle w:val="286"/>
              <w:adjustRightInd w:val="0"/>
              <w:snapToGrid w:val="0"/>
              <w:spacing w:line="300" w:lineRule="exact"/>
              <w:rPr>
                <w:rFonts w:hint="eastAsia" w:cs="宋体"/>
                <w:sz w:val="21"/>
              </w:rPr>
            </w:pPr>
            <w:r>
              <w:rPr>
                <w:rFonts w:hint="eastAsia" w:cs="宋体"/>
                <w:sz w:val="21"/>
              </w:rPr>
              <w:t>邻二甲苯</w:t>
            </w:r>
          </w:p>
        </w:tc>
        <w:tc>
          <w:tcPr>
            <w:tcW w:w="1453" w:type="dxa"/>
            <w:vAlign w:val="center"/>
          </w:tcPr>
          <w:p w14:paraId="56364F3E">
            <w:pPr>
              <w:pStyle w:val="286"/>
              <w:adjustRightInd w:val="0"/>
              <w:snapToGrid w:val="0"/>
              <w:spacing w:line="300" w:lineRule="exact"/>
              <w:rPr>
                <w:rFonts w:hint="eastAsia" w:cs="宋体"/>
                <w:sz w:val="21"/>
              </w:rPr>
            </w:pPr>
            <w:r>
              <w:rPr>
                <w:rFonts w:hint="eastAsia" w:cs="宋体"/>
                <w:sz w:val="21"/>
              </w:rPr>
              <w:t>640</w:t>
            </w:r>
          </w:p>
        </w:tc>
      </w:tr>
      <w:tr w14:paraId="7DFD78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77C7E1AF">
            <w:pPr>
              <w:pStyle w:val="286"/>
              <w:adjustRightInd w:val="0"/>
              <w:snapToGrid w:val="0"/>
              <w:spacing w:line="300" w:lineRule="exact"/>
              <w:rPr>
                <w:rFonts w:hint="eastAsia" w:cs="宋体"/>
                <w:sz w:val="21"/>
              </w:rPr>
            </w:pPr>
            <w:r>
              <w:rPr>
                <w:rFonts w:hint="eastAsia" w:cs="宋体"/>
                <w:sz w:val="21"/>
              </w:rPr>
              <w:t>21</w:t>
            </w:r>
          </w:p>
        </w:tc>
        <w:tc>
          <w:tcPr>
            <w:tcW w:w="1950" w:type="dxa"/>
            <w:vAlign w:val="center"/>
          </w:tcPr>
          <w:p w14:paraId="4A29ED56">
            <w:pPr>
              <w:pStyle w:val="286"/>
              <w:adjustRightInd w:val="0"/>
              <w:snapToGrid w:val="0"/>
              <w:spacing w:line="300" w:lineRule="exact"/>
              <w:rPr>
                <w:rFonts w:hint="eastAsia" w:cs="宋体"/>
                <w:sz w:val="21"/>
              </w:rPr>
            </w:pPr>
            <w:r>
              <w:rPr>
                <w:rFonts w:hint="eastAsia" w:cs="宋体"/>
                <w:sz w:val="21"/>
              </w:rPr>
              <w:t>1,1,1-三氯乙烷</w:t>
            </w:r>
          </w:p>
        </w:tc>
        <w:tc>
          <w:tcPr>
            <w:tcW w:w="1531" w:type="dxa"/>
            <w:vAlign w:val="center"/>
          </w:tcPr>
          <w:p w14:paraId="4582D256">
            <w:pPr>
              <w:pStyle w:val="286"/>
              <w:adjustRightInd w:val="0"/>
              <w:snapToGrid w:val="0"/>
              <w:spacing w:line="300" w:lineRule="exact"/>
              <w:rPr>
                <w:rFonts w:hint="eastAsia" w:cs="宋体"/>
                <w:sz w:val="21"/>
              </w:rPr>
            </w:pPr>
            <w:r>
              <w:rPr>
                <w:rFonts w:hint="eastAsia" w:cs="宋体"/>
                <w:sz w:val="21"/>
              </w:rPr>
              <w:t>840</w:t>
            </w:r>
          </w:p>
        </w:tc>
        <w:tc>
          <w:tcPr>
            <w:tcW w:w="1114" w:type="dxa"/>
            <w:vAlign w:val="center"/>
          </w:tcPr>
          <w:p w14:paraId="46CBFBC4">
            <w:pPr>
              <w:pStyle w:val="286"/>
              <w:adjustRightInd w:val="0"/>
              <w:snapToGrid w:val="0"/>
              <w:spacing w:line="300" w:lineRule="exact"/>
              <w:rPr>
                <w:rFonts w:hint="eastAsia" w:cs="宋体"/>
                <w:sz w:val="21"/>
              </w:rPr>
            </w:pPr>
          </w:p>
        </w:tc>
        <w:tc>
          <w:tcPr>
            <w:tcW w:w="2075" w:type="dxa"/>
            <w:vAlign w:val="center"/>
          </w:tcPr>
          <w:p w14:paraId="1A8675D5">
            <w:pPr>
              <w:pStyle w:val="286"/>
              <w:adjustRightInd w:val="0"/>
              <w:snapToGrid w:val="0"/>
              <w:spacing w:line="300" w:lineRule="exact"/>
              <w:rPr>
                <w:rFonts w:hint="eastAsia" w:cs="宋体"/>
                <w:sz w:val="21"/>
              </w:rPr>
            </w:pPr>
          </w:p>
        </w:tc>
        <w:tc>
          <w:tcPr>
            <w:tcW w:w="1453" w:type="dxa"/>
            <w:vAlign w:val="center"/>
          </w:tcPr>
          <w:p w14:paraId="336327E0">
            <w:pPr>
              <w:pStyle w:val="286"/>
              <w:adjustRightInd w:val="0"/>
              <w:snapToGrid w:val="0"/>
              <w:spacing w:line="300" w:lineRule="exact"/>
              <w:rPr>
                <w:rFonts w:hint="eastAsia" w:cs="宋体"/>
                <w:sz w:val="21"/>
              </w:rPr>
            </w:pPr>
          </w:p>
        </w:tc>
      </w:tr>
      <w:tr w14:paraId="2E6678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786" w:type="dxa"/>
            <w:gridSpan w:val="6"/>
            <w:vAlign w:val="center"/>
          </w:tcPr>
          <w:p w14:paraId="00008121">
            <w:pPr>
              <w:pStyle w:val="286"/>
              <w:adjustRightInd w:val="0"/>
              <w:snapToGrid w:val="0"/>
              <w:spacing w:line="300" w:lineRule="exact"/>
              <w:rPr>
                <w:rFonts w:hint="eastAsia" w:cs="宋体"/>
                <w:sz w:val="21"/>
              </w:rPr>
            </w:pPr>
            <w:r>
              <w:rPr>
                <w:rFonts w:hint="eastAsia" w:cs="宋体"/>
                <w:sz w:val="21"/>
              </w:rPr>
              <w:t>基本项目（半挥发性有机物）</w:t>
            </w:r>
          </w:p>
        </w:tc>
      </w:tr>
      <w:tr w14:paraId="6A8687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C2C71FA">
            <w:pPr>
              <w:pStyle w:val="286"/>
              <w:adjustRightInd w:val="0"/>
              <w:snapToGrid w:val="0"/>
              <w:spacing w:line="300" w:lineRule="exact"/>
              <w:rPr>
                <w:rFonts w:hint="eastAsia" w:cs="宋体"/>
                <w:sz w:val="21"/>
              </w:rPr>
            </w:pPr>
            <w:r>
              <w:rPr>
                <w:rFonts w:hint="eastAsia" w:cs="宋体"/>
                <w:sz w:val="21"/>
              </w:rPr>
              <w:t>35</w:t>
            </w:r>
          </w:p>
        </w:tc>
        <w:tc>
          <w:tcPr>
            <w:tcW w:w="1950" w:type="dxa"/>
            <w:vAlign w:val="center"/>
          </w:tcPr>
          <w:p w14:paraId="401D4B87">
            <w:pPr>
              <w:pStyle w:val="286"/>
              <w:adjustRightInd w:val="0"/>
              <w:snapToGrid w:val="0"/>
              <w:spacing w:line="300" w:lineRule="exact"/>
              <w:rPr>
                <w:rFonts w:hint="eastAsia" w:cs="宋体"/>
                <w:sz w:val="21"/>
              </w:rPr>
            </w:pPr>
            <w:r>
              <w:rPr>
                <w:rFonts w:hint="eastAsia" w:cs="宋体"/>
                <w:sz w:val="21"/>
              </w:rPr>
              <w:t>硝基苯</w:t>
            </w:r>
          </w:p>
        </w:tc>
        <w:tc>
          <w:tcPr>
            <w:tcW w:w="1531" w:type="dxa"/>
            <w:vAlign w:val="center"/>
          </w:tcPr>
          <w:p w14:paraId="3EE74D5D">
            <w:pPr>
              <w:pStyle w:val="286"/>
              <w:adjustRightInd w:val="0"/>
              <w:snapToGrid w:val="0"/>
              <w:spacing w:line="300" w:lineRule="exact"/>
              <w:rPr>
                <w:rFonts w:hint="eastAsia" w:cs="宋体"/>
                <w:sz w:val="21"/>
              </w:rPr>
            </w:pPr>
            <w:r>
              <w:rPr>
                <w:rFonts w:hint="eastAsia" w:cs="宋体"/>
                <w:sz w:val="21"/>
              </w:rPr>
              <w:t>76</w:t>
            </w:r>
          </w:p>
        </w:tc>
        <w:tc>
          <w:tcPr>
            <w:tcW w:w="1114" w:type="dxa"/>
            <w:vAlign w:val="center"/>
          </w:tcPr>
          <w:p w14:paraId="4A8FC206">
            <w:pPr>
              <w:pStyle w:val="286"/>
              <w:adjustRightInd w:val="0"/>
              <w:snapToGrid w:val="0"/>
              <w:spacing w:line="300" w:lineRule="exact"/>
              <w:rPr>
                <w:rFonts w:hint="eastAsia" w:cs="宋体"/>
                <w:sz w:val="21"/>
              </w:rPr>
            </w:pPr>
            <w:r>
              <w:rPr>
                <w:rFonts w:hint="eastAsia" w:cs="宋体"/>
                <w:sz w:val="21"/>
              </w:rPr>
              <w:t>41</w:t>
            </w:r>
          </w:p>
        </w:tc>
        <w:tc>
          <w:tcPr>
            <w:tcW w:w="2075" w:type="dxa"/>
            <w:vAlign w:val="center"/>
          </w:tcPr>
          <w:p w14:paraId="081346D6">
            <w:pPr>
              <w:pStyle w:val="286"/>
              <w:adjustRightInd w:val="0"/>
              <w:snapToGrid w:val="0"/>
              <w:spacing w:line="300" w:lineRule="exact"/>
              <w:rPr>
                <w:rFonts w:hint="eastAsia" w:cs="宋体"/>
                <w:sz w:val="21"/>
              </w:rPr>
            </w:pPr>
            <w:r>
              <w:rPr>
                <w:rFonts w:hint="eastAsia" w:cs="宋体"/>
                <w:sz w:val="21"/>
              </w:rPr>
              <w:t>苯并〔k〕荧蒽</w:t>
            </w:r>
          </w:p>
        </w:tc>
        <w:tc>
          <w:tcPr>
            <w:tcW w:w="1453" w:type="dxa"/>
            <w:vAlign w:val="center"/>
          </w:tcPr>
          <w:p w14:paraId="66912D5F">
            <w:pPr>
              <w:pStyle w:val="286"/>
              <w:adjustRightInd w:val="0"/>
              <w:snapToGrid w:val="0"/>
              <w:spacing w:line="300" w:lineRule="exact"/>
              <w:rPr>
                <w:rFonts w:hint="eastAsia" w:cs="宋体"/>
                <w:sz w:val="21"/>
              </w:rPr>
            </w:pPr>
            <w:r>
              <w:rPr>
                <w:rFonts w:hint="eastAsia" w:cs="宋体"/>
                <w:sz w:val="21"/>
              </w:rPr>
              <w:t>151</w:t>
            </w:r>
          </w:p>
        </w:tc>
      </w:tr>
      <w:tr w14:paraId="1CC016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45F9D85F">
            <w:pPr>
              <w:pStyle w:val="286"/>
              <w:adjustRightInd w:val="0"/>
              <w:snapToGrid w:val="0"/>
              <w:spacing w:line="300" w:lineRule="exact"/>
              <w:rPr>
                <w:rFonts w:hint="eastAsia" w:cs="宋体"/>
                <w:sz w:val="21"/>
              </w:rPr>
            </w:pPr>
            <w:r>
              <w:rPr>
                <w:rFonts w:hint="eastAsia" w:cs="宋体"/>
                <w:sz w:val="21"/>
              </w:rPr>
              <w:t>36</w:t>
            </w:r>
          </w:p>
        </w:tc>
        <w:tc>
          <w:tcPr>
            <w:tcW w:w="1950" w:type="dxa"/>
            <w:vAlign w:val="center"/>
          </w:tcPr>
          <w:p w14:paraId="1CEE8BE1">
            <w:pPr>
              <w:pStyle w:val="286"/>
              <w:adjustRightInd w:val="0"/>
              <w:snapToGrid w:val="0"/>
              <w:spacing w:line="300" w:lineRule="exact"/>
              <w:rPr>
                <w:rFonts w:hint="eastAsia" w:cs="宋体"/>
                <w:sz w:val="21"/>
              </w:rPr>
            </w:pPr>
            <w:r>
              <w:rPr>
                <w:rFonts w:hint="eastAsia" w:cs="宋体"/>
                <w:sz w:val="21"/>
              </w:rPr>
              <w:t>苯胺</w:t>
            </w:r>
          </w:p>
        </w:tc>
        <w:tc>
          <w:tcPr>
            <w:tcW w:w="1531" w:type="dxa"/>
            <w:vAlign w:val="center"/>
          </w:tcPr>
          <w:p w14:paraId="067908A4">
            <w:pPr>
              <w:pStyle w:val="286"/>
              <w:adjustRightInd w:val="0"/>
              <w:snapToGrid w:val="0"/>
              <w:spacing w:line="300" w:lineRule="exact"/>
              <w:rPr>
                <w:rFonts w:hint="eastAsia" w:cs="宋体"/>
                <w:sz w:val="21"/>
              </w:rPr>
            </w:pPr>
            <w:r>
              <w:rPr>
                <w:rFonts w:hint="eastAsia" w:cs="宋体"/>
                <w:sz w:val="21"/>
              </w:rPr>
              <w:t>260</w:t>
            </w:r>
          </w:p>
        </w:tc>
        <w:tc>
          <w:tcPr>
            <w:tcW w:w="1114" w:type="dxa"/>
            <w:vAlign w:val="center"/>
          </w:tcPr>
          <w:p w14:paraId="6C4D1D25">
            <w:pPr>
              <w:pStyle w:val="286"/>
              <w:adjustRightInd w:val="0"/>
              <w:snapToGrid w:val="0"/>
              <w:spacing w:line="300" w:lineRule="exact"/>
              <w:rPr>
                <w:rFonts w:hint="eastAsia" w:cs="宋体"/>
                <w:sz w:val="21"/>
              </w:rPr>
            </w:pPr>
            <w:r>
              <w:rPr>
                <w:rFonts w:hint="eastAsia" w:cs="宋体"/>
                <w:sz w:val="21"/>
              </w:rPr>
              <w:t>42</w:t>
            </w:r>
          </w:p>
        </w:tc>
        <w:tc>
          <w:tcPr>
            <w:tcW w:w="2075" w:type="dxa"/>
            <w:vAlign w:val="center"/>
          </w:tcPr>
          <w:p w14:paraId="6563FCAA">
            <w:pPr>
              <w:pStyle w:val="286"/>
              <w:adjustRightInd w:val="0"/>
              <w:snapToGrid w:val="0"/>
              <w:spacing w:line="300" w:lineRule="exact"/>
              <w:rPr>
                <w:rFonts w:hint="eastAsia" w:cs="宋体"/>
                <w:sz w:val="21"/>
              </w:rPr>
            </w:pPr>
            <w:r>
              <w:rPr>
                <w:rFonts w:hint="eastAsia" w:cs="宋体"/>
                <w:sz w:val="21"/>
              </w:rPr>
              <w:t>䓛</w:t>
            </w:r>
          </w:p>
        </w:tc>
        <w:tc>
          <w:tcPr>
            <w:tcW w:w="1453" w:type="dxa"/>
            <w:vAlign w:val="center"/>
          </w:tcPr>
          <w:p w14:paraId="47E0F913">
            <w:pPr>
              <w:pStyle w:val="286"/>
              <w:adjustRightInd w:val="0"/>
              <w:snapToGrid w:val="0"/>
              <w:spacing w:line="300" w:lineRule="exact"/>
              <w:rPr>
                <w:rFonts w:hint="eastAsia" w:cs="宋体"/>
                <w:sz w:val="21"/>
              </w:rPr>
            </w:pPr>
            <w:r>
              <w:rPr>
                <w:rFonts w:hint="eastAsia" w:cs="宋体"/>
                <w:sz w:val="21"/>
              </w:rPr>
              <w:t>1293</w:t>
            </w:r>
          </w:p>
        </w:tc>
      </w:tr>
      <w:tr w14:paraId="7DB2AE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023B3D5">
            <w:pPr>
              <w:pStyle w:val="286"/>
              <w:adjustRightInd w:val="0"/>
              <w:snapToGrid w:val="0"/>
              <w:spacing w:line="300" w:lineRule="exact"/>
              <w:rPr>
                <w:rFonts w:hint="eastAsia" w:cs="宋体"/>
                <w:sz w:val="21"/>
              </w:rPr>
            </w:pPr>
            <w:r>
              <w:rPr>
                <w:rFonts w:hint="eastAsia" w:cs="宋体"/>
                <w:sz w:val="21"/>
              </w:rPr>
              <w:t>37</w:t>
            </w:r>
          </w:p>
        </w:tc>
        <w:tc>
          <w:tcPr>
            <w:tcW w:w="1950" w:type="dxa"/>
            <w:vAlign w:val="center"/>
          </w:tcPr>
          <w:p w14:paraId="44B6A687">
            <w:pPr>
              <w:pStyle w:val="286"/>
              <w:adjustRightInd w:val="0"/>
              <w:snapToGrid w:val="0"/>
              <w:spacing w:line="300" w:lineRule="exact"/>
              <w:rPr>
                <w:rFonts w:hint="eastAsia" w:cs="宋体"/>
                <w:sz w:val="21"/>
              </w:rPr>
            </w:pPr>
            <w:r>
              <w:rPr>
                <w:rFonts w:hint="eastAsia" w:cs="宋体"/>
                <w:sz w:val="21"/>
              </w:rPr>
              <w:t>2-氯酚</w:t>
            </w:r>
          </w:p>
        </w:tc>
        <w:tc>
          <w:tcPr>
            <w:tcW w:w="1531" w:type="dxa"/>
            <w:vAlign w:val="center"/>
          </w:tcPr>
          <w:p w14:paraId="2E1F7311">
            <w:pPr>
              <w:pStyle w:val="286"/>
              <w:adjustRightInd w:val="0"/>
              <w:snapToGrid w:val="0"/>
              <w:spacing w:line="300" w:lineRule="exact"/>
              <w:rPr>
                <w:rFonts w:hint="eastAsia" w:cs="宋体"/>
                <w:sz w:val="21"/>
              </w:rPr>
            </w:pPr>
            <w:r>
              <w:rPr>
                <w:rFonts w:hint="eastAsia" w:cs="宋体"/>
                <w:sz w:val="21"/>
              </w:rPr>
              <w:t>2256</w:t>
            </w:r>
          </w:p>
        </w:tc>
        <w:tc>
          <w:tcPr>
            <w:tcW w:w="1114" w:type="dxa"/>
            <w:vAlign w:val="center"/>
          </w:tcPr>
          <w:p w14:paraId="078E2DD8">
            <w:pPr>
              <w:pStyle w:val="286"/>
              <w:adjustRightInd w:val="0"/>
              <w:snapToGrid w:val="0"/>
              <w:spacing w:line="300" w:lineRule="exact"/>
              <w:rPr>
                <w:rFonts w:hint="eastAsia" w:cs="宋体"/>
                <w:sz w:val="21"/>
              </w:rPr>
            </w:pPr>
            <w:r>
              <w:rPr>
                <w:rFonts w:hint="eastAsia" w:cs="宋体"/>
                <w:sz w:val="21"/>
              </w:rPr>
              <w:t>43</w:t>
            </w:r>
          </w:p>
        </w:tc>
        <w:tc>
          <w:tcPr>
            <w:tcW w:w="2075" w:type="dxa"/>
            <w:vAlign w:val="center"/>
          </w:tcPr>
          <w:p w14:paraId="748162B3">
            <w:pPr>
              <w:pStyle w:val="286"/>
              <w:adjustRightInd w:val="0"/>
              <w:snapToGrid w:val="0"/>
              <w:spacing w:line="300" w:lineRule="exact"/>
              <w:rPr>
                <w:rFonts w:hint="eastAsia" w:cs="宋体"/>
                <w:sz w:val="21"/>
              </w:rPr>
            </w:pPr>
            <w:r>
              <w:rPr>
                <w:rFonts w:hint="eastAsia" w:cs="宋体"/>
                <w:sz w:val="21"/>
              </w:rPr>
              <w:t>二苯并〔a，h〕蒽</w:t>
            </w:r>
          </w:p>
        </w:tc>
        <w:tc>
          <w:tcPr>
            <w:tcW w:w="1453" w:type="dxa"/>
            <w:vAlign w:val="center"/>
          </w:tcPr>
          <w:p w14:paraId="22B465D0">
            <w:pPr>
              <w:pStyle w:val="286"/>
              <w:adjustRightInd w:val="0"/>
              <w:snapToGrid w:val="0"/>
              <w:spacing w:line="300" w:lineRule="exact"/>
              <w:rPr>
                <w:rFonts w:hint="eastAsia" w:cs="宋体"/>
                <w:sz w:val="21"/>
              </w:rPr>
            </w:pPr>
            <w:r>
              <w:rPr>
                <w:rFonts w:hint="eastAsia" w:cs="宋体"/>
                <w:sz w:val="21"/>
              </w:rPr>
              <w:t>1.5</w:t>
            </w:r>
          </w:p>
        </w:tc>
      </w:tr>
      <w:tr w14:paraId="47A886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4AECEC06">
            <w:pPr>
              <w:pStyle w:val="286"/>
              <w:adjustRightInd w:val="0"/>
              <w:snapToGrid w:val="0"/>
              <w:spacing w:line="300" w:lineRule="exact"/>
              <w:rPr>
                <w:rFonts w:hint="eastAsia" w:cs="宋体"/>
                <w:sz w:val="21"/>
              </w:rPr>
            </w:pPr>
            <w:r>
              <w:rPr>
                <w:rFonts w:hint="eastAsia" w:cs="宋体"/>
                <w:sz w:val="21"/>
              </w:rPr>
              <w:t>38</w:t>
            </w:r>
          </w:p>
        </w:tc>
        <w:tc>
          <w:tcPr>
            <w:tcW w:w="1950" w:type="dxa"/>
            <w:vAlign w:val="center"/>
          </w:tcPr>
          <w:p w14:paraId="7E2771D3">
            <w:pPr>
              <w:pStyle w:val="286"/>
              <w:adjustRightInd w:val="0"/>
              <w:snapToGrid w:val="0"/>
              <w:spacing w:line="300" w:lineRule="exact"/>
              <w:rPr>
                <w:rFonts w:hint="eastAsia" w:cs="宋体"/>
                <w:sz w:val="21"/>
              </w:rPr>
            </w:pPr>
            <w:r>
              <w:rPr>
                <w:rFonts w:hint="eastAsia" w:cs="宋体"/>
                <w:sz w:val="21"/>
              </w:rPr>
              <w:t>苯并〔a〕蒽</w:t>
            </w:r>
          </w:p>
        </w:tc>
        <w:tc>
          <w:tcPr>
            <w:tcW w:w="1531" w:type="dxa"/>
            <w:vAlign w:val="center"/>
          </w:tcPr>
          <w:p w14:paraId="4A46AF14">
            <w:pPr>
              <w:pStyle w:val="286"/>
              <w:adjustRightInd w:val="0"/>
              <w:snapToGrid w:val="0"/>
              <w:spacing w:line="300" w:lineRule="exact"/>
              <w:rPr>
                <w:rFonts w:hint="eastAsia" w:cs="宋体"/>
                <w:sz w:val="21"/>
              </w:rPr>
            </w:pPr>
            <w:r>
              <w:rPr>
                <w:rFonts w:hint="eastAsia" w:cs="宋体"/>
                <w:sz w:val="21"/>
              </w:rPr>
              <w:t>15</w:t>
            </w:r>
          </w:p>
        </w:tc>
        <w:tc>
          <w:tcPr>
            <w:tcW w:w="1114" w:type="dxa"/>
            <w:vAlign w:val="center"/>
          </w:tcPr>
          <w:p w14:paraId="14B75CD2">
            <w:pPr>
              <w:pStyle w:val="286"/>
              <w:adjustRightInd w:val="0"/>
              <w:snapToGrid w:val="0"/>
              <w:spacing w:line="300" w:lineRule="exact"/>
              <w:rPr>
                <w:rFonts w:hint="eastAsia" w:cs="宋体"/>
                <w:sz w:val="21"/>
              </w:rPr>
            </w:pPr>
            <w:r>
              <w:rPr>
                <w:rFonts w:hint="eastAsia" w:cs="宋体"/>
                <w:sz w:val="21"/>
              </w:rPr>
              <w:t>44</w:t>
            </w:r>
          </w:p>
        </w:tc>
        <w:tc>
          <w:tcPr>
            <w:tcW w:w="2075" w:type="dxa"/>
            <w:vAlign w:val="center"/>
          </w:tcPr>
          <w:p w14:paraId="5970B3DD">
            <w:pPr>
              <w:pStyle w:val="286"/>
              <w:adjustRightInd w:val="0"/>
              <w:snapToGrid w:val="0"/>
              <w:spacing w:line="300" w:lineRule="exact"/>
              <w:rPr>
                <w:rFonts w:hint="eastAsia" w:cs="宋体"/>
                <w:sz w:val="21"/>
              </w:rPr>
            </w:pPr>
            <w:r>
              <w:rPr>
                <w:rFonts w:hint="eastAsia" w:cs="宋体"/>
                <w:sz w:val="21"/>
              </w:rPr>
              <w:t>茚并〔1,2,3-cd〕 芘</w:t>
            </w:r>
          </w:p>
        </w:tc>
        <w:tc>
          <w:tcPr>
            <w:tcW w:w="1453" w:type="dxa"/>
            <w:vAlign w:val="center"/>
          </w:tcPr>
          <w:p w14:paraId="53B0FB60">
            <w:pPr>
              <w:pStyle w:val="286"/>
              <w:adjustRightInd w:val="0"/>
              <w:snapToGrid w:val="0"/>
              <w:spacing w:line="300" w:lineRule="exact"/>
              <w:rPr>
                <w:rFonts w:hint="eastAsia" w:cs="宋体"/>
                <w:sz w:val="21"/>
              </w:rPr>
            </w:pPr>
            <w:r>
              <w:rPr>
                <w:rFonts w:hint="eastAsia" w:cs="宋体"/>
                <w:sz w:val="21"/>
              </w:rPr>
              <w:t>15</w:t>
            </w:r>
          </w:p>
        </w:tc>
      </w:tr>
      <w:tr w14:paraId="379955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2746CE78">
            <w:pPr>
              <w:pStyle w:val="286"/>
              <w:adjustRightInd w:val="0"/>
              <w:snapToGrid w:val="0"/>
              <w:spacing w:line="300" w:lineRule="exact"/>
              <w:rPr>
                <w:rFonts w:hint="eastAsia" w:cs="宋体"/>
                <w:sz w:val="21"/>
              </w:rPr>
            </w:pPr>
            <w:r>
              <w:rPr>
                <w:rFonts w:hint="eastAsia" w:cs="宋体"/>
                <w:sz w:val="21"/>
              </w:rPr>
              <w:t>39</w:t>
            </w:r>
          </w:p>
        </w:tc>
        <w:tc>
          <w:tcPr>
            <w:tcW w:w="1950" w:type="dxa"/>
            <w:vAlign w:val="center"/>
          </w:tcPr>
          <w:p w14:paraId="626B8D16">
            <w:pPr>
              <w:pStyle w:val="286"/>
              <w:adjustRightInd w:val="0"/>
              <w:snapToGrid w:val="0"/>
              <w:spacing w:line="300" w:lineRule="exact"/>
              <w:rPr>
                <w:rFonts w:hint="eastAsia" w:cs="宋体"/>
                <w:sz w:val="21"/>
              </w:rPr>
            </w:pPr>
            <w:r>
              <w:rPr>
                <w:rFonts w:hint="eastAsia" w:cs="宋体"/>
                <w:sz w:val="21"/>
              </w:rPr>
              <w:t>苯并〔a〕芘</w:t>
            </w:r>
          </w:p>
        </w:tc>
        <w:tc>
          <w:tcPr>
            <w:tcW w:w="1531" w:type="dxa"/>
            <w:vAlign w:val="center"/>
          </w:tcPr>
          <w:p w14:paraId="5310675F">
            <w:pPr>
              <w:pStyle w:val="286"/>
              <w:adjustRightInd w:val="0"/>
              <w:snapToGrid w:val="0"/>
              <w:spacing w:line="300" w:lineRule="exact"/>
              <w:rPr>
                <w:rFonts w:hint="eastAsia" w:cs="宋体"/>
                <w:sz w:val="21"/>
              </w:rPr>
            </w:pPr>
            <w:r>
              <w:rPr>
                <w:rFonts w:hint="eastAsia" w:cs="宋体"/>
                <w:sz w:val="21"/>
              </w:rPr>
              <w:t>1.5</w:t>
            </w:r>
          </w:p>
        </w:tc>
        <w:tc>
          <w:tcPr>
            <w:tcW w:w="1114" w:type="dxa"/>
            <w:vAlign w:val="center"/>
          </w:tcPr>
          <w:p w14:paraId="375A944F">
            <w:pPr>
              <w:pStyle w:val="286"/>
              <w:adjustRightInd w:val="0"/>
              <w:snapToGrid w:val="0"/>
              <w:spacing w:line="300" w:lineRule="exact"/>
              <w:rPr>
                <w:rFonts w:hint="eastAsia" w:cs="宋体"/>
                <w:sz w:val="21"/>
              </w:rPr>
            </w:pPr>
            <w:r>
              <w:rPr>
                <w:rFonts w:hint="eastAsia" w:cs="宋体"/>
                <w:sz w:val="21"/>
              </w:rPr>
              <w:t>45</w:t>
            </w:r>
          </w:p>
        </w:tc>
        <w:tc>
          <w:tcPr>
            <w:tcW w:w="2075" w:type="dxa"/>
            <w:vAlign w:val="center"/>
          </w:tcPr>
          <w:p w14:paraId="28F86AA6">
            <w:pPr>
              <w:pStyle w:val="286"/>
              <w:adjustRightInd w:val="0"/>
              <w:snapToGrid w:val="0"/>
              <w:spacing w:line="300" w:lineRule="exact"/>
              <w:rPr>
                <w:rFonts w:hint="eastAsia" w:cs="宋体"/>
                <w:sz w:val="21"/>
              </w:rPr>
            </w:pPr>
            <w:r>
              <w:rPr>
                <w:rFonts w:hint="eastAsia" w:cs="宋体"/>
                <w:sz w:val="21"/>
              </w:rPr>
              <w:t>萘</w:t>
            </w:r>
          </w:p>
        </w:tc>
        <w:tc>
          <w:tcPr>
            <w:tcW w:w="1453" w:type="dxa"/>
            <w:vAlign w:val="center"/>
          </w:tcPr>
          <w:p w14:paraId="5D2034E0">
            <w:pPr>
              <w:pStyle w:val="286"/>
              <w:adjustRightInd w:val="0"/>
              <w:snapToGrid w:val="0"/>
              <w:spacing w:line="300" w:lineRule="exact"/>
              <w:rPr>
                <w:rFonts w:hint="eastAsia" w:cs="宋体"/>
                <w:sz w:val="21"/>
              </w:rPr>
            </w:pPr>
            <w:r>
              <w:rPr>
                <w:rFonts w:hint="eastAsia" w:cs="宋体"/>
                <w:sz w:val="21"/>
              </w:rPr>
              <w:t>70</w:t>
            </w:r>
          </w:p>
        </w:tc>
      </w:tr>
      <w:tr w14:paraId="5AB9BD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077F789">
            <w:pPr>
              <w:pStyle w:val="286"/>
              <w:adjustRightInd w:val="0"/>
              <w:snapToGrid w:val="0"/>
              <w:spacing w:line="300" w:lineRule="exact"/>
              <w:rPr>
                <w:rFonts w:hint="eastAsia" w:cs="宋体"/>
                <w:sz w:val="21"/>
              </w:rPr>
            </w:pPr>
            <w:r>
              <w:rPr>
                <w:rFonts w:hint="eastAsia" w:cs="宋体"/>
                <w:sz w:val="21"/>
              </w:rPr>
              <w:t>40</w:t>
            </w:r>
          </w:p>
        </w:tc>
        <w:tc>
          <w:tcPr>
            <w:tcW w:w="1950" w:type="dxa"/>
            <w:vAlign w:val="center"/>
          </w:tcPr>
          <w:p w14:paraId="655FECA7">
            <w:pPr>
              <w:pStyle w:val="286"/>
              <w:adjustRightInd w:val="0"/>
              <w:snapToGrid w:val="0"/>
              <w:spacing w:line="300" w:lineRule="exact"/>
              <w:rPr>
                <w:rFonts w:hint="eastAsia" w:cs="宋体"/>
                <w:sz w:val="21"/>
              </w:rPr>
            </w:pPr>
            <w:r>
              <w:rPr>
                <w:rFonts w:hint="eastAsia" w:cs="宋体"/>
                <w:sz w:val="21"/>
              </w:rPr>
              <w:t>苯并〔b〕荧蒽</w:t>
            </w:r>
          </w:p>
        </w:tc>
        <w:tc>
          <w:tcPr>
            <w:tcW w:w="1531" w:type="dxa"/>
            <w:vAlign w:val="center"/>
          </w:tcPr>
          <w:p w14:paraId="2C06B11D">
            <w:pPr>
              <w:pStyle w:val="286"/>
              <w:adjustRightInd w:val="0"/>
              <w:snapToGrid w:val="0"/>
              <w:spacing w:line="300" w:lineRule="exact"/>
              <w:rPr>
                <w:rFonts w:hint="eastAsia" w:cs="宋体"/>
                <w:sz w:val="21"/>
              </w:rPr>
            </w:pPr>
            <w:r>
              <w:rPr>
                <w:rFonts w:hint="eastAsia" w:cs="宋体"/>
                <w:sz w:val="21"/>
              </w:rPr>
              <w:t>15</w:t>
            </w:r>
          </w:p>
        </w:tc>
        <w:tc>
          <w:tcPr>
            <w:tcW w:w="1114" w:type="dxa"/>
            <w:vAlign w:val="center"/>
          </w:tcPr>
          <w:p w14:paraId="17C57556">
            <w:pPr>
              <w:pStyle w:val="286"/>
              <w:adjustRightInd w:val="0"/>
              <w:snapToGrid w:val="0"/>
              <w:spacing w:line="300" w:lineRule="exact"/>
              <w:rPr>
                <w:rFonts w:hint="eastAsia" w:cs="宋体"/>
                <w:sz w:val="21"/>
              </w:rPr>
            </w:pPr>
          </w:p>
        </w:tc>
        <w:tc>
          <w:tcPr>
            <w:tcW w:w="2075" w:type="dxa"/>
            <w:vAlign w:val="center"/>
          </w:tcPr>
          <w:p w14:paraId="0D3328E1">
            <w:pPr>
              <w:pStyle w:val="286"/>
              <w:adjustRightInd w:val="0"/>
              <w:snapToGrid w:val="0"/>
              <w:spacing w:line="300" w:lineRule="exact"/>
              <w:rPr>
                <w:rFonts w:hint="eastAsia" w:cs="宋体"/>
                <w:sz w:val="21"/>
              </w:rPr>
            </w:pPr>
          </w:p>
        </w:tc>
        <w:tc>
          <w:tcPr>
            <w:tcW w:w="1453" w:type="dxa"/>
            <w:vAlign w:val="center"/>
          </w:tcPr>
          <w:p w14:paraId="7EB401E5">
            <w:pPr>
              <w:pStyle w:val="286"/>
              <w:adjustRightInd w:val="0"/>
              <w:snapToGrid w:val="0"/>
              <w:spacing w:line="300" w:lineRule="exact"/>
              <w:rPr>
                <w:rFonts w:hint="eastAsia" w:cs="宋体"/>
                <w:sz w:val="21"/>
              </w:rPr>
            </w:pPr>
          </w:p>
        </w:tc>
      </w:tr>
      <w:tr w14:paraId="767C1B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786" w:type="dxa"/>
            <w:gridSpan w:val="6"/>
            <w:vAlign w:val="center"/>
          </w:tcPr>
          <w:p w14:paraId="22A030C8">
            <w:pPr>
              <w:pStyle w:val="286"/>
              <w:adjustRightInd w:val="0"/>
              <w:snapToGrid w:val="0"/>
              <w:spacing w:line="300" w:lineRule="exact"/>
              <w:rPr>
                <w:rFonts w:hint="eastAsia" w:cs="宋体"/>
                <w:sz w:val="21"/>
              </w:rPr>
            </w:pPr>
            <w:r>
              <w:rPr>
                <w:rFonts w:hint="eastAsia" w:cs="宋体"/>
                <w:sz w:val="21"/>
              </w:rPr>
              <w:t>其他项目（特征污染因子）</w:t>
            </w:r>
          </w:p>
        </w:tc>
      </w:tr>
      <w:tr w14:paraId="5A6775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3" w:type="dxa"/>
            <w:vAlign w:val="center"/>
          </w:tcPr>
          <w:p w14:paraId="122AB7B5">
            <w:pPr>
              <w:pStyle w:val="286"/>
              <w:adjustRightInd w:val="0"/>
              <w:snapToGrid w:val="0"/>
              <w:spacing w:line="300" w:lineRule="exact"/>
              <w:rPr>
                <w:rFonts w:hint="eastAsia" w:cs="宋体"/>
                <w:sz w:val="21"/>
              </w:rPr>
            </w:pPr>
            <w:r>
              <w:rPr>
                <w:rFonts w:hint="eastAsia" w:cs="宋体"/>
                <w:sz w:val="21"/>
              </w:rPr>
              <w:t>46</w:t>
            </w:r>
          </w:p>
        </w:tc>
        <w:tc>
          <w:tcPr>
            <w:tcW w:w="1950" w:type="dxa"/>
            <w:vAlign w:val="center"/>
          </w:tcPr>
          <w:p w14:paraId="0BD65D12">
            <w:pPr>
              <w:pStyle w:val="286"/>
              <w:adjustRightInd w:val="0"/>
              <w:snapToGrid w:val="0"/>
              <w:spacing w:line="300" w:lineRule="exact"/>
              <w:rPr>
                <w:rFonts w:hint="eastAsia" w:cs="宋体"/>
                <w:sz w:val="21"/>
              </w:rPr>
            </w:pPr>
            <w:r>
              <w:rPr>
                <w:rFonts w:hint="eastAsia" w:cs="宋体"/>
                <w:sz w:val="21"/>
              </w:rPr>
              <w:t>石油烃（C</w:t>
            </w:r>
            <w:r>
              <w:rPr>
                <w:rFonts w:hint="eastAsia" w:cs="宋体"/>
                <w:sz w:val="21"/>
                <w:vertAlign w:val="subscript"/>
              </w:rPr>
              <w:t>10</w:t>
            </w:r>
            <w:r>
              <w:rPr>
                <w:rFonts w:hint="eastAsia" w:cs="宋体"/>
                <w:sz w:val="21"/>
              </w:rPr>
              <w:t>～C</w:t>
            </w:r>
            <w:r>
              <w:rPr>
                <w:rFonts w:hint="eastAsia" w:cs="宋体"/>
                <w:sz w:val="21"/>
                <w:vertAlign w:val="subscript"/>
              </w:rPr>
              <w:t>40</w:t>
            </w:r>
            <w:r>
              <w:rPr>
                <w:rFonts w:hint="eastAsia" w:cs="宋体"/>
                <w:sz w:val="21"/>
              </w:rPr>
              <w:t>)</w:t>
            </w:r>
          </w:p>
        </w:tc>
        <w:tc>
          <w:tcPr>
            <w:tcW w:w="1531" w:type="dxa"/>
            <w:vAlign w:val="center"/>
          </w:tcPr>
          <w:p w14:paraId="39BD2580">
            <w:pPr>
              <w:pStyle w:val="286"/>
              <w:adjustRightInd w:val="0"/>
              <w:snapToGrid w:val="0"/>
              <w:spacing w:line="300" w:lineRule="exact"/>
              <w:rPr>
                <w:rFonts w:hint="eastAsia" w:cs="宋体"/>
                <w:sz w:val="21"/>
              </w:rPr>
            </w:pPr>
            <w:r>
              <w:rPr>
                <w:rFonts w:hint="eastAsia" w:cs="宋体"/>
                <w:sz w:val="21"/>
              </w:rPr>
              <w:t>4500</w:t>
            </w:r>
          </w:p>
        </w:tc>
        <w:tc>
          <w:tcPr>
            <w:tcW w:w="1114" w:type="dxa"/>
            <w:vAlign w:val="center"/>
          </w:tcPr>
          <w:p w14:paraId="28546E8D">
            <w:pPr>
              <w:pStyle w:val="286"/>
              <w:adjustRightInd w:val="0"/>
              <w:snapToGrid w:val="0"/>
              <w:spacing w:line="300" w:lineRule="exact"/>
              <w:rPr>
                <w:rFonts w:hint="eastAsia" w:cs="宋体"/>
                <w:sz w:val="21"/>
              </w:rPr>
            </w:pPr>
          </w:p>
        </w:tc>
        <w:tc>
          <w:tcPr>
            <w:tcW w:w="2075" w:type="dxa"/>
            <w:vAlign w:val="center"/>
          </w:tcPr>
          <w:p w14:paraId="4A21E2E6">
            <w:pPr>
              <w:pStyle w:val="286"/>
              <w:adjustRightInd w:val="0"/>
              <w:snapToGrid w:val="0"/>
              <w:spacing w:line="300" w:lineRule="exact"/>
              <w:rPr>
                <w:rFonts w:hint="eastAsia" w:cs="宋体"/>
                <w:sz w:val="21"/>
              </w:rPr>
            </w:pPr>
          </w:p>
        </w:tc>
        <w:tc>
          <w:tcPr>
            <w:tcW w:w="1453" w:type="dxa"/>
            <w:vAlign w:val="center"/>
          </w:tcPr>
          <w:p w14:paraId="110A7CEE">
            <w:pPr>
              <w:pStyle w:val="286"/>
              <w:adjustRightInd w:val="0"/>
              <w:snapToGrid w:val="0"/>
              <w:spacing w:line="300" w:lineRule="exact"/>
              <w:rPr>
                <w:rFonts w:hint="eastAsia" w:cs="宋体"/>
                <w:sz w:val="21"/>
              </w:rPr>
            </w:pPr>
          </w:p>
        </w:tc>
      </w:tr>
    </w:tbl>
    <w:p w14:paraId="53766450">
      <w:pPr>
        <w:pStyle w:val="15"/>
        <w:rPr>
          <w:rFonts w:hint="eastAsia"/>
        </w:rPr>
      </w:pPr>
      <w:bookmarkStart w:id="82" w:name="_Hlk134632593"/>
      <w:bookmarkStart w:id="83" w:name="_Hlk160374526"/>
      <w:r>
        <w:rPr>
          <w:rFonts w:hint="eastAsia"/>
        </w:rPr>
        <w:t>表2.5-6  农用地土壤污染风险筛选值</w:t>
      </w:r>
    </w:p>
    <w:tbl>
      <w:tblPr>
        <w:tblStyle w:val="5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28" w:type="dxa"/>
          <w:bottom w:w="0" w:type="dxa"/>
          <w:right w:w="28" w:type="dxa"/>
        </w:tblCellMar>
      </w:tblPr>
      <w:tblGrid>
        <w:gridCol w:w="822"/>
        <w:gridCol w:w="2088"/>
        <w:gridCol w:w="2616"/>
        <w:gridCol w:w="3260"/>
      </w:tblGrid>
      <w:tr w14:paraId="1D701E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7FF33D1B">
            <w:pPr>
              <w:pStyle w:val="286"/>
              <w:adjustRightInd w:val="0"/>
              <w:snapToGrid w:val="0"/>
              <w:spacing w:line="300" w:lineRule="exact"/>
              <w:rPr>
                <w:rFonts w:hint="eastAsia" w:cs="宋体"/>
              </w:rPr>
            </w:pPr>
            <w:r>
              <w:rPr>
                <w:rFonts w:hint="eastAsia" w:cs="宋体"/>
              </w:rPr>
              <w:t>序号</w:t>
            </w:r>
          </w:p>
        </w:tc>
        <w:tc>
          <w:tcPr>
            <w:tcW w:w="1188" w:type="pct"/>
            <w:vAlign w:val="center"/>
          </w:tcPr>
          <w:p w14:paraId="317C322A">
            <w:pPr>
              <w:pStyle w:val="286"/>
              <w:adjustRightInd w:val="0"/>
              <w:snapToGrid w:val="0"/>
              <w:spacing w:line="300" w:lineRule="exact"/>
              <w:rPr>
                <w:rFonts w:hint="eastAsia" w:cs="宋体"/>
              </w:rPr>
            </w:pPr>
            <w:r>
              <w:rPr>
                <w:rFonts w:hint="eastAsia" w:cs="宋体"/>
              </w:rPr>
              <w:t>项目</w:t>
            </w:r>
          </w:p>
        </w:tc>
        <w:tc>
          <w:tcPr>
            <w:tcW w:w="1489" w:type="pct"/>
            <w:vAlign w:val="center"/>
          </w:tcPr>
          <w:p w14:paraId="049D4AC1">
            <w:pPr>
              <w:pStyle w:val="286"/>
              <w:adjustRightInd w:val="0"/>
              <w:snapToGrid w:val="0"/>
              <w:spacing w:line="300" w:lineRule="exact"/>
              <w:rPr>
                <w:rFonts w:hint="eastAsia" w:cs="宋体"/>
              </w:rPr>
            </w:pPr>
            <w:r>
              <w:rPr>
                <w:rFonts w:hint="eastAsia" w:cs="宋体"/>
              </w:rPr>
              <w:t>单位</w:t>
            </w:r>
          </w:p>
        </w:tc>
        <w:tc>
          <w:tcPr>
            <w:tcW w:w="1855" w:type="pct"/>
            <w:tcBorders>
              <w:right w:val="nil"/>
            </w:tcBorders>
            <w:vAlign w:val="center"/>
          </w:tcPr>
          <w:p w14:paraId="21498B42">
            <w:pPr>
              <w:pStyle w:val="286"/>
              <w:adjustRightInd w:val="0"/>
              <w:snapToGrid w:val="0"/>
              <w:spacing w:line="300" w:lineRule="exact"/>
              <w:rPr>
                <w:rFonts w:hint="eastAsia" w:cs="宋体"/>
              </w:rPr>
            </w:pPr>
            <w:r>
              <w:rPr>
                <w:rFonts w:hint="eastAsia" w:cs="宋体"/>
              </w:rPr>
              <w:t>标准限值（mg/kg）pH＞7.5</w:t>
            </w:r>
          </w:p>
        </w:tc>
      </w:tr>
      <w:tr w14:paraId="05DA16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02EE44F8">
            <w:pPr>
              <w:pStyle w:val="286"/>
              <w:adjustRightInd w:val="0"/>
              <w:snapToGrid w:val="0"/>
              <w:spacing w:line="300" w:lineRule="exact"/>
              <w:rPr>
                <w:rFonts w:hint="eastAsia" w:cs="宋体"/>
              </w:rPr>
            </w:pPr>
            <w:r>
              <w:rPr>
                <w:rFonts w:hint="eastAsia" w:cs="宋体"/>
              </w:rPr>
              <w:t>1</w:t>
            </w:r>
          </w:p>
        </w:tc>
        <w:tc>
          <w:tcPr>
            <w:tcW w:w="1188" w:type="pct"/>
            <w:vAlign w:val="center"/>
          </w:tcPr>
          <w:p w14:paraId="09D89FE2">
            <w:pPr>
              <w:pStyle w:val="286"/>
              <w:adjustRightInd w:val="0"/>
              <w:snapToGrid w:val="0"/>
              <w:spacing w:line="300" w:lineRule="exact"/>
              <w:rPr>
                <w:rFonts w:hint="eastAsia" w:cs="宋体"/>
              </w:rPr>
            </w:pPr>
            <w:r>
              <w:rPr>
                <w:rFonts w:hint="eastAsia" w:cs="宋体"/>
              </w:rPr>
              <w:t>pH</w:t>
            </w:r>
          </w:p>
        </w:tc>
        <w:tc>
          <w:tcPr>
            <w:tcW w:w="1489" w:type="pct"/>
            <w:vAlign w:val="center"/>
          </w:tcPr>
          <w:p w14:paraId="567A6703">
            <w:pPr>
              <w:pStyle w:val="286"/>
              <w:adjustRightInd w:val="0"/>
              <w:snapToGrid w:val="0"/>
              <w:spacing w:line="300" w:lineRule="exact"/>
              <w:rPr>
                <w:rFonts w:hint="eastAsia" w:cs="宋体"/>
              </w:rPr>
            </w:pPr>
            <w:r>
              <w:rPr>
                <w:rFonts w:hint="eastAsia" w:cs="宋体"/>
              </w:rPr>
              <w:t>无量纲</w:t>
            </w:r>
          </w:p>
        </w:tc>
        <w:tc>
          <w:tcPr>
            <w:tcW w:w="1855" w:type="pct"/>
            <w:tcBorders>
              <w:right w:val="nil"/>
            </w:tcBorders>
            <w:vAlign w:val="center"/>
          </w:tcPr>
          <w:p w14:paraId="30CEBA9E">
            <w:pPr>
              <w:pStyle w:val="286"/>
              <w:adjustRightInd w:val="0"/>
              <w:snapToGrid w:val="0"/>
              <w:spacing w:line="300" w:lineRule="exact"/>
              <w:rPr>
                <w:rFonts w:hint="eastAsia" w:cs="宋体"/>
              </w:rPr>
            </w:pPr>
            <w:r>
              <w:rPr>
                <w:rFonts w:hint="eastAsia" w:cs="宋体"/>
              </w:rPr>
              <w:t>/</w:t>
            </w:r>
          </w:p>
        </w:tc>
      </w:tr>
      <w:tr w14:paraId="207C72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468" w:type="pct"/>
            <w:tcBorders>
              <w:left w:val="nil"/>
            </w:tcBorders>
            <w:vAlign w:val="center"/>
          </w:tcPr>
          <w:p w14:paraId="1A9CAF9F">
            <w:pPr>
              <w:pStyle w:val="286"/>
              <w:adjustRightInd w:val="0"/>
              <w:snapToGrid w:val="0"/>
              <w:spacing w:line="300" w:lineRule="exact"/>
              <w:rPr>
                <w:rFonts w:hint="eastAsia" w:cs="宋体"/>
              </w:rPr>
            </w:pPr>
            <w:r>
              <w:rPr>
                <w:rFonts w:hint="eastAsia" w:cs="宋体"/>
              </w:rPr>
              <w:t>2</w:t>
            </w:r>
          </w:p>
        </w:tc>
        <w:tc>
          <w:tcPr>
            <w:tcW w:w="1188" w:type="pct"/>
            <w:vAlign w:val="center"/>
          </w:tcPr>
          <w:p w14:paraId="080A18D1">
            <w:pPr>
              <w:pStyle w:val="286"/>
              <w:adjustRightInd w:val="0"/>
              <w:snapToGrid w:val="0"/>
              <w:spacing w:line="300" w:lineRule="exact"/>
              <w:rPr>
                <w:rFonts w:hint="eastAsia" w:cs="宋体"/>
              </w:rPr>
            </w:pPr>
            <w:r>
              <w:rPr>
                <w:rFonts w:hint="eastAsia" w:cs="宋体"/>
              </w:rPr>
              <w:t>砷</w:t>
            </w:r>
          </w:p>
        </w:tc>
        <w:tc>
          <w:tcPr>
            <w:tcW w:w="1489" w:type="pct"/>
            <w:vAlign w:val="center"/>
          </w:tcPr>
          <w:p w14:paraId="0666CA4B">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306B53D9">
            <w:pPr>
              <w:pStyle w:val="286"/>
              <w:adjustRightInd w:val="0"/>
              <w:snapToGrid w:val="0"/>
              <w:spacing w:line="300" w:lineRule="exact"/>
              <w:rPr>
                <w:rFonts w:hint="eastAsia" w:cs="宋体"/>
              </w:rPr>
            </w:pPr>
            <w:r>
              <w:rPr>
                <w:rFonts w:hint="eastAsia" w:cs="宋体"/>
              </w:rPr>
              <w:t>25</w:t>
            </w:r>
          </w:p>
        </w:tc>
      </w:tr>
      <w:tr w14:paraId="35D8AE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6152497C">
            <w:pPr>
              <w:pStyle w:val="286"/>
              <w:adjustRightInd w:val="0"/>
              <w:snapToGrid w:val="0"/>
              <w:spacing w:line="300" w:lineRule="exact"/>
              <w:rPr>
                <w:rFonts w:hint="eastAsia" w:cs="宋体"/>
              </w:rPr>
            </w:pPr>
            <w:r>
              <w:rPr>
                <w:rFonts w:hint="eastAsia" w:cs="宋体"/>
              </w:rPr>
              <w:t>3</w:t>
            </w:r>
          </w:p>
        </w:tc>
        <w:tc>
          <w:tcPr>
            <w:tcW w:w="1188" w:type="pct"/>
            <w:vAlign w:val="center"/>
          </w:tcPr>
          <w:p w14:paraId="2CDA1442">
            <w:pPr>
              <w:pStyle w:val="286"/>
              <w:adjustRightInd w:val="0"/>
              <w:snapToGrid w:val="0"/>
              <w:spacing w:line="300" w:lineRule="exact"/>
              <w:rPr>
                <w:rFonts w:hint="eastAsia" w:cs="宋体"/>
              </w:rPr>
            </w:pPr>
            <w:r>
              <w:rPr>
                <w:rFonts w:hint="eastAsia" w:cs="宋体"/>
              </w:rPr>
              <w:t>镉</w:t>
            </w:r>
          </w:p>
        </w:tc>
        <w:tc>
          <w:tcPr>
            <w:tcW w:w="1489" w:type="pct"/>
            <w:vAlign w:val="center"/>
          </w:tcPr>
          <w:p w14:paraId="4547E545">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723351DE">
            <w:pPr>
              <w:pStyle w:val="286"/>
              <w:adjustRightInd w:val="0"/>
              <w:snapToGrid w:val="0"/>
              <w:spacing w:line="300" w:lineRule="exact"/>
              <w:rPr>
                <w:rFonts w:hint="eastAsia" w:cs="宋体"/>
              </w:rPr>
            </w:pPr>
            <w:r>
              <w:rPr>
                <w:rFonts w:hint="eastAsia" w:cs="宋体"/>
              </w:rPr>
              <w:t>0.6</w:t>
            </w:r>
          </w:p>
        </w:tc>
      </w:tr>
      <w:tr w14:paraId="6C9376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468" w:type="pct"/>
            <w:tcBorders>
              <w:left w:val="nil"/>
            </w:tcBorders>
            <w:vAlign w:val="center"/>
          </w:tcPr>
          <w:p w14:paraId="54B02F6D">
            <w:pPr>
              <w:pStyle w:val="286"/>
              <w:adjustRightInd w:val="0"/>
              <w:snapToGrid w:val="0"/>
              <w:spacing w:line="300" w:lineRule="exact"/>
              <w:rPr>
                <w:rFonts w:hint="eastAsia" w:cs="宋体"/>
              </w:rPr>
            </w:pPr>
            <w:r>
              <w:rPr>
                <w:rFonts w:hint="eastAsia" w:cs="宋体"/>
              </w:rPr>
              <w:t>4</w:t>
            </w:r>
          </w:p>
        </w:tc>
        <w:tc>
          <w:tcPr>
            <w:tcW w:w="1188" w:type="pct"/>
            <w:vAlign w:val="center"/>
          </w:tcPr>
          <w:p w14:paraId="061859BE">
            <w:pPr>
              <w:pStyle w:val="286"/>
              <w:adjustRightInd w:val="0"/>
              <w:snapToGrid w:val="0"/>
              <w:spacing w:line="300" w:lineRule="exact"/>
              <w:rPr>
                <w:rFonts w:hint="eastAsia" w:cs="宋体"/>
              </w:rPr>
            </w:pPr>
            <w:r>
              <w:rPr>
                <w:rFonts w:hint="eastAsia" w:cs="宋体"/>
              </w:rPr>
              <w:t>铜</w:t>
            </w:r>
          </w:p>
        </w:tc>
        <w:tc>
          <w:tcPr>
            <w:tcW w:w="1489" w:type="pct"/>
            <w:vAlign w:val="center"/>
          </w:tcPr>
          <w:p w14:paraId="6F378C23">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41080ACF">
            <w:pPr>
              <w:pStyle w:val="286"/>
              <w:adjustRightInd w:val="0"/>
              <w:snapToGrid w:val="0"/>
              <w:spacing w:line="300" w:lineRule="exact"/>
              <w:rPr>
                <w:rFonts w:hint="eastAsia" w:cs="宋体"/>
              </w:rPr>
            </w:pPr>
            <w:r>
              <w:rPr>
                <w:rFonts w:hint="eastAsia" w:cs="宋体"/>
              </w:rPr>
              <w:t>100</w:t>
            </w:r>
          </w:p>
        </w:tc>
      </w:tr>
      <w:tr w14:paraId="720542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70433FE4">
            <w:pPr>
              <w:pStyle w:val="286"/>
              <w:adjustRightInd w:val="0"/>
              <w:snapToGrid w:val="0"/>
              <w:spacing w:line="300" w:lineRule="exact"/>
              <w:rPr>
                <w:rFonts w:hint="eastAsia" w:cs="宋体"/>
              </w:rPr>
            </w:pPr>
            <w:r>
              <w:rPr>
                <w:rFonts w:hint="eastAsia" w:cs="宋体"/>
              </w:rPr>
              <w:t>5</w:t>
            </w:r>
          </w:p>
        </w:tc>
        <w:tc>
          <w:tcPr>
            <w:tcW w:w="1188" w:type="pct"/>
            <w:vAlign w:val="center"/>
          </w:tcPr>
          <w:p w14:paraId="5EF6FEBE">
            <w:pPr>
              <w:pStyle w:val="286"/>
              <w:adjustRightInd w:val="0"/>
              <w:snapToGrid w:val="0"/>
              <w:spacing w:line="300" w:lineRule="exact"/>
              <w:rPr>
                <w:rFonts w:hint="eastAsia" w:cs="宋体"/>
              </w:rPr>
            </w:pPr>
            <w:r>
              <w:rPr>
                <w:rFonts w:hint="eastAsia" w:cs="宋体"/>
              </w:rPr>
              <w:t>铅</w:t>
            </w:r>
          </w:p>
        </w:tc>
        <w:tc>
          <w:tcPr>
            <w:tcW w:w="1489" w:type="pct"/>
            <w:vAlign w:val="center"/>
          </w:tcPr>
          <w:p w14:paraId="4497B509">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0B08F756">
            <w:pPr>
              <w:pStyle w:val="286"/>
              <w:adjustRightInd w:val="0"/>
              <w:snapToGrid w:val="0"/>
              <w:spacing w:line="300" w:lineRule="exact"/>
              <w:rPr>
                <w:rFonts w:hint="eastAsia" w:cs="宋体"/>
              </w:rPr>
            </w:pPr>
            <w:r>
              <w:rPr>
                <w:rFonts w:hint="eastAsia" w:cs="宋体"/>
              </w:rPr>
              <w:t>170</w:t>
            </w:r>
          </w:p>
        </w:tc>
      </w:tr>
      <w:tr w14:paraId="5511E5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4ECCAC28">
            <w:pPr>
              <w:pStyle w:val="286"/>
              <w:adjustRightInd w:val="0"/>
              <w:snapToGrid w:val="0"/>
              <w:spacing w:line="300" w:lineRule="exact"/>
              <w:rPr>
                <w:rFonts w:hint="eastAsia" w:cs="宋体"/>
              </w:rPr>
            </w:pPr>
            <w:r>
              <w:rPr>
                <w:rFonts w:hint="eastAsia" w:cs="宋体"/>
              </w:rPr>
              <w:t>6</w:t>
            </w:r>
          </w:p>
        </w:tc>
        <w:tc>
          <w:tcPr>
            <w:tcW w:w="1188" w:type="pct"/>
            <w:vAlign w:val="center"/>
          </w:tcPr>
          <w:p w14:paraId="1CF558DE">
            <w:pPr>
              <w:pStyle w:val="286"/>
              <w:adjustRightInd w:val="0"/>
              <w:snapToGrid w:val="0"/>
              <w:spacing w:line="300" w:lineRule="exact"/>
              <w:rPr>
                <w:rFonts w:hint="eastAsia" w:cs="宋体"/>
              </w:rPr>
            </w:pPr>
            <w:r>
              <w:rPr>
                <w:rFonts w:hint="eastAsia" w:cs="宋体"/>
              </w:rPr>
              <w:t>汞</w:t>
            </w:r>
          </w:p>
        </w:tc>
        <w:tc>
          <w:tcPr>
            <w:tcW w:w="1489" w:type="pct"/>
            <w:vAlign w:val="center"/>
          </w:tcPr>
          <w:p w14:paraId="0B5F0A6D">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581FBFE7">
            <w:pPr>
              <w:pStyle w:val="286"/>
              <w:adjustRightInd w:val="0"/>
              <w:snapToGrid w:val="0"/>
              <w:spacing w:line="300" w:lineRule="exact"/>
              <w:rPr>
                <w:rFonts w:hint="eastAsia" w:cs="宋体"/>
              </w:rPr>
            </w:pPr>
            <w:r>
              <w:rPr>
                <w:rFonts w:hint="eastAsia" w:cs="宋体"/>
              </w:rPr>
              <w:t>3.4</w:t>
            </w:r>
          </w:p>
        </w:tc>
      </w:tr>
      <w:tr w14:paraId="2F51D8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17" w:hRule="atLeast"/>
          <w:jc w:val="center"/>
        </w:trPr>
        <w:tc>
          <w:tcPr>
            <w:tcW w:w="468" w:type="pct"/>
            <w:tcBorders>
              <w:left w:val="nil"/>
            </w:tcBorders>
            <w:vAlign w:val="center"/>
          </w:tcPr>
          <w:p w14:paraId="2AA2E366">
            <w:pPr>
              <w:pStyle w:val="286"/>
              <w:adjustRightInd w:val="0"/>
              <w:snapToGrid w:val="0"/>
              <w:spacing w:line="300" w:lineRule="exact"/>
              <w:rPr>
                <w:rFonts w:hint="eastAsia" w:cs="宋体"/>
              </w:rPr>
            </w:pPr>
            <w:r>
              <w:rPr>
                <w:rFonts w:hint="eastAsia" w:cs="宋体"/>
              </w:rPr>
              <w:t>7</w:t>
            </w:r>
          </w:p>
        </w:tc>
        <w:tc>
          <w:tcPr>
            <w:tcW w:w="1188" w:type="pct"/>
            <w:vAlign w:val="center"/>
          </w:tcPr>
          <w:p w14:paraId="45FA8357">
            <w:pPr>
              <w:pStyle w:val="286"/>
              <w:adjustRightInd w:val="0"/>
              <w:snapToGrid w:val="0"/>
              <w:spacing w:line="300" w:lineRule="exact"/>
              <w:rPr>
                <w:rFonts w:hint="eastAsia" w:cs="宋体"/>
              </w:rPr>
            </w:pPr>
            <w:r>
              <w:rPr>
                <w:rFonts w:hint="eastAsia" w:cs="宋体"/>
              </w:rPr>
              <w:t>镍</w:t>
            </w:r>
          </w:p>
        </w:tc>
        <w:tc>
          <w:tcPr>
            <w:tcW w:w="1489" w:type="pct"/>
            <w:vAlign w:val="center"/>
          </w:tcPr>
          <w:p w14:paraId="368D7ECB">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6D45F195">
            <w:pPr>
              <w:pStyle w:val="286"/>
              <w:adjustRightInd w:val="0"/>
              <w:snapToGrid w:val="0"/>
              <w:spacing w:line="300" w:lineRule="exact"/>
              <w:rPr>
                <w:rFonts w:hint="eastAsia" w:cs="宋体"/>
              </w:rPr>
            </w:pPr>
            <w:r>
              <w:rPr>
                <w:rFonts w:hint="eastAsia" w:cs="宋体"/>
              </w:rPr>
              <w:t>190</w:t>
            </w:r>
          </w:p>
        </w:tc>
      </w:tr>
      <w:tr w14:paraId="5C0F3F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71D9DBA9">
            <w:pPr>
              <w:pStyle w:val="286"/>
              <w:adjustRightInd w:val="0"/>
              <w:snapToGrid w:val="0"/>
              <w:spacing w:line="300" w:lineRule="exact"/>
              <w:rPr>
                <w:rFonts w:hint="eastAsia" w:cs="宋体"/>
              </w:rPr>
            </w:pPr>
            <w:r>
              <w:rPr>
                <w:rFonts w:hint="eastAsia" w:cs="宋体"/>
              </w:rPr>
              <w:t>8</w:t>
            </w:r>
          </w:p>
        </w:tc>
        <w:tc>
          <w:tcPr>
            <w:tcW w:w="1188" w:type="pct"/>
            <w:vAlign w:val="center"/>
          </w:tcPr>
          <w:p w14:paraId="4DCCCF0A">
            <w:pPr>
              <w:pStyle w:val="286"/>
              <w:adjustRightInd w:val="0"/>
              <w:snapToGrid w:val="0"/>
              <w:spacing w:line="300" w:lineRule="exact"/>
              <w:rPr>
                <w:rFonts w:hint="eastAsia" w:cs="宋体"/>
              </w:rPr>
            </w:pPr>
            <w:r>
              <w:rPr>
                <w:rFonts w:hint="eastAsia" w:cs="宋体"/>
              </w:rPr>
              <w:t>铬</w:t>
            </w:r>
          </w:p>
        </w:tc>
        <w:tc>
          <w:tcPr>
            <w:tcW w:w="1489" w:type="pct"/>
            <w:vAlign w:val="center"/>
          </w:tcPr>
          <w:p w14:paraId="452F9B28">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4E603648">
            <w:pPr>
              <w:pStyle w:val="286"/>
              <w:adjustRightInd w:val="0"/>
              <w:snapToGrid w:val="0"/>
              <w:spacing w:line="300" w:lineRule="exact"/>
              <w:rPr>
                <w:rFonts w:hint="eastAsia" w:cs="宋体"/>
              </w:rPr>
            </w:pPr>
            <w:r>
              <w:rPr>
                <w:rFonts w:hint="eastAsia" w:cs="宋体"/>
              </w:rPr>
              <w:t>200</w:t>
            </w:r>
          </w:p>
        </w:tc>
      </w:tr>
      <w:tr w14:paraId="48B62F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5001E9B4">
            <w:pPr>
              <w:pStyle w:val="286"/>
              <w:adjustRightInd w:val="0"/>
              <w:snapToGrid w:val="0"/>
              <w:spacing w:line="300" w:lineRule="exact"/>
              <w:rPr>
                <w:rFonts w:hint="eastAsia" w:cs="宋体"/>
              </w:rPr>
            </w:pPr>
            <w:r>
              <w:rPr>
                <w:rFonts w:hint="eastAsia" w:cs="宋体"/>
              </w:rPr>
              <w:t>9</w:t>
            </w:r>
          </w:p>
        </w:tc>
        <w:tc>
          <w:tcPr>
            <w:tcW w:w="1188" w:type="pct"/>
            <w:vAlign w:val="center"/>
          </w:tcPr>
          <w:p w14:paraId="746F90CE">
            <w:pPr>
              <w:pStyle w:val="286"/>
              <w:adjustRightInd w:val="0"/>
              <w:snapToGrid w:val="0"/>
              <w:spacing w:line="300" w:lineRule="exact"/>
              <w:rPr>
                <w:rFonts w:hint="eastAsia" w:cs="宋体"/>
              </w:rPr>
            </w:pPr>
            <w:r>
              <w:rPr>
                <w:rFonts w:hint="eastAsia" w:cs="宋体"/>
              </w:rPr>
              <w:t>锌</w:t>
            </w:r>
          </w:p>
        </w:tc>
        <w:tc>
          <w:tcPr>
            <w:tcW w:w="1489" w:type="pct"/>
            <w:vAlign w:val="center"/>
          </w:tcPr>
          <w:p w14:paraId="771316AF">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325A2E7D">
            <w:pPr>
              <w:pStyle w:val="286"/>
              <w:adjustRightInd w:val="0"/>
              <w:snapToGrid w:val="0"/>
              <w:spacing w:line="300" w:lineRule="exact"/>
              <w:rPr>
                <w:rFonts w:hint="eastAsia" w:cs="宋体"/>
              </w:rPr>
            </w:pPr>
            <w:r>
              <w:rPr>
                <w:rFonts w:hint="eastAsia" w:cs="宋体"/>
              </w:rPr>
              <w:t>300</w:t>
            </w:r>
          </w:p>
        </w:tc>
      </w:tr>
      <w:tr w14:paraId="1CB05A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68" w:type="pct"/>
            <w:tcBorders>
              <w:left w:val="nil"/>
            </w:tcBorders>
            <w:vAlign w:val="center"/>
          </w:tcPr>
          <w:p w14:paraId="1038D88D">
            <w:pPr>
              <w:pStyle w:val="286"/>
              <w:adjustRightInd w:val="0"/>
              <w:snapToGrid w:val="0"/>
              <w:spacing w:line="300" w:lineRule="exact"/>
              <w:rPr>
                <w:rFonts w:hint="eastAsia" w:cs="宋体"/>
              </w:rPr>
            </w:pPr>
            <w:r>
              <w:rPr>
                <w:rFonts w:hint="eastAsia" w:cs="宋体"/>
              </w:rPr>
              <w:t>10</w:t>
            </w:r>
          </w:p>
        </w:tc>
        <w:tc>
          <w:tcPr>
            <w:tcW w:w="1188" w:type="pct"/>
            <w:vAlign w:val="center"/>
          </w:tcPr>
          <w:p w14:paraId="6FD85B3B">
            <w:pPr>
              <w:pStyle w:val="286"/>
              <w:adjustRightInd w:val="0"/>
              <w:snapToGrid w:val="0"/>
              <w:spacing w:line="300" w:lineRule="exact"/>
              <w:rPr>
                <w:rFonts w:hint="eastAsia" w:cs="宋体"/>
              </w:rPr>
            </w:pPr>
            <w:r>
              <w:rPr>
                <w:rFonts w:hint="eastAsia" w:cs="宋体"/>
              </w:rPr>
              <w:t>石油烃（mg/kg）</w:t>
            </w:r>
          </w:p>
        </w:tc>
        <w:tc>
          <w:tcPr>
            <w:tcW w:w="1489" w:type="pct"/>
            <w:vAlign w:val="center"/>
          </w:tcPr>
          <w:p w14:paraId="5A30E79C">
            <w:pPr>
              <w:pStyle w:val="286"/>
              <w:adjustRightInd w:val="0"/>
              <w:snapToGrid w:val="0"/>
              <w:spacing w:line="300" w:lineRule="exact"/>
              <w:rPr>
                <w:rFonts w:hint="eastAsia" w:cs="宋体"/>
              </w:rPr>
            </w:pPr>
            <w:r>
              <w:rPr>
                <w:rFonts w:hint="eastAsia" w:cs="宋体"/>
              </w:rPr>
              <w:t>mg/kg</w:t>
            </w:r>
          </w:p>
        </w:tc>
        <w:tc>
          <w:tcPr>
            <w:tcW w:w="1855" w:type="pct"/>
            <w:tcBorders>
              <w:right w:val="nil"/>
            </w:tcBorders>
            <w:vAlign w:val="center"/>
          </w:tcPr>
          <w:p w14:paraId="21322B35">
            <w:pPr>
              <w:pStyle w:val="286"/>
              <w:adjustRightInd w:val="0"/>
              <w:snapToGrid w:val="0"/>
              <w:spacing w:line="300" w:lineRule="exact"/>
              <w:rPr>
                <w:rFonts w:hint="eastAsia" w:cs="宋体"/>
              </w:rPr>
            </w:pPr>
            <w:r>
              <w:rPr>
                <w:rFonts w:hint="eastAsia" w:cs="宋体"/>
              </w:rPr>
              <w:t>4500</w:t>
            </w:r>
          </w:p>
        </w:tc>
      </w:tr>
    </w:tbl>
    <w:p w14:paraId="348A276C">
      <w:pPr>
        <w:rPr>
          <w:rFonts w:hint="eastAsia" w:ascii="宋体" w:hAnsi="宋体" w:cs="宋体"/>
          <w:szCs w:val="20"/>
          <w:lang w:val="zh-CN"/>
        </w:rPr>
      </w:pPr>
      <w:r>
        <w:rPr>
          <w:rFonts w:hint="eastAsia" w:ascii="宋体" w:hAnsi="宋体" w:cs="宋体"/>
          <w:szCs w:val="20"/>
          <w:lang w:val="zh-CN"/>
        </w:rPr>
        <w:t>*石油烃参照《土壤环境质量 建设用地土壤污染风险管控标准（试行）》（GB36600-2018）第二类用地风险筛选值。</w:t>
      </w:r>
      <w:bookmarkEnd w:id="82"/>
    </w:p>
    <w:p w14:paraId="4E043A97">
      <w:pPr>
        <w:pStyle w:val="117"/>
        <w:spacing w:line="480" w:lineRule="exact"/>
        <w:ind w:firstLine="480"/>
        <w:rPr>
          <w:rFonts w:hint="eastAsia"/>
        </w:rPr>
      </w:pPr>
      <w:r>
        <w:rPr>
          <w:rFonts w:hint="eastAsia"/>
        </w:rPr>
        <w:t>（2）</w:t>
      </w:r>
      <w:r>
        <w:t>污染物排放标准</w:t>
      </w:r>
    </w:p>
    <w:bookmarkEnd w:id="83"/>
    <w:p w14:paraId="13488C06">
      <w:pPr>
        <w:pStyle w:val="117"/>
        <w:spacing w:line="480" w:lineRule="exact"/>
        <w:ind w:firstLine="480"/>
        <w:rPr>
          <w:rFonts w:hint="eastAsia"/>
        </w:rPr>
      </w:pPr>
      <w:r>
        <w:rPr>
          <w:rFonts w:hint="eastAsia"/>
        </w:rPr>
        <w:t>①废气</w:t>
      </w:r>
    </w:p>
    <w:p w14:paraId="694E1C3F">
      <w:pPr>
        <w:pStyle w:val="191"/>
        <w:ind w:firstLine="480"/>
        <w:rPr>
          <w:rFonts w:hint="eastAsia" w:cs="宋体"/>
          <w:szCs w:val="21"/>
          <w:lang w:bidi="ar"/>
        </w:rPr>
      </w:pPr>
      <w:r>
        <w:rPr>
          <w:rFonts w:hint="eastAsia"/>
        </w:rPr>
        <w:t>厂界无组织非甲烷总烃排放参照执行《陆上石油天然气开采工业大气污染物排放标准》（GB39728—2020）企业边界污染物控制要求，硫化氢排放浓度满足《恶臭污染物排放标准》（GB14554-93）表1二级新改扩建浓度</w:t>
      </w:r>
      <w:bookmarkStart w:id="84" w:name="_Hlk160374517"/>
      <w:bookmarkStart w:id="85" w:name="_Hlk35962026"/>
      <w:r>
        <w:rPr>
          <w:rFonts w:hint="eastAsia"/>
        </w:rPr>
        <w:t>（0.06mg/m</w:t>
      </w:r>
      <w:r>
        <w:rPr>
          <w:rFonts w:hint="eastAsia"/>
          <w:vertAlign w:val="superscript"/>
        </w:rPr>
        <w:t>3</w:t>
      </w:r>
      <w:r>
        <w:rPr>
          <w:rFonts w:hint="eastAsia"/>
        </w:rPr>
        <w:t>），一期放空火炬燃烧烟气中二氧化硫、氮氧化物和颗粒物执行《大气污染物综合排放标准》（GB16297-1996）表2无组织排放监控浓度限值要求</w:t>
      </w:r>
      <w:r>
        <w:rPr>
          <w:rFonts w:hint="eastAsia" w:cs="宋体"/>
          <w:szCs w:val="21"/>
          <w:lang w:bidi="ar"/>
        </w:rPr>
        <w:t>。</w:t>
      </w:r>
    </w:p>
    <w:bookmarkEnd w:id="84"/>
    <w:p w14:paraId="2DEBD970">
      <w:pPr>
        <w:pStyle w:val="117"/>
        <w:spacing w:line="480" w:lineRule="exact"/>
        <w:ind w:firstLine="480"/>
        <w:rPr>
          <w:rFonts w:hint="eastAsia"/>
        </w:rPr>
      </w:pPr>
      <w:r>
        <w:rPr>
          <w:rFonts w:hint="eastAsia"/>
        </w:rPr>
        <w:t>②</w:t>
      </w:r>
      <w:bookmarkEnd w:id="85"/>
      <w:r>
        <w:t>噪声</w:t>
      </w:r>
    </w:p>
    <w:p w14:paraId="0220A8DF">
      <w:pPr>
        <w:pStyle w:val="117"/>
        <w:spacing w:line="480" w:lineRule="exact"/>
        <w:ind w:firstLine="480"/>
        <w:rPr>
          <w:rFonts w:hint="eastAsia"/>
        </w:rPr>
      </w:pPr>
      <w:r>
        <w:t>施工</w:t>
      </w:r>
      <w:r>
        <w:rPr>
          <w:rFonts w:hint="eastAsia"/>
        </w:rPr>
        <w:t>场界环境噪声</w:t>
      </w:r>
      <w:r>
        <w:t>执行《建筑施工场界环境噪声排放标准》（GB12523-2011）</w:t>
      </w:r>
      <w:r>
        <w:rPr>
          <w:rFonts w:hint="eastAsia"/>
        </w:rPr>
        <w:t>相</w:t>
      </w:r>
      <w:r>
        <w:t>关标准</w:t>
      </w:r>
      <w:r>
        <w:rPr>
          <w:rFonts w:hint="eastAsia"/>
        </w:rPr>
        <w:t>；</w:t>
      </w:r>
      <w:r>
        <w:t>运营期</w:t>
      </w:r>
      <w:r>
        <w:rPr>
          <w:rFonts w:hint="eastAsia"/>
        </w:rPr>
        <w:t>厂界</w:t>
      </w:r>
      <w:r>
        <w:t>噪声</w:t>
      </w:r>
      <w:r>
        <w:rPr>
          <w:rFonts w:hint="eastAsia"/>
        </w:rPr>
        <w:t>执行</w:t>
      </w:r>
      <w:r>
        <w:t>《工业企业厂界</w:t>
      </w:r>
      <w:r>
        <w:rPr>
          <w:rFonts w:hint="eastAsia"/>
        </w:rPr>
        <w:t>环境</w:t>
      </w:r>
      <w:r>
        <w:t>噪声排放标准》（GB12348-2008）中2类</w:t>
      </w:r>
      <w:r>
        <w:rPr>
          <w:rFonts w:hint="eastAsia"/>
        </w:rPr>
        <w:t>限值</w:t>
      </w:r>
      <w:r>
        <w:t>，</w:t>
      </w:r>
      <w:r>
        <w:rPr>
          <w:rFonts w:hint="eastAsia"/>
        </w:rPr>
        <w:t>具体</w:t>
      </w:r>
      <w:r>
        <w:t>见</w:t>
      </w:r>
      <w:r>
        <w:rPr>
          <w:rFonts w:hint="eastAsia"/>
        </w:rPr>
        <w:t>表</w:t>
      </w:r>
      <w:r>
        <w:t>2.5</w:t>
      </w:r>
      <w:r>
        <w:rPr>
          <w:rFonts w:hint="eastAsia"/>
        </w:rPr>
        <w:t>-7。</w:t>
      </w:r>
    </w:p>
    <w:p w14:paraId="6DFA573B">
      <w:pPr>
        <w:pStyle w:val="109"/>
        <w:rPr>
          <w:rFonts w:hint="eastAsia"/>
        </w:rPr>
      </w:pPr>
      <w:r>
        <w:rPr>
          <w:rFonts w:hint="eastAsia"/>
        </w:rPr>
        <w:t>表</w:t>
      </w:r>
      <w:r>
        <w:t>2.5</w:t>
      </w:r>
      <w:r>
        <w:rPr>
          <w:rFonts w:hint="eastAsia"/>
        </w:rPr>
        <w:t>-7</w:t>
      </w:r>
      <w:r>
        <w:t xml:space="preserve">  噪声排放标准</w:t>
      </w:r>
      <w:r>
        <w:rPr>
          <w:rFonts w:hint="eastAsia"/>
        </w:rPr>
        <w:t>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3228"/>
        <w:gridCol w:w="1702"/>
        <w:gridCol w:w="1651"/>
        <w:gridCol w:w="2365"/>
      </w:tblGrid>
      <w:tr w14:paraId="47CAA21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804" w:type="pct"/>
            <w:vAlign w:val="center"/>
          </w:tcPr>
          <w:p w14:paraId="37F16DFE">
            <w:pPr>
              <w:pStyle w:val="286"/>
              <w:adjustRightInd w:val="0"/>
              <w:snapToGrid w:val="0"/>
              <w:rPr>
                <w:rFonts w:hint="eastAsia" w:cs="Arial"/>
                <w:kern w:val="2"/>
                <w:sz w:val="21"/>
              </w:rPr>
            </w:pPr>
            <w:r>
              <w:rPr>
                <w:rFonts w:hint="eastAsia" w:cs="Arial"/>
                <w:kern w:val="2"/>
                <w:sz w:val="21"/>
              </w:rPr>
              <w:t>执行地点</w:t>
            </w:r>
          </w:p>
        </w:tc>
        <w:tc>
          <w:tcPr>
            <w:tcW w:w="951" w:type="pct"/>
            <w:vAlign w:val="center"/>
          </w:tcPr>
          <w:p w14:paraId="441570FB">
            <w:pPr>
              <w:pStyle w:val="286"/>
              <w:adjustRightInd w:val="0"/>
              <w:snapToGrid w:val="0"/>
              <w:rPr>
                <w:rFonts w:hint="eastAsia" w:cs="Arial"/>
                <w:kern w:val="2"/>
                <w:sz w:val="21"/>
              </w:rPr>
            </w:pPr>
            <w:r>
              <w:rPr>
                <w:rFonts w:hint="eastAsia" w:cs="Arial"/>
                <w:kern w:val="2"/>
                <w:sz w:val="21"/>
              </w:rPr>
              <w:t>昼间</w:t>
            </w:r>
            <w:r>
              <w:rPr>
                <w:rFonts w:hint="eastAsia"/>
                <w:bCs/>
                <w:sz w:val="21"/>
              </w:rPr>
              <w:t>[</w:t>
            </w:r>
            <w:r>
              <w:rPr>
                <w:bCs/>
                <w:sz w:val="21"/>
              </w:rPr>
              <w:t>dB（A）</w:t>
            </w:r>
            <w:r>
              <w:rPr>
                <w:rFonts w:hint="eastAsia"/>
                <w:bCs/>
                <w:sz w:val="21"/>
              </w:rPr>
              <w:t>]</w:t>
            </w:r>
          </w:p>
        </w:tc>
        <w:tc>
          <w:tcPr>
            <w:tcW w:w="923" w:type="pct"/>
            <w:vAlign w:val="center"/>
          </w:tcPr>
          <w:p w14:paraId="059C2082">
            <w:pPr>
              <w:pStyle w:val="286"/>
              <w:adjustRightInd w:val="0"/>
              <w:snapToGrid w:val="0"/>
              <w:rPr>
                <w:rFonts w:hint="eastAsia" w:cs="Arial"/>
                <w:kern w:val="2"/>
                <w:sz w:val="21"/>
              </w:rPr>
            </w:pPr>
            <w:r>
              <w:rPr>
                <w:rFonts w:hint="eastAsia" w:cs="Arial"/>
                <w:kern w:val="2"/>
                <w:sz w:val="21"/>
              </w:rPr>
              <w:t>夜间</w:t>
            </w:r>
            <w:r>
              <w:rPr>
                <w:rFonts w:hint="eastAsia"/>
                <w:bCs/>
                <w:sz w:val="21"/>
              </w:rPr>
              <w:t>[</w:t>
            </w:r>
            <w:r>
              <w:rPr>
                <w:bCs/>
                <w:sz w:val="21"/>
              </w:rPr>
              <w:t>dB（A）</w:t>
            </w:r>
            <w:r>
              <w:rPr>
                <w:rFonts w:hint="eastAsia"/>
                <w:bCs/>
                <w:sz w:val="21"/>
              </w:rPr>
              <w:t>]</w:t>
            </w:r>
          </w:p>
        </w:tc>
        <w:tc>
          <w:tcPr>
            <w:tcW w:w="1323" w:type="pct"/>
            <w:vAlign w:val="center"/>
          </w:tcPr>
          <w:p w14:paraId="5197CE1A">
            <w:pPr>
              <w:pStyle w:val="286"/>
              <w:adjustRightInd w:val="0"/>
              <w:snapToGrid w:val="0"/>
              <w:rPr>
                <w:rFonts w:hint="eastAsia" w:cs="Arial"/>
                <w:kern w:val="2"/>
                <w:sz w:val="21"/>
              </w:rPr>
            </w:pPr>
            <w:r>
              <w:rPr>
                <w:rFonts w:hint="eastAsia" w:cs="Arial"/>
                <w:kern w:val="2"/>
                <w:sz w:val="21"/>
              </w:rPr>
              <w:t>标准来源</w:t>
            </w:r>
          </w:p>
        </w:tc>
      </w:tr>
      <w:tr w14:paraId="7676769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804" w:type="pct"/>
            <w:vAlign w:val="center"/>
          </w:tcPr>
          <w:p w14:paraId="43B96D14">
            <w:pPr>
              <w:pStyle w:val="286"/>
              <w:adjustRightInd w:val="0"/>
              <w:snapToGrid w:val="0"/>
              <w:rPr>
                <w:rFonts w:hint="eastAsia" w:cs="Arial"/>
                <w:kern w:val="2"/>
                <w:sz w:val="21"/>
              </w:rPr>
            </w:pPr>
            <w:r>
              <w:rPr>
                <w:rFonts w:hint="eastAsia" w:cs="Arial"/>
                <w:kern w:val="2"/>
                <w:sz w:val="21"/>
              </w:rPr>
              <w:t>建筑施工场界</w:t>
            </w:r>
          </w:p>
        </w:tc>
        <w:tc>
          <w:tcPr>
            <w:tcW w:w="951" w:type="pct"/>
            <w:vAlign w:val="center"/>
          </w:tcPr>
          <w:p w14:paraId="3B9A637F">
            <w:pPr>
              <w:pStyle w:val="286"/>
              <w:adjustRightInd w:val="0"/>
              <w:snapToGrid w:val="0"/>
              <w:rPr>
                <w:rFonts w:hint="eastAsia" w:cs="Arial"/>
                <w:kern w:val="2"/>
                <w:sz w:val="21"/>
              </w:rPr>
            </w:pPr>
            <w:r>
              <w:rPr>
                <w:rFonts w:hint="eastAsia" w:cs="Arial"/>
                <w:kern w:val="2"/>
                <w:sz w:val="21"/>
              </w:rPr>
              <w:t>70</w:t>
            </w:r>
          </w:p>
        </w:tc>
        <w:tc>
          <w:tcPr>
            <w:tcW w:w="923" w:type="pct"/>
            <w:vAlign w:val="center"/>
          </w:tcPr>
          <w:p w14:paraId="2CE7C0B3">
            <w:pPr>
              <w:pStyle w:val="286"/>
              <w:adjustRightInd w:val="0"/>
              <w:snapToGrid w:val="0"/>
              <w:rPr>
                <w:rFonts w:hint="eastAsia" w:cs="Arial"/>
                <w:kern w:val="2"/>
                <w:sz w:val="21"/>
              </w:rPr>
            </w:pPr>
            <w:r>
              <w:rPr>
                <w:rFonts w:hint="eastAsia" w:cs="Arial"/>
                <w:kern w:val="2"/>
                <w:sz w:val="21"/>
              </w:rPr>
              <w:t>55</w:t>
            </w:r>
          </w:p>
        </w:tc>
        <w:tc>
          <w:tcPr>
            <w:tcW w:w="1323" w:type="pct"/>
            <w:vAlign w:val="center"/>
          </w:tcPr>
          <w:p w14:paraId="51D86A65">
            <w:pPr>
              <w:pStyle w:val="286"/>
              <w:adjustRightInd w:val="0"/>
              <w:snapToGrid w:val="0"/>
              <w:rPr>
                <w:rFonts w:hint="eastAsia" w:cs="Arial"/>
                <w:kern w:val="2"/>
                <w:sz w:val="21"/>
              </w:rPr>
            </w:pPr>
            <w:r>
              <w:rPr>
                <w:rFonts w:hint="eastAsia" w:cs="Arial"/>
                <w:kern w:val="2"/>
                <w:sz w:val="21"/>
              </w:rPr>
              <w:t>GB12523-2011</w:t>
            </w:r>
          </w:p>
        </w:tc>
      </w:tr>
      <w:tr w14:paraId="1C1344D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804" w:type="pct"/>
            <w:vAlign w:val="center"/>
          </w:tcPr>
          <w:p w14:paraId="39B046CA">
            <w:pPr>
              <w:pStyle w:val="286"/>
              <w:adjustRightInd w:val="0"/>
              <w:snapToGrid w:val="0"/>
              <w:rPr>
                <w:rFonts w:hint="eastAsia" w:cs="Arial"/>
                <w:kern w:val="2"/>
                <w:sz w:val="21"/>
              </w:rPr>
            </w:pPr>
            <w:r>
              <w:rPr>
                <w:rFonts w:hint="eastAsia"/>
                <w:sz w:val="21"/>
              </w:rPr>
              <w:t>场站厂界</w:t>
            </w:r>
          </w:p>
        </w:tc>
        <w:tc>
          <w:tcPr>
            <w:tcW w:w="951" w:type="pct"/>
            <w:vAlign w:val="center"/>
          </w:tcPr>
          <w:p w14:paraId="3A98753F">
            <w:pPr>
              <w:pStyle w:val="286"/>
              <w:adjustRightInd w:val="0"/>
              <w:snapToGrid w:val="0"/>
              <w:rPr>
                <w:rFonts w:hint="eastAsia" w:cs="Arial"/>
                <w:kern w:val="2"/>
                <w:sz w:val="21"/>
              </w:rPr>
            </w:pPr>
            <w:r>
              <w:rPr>
                <w:rFonts w:hint="eastAsia" w:cs="Arial"/>
                <w:kern w:val="2"/>
                <w:sz w:val="21"/>
              </w:rPr>
              <w:t>6</w:t>
            </w:r>
            <w:r>
              <w:rPr>
                <w:rFonts w:cs="Arial"/>
                <w:kern w:val="2"/>
                <w:sz w:val="21"/>
              </w:rPr>
              <w:t>0</w:t>
            </w:r>
          </w:p>
        </w:tc>
        <w:tc>
          <w:tcPr>
            <w:tcW w:w="923" w:type="pct"/>
            <w:vAlign w:val="center"/>
          </w:tcPr>
          <w:p w14:paraId="05D6BEC4">
            <w:pPr>
              <w:pStyle w:val="286"/>
              <w:adjustRightInd w:val="0"/>
              <w:snapToGrid w:val="0"/>
              <w:rPr>
                <w:rFonts w:hint="eastAsia" w:cs="Arial"/>
                <w:kern w:val="2"/>
                <w:sz w:val="21"/>
              </w:rPr>
            </w:pPr>
            <w:r>
              <w:rPr>
                <w:rFonts w:hint="eastAsia" w:cs="Arial"/>
                <w:kern w:val="2"/>
                <w:sz w:val="21"/>
              </w:rPr>
              <w:t>5</w:t>
            </w:r>
            <w:r>
              <w:rPr>
                <w:rFonts w:cs="Arial"/>
                <w:kern w:val="2"/>
                <w:sz w:val="21"/>
              </w:rPr>
              <w:t>0</w:t>
            </w:r>
          </w:p>
        </w:tc>
        <w:tc>
          <w:tcPr>
            <w:tcW w:w="1323" w:type="pct"/>
            <w:vAlign w:val="center"/>
          </w:tcPr>
          <w:p w14:paraId="1A61269E">
            <w:pPr>
              <w:pStyle w:val="286"/>
              <w:adjustRightInd w:val="0"/>
              <w:snapToGrid w:val="0"/>
              <w:rPr>
                <w:rFonts w:hint="eastAsia" w:cs="Arial"/>
                <w:kern w:val="2"/>
                <w:sz w:val="21"/>
              </w:rPr>
            </w:pPr>
            <w:r>
              <w:rPr>
                <w:rFonts w:hint="eastAsia" w:cs="Arial"/>
                <w:kern w:val="2"/>
                <w:sz w:val="21"/>
              </w:rPr>
              <w:t xml:space="preserve">GB12348-2008  </w:t>
            </w:r>
            <w:r>
              <w:rPr>
                <w:rFonts w:cs="Arial"/>
                <w:kern w:val="2"/>
                <w:sz w:val="21"/>
              </w:rPr>
              <w:t>2</w:t>
            </w:r>
            <w:r>
              <w:rPr>
                <w:rFonts w:hint="eastAsia" w:cs="Arial"/>
                <w:kern w:val="2"/>
                <w:sz w:val="21"/>
              </w:rPr>
              <w:t>类</w:t>
            </w:r>
          </w:p>
        </w:tc>
      </w:tr>
    </w:tbl>
    <w:p w14:paraId="56E0AB8D">
      <w:pPr>
        <w:pStyle w:val="117"/>
        <w:spacing w:line="480" w:lineRule="exact"/>
        <w:ind w:firstLine="480"/>
        <w:rPr>
          <w:rFonts w:hint="eastAsia"/>
          <w:lang w:val="zh-CN"/>
        </w:rPr>
      </w:pPr>
      <w:bookmarkStart w:id="86" w:name="_Toc445996330"/>
      <w:bookmarkStart w:id="87" w:name="_Toc475624462"/>
      <w:bookmarkStart w:id="88" w:name="_Toc459026556"/>
      <w:r>
        <w:rPr>
          <w:rFonts w:hint="eastAsia"/>
          <w:lang w:val="zh-CN"/>
        </w:rPr>
        <w:t>（3）污染物控制标准</w:t>
      </w:r>
    </w:p>
    <w:p w14:paraId="7DD4E483">
      <w:pPr>
        <w:pStyle w:val="117"/>
        <w:spacing w:line="480" w:lineRule="exact"/>
        <w:ind w:firstLine="480"/>
        <w:rPr>
          <w:rFonts w:hint="eastAsia"/>
          <w:lang w:val="zh-CN"/>
        </w:rPr>
      </w:pPr>
      <w:r>
        <w:rPr>
          <w:rFonts w:hint="eastAsia"/>
          <w:lang w:val="zh-CN"/>
        </w:rPr>
        <w:t>钻井岩屑执行《油气田钻井固体废物综合利用污染控制要求》(DB65/T3997-2017)；危险废物收集、贮存和运输过程的污染控制执行《危险废物贮存污染控制标准》（</w:t>
      </w:r>
      <w:r>
        <w:rPr>
          <w:lang w:val="zh-CN"/>
        </w:rPr>
        <w:t>GB18597-2023</w:t>
      </w:r>
      <w:r>
        <w:rPr>
          <w:rFonts w:hint="eastAsia"/>
          <w:lang w:val="zh-CN"/>
        </w:rPr>
        <w:t>）、《危险废物收集 贮存 运输技术规范》（</w:t>
      </w:r>
      <w:r>
        <w:rPr>
          <w:lang w:val="zh-CN"/>
        </w:rPr>
        <w:t>HJ2025-2012</w:t>
      </w:r>
      <w:r>
        <w:rPr>
          <w:rFonts w:hint="eastAsia"/>
          <w:lang w:val="zh-CN"/>
        </w:rPr>
        <w:t>）中的相关要求。</w:t>
      </w:r>
    </w:p>
    <w:p w14:paraId="4823F163">
      <w:pPr>
        <w:pStyle w:val="2"/>
        <w:rPr>
          <w:rFonts w:hint="eastAsia"/>
          <w:lang w:val="zh-CN"/>
        </w:rPr>
      </w:pPr>
      <w:bookmarkStart w:id="89" w:name="_Toc160381867"/>
      <w:r>
        <w:rPr>
          <w:rFonts w:hint="eastAsia"/>
          <w:lang w:val="zh-CN"/>
        </w:rPr>
        <w:t>评价等级与</w:t>
      </w:r>
      <w:r>
        <w:rPr>
          <w:rFonts w:hint="eastAsia"/>
        </w:rPr>
        <w:t>评价范围</w:t>
      </w:r>
      <w:bookmarkEnd w:id="86"/>
      <w:bookmarkEnd w:id="87"/>
      <w:bookmarkEnd w:id="88"/>
      <w:bookmarkEnd w:id="89"/>
    </w:p>
    <w:p w14:paraId="25F032B1">
      <w:pPr>
        <w:pStyle w:val="4"/>
        <w:rPr>
          <w:rFonts w:hint="eastAsia"/>
          <w:lang w:val="zh-CN"/>
        </w:rPr>
      </w:pPr>
      <w:bookmarkStart w:id="90" w:name="_Toc445996331"/>
      <w:r>
        <w:rPr>
          <w:rFonts w:hint="eastAsia"/>
          <w:lang w:val="zh-CN"/>
        </w:rPr>
        <w:t>评价等级</w:t>
      </w:r>
      <w:bookmarkEnd w:id="90"/>
    </w:p>
    <w:p w14:paraId="0AD56DF8">
      <w:pPr>
        <w:pStyle w:val="117"/>
        <w:adjustRightInd w:val="0"/>
        <w:snapToGrid w:val="0"/>
        <w:ind w:firstLine="480"/>
        <w:rPr>
          <w:rFonts w:hint="eastAsia"/>
        </w:rPr>
      </w:pPr>
      <w:bookmarkStart w:id="91" w:name="_Toc445841974"/>
      <w:bookmarkStart w:id="92" w:name="_Toc16125"/>
      <w:r>
        <w:rPr>
          <w:rFonts w:hint="eastAsia"/>
        </w:rPr>
        <w:t>（1）环境空气评价等级</w:t>
      </w:r>
      <w:bookmarkEnd w:id="91"/>
      <w:bookmarkEnd w:id="92"/>
    </w:p>
    <w:p w14:paraId="38E88961">
      <w:pPr>
        <w:pStyle w:val="191"/>
        <w:adjustRightInd w:val="0"/>
        <w:snapToGrid w:val="0"/>
        <w:ind w:firstLine="480"/>
        <w:rPr>
          <w:rFonts w:hint="eastAsia"/>
          <w:lang w:bidi="ar"/>
        </w:rPr>
      </w:pPr>
      <w:bookmarkStart w:id="93" w:name="_Hlk511383418"/>
      <w:r>
        <w:rPr>
          <w:rFonts w:hint="eastAsia"/>
          <w:lang w:bidi="ar"/>
        </w:rPr>
        <w:t>根据工程特点和污染特征，本次评价选取N</w:t>
      </w:r>
      <w:r>
        <w:rPr>
          <w:lang w:bidi="ar"/>
        </w:rPr>
        <w:t>MHC</w:t>
      </w:r>
      <w:r>
        <w:rPr>
          <w:rFonts w:hint="eastAsia"/>
          <w:lang w:bidi="ar"/>
        </w:rPr>
        <w:t>、H</w:t>
      </w:r>
      <w:r>
        <w:rPr>
          <w:rFonts w:hint="eastAsia"/>
          <w:vertAlign w:val="subscript"/>
          <w:lang w:bidi="ar"/>
        </w:rPr>
        <w:t>2</w:t>
      </w:r>
      <w:r>
        <w:rPr>
          <w:rFonts w:hint="eastAsia"/>
          <w:lang w:bidi="ar"/>
        </w:rPr>
        <w:t>S、二氧化硫、氮氧化物和颗粒物为预测因子，采用《环境影响评价技术导则  大气环境》（HJ2.2-2018）中推荐的AERSCREEN估算模式来计算污染物的最大地面空气质量浓度占标率（</w:t>
      </w:r>
      <w:r>
        <w:rPr>
          <w:rFonts w:hint="eastAsia"/>
          <w:i/>
          <w:lang w:bidi="ar"/>
        </w:rPr>
        <w:t>P</w:t>
      </w:r>
      <w:r>
        <w:rPr>
          <w:rFonts w:hint="eastAsia"/>
          <w:i/>
          <w:vertAlign w:val="subscript"/>
          <w:lang w:bidi="ar"/>
        </w:rPr>
        <w:t>i</w:t>
      </w:r>
      <w:r>
        <w:rPr>
          <w:rFonts w:hint="eastAsia"/>
          <w:lang w:bidi="ar"/>
        </w:rPr>
        <w:t>），</w:t>
      </w:r>
      <w:r>
        <w:rPr>
          <w:rFonts w:hint="eastAsia"/>
          <w:i/>
          <w:lang w:bidi="ar"/>
        </w:rPr>
        <w:t>P</w:t>
      </w:r>
      <w:r>
        <w:rPr>
          <w:rFonts w:hint="eastAsia"/>
          <w:i/>
          <w:vertAlign w:val="subscript"/>
          <w:lang w:bidi="ar"/>
        </w:rPr>
        <w:t>i</w:t>
      </w:r>
      <w:r>
        <w:rPr>
          <w:rFonts w:hint="eastAsia"/>
          <w:lang w:bidi="ar"/>
        </w:rPr>
        <w:t>定义如下：</w:t>
      </w:r>
    </w:p>
    <w:p w14:paraId="4BEB1040">
      <w:pPr>
        <w:adjustRightInd w:val="0"/>
        <w:snapToGrid w:val="0"/>
        <w:spacing w:line="360" w:lineRule="auto"/>
        <w:ind w:firstLine="480" w:firstLineChars="200"/>
        <w:jc w:val="center"/>
        <w:textAlignment w:val="baseline"/>
        <w:rPr>
          <w:kern w:val="0"/>
          <w:sz w:val="24"/>
          <w:szCs w:val="24"/>
        </w:rPr>
      </w:pPr>
      <w:r>
        <w:rPr>
          <w:kern w:val="0"/>
          <w:position w:val="-30"/>
          <w:sz w:val="24"/>
          <w:szCs w:val="24"/>
          <w:lang w:bidi="ar"/>
        </w:rPr>
        <w:drawing>
          <wp:inline distT="0" distB="0" distL="0" distR="0">
            <wp:extent cx="1015365" cy="448945"/>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015365" cy="448945"/>
                    </a:xfrm>
                    <a:prstGeom prst="rect">
                      <a:avLst/>
                    </a:prstGeom>
                    <a:noFill/>
                    <a:ln>
                      <a:noFill/>
                    </a:ln>
                  </pic:spPr>
                </pic:pic>
              </a:graphicData>
            </a:graphic>
          </wp:inline>
        </w:drawing>
      </w:r>
    </w:p>
    <w:p w14:paraId="13DB4211">
      <w:pPr>
        <w:pStyle w:val="191"/>
        <w:adjustRightInd w:val="0"/>
        <w:snapToGrid w:val="0"/>
        <w:ind w:firstLine="480"/>
        <w:rPr>
          <w:rFonts w:hint="eastAsia"/>
        </w:rPr>
      </w:pPr>
      <w:r>
        <w:rPr>
          <w:rFonts w:hint="eastAsia"/>
          <w:lang w:bidi="ar"/>
        </w:rPr>
        <w:t xml:space="preserve">    其中：</w:t>
      </w:r>
      <w:r>
        <w:rPr>
          <w:rFonts w:hint="eastAsia"/>
          <w:i/>
          <w:lang w:bidi="ar"/>
        </w:rPr>
        <w:t>P</w:t>
      </w:r>
      <w:r>
        <w:rPr>
          <w:rFonts w:hint="eastAsia"/>
          <w:i/>
          <w:vertAlign w:val="subscript"/>
          <w:lang w:bidi="ar"/>
        </w:rPr>
        <w:t>i</w:t>
      </w:r>
      <w:r>
        <w:rPr>
          <w:rFonts w:hint="eastAsia"/>
          <w:lang w:bidi="ar"/>
        </w:rPr>
        <w:t>——第i种污染物的最大地面空气质量浓度占标率，%；</w:t>
      </w:r>
    </w:p>
    <w:p w14:paraId="5D823F58">
      <w:pPr>
        <w:adjustRightInd w:val="0"/>
        <w:snapToGrid w:val="0"/>
        <w:spacing w:line="500" w:lineRule="exact"/>
        <w:ind w:firstLine="480" w:firstLineChars="200"/>
        <w:rPr>
          <w:rFonts w:hint="eastAsia" w:ascii="宋体" w:hAnsi="宋体" w:cs="宋体"/>
          <w:kern w:val="0"/>
          <w:sz w:val="24"/>
          <w:szCs w:val="24"/>
          <w:lang w:val="zh-CN" w:bidi="ar"/>
        </w:rPr>
      </w:pPr>
      <w:r>
        <w:rPr>
          <w:rFonts w:hint="eastAsia" w:ascii="宋体" w:hAnsi="宋体" w:cs="宋体"/>
          <w:kern w:val="0"/>
          <w:sz w:val="24"/>
          <w:szCs w:val="24"/>
          <w:lang w:val="zh-CN" w:bidi="ar"/>
        </w:rPr>
        <w:t xml:space="preserve">          C</w:t>
      </w:r>
      <w:r>
        <w:rPr>
          <w:rFonts w:hint="eastAsia" w:ascii="宋体" w:hAnsi="宋体" w:cs="宋体"/>
          <w:kern w:val="0"/>
          <w:sz w:val="24"/>
          <w:szCs w:val="24"/>
          <w:vertAlign w:val="subscript"/>
          <w:lang w:val="zh-CN" w:bidi="ar"/>
        </w:rPr>
        <w:t>i</w:t>
      </w:r>
      <w:r>
        <w:rPr>
          <w:rFonts w:hint="eastAsia" w:ascii="宋体" w:hAnsi="宋体" w:cs="宋体"/>
          <w:kern w:val="0"/>
          <w:sz w:val="24"/>
          <w:szCs w:val="24"/>
          <w:lang w:val="zh-CN" w:bidi="ar"/>
        </w:rPr>
        <w:t>——采用估算模型计算出的第i个污染物的最大1h地面空气质量</w:t>
      </w:r>
    </w:p>
    <w:p w14:paraId="68C50382">
      <w:pPr>
        <w:adjustRightInd w:val="0"/>
        <w:snapToGrid w:val="0"/>
        <w:spacing w:line="500" w:lineRule="exact"/>
        <w:ind w:firstLine="2400" w:firstLineChars="1000"/>
        <w:rPr>
          <w:rFonts w:hint="eastAsia" w:ascii="宋体" w:hAnsi="宋体" w:cs="宋体"/>
          <w:kern w:val="0"/>
          <w:sz w:val="24"/>
          <w:szCs w:val="24"/>
          <w:lang w:val="zh-CN"/>
        </w:rPr>
      </w:pPr>
      <w:r>
        <w:rPr>
          <w:rFonts w:hint="eastAsia" w:ascii="宋体" w:hAnsi="宋体" w:cs="宋体"/>
          <w:kern w:val="0"/>
          <w:sz w:val="24"/>
          <w:szCs w:val="24"/>
          <w:lang w:val="zh-CN" w:bidi="ar"/>
        </w:rPr>
        <w:t>浓度，μg/m</w:t>
      </w:r>
      <w:r>
        <w:rPr>
          <w:rFonts w:hint="eastAsia" w:ascii="宋体" w:hAnsi="宋体" w:cs="宋体"/>
          <w:kern w:val="0"/>
          <w:sz w:val="24"/>
          <w:szCs w:val="24"/>
          <w:vertAlign w:val="superscript"/>
          <w:lang w:val="zh-CN" w:bidi="ar"/>
        </w:rPr>
        <w:t>3</w:t>
      </w:r>
      <w:r>
        <w:rPr>
          <w:rFonts w:hint="eastAsia" w:ascii="宋体" w:hAnsi="宋体" w:cs="宋体"/>
          <w:kern w:val="0"/>
          <w:sz w:val="24"/>
          <w:szCs w:val="24"/>
          <w:lang w:val="zh-CN" w:bidi="ar"/>
        </w:rPr>
        <w:t>；</w:t>
      </w:r>
    </w:p>
    <w:p w14:paraId="69248BAF">
      <w:pPr>
        <w:pStyle w:val="191"/>
        <w:adjustRightInd w:val="0"/>
        <w:snapToGrid w:val="0"/>
        <w:ind w:firstLine="480"/>
        <w:rPr>
          <w:rFonts w:hint="eastAsia"/>
        </w:rPr>
      </w:pPr>
      <w:r>
        <w:rPr>
          <w:rFonts w:hint="eastAsia"/>
          <w:i/>
          <w:lang w:bidi="ar"/>
        </w:rPr>
        <w:t xml:space="preserve">          C</w:t>
      </w:r>
      <w:r>
        <w:rPr>
          <w:rFonts w:hint="eastAsia"/>
          <w:i/>
          <w:vertAlign w:val="subscript"/>
          <w:lang w:bidi="ar"/>
        </w:rPr>
        <w:t>0i</w:t>
      </w:r>
      <w:r>
        <w:rPr>
          <w:rFonts w:hint="eastAsia"/>
          <w:lang w:bidi="ar"/>
        </w:rPr>
        <w:t>——第i个污染物的环境空气质量浓度标准，μg/m</w:t>
      </w:r>
      <w:r>
        <w:rPr>
          <w:rFonts w:hint="eastAsia"/>
          <w:vertAlign w:val="superscript"/>
          <w:lang w:bidi="ar"/>
        </w:rPr>
        <w:t>3</w:t>
      </w:r>
      <w:r>
        <w:rPr>
          <w:rFonts w:hint="eastAsia"/>
          <w:lang w:bidi="ar"/>
        </w:rPr>
        <w:t>。</w:t>
      </w:r>
    </w:p>
    <w:p w14:paraId="4D16CF6A">
      <w:pPr>
        <w:pStyle w:val="191"/>
        <w:adjustRightInd w:val="0"/>
        <w:snapToGrid w:val="0"/>
        <w:ind w:firstLine="480"/>
        <w:rPr>
          <w:rFonts w:hint="eastAsia"/>
          <w:lang w:bidi="ar"/>
        </w:rPr>
      </w:pPr>
      <w:r>
        <w:rPr>
          <w:rFonts w:hint="eastAsia"/>
          <w:lang w:bidi="ar"/>
        </w:rPr>
        <w:t>源强参数见</w:t>
      </w:r>
      <w:r>
        <w:rPr>
          <w:lang w:bidi="ar"/>
        </w:rPr>
        <w:t>5</w:t>
      </w:r>
      <w:r>
        <w:rPr>
          <w:rFonts w:hint="eastAsia"/>
          <w:lang w:bidi="ar"/>
        </w:rPr>
        <w:t>.2.1章节，预测结果见表2.</w:t>
      </w:r>
      <w:r>
        <w:rPr>
          <w:lang w:bidi="ar"/>
        </w:rPr>
        <w:t>6</w:t>
      </w:r>
      <w:r>
        <w:rPr>
          <w:rFonts w:hint="eastAsia"/>
          <w:lang w:bidi="ar"/>
        </w:rPr>
        <w:t>-1。</w:t>
      </w:r>
    </w:p>
    <w:p w14:paraId="04F78116">
      <w:pPr>
        <w:pStyle w:val="109"/>
        <w:rPr>
          <w:rFonts w:hint="eastAsia"/>
        </w:rPr>
      </w:pPr>
      <w:r>
        <w:rPr>
          <w:rFonts w:hint="eastAsia"/>
        </w:rPr>
        <w:t>表2.</w:t>
      </w:r>
      <w:r>
        <w:t>6</w:t>
      </w:r>
      <w:r>
        <w:rPr>
          <w:rFonts w:hint="eastAsia"/>
        </w:rPr>
        <w:t>-1  大气污染物最大落地浓度及占标率估算结果一览表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868"/>
        <w:gridCol w:w="1764"/>
        <w:gridCol w:w="1743"/>
        <w:gridCol w:w="1623"/>
        <w:gridCol w:w="1948"/>
      </w:tblGrid>
      <w:tr w14:paraId="1E1230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Align w:val="center"/>
          </w:tcPr>
          <w:p w14:paraId="2E4E654B">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平台号</w:t>
            </w:r>
          </w:p>
        </w:tc>
        <w:tc>
          <w:tcPr>
            <w:tcW w:w="986" w:type="pct"/>
            <w:vAlign w:val="center"/>
          </w:tcPr>
          <w:p w14:paraId="1090C744">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污染因子</w:t>
            </w:r>
          </w:p>
        </w:tc>
        <w:tc>
          <w:tcPr>
            <w:tcW w:w="974" w:type="pct"/>
            <w:vAlign w:val="center"/>
          </w:tcPr>
          <w:p w14:paraId="1D392717">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最大落地浓度</w:t>
            </w:r>
          </w:p>
          <w:p w14:paraId="349D575A">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（μg/m</w:t>
            </w:r>
            <w:r>
              <w:rPr>
                <w:rFonts w:hint="eastAsia" w:ascii="宋体" w:hAnsi="宋体"/>
                <w:kern w:val="0"/>
                <w:szCs w:val="21"/>
                <w:vertAlign w:val="superscript"/>
              </w:rPr>
              <w:t>3</w:t>
            </w:r>
            <w:r>
              <w:rPr>
                <w:rFonts w:hint="eastAsia" w:ascii="宋体" w:hAnsi="宋体"/>
                <w:kern w:val="0"/>
                <w:szCs w:val="21"/>
              </w:rPr>
              <w:t>）</w:t>
            </w:r>
          </w:p>
        </w:tc>
        <w:tc>
          <w:tcPr>
            <w:tcW w:w="907" w:type="pct"/>
            <w:vAlign w:val="center"/>
          </w:tcPr>
          <w:p w14:paraId="132CE1CD">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最大浓度占标率（%</w:t>
            </w:r>
            <w:r>
              <w:rPr>
                <w:rFonts w:ascii="宋体" w:hAnsi="宋体"/>
                <w:kern w:val="0"/>
                <w:szCs w:val="21"/>
              </w:rPr>
              <w:t>）</w:t>
            </w:r>
          </w:p>
        </w:tc>
        <w:tc>
          <w:tcPr>
            <w:tcW w:w="1089" w:type="pct"/>
            <w:vAlign w:val="center"/>
          </w:tcPr>
          <w:p w14:paraId="3BDF419A">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最大落地浓度</w:t>
            </w:r>
          </w:p>
          <w:p w14:paraId="7EE47966">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对应距离（m）</w:t>
            </w:r>
          </w:p>
        </w:tc>
      </w:tr>
      <w:tr w14:paraId="09BCC3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restart"/>
            <w:vAlign w:val="center"/>
          </w:tcPr>
          <w:p w14:paraId="421C90DA">
            <w:pPr>
              <w:adjustRightInd w:val="0"/>
              <w:snapToGrid w:val="0"/>
              <w:spacing w:line="300" w:lineRule="exact"/>
              <w:jc w:val="center"/>
              <w:textAlignment w:val="baseline"/>
              <w:rPr>
                <w:rFonts w:hint="eastAsia" w:ascii="宋体" w:hAnsi="宋体"/>
                <w:kern w:val="0"/>
                <w:szCs w:val="21"/>
              </w:rPr>
            </w:pPr>
            <w:r>
              <w:rPr>
                <w:rFonts w:hint="eastAsia" w:ascii="宋体" w:hAnsi="宋体" w:cs="宋体"/>
                <w:bCs/>
                <w:szCs w:val="21"/>
              </w:rPr>
              <w:t>一期工程无组织废气</w:t>
            </w:r>
          </w:p>
        </w:tc>
        <w:tc>
          <w:tcPr>
            <w:tcW w:w="986" w:type="pct"/>
            <w:vAlign w:val="center"/>
          </w:tcPr>
          <w:p w14:paraId="1D2A21F9">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N</w:t>
            </w:r>
            <w:r>
              <w:rPr>
                <w:rFonts w:ascii="宋体" w:hAnsi="宋体"/>
                <w:kern w:val="0"/>
                <w:szCs w:val="21"/>
              </w:rPr>
              <w:t>MHC</w:t>
            </w:r>
          </w:p>
        </w:tc>
        <w:tc>
          <w:tcPr>
            <w:tcW w:w="974" w:type="pct"/>
            <w:vAlign w:val="center"/>
          </w:tcPr>
          <w:p w14:paraId="74660B32">
            <w:pPr>
              <w:adjustRightInd w:val="0"/>
              <w:snapToGrid w:val="0"/>
              <w:spacing w:line="300" w:lineRule="exact"/>
              <w:jc w:val="center"/>
              <w:rPr>
                <w:rFonts w:hint="eastAsia" w:ascii="宋体" w:hAnsi="宋体"/>
                <w:szCs w:val="21"/>
              </w:rPr>
            </w:pPr>
            <w:r>
              <w:rPr>
                <w:rFonts w:hint="eastAsia" w:ascii="宋体" w:hAnsi="宋体"/>
                <w:szCs w:val="21"/>
              </w:rPr>
              <w:t>181.41</w:t>
            </w:r>
          </w:p>
        </w:tc>
        <w:tc>
          <w:tcPr>
            <w:tcW w:w="907" w:type="pct"/>
            <w:vAlign w:val="center"/>
          </w:tcPr>
          <w:p w14:paraId="09C870C8">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9.07</w:t>
            </w:r>
          </w:p>
        </w:tc>
        <w:tc>
          <w:tcPr>
            <w:tcW w:w="1089" w:type="pct"/>
            <w:vMerge w:val="restart"/>
            <w:vAlign w:val="center"/>
          </w:tcPr>
          <w:p w14:paraId="699B669F">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161</w:t>
            </w:r>
          </w:p>
        </w:tc>
      </w:tr>
      <w:tr w14:paraId="70F4E30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continue"/>
            <w:vAlign w:val="center"/>
          </w:tcPr>
          <w:p w14:paraId="66AFCE7E">
            <w:pPr>
              <w:adjustRightInd w:val="0"/>
              <w:snapToGrid w:val="0"/>
              <w:spacing w:line="300" w:lineRule="exact"/>
              <w:jc w:val="center"/>
              <w:textAlignment w:val="baseline"/>
              <w:rPr>
                <w:rFonts w:hint="eastAsia" w:ascii="宋体" w:hAnsi="宋体"/>
                <w:szCs w:val="21"/>
              </w:rPr>
            </w:pPr>
          </w:p>
        </w:tc>
        <w:tc>
          <w:tcPr>
            <w:tcW w:w="986" w:type="pct"/>
            <w:vAlign w:val="center"/>
          </w:tcPr>
          <w:p w14:paraId="0191A519">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H</w:t>
            </w:r>
            <w:r>
              <w:rPr>
                <w:rFonts w:hint="eastAsia" w:ascii="宋体" w:hAnsi="宋体"/>
                <w:kern w:val="0"/>
                <w:szCs w:val="21"/>
                <w:vertAlign w:val="subscript"/>
              </w:rPr>
              <w:t>2</w:t>
            </w:r>
            <w:r>
              <w:rPr>
                <w:rFonts w:hint="eastAsia" w:ascii="宋体" w:hAnsi="宋体"/>
                <w:kern w:val="0"/>
                <w:szCs w:val="21"/>
              </w:rPr>
              <w:t>S</w:t>
            </w:r>
          </w:p>
        </w:tc>
        <w:tc>
          <w:tcPr>
            <w:tcW w:w="974" w:type="pct"/>
            <w:vAlign w:val="center"/>
          </w:tcPr>
          <w:p w14:paraId="4B776415">
            <w:pPr>
              <w:adjustRightInd w:val="0"/>
              <w:snapToGrid w:val="0"/>
              <w:spacing w:line="300" w:lineRule="exact"/>
              <w:jc w:val="center"/>
              <w:rPr>
                <w:rFonts w:hint="eastAsia" w:ascii="宋体" w:hAnsi="宋体"/>
                <w:szCs w:val="21"/>
              </w:rPr>
            </w:pPr>
            <w:r>
              <w:rPr>
                <w:rFonts w:hint="eastAsia" w:ascii="宋体" w:hAnsi="宋体"/>
                <w:szCs w:val="21"/>
              </w:rPr>
              <w:t>0.0355</w:t>
            </w:r>
          </w:p>
        </w:tc>
        <w:tc>
          <w:tcPr>
            <w:tcW w:w="907" w:type="pct"/>
            <w:vAlign w:val="center"/>
          </w:tcPr>
          <w:p w14:paraId="3E4755B8">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0.36</w:t>
            </w:r>
          </w:p>
        </w:tc>
        <w:tc>
          <w:tcPr>
            <w:tcW w:w="1089" w:type="pct"/>
            <w:vMerge w:val="continue"/>
            <w:vAlign w:val="center"/>
          </w:tcPr>
          <w:p w14:paraId="51B03BD9">
            <w:pPr>
              <w:adjustRightInd w:val="0"/>
              <w:snapToGrid w:val="0"/>
              <w:spacing w:line="300" w:lineRule="exact"/>
              <w:jc w:val="center"/>
              <w:textAlignment w:val="baseline"/>
              <w:rPr>
                <w:rFonts w:hint="eastAsia" w:ascii="宋体" w:hAnsi="宋体"/>
                <w:kern w:val="0"/>
                <w:szCs w:val="21"/>
              </w:rPr>
            </w:pPr>
          </w:p>
        </w:tc>
      </w:tr>
      <w:tr w14:paraId="339C0E5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restart"/>
            <w:vAlign w:val="center"/>
          </w:tcPr>
          <w:p w14:paraId="58831456">
            <w:pPr>
              <w:adjustRightInd w:val="0"/>
              <w:snapToGrid w:val="0"/>
              <w:spacing w:line="300" w:lineRule="exact"/>
              <w:jc w:val="center"/>
              <w:textAlignment w:val="baseline"/>
              <w:rPr>
                <w:rFonts w:hint="eastAsia" w:ascii="宋体" w:hAnsi="宋体"/>
                <w:szCs w:val="21"/>
              </w:rPr>
            </w:pPr>
            <w:r>
              <w:rPr>
                <w:rFonts w:hint="eastAsia" w:ascii="宋体" w:hAnsi="宋体"/>
                <w:szCs w:val="21"/>
              </w:rPr>
              <w:t>一期工程放空火炬燃烧烟气</w:t>
            </w:r>
          </w:p>
        </w:tc>
        <w:tc>
          <w:tcPr>
            <w:tcW w:w="986" w:type="pct"/>
            <w:vAlign w:val="center"/>
          </w:tcPr>
          <w:p w14:paraId="37B00FFE">
            <w:pPr>
              <w:adjustRightInd w:val="0"/>
              <w:snapToGrid w:val="0"/>
              <w:spacing w:line="300" w:lineRule="exact"/>
              <w:jc w:val="center"/>
              <w:textAlignment w:val="baseline"/>
              <w:rPr>
                <w:rFonts w:hint="eastAsia" w:ascii="宋体" w:hAnsi="宋体"/>
                <w:kern w:val="0"/>
                <w:szCs w:val="21"/>
              </w:rPr>
            </w:pPr>
            <w:r>
              <w:rPr>
                <w:rFonts w:hint="eastAsia" w:ascii="宋体" w:hAnsi="宋体" w:cs="宋体"/>
                <w:szCs w:val="21"/>
              </w:rPr>
              <w:t>NO</w:t>
            </w:r>
            <w:r>
              <w:rPr>
                <w:rFonts w:hint="eastAsia" w:ascii="宋体" w:hAnsi="宋体" w:cs="宋体"/>
                <w:szCs w:val="21"/>
                <w:vertAlign w:val="subscript"/>
              </w:rPr>
              <w:t>x</w:t>
            </w:r>
          </w:p>
        </w:tc>
        <w:tc>
          <w:tcPr>
            <w:tcW w:w="974" w:type="pct"/>
            <w:vAlign w:val="center"/>
          </w:tcPr>
          <w:p w14:paraId="78625A90">
            <w:pPr>
              <w:adjustRightInd w:val="0"/>
              <w:snapToGrid w:val="0"/>
              <w:spacing w:line="300" w:lineRule="exact"/>
              <w:jc w:val="center"/>
              <w:rPr>
                <w:rFonts w:hint="eastAsia" w:ascii="宋体" w:hAnsi="宋体"/>
                <w:szCs w:val="21"/>
              </w:rPr>
            </w:pPr>
            <w:r>
              <w:rPr>
                <w:rFonts w:hint="eastAsia" w:ascii="宋体" w:hAnsi="宋体"/>
                <w:szCs w:val="21"/>
              </w:rPr>
              <w:t>1.8050</w:t>
            </w:r>
          </w:p>
        </w:tc>
        <w:tc>
          <w:tcPr>
            <w:tcW w:w="907" w:type="pct"/>
            <w:vAlign w:val="center"/>
          </w:tcPr>
          <w:p w14:paraId="7039379A">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0.72</w:t>
            </w:r>
          </w:p>
        </w:tc>
        <w:tc>
          <w:tcPr>
            <w:tcW w:w="1089" w:type="pct"/>
            <w:vMerge w:val="restart"/>
            <w:vAlign w:val="center"/>
          </w:tcPr>
          <w:p w14:paraId="5E17015C">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110</w:t>
            </w:r>
          </w:p>
        </w:tc>
      </w:tr>
      <w:tr w14:paraId="786E98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continue"/>
            <w:vAlign w:val="center"/>
          </w:tcPr>
          <w:p w14:paraId="6E370A90">
            <w:pPr>
              <w:adjustRightInd w:val="0"/>
              <w:snapToGrid w:val="0"/>
              <w:spacing w:line="300" w:lineRule="exact"/>
              <w:jc w:val="center"/>
              <w:textAlignment w:val="baseline"/>
              <w:rPr>
                <w:rFonts w:hint="eastAsia" w:ascii="宋体" w:hAnsi="宋体"/>
                <w:szCs w:val="21"/>
              </w:rPr>
            </w:pPr>
          </w:p>
        </w:tc>
        <w:tc>
          <w:tcPr>
            <w:tcW w:w="986" w:type="pct"/>
            <w:vAlign w:val="center"/>
          </w:tcPr>
          <w:p w14:paraId="509D1A7E">
            <w:pPr>
              <w:adjustRightInd w:val="0"/>
              <w:snapToGrid w:val="0"/>
              <w:spacing w:line="300" w:lineRule="exact"/>
              <w:jc w:val="center"/>
              <w:textAlignment w:val="baseline"/>
              <w:rPr>
                <w:rFonts w:hint="eastAsia" w:ascii="宋体" w:hAnsi="宋体"/>
                <w:kern w:val="0"/>
                <w:szCs w:val="21"/>
              </w:rPr>
            </w:pPr>
            <w:r>
              <w:rPr>
                <w:rFonts w:hint="eastAsia" w:ascii="宋体" w:hAnsi="宋体" w:cs="宋体"/>
                <w:szCs w:val="21"/>
              </w:rPr>
              <w:t>SO</w:t>
            </w:r>
            <w:r>
              <w:rPr>
                <w:rFonts w:hint="eastAsia" w:ascii="宋体" w:hAnsi="宋体" w:cs="宋体"/>
                <w:szCs w:val="21"/>
                <w:vertAlign w:val="subscript"/>
              </w:rPr>
              <w:t>2</w:t>
            </w:r>
          </w:p>
        </w:tc>
        <w:tc>
          <w:tcPr>
            <w:tcW w:w="974" w:type="pct"/>
            <w:vAlign w:val="center"/>
          </w:tcPr>
          <w:p w14:paraId="360E2812">
            <w:pPr>
              <w:adjustRightInd w:val="0"/>
              <w:snapToGrid w:val="0"/>
              <w:spacing w:line="300" w:lineRule="exact"/>
              <w:jc w:val="center"/>
              <w:rPr>
                <w:rFonts w:hint="eastAsia" w:ascii="宋体" w:hAnsi="宋体"/>
                <w:szCs w:val="21"/>
              </w:rPr>
            </w:pPr>
            <w:r>
              <w:rPr>
                <w:rFonts w:hint="eastAsia" w:ascii="宋体" w:hAnsi="宋体"/>
                <w:szCs w:val="21"/>
              </w:rPr>
              <w:t>0.1895</w:t>
            </w:r>
          </w:p>
        </w:tc>
        <w:tc>
          <w:tcPr>
            <w:tcW w:w="907" w:type="pct"/>
            <w:vAlign w:val="center"/>
          </w:tcPr>
          <w:p w14:paraId="5823FB47">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0.04</w:t>
            </w:r>
          </w:p>
        </w:tc>
        <w:tc>
          <w:tcPr>
            <w:tcW w:w="1089" w:type="pct"/>
            <w:vMerge w:val="continue"/>
            <w:vAlign w:val="center"/>
          </w:tcPr>
          <w:p w14:paraId="776BAA3B">
            <w:pPr>
              <w:adjustRightInd w:val="0"/>
              <w:snapToGrid w:val="0"/>
              <w:spacing w:line="300" w:lineRule="exact"/>
              <w:jc w:val="center"/>
              <w:textAlignment w:val="baseline"/>
              <w:rPr>
                <w:rFonts w:hint="eastAsia" w:ascii="宋体" w:hAnsi="宋体"/>
                <w:kern w:val="0"/>
                <w:szCs w:val="21"/>
              </w:rPr>
            </w:pPr>
          </w:p>
        </w:tc>
      </w:tr>
      <w:tr w14:paraId="7593EFE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continue"/>
            <w:vAlign w:val="center"/>
          </w:tcPr>
          <w:p w14:paraId="37F5139B">
            <w:pPr>
              <w:adjustRightInd w:val="0"/>
              <w:snapToGrid w:val="0"/>
              <w:spacing w:line="300" w:lineRule="exact"/>
              <w:jc w:val="center"/>
              <w:textAlignment w:val="baseline"/>
              <w:rPr>
                <w:rFonts w:hint="eastAsia" w:ascii="宋体" w:hAnsi="宋体"/>
                <w:szCs w:val="21"/>
              </w:rPr>
            </w:pPr>
          </w:p>
        </w:tc>
        <w:tc>
          <w:tcPr>
            <w:tcW w:w="986" w:type="pct"/>
            <w:vAlign w:val="center"/>
          </w:tcPr>
          <w:p w14:paraId="4FFDF7B3">
            <w:pPr>
              <w:adjustRightInd w:val="0"/>
              <w:snapToGrid w:val="0"/>
              <w:spacing w:line="300" w:lineRule="exact"/>
              <w:jc w:val="center"/>
              <w:textAlignment w:val="baseline"/>
              <w:rPr>
                <w:rFonts w:hint="eastAsia" w:ascii="宋体" w:hAnsi="宋体"/>
                <w:kern w:val="0"/>
                <w:szCs w:val="21"/>
              </w:rPr>
            </w:pPr>
            <w:r>
              <w:rPr>
                <w:rFonts w:hint="eastAsia" w:ascii="宋体" w:hAnsi="宋体" w:cs="宋体"/>
                <w:szCs w:val="21"/>
              </w:rPr>
              <w:t>颗粒物（PM</w:t>
            </w:r>
            <w:r>
              <w:rPr>
                <w:rFonts w:hint="eastAsia" w:ascii="宋体" w:hAnsi="宋体" w:cs="宋体"/>
                <w:szCs w:val="21"/>
                <w:vertAlign w:val="subscript"/>
              </w:rPr>
              <w:t>10</w:t>
            </w:r>
            <w:r>
              <w:rPr>
                <w:rFonts w:hint="eastAsia" w:ascii="宋体" w:hAnsi="宋体" w:cs="宋体"/>
                <w:szCs w:val="21"/>
              </w:rPr>
              <w:t>）</w:t>
            </w:r>
          </w:p>
        </w:tc>
        <w:tc>
          <w:tcPr>
            <w:tcW w:w="974" w:type="pct"/>
            <w:vAlign w:val="center"/>
          </w:tcPr>
          <w:p w14:paraId="5D14786D">
            <w:pPr>
              <w:adjustRightInd w:val="0"/>
              <w:snapToGrid w:val="0"/>
              <w:spacing w:line="300" w:lineRule="exact"/>
              <w:jc w:val="center"/>
              <w:rPr>
                <w:rFonts w:hint="eastAsia" w:ascii="宋体" w:hAnsi="宋体"/>
                <w:szCs w:val="21"/>
              </w:rPr>
            </w:pPr>
            <w:r>
              <w:rPr>
                <w:rFonts w:hint="eastAsia" w:ascii="宋体" w:hAnsi="宋体"/>
                <w:szCs w:val="21"/>
              </w:rPr>
              <w:t>0.1414</w:t>
            </w:r>
          </w:p>
        </w:tc>
        <w:tc>
          <w:tcPr>
            <w:tcW w:w="907" w:type="pct"/>
            <w:vAlign w:val="center"/>
          </w:tcPr>
          <w:p w14:paraId="755CC4BD">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0.03</w:t>
            </w:r>
          </w:p>
        </w:tc>
        <w:tc>
          <w:tcPr>
            <w:tcW w:w="1089" w:type="pct"/>
            <w:vMerge w:val="continue"/>
            <w:vAlign w:val="center"/>
          </w:tcPr>
          <w:p w14:paraId="02F46A05">
            <w:pPr>
              <w:adjustRightInd w:val="0"/>
              <w:snapToGrid w:val="0"/>
              <w:spacing w:line="300" w:lineRule="exact"/>
              <w:jc w:val="center"/>
              <w:textAlignment w:val="baseline"/>
              <w:rPr>
                <w:rFonts w:hint="eastAsia" w:ascii="宋体" w:hAnsi="宋体"/>
                <w:kern w:val="0"/>
                <w:szCs w:val="21"/>
              </w:rPr>
            </w:pPr>
          </w:p>
        </w:tc>
      </w:tr>
      <w:tr w14:paraId="4D2116A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restart"/>
            <w:vAlign w:val="center"/>
          </w:tcPr>
          <w:p w14:paraId="1671B800">
            <w:pPr>
              <w:adjustRightInd w:val="0"/>
              <w:snapToGrid w:val="0"/>
              <w:spacing w:line="300" w:lineRule="exact"/>
              <w:jc w:val="center"/>
              <w:textAlignment w:val="baseline"/>
              <w:rPr>
                <w:rFonts w:hint="eastAsia" w:ascii="宋体" w:hAnsi="宋体"/>
                <w:szCs w:val="21"/>
              </w:rPr>
            </w:pPr>
            <w:r>
              <w:rPr>
                <w:rFonts w:hint="eastAsia" w:ascii="宋体" w:hAnsi="宋体"/>
                <w:szCs w:val="21"/>
              </w:rPr>
              <w:t>二期工程无组织废气</w:t>
            </w:r>
          </w:p>
        </w:tc>
        <w:tc>
          <w:tcPr>
            <w:tcW w:w="986" w:type="pct"/>
            <w:vAlign w:val="center"/>
          </w:tcPr>
          <w:p w14:paraId="23AC8CFA">
            <w:pPr>
              <w:adjustRightInd w:val="0"/>
              <w:snapToGrid w:val="0"/>
              <w:spacing w:line="300" w:lineRule="exact"/>
              <w:jc w:val="center"/>
              <w:textAlignment w:val="baseline"/>
              <w:rPr>
                <w:rFonts w:hint="eastAsia" w:ascii="宋体" w:hAnsi="宋体" w:cs="宋体"/>
                <w:szCs w:val="21"/>
              </w:rPr>
            </w:pPr>
            <w:r>
              <w:rPr>
                <w:rFonts w:hint="eastAsia" w:ascii="宋体" w:hAnsi="宋体"/>
                <w:kern w:val="0"/>
                <w:szCs w:val="21"/>
              </w:rPr>
              <w:t>N</w:t>
            </w:r>
            <w:r>
              <w:rPr>
                <w:rFonts w:ascii="宋体" w:hAnsi="宋体"/>
                <w:kern w:val="0"/>
                <w:szCs w:val="21"/>
              </w:rPr>
              <w:t>MHC</w:t>
            </w:r>
          </w:p>
        </w:tc>
        <w:tc>
          <w:tcPr>
            <w:tcW w:w="974" w:type="pct"/>
            <w:vAlign w:val="center"/>
          </w:tcPr>
          <w:p w14:paraId="2DA91668">
            <w:pPr>
              <w:adjustRightInd w:val="0"/>
              <w:snapToGrid w:val="0"/>
              <w:spacing w:line="300" w:lineRule="exact"/>
              <w:jc w:val="center"/>
              <w:rPr>
                <w:rFonts w:hint="eastAsia" w:ascii="宋体" w:hAnsi="宋体"/>
                <w:szCs w:val="21"/>
              </w:rPr>
            </w:pPr>
            <w:r>
              <w:rPr>
                <w:rFonts w:hint="eastAsia" w:ascii="宋体" w:hAnsi="宋体"/>
                <w:szCs w:val="21"/>
              </w:rPr>
              <w:t>36.28</w:t>
            </w:r>
          </w:p>
        </w:tc>
        <w:tc>
          <w:tcPr>
            <w:tcW w:w="907" w:type="pct"/>
            <w:vAlign w:val="center"/>
          </w:tcPr>
          <w:p w14:paraId="4ACD677A">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1.81</w:t>
            </w:r>
          </w:p>
        </w:tc>
        <w:tc>
          <w:tcPr>
            <w:tcW w:w="1089" w:type="pct"/>
            <w:vMerge w:val="restart"/>
            <w:vAlign w:val="center"/>
          </w:tcPr>
          <w:p w14:paraId="4507890A">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161</w:t>
            </w:r>
          </w:p>
        </w:tc>
      </w:tr>
      <w:tr w14:paraId="6FE7212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044" w:type="pct"/>
            <w:vMerge w:val="continue"/>
            <w:vAlign w:val="center"/>
          </w:tcPr>
          <w:p w14:paraId="66D23252">
            <w:pPr>
              <w:adjustRightInd w:val="0"/>
              <w:snapToGrid w:val="0"/>
              <w:spacing w:line="300" w:lineRule="exact"/>
              <w:jc w:val="center"/>
              <w:textAlignment w:val="baseline"/>
              <w:rPr>
                <w:rFonts w:hint="eastAsia" w:ascii="宋体" w:hAnsi="宋体"/>
                <w:szCs w:val="21"/>
              </w:rPr>
            </w:pPr>
          </w:p>
        </w:tc>
        <w:tc>
          <w:tcPr>
            <w:tcW w:w="986" w:type="pct"/>
            <w:vAlign w:val="center"/>
          </w:tcPr>
          <w:p w14:paraId="28E153EC">
            <w:pPr>
              <w:adjustRightInd w:val="0"/>
              <w:snapToGrid w:val="0"/>
              <w:spacing w:line="300" w:lineRule="exact"/>
              <w:jc w:val="center"/>
              <w:textAlignment w:val="baseline"/>
              <w:rPr>
                <w:rFonts w:hint="eastAsia" w:ascii="宋体" w:hAnsi="宋体" w:cs="宋体"/>
                <w:szCs w:val="21"/>
              </w:rPr>
            </w:pPr>
            <w:r>
              <w:rPr>
                <w:rFonts w:hint="eastAsia" w:ascii="宋体" w:hAnsi="宋体"/>
                <w:kern w:val="0"/>
                <w:szCs w:val="21"/>
              </w:rPr>
              <w:t>H</w:t>
            </w:r>
            <w:r>
              <w:rPr>
                <w:rFonts w:hint="eastAsia" w:ascii="宋体" w:hAnsi="宋体"/>
                <w:kern w:val="0"/>
                <w:szCs w:val="21"/>
                <w:vertAlign w:val="subscript"/>
              </w:rPr>
              <w:t>2</w:t>
            </w:r>
            <w:r>
              <w:rPr>
                <w:rFonts w:hint="eastAsia" w:ascii="宋体" w:hAnsi="宋体"/>
                <w:kern w:val="0"/>
                <w:szCs w:val="21"/>
              </w:rPr>
              <w:t>S</w:t>
            </w:r>
          </w:p>
        </w:tc>
        <w:tc>
          <w:tcPr>
            <w:tcW w:w="974" w:type="pct"/>
            <w:vAlign w:val="center"/>
          </w:tcPr>
          <w:p w14:paraId="675D604B">
            <w:pPr>
              <w:adjustRightInd w:val="0"/>
              <w:snapToGrid w:val="0"/>
              <w:spacing w:line="300" w:lineRule="exact"/>
              <w:jc w:val="center"/>
              <w:rPr>
                <w:rFonts w:hint="eastAsia" w:ascii="宋体" w:hAnsi="宋体"/>
                <w:szCs w:val="21"/>
              </w:rPr>
            </w:pPr>
            <w:r>
              <w:rPr>
                <w:rFonts w:hint="eastAsia" w:ascii="宋体" w:hAnsi="宋体"/>
                <w:szCs w:val="21"/>
              </w:rPr>
              <w:t>0.0355</w:t>
            </w:r>
          </w:p>
        </w:tc>
        <w:tc>
          <w:tcPr>
            <w:tcW w:w="907" w:type="pct"/>
            <w:vAlign w:val="center"/>
          </w:tcPr>
          <w:p w14:paraId="04441C1B">
            <w:pPr>
              <w:adjustRightInd w:val="0"/>
              <w:snapToGrid w:val="0"/>
              <w:spacing w:line="300" w:lineRule="exact"/>
              <w:jc w:val="center"/>
              <w:textAlignment w:val="baseline"/>
              <w:rPr>
                <w:rFonts w:hint="eastAsia" w:ascii="宋体" w:hAnsi="宋体"/>
                <w:kern w:val="0"/>
                <w:szCs w:val="21"/>
              </w:rPr>
            </w:pPr>
            <w:r>
              <w:rPr>
                <w:rFonts w:hint="eastAsia" w:ascii="宋体" w:hAnsi="宋体"/>
                <w:kern w:val="0"/>
                <w:szCs w:val="21"/>
              </w:rPr>
              <w:t>0.36</w:t>
            </w:r>
          </w:p>
        </w:tc>
        <w:tc>
          <w:tcPr>
            <w:tcW w:w="1089" w:type="pct"/>
            <w:vMerge w:val="continue"/>
            <w:vAlign w:val="center"/>
          </w:tcPr>
          <w:p w14:paraId="43F6D8C7">
            <w:pPr>
              <w:adjustRightInd w:val="0"/>
              <w:snapToGrid w:val="0"/>
              <w:spacing w:line="300" w:lineRule="exact"/>
              <w:jc w:val="center"/>
              <w:textAlignment w:val="baseline"/>
              <w:rPr>
                <w:rFonts w:hint="eastAsia" w:ascii="宋体" w:hAnsi="宋体"/>
                <w:kern w:val="0"/>
                <w:szCs w:val="21"/>
              </w:rPr>
            </w:pPr>
          </w:p>
        </w:tc>
      </w:tr>
    </w:tbl>
    <w:p w14:paraId="58CB0759">
      <w:pPr>
        <w:pStyle w:val="191"/>
        <w:adjustRightInd w:val="0"/>
        <w:snapToGrid w:val="0"/>
        <w:ind w:firstLine="480"/>
        <w:rPr>
          <w:rFonts w:hint="eastAsia"/>
        </w:rPr>
      </w:pPr>
      <w:bookmarkStart w:id="94" w:name="_Hlk14624692"/>
      <w:bookmarkStart w:id="95" w:name="_Hlk19211933"/>
      <w:r>
        <w:rPr>
          <w:rFonts w:hint="eastAsia"/>
          <w:lang w:bidi="ar"/>
        </w:rPr>
        <w:t>由表2.</w:t>
      </w:r>
      <w:r>
        <w:rPr>
          <w:lang w:bidi="ar"/>
        </w:rPr>
        <w:t>6</w:t>
      </w:r>
      <w:r>
        <w:rPr>
          <w:rFonts w:hint="eastAsia"/>
          <w:lang w:bidi="ar"/>
        </w:rPr>
        <w:t>-1可知：各污染物最大落地浓度占标率最高为9.07%，根据《环境影响评价技术导则  大气环境》（HJ2.2-2018）分级判据（表2.</w:t>
      </w:r>
      <w:r>
        <w:rPr>
          <w:lang w:bidi="ar"/>
        </w:rPr>
        <w:t>6</w:t>
      </w:r>
      <w:r>
        <w:rPr>
          <w:rFonts w:hint="eastAsia"/>
          <w:lang w:bidi="ar"/>
        </w:rPr>
        <w:t>-2），评价等级判定为二级。</w:t>
      </w:r>
      <w:bookmarkEnd w:id="94"/>
    </w:p>
    <w:p w14:paraId="722CB84A">
      <w:pPr>
        <w:pStyle w:val="109"/>
        <w:rPr>
          <w:rFonts w:hint="eastAsia"/>
        </w:rPr>
      </w:pPr>
      <w:r>
        <w:rPr>
          <w:rFonts w:hint="eastAsia"/>
        </w:rPr>
        <w:t>表2.</w:t>
      </w:r>
      <w:r>
        <w:t>6</w:t>
      </w:r>
      <w:r>
        <w:rPr>
          <w:rFonts w:hint="eastAsia"/>
        </w:rPr>
        <w:t>-2  评价工作等级判定依据表</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60"/>
        <w:gridCol w:w="6888"/>
      </w:tblGrid>
      <w:tr w14:paraId="6139B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60" w:type="dxa"/>
            <w:vAlign w:val="center"/>
          </w:tcPr>
          <w:p w14:paraId="38A6DE4D">
            <w:pPr>
              <w:widowControl/>
              <w:spacing w:line="300" w:lineRule="exact"/>
              <w:jc w:val="center"/>
              <w:rPr>
                <w:rFonts w:hint="eastAsia" w:ascii="宋体" w:hAnsi="宋体" w:cs="宋体"/>
                <w:kern w:val="0"/>
                <w:szCs w:val="21"/>
              </w:rPr>
            </w:pPr>
            <w:r>
              <w:rPr>
                <w:rFonts w:hint="eastAsia" w:ascii="宋体" w:hAnsi="宋体" w:cs="宋体"/>
                <w:kern w:val="0"/>
                <w:szCs w:val="21"/>
                <w:lang w:bidi="ar"/>
              </w:rPr>
              <w:t>评价工作等级</w:t>
            </w:r>
          </w:p>
        </w:tc>
        <w:tc>
          <w:tcPr>
            <w:tcW w:w="6888" w:type="dxa"/>
            <w:vAlign w:val="center"/>
          </w:tcPr>
          <w:p w14:paraId="74AB0DB4">
            <w:pPr>
              <w:widowControl/>
              <w:spacing w:line="300" w:lineRule="exact"/>
              <w:jc w:val="center"/>
              <w:rPr>
                <w:rFonts w:hint="eastAsia" w:ascii="宋体" w:hAnsi="宋体" w:cs="宋体"/>
                <w:kern w:val="0"/>
                <w:szCs w:val="21"/>
              </w:rPr>
            </w:pPr>
            <w:r>
              <w:rPr>
                <w:rFonts w:hint="eastAsia" w:ascii="宋体" w:hAnsi="宋体" w:cs="宋体"/>
                <w:kern w:val="0"/>
                <w:szCs w:val="21"/>
                <w:lang w:bidi="ar"/>
              </w:rPr>
              <w:t>评价工作分级判据</w:t>
            </w:r>
          </w:p>
        </w:tc>
      </w:tr>
      <w:tr w14:paraId="082294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60" w:type="dxa"/>
            <w:vAlign w:val="center"/>
          </w:tcPr>
          <w:p w14:paraId="7EDB53A6">
            <w:pPr>
              <w:widowControl/>
              <w:spacing w:line="300" w:lineRule="exact"/>
              <w:jc w:val="center"/>
              <w:rPr>
                <w:rFonts w:hint="eastAsia" w:ascii="宋体" w:hAnsi="宋体" w:cs="宋体"/>
                <w:kern w:val="0"/>
                <w:szCs w:val="21"/>
              </w:rPr>
            </w:pPr>
            <w:r>
              <w:rPr>
                <w:rFonts w:hint="eastAsia" w:ascii="宋体" w:hAnsi="宋体" w:cs="宋体"/>
                <w:kern w:val="0"/>
                <w:szCs w:val="21"/>
                <w:lang w:bidi="ar"/>
              </w:rPr>
              <w:t>一级</w:t>
            </w:r>
          </w:p>
        </w:tc>
        <w:tc>
          <w:tcPr>
            <w:tcW w:w="6888" w:type="dxa"/>
            <w:vAlign w:val="center"/>
          </w:tcPr>
          <w:p w14:paraId="3F24F6F3">
            <w:pPr>
              <w:widowControl/>
              <w:spacing w:line="300" w:lineRule="exact"/>
              <w:jc w:val="center"/>
              <w:rPr>
                <w:rFonts w:hint="eastAsia" w:ascii="宋体" w:hAnsi="宋体" w:cs="宋体"/>
                <w:kern w:val="0"/>
                <w:szCs w:val="21"/>
              </w:rPr>
            </w:pPr>
            <w:r>
              <w:rPr>
                <w:rFonts w:hint="eastAsia" w:ascii="宋体" w:hAnsi="宋体" w:cs="宋体"/>
                <w:kern w:val="0"/>
                <w:szCs w:val="21"/>
                <w:lang w:bidi="ar"/>
              </w:rPr>
              <w:t>P</w:t>
            </w:r>
            <w:r>
              <w:rPr>
                <w:rFonts w:hint="eastAsia" w:ascii="宋体" w:hAnsi="宋体" w:cs="宋体"/>
                <w:kern w:val="0"/>
                <w:szCs w:val="21"/>
                <w:vertAlign w:val="subscript"/>
                <w:lang w:bidi="ar"/>
              </w:rPr>
              <w:t>max</w:t>
            </w:r>
            <w:r>
              <w:rPr>
                <w:rFonts w:hint="eastAsia" w:ascii="宋体" w:hAnsi="宋体" w:cs="宋体"/>
                <w:kern w:val="0"/>
                <w:szCs w:val="21"/>
                <w:lang w:bidi="ar"/>
              </w:rPr>
              <w:t>≥10%</w:t>
            </w:r>
          </w:p>
        </w:tc>
      </w:tr>
      <w:tr w14:paraId="429371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60" w:type="dxa"/>
            <w:vAlign w:val="center"/>
          </w:tcPr>
          <w:p w14:paraId="31ACC1DA">
            <w:pPr>
              <w:widowControl/>
              <w:spacing w:line="300" w:lineRule="exact"/>
              <w:jc w:val="center"/>
              <w:rPr>
                <w:rFonts w:hint="eastAsia" w:ascii="宋体" w:hAnsi="宋体" w:cs="宋体"/>
                <w:kern w:val="0"/>
                <w:szCs w:val="21"/>
              </w:rPr>
            </w:pPr>
            <w:r>
              <w:rPr>
                <w:rFonts w:hint="eastAsia" w:ascii="宋体" w:hAnsi="宋体" w:cs="宋体"/>
                <w:kern w:val="0"/>
                <w:szCs w:val="21"/>
                <w:lang w:bidi="ar"/>
              </w:rPr>
              <w:t>二级</w:t>
            </w:r>
          </w:p>
        </w:tc>
        <w:tc>
          <w:tcPr>
            <w:tcW w:w="6888" w:type="dxa"/>
            <w:vAlign w:val="center"/>
          </w:tcPr>
          <w:p w14:paraId="4B95881C">
            <w:pPr>
              <w:widowControl/>
              <w:spacing w:line="300" w:lineRule="exact"/>
              <w:jc w:val="center"/>
              <w:rPr>
                <w:rFonts w:hint="eastAsia" w:ascii="宋体" w:hAnsi="宋体" w:cs="宋体"/>
                <w:kern w:val="0"/>
                <w:szCs w:val="21"/>
              </w:rPr>
            </w:pPr>
            <w:r>
              <w:rPr>
                <w:rFonts w:hint="eastAsia" w:ascii="宋体" w:hAnsi="宋体" w:cs="宋体"/>
                <w:kern w:val="0"/>
                <w:szCs w:val="21"/>
                <w:lang w:bidi="ar"/>
              </w:rPr>
              <w:t>1%≤P</w:t>
            </w:r>
            <w:r>
              <w:rPr>
                <w:rFonts w:hint="eastAsia" w:ascii="宋体" w:hAnsi="宋体" w:cs="宋体"/>
                <w:kern w:val="0"/>
                <w:szCs w:val="21"/>
                <w:vertAlign w:val="subscript"/>
                <w:lang w:bidi="ar"/>
              </w:rPr>
              <w:t>max</w:t>
            </w:r>
            <w:r>
              <w:rPr>
                <w:rFonts w:hint="eastAsia" w:ascii="宋体" w:hAnsi="宋体" w:cs="宋体"/>
                <w:kern w:val="0"/>
                <w:szCs w:val="21"/>
                <w:lang w:bidi="ar"/>
              </w:rPr>
              <w:t>＜10%</w:t>
            </w:r>
          </w:p>
        </w:tc>
      </w:tr>
      <w:tr w14:paraId="31EC21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60" w:type="dxa"/>
            <w:vAlign w:val="center"/>
          </w:tcPr>
          <w:p w14:paraId="2D7D4CC6">
            <w:pPr>
              <w:widowControl/>
              <w:spacing w:line="300" w:lineRule="exact"/>
              <w:jc w:val="center"/>
              <w:rPr>
                <w:rFonts w:hint="eastAsia" w:ascii="宋体" w:hAnsi="宋体" w:cs="宋体"/>
                <w:kern w:val="0"/>
                <w:szCs w:val="21"/>
              </w:rPr>
            </w:pPr>
            <w:r>
              <w:rPr>
                <w:rFonts w:hint="eastAsia" w:ascii="宋体" w:hAnsi="宋体" w:cs="宋体"/>
                <w:kern w:val="0"/>
                <w:szCs w:val="21"/>
                <w:lang w:bidi="ar"/>
              </w:rPr>
              <w:t>三级</w:t>
            </w:r>
          </w:p>
        </w:tc>
        <w:tc>
          <w:tcPr>
            <w:tcW w:w="6888" w:type="dxa"/>
            <w:vAlign w:val="center"/>
          </w:tcPr>
          <w:p w14:paraId="3AF7079F">
            <w:pPr>
              <w:widowControl/>
              <w:spacing w:line="300" w:lineRule="exact"/>
              <w:jc w:val="center"/>
              <w:rPr>
                <w:rFonts w:hint="eastAsia" w:ascii="宋体" w:hAnsi="宋体" w:cs="宋体"/>
                <w:kern w:val="0"/>
                <w:szCs w:val="21"/>
              </w:rPr>
            </w:pPr>
            <w:r>
              <w:rPr>
                <w:rFonts w:hint="eastAsia" w:ascii="宋体" w:hAnsi="宋体" w:cs="宋体"/>
                <w:kern w:val="0"/>
                <w:szCs w:val="21"/>
                <w:lang w:bidi="ar"/>
              </w:rPr>
              <w:t>P</w:t>
            </w:r>
            <w:r>
              <w:rPr>
                <w:rFonts w:hint="eastAsia" w:ascii="宋体" w:hAnsi="宋体" w:cs="宋体"/>
                <w:kern w:val="0"/>
                <w:szCs w:val="21"/>
                <w:vertAlign w:val="subscript"/>
                <w:lang w:bidi="ar"/>
              </w:rPr>
              <w:t>max</w:t>
            </w:r>
            <w:r>
              <w:rPr>
                <w:rFonts w:hint="eastAsia" w:ascii="宋体" w:hAnsi="宋体" w:cs="宋体"/>
                <w:kern w:val="0"/>
                <w:szCs w:val="21"/>
                <w:lang w:bidi="ar"/>
              </w:rPr>
              <w:t xml:space="preserve">＜1% </w:t>
            </w:r>
          </w:p>
        </w:tc>
      </w:tr>
      <w:bookmarkEnd w:id="95"/>
    </w:tbl>
    <w:p w14:paraId="4AC925B5">
      <w:pPr>
        <w:adjustRightInd w:val="0"/>
        <w:spacing w:line="480" w:lineRule="exact"/>
        <w:ind w:firstLine="480" w:firstLineChars="200"/>
        <w:textAlignment w:val="baseline"/>
        <w:rPr>
          <w:rFonts w:hint="eastAsia" w:ascii="宋体" w:hAnsi="宋体" w:cs="宋体"/>
          <w:kern w:val="0"/>
          <w:sz w:val="24"/>
          <w:szCs w:val="20"/>
          <w:lang w:bidi="ar"/>
        </w:rPr>
      </w:pPr>
      <w:r>
        <w:rPr>
          <w:rFonts w:hint="eastAsia" w:ascii="宋体" w:hAnsi="宋体" w:cs="宋体"/>
          <w:kern w:val="0"/>
          <w:sz w:val="24"/>
          <w:szCs w:val="20"/>
          <w:lang w:bidi="ar"/>
        </w:rPr>
        <w:t>（2）地表水评价等级</w:t>
      </w:r>
    </w:p>
    <w:p w14:paraId="21B875AF">
      <w:pPr>
        <w:adjustRightInd w:val="0"/>
        <w:spacing w:line="480" w:lineRule="exact"/>
        <w:ind w:firstLine="480" w:firstLineChars="200"/>
        <w:textAlignment w:val="baseline"/>
        <w:rPr>
          <w:rFonts w:hint="eastAsia" w:ascii="宋体" w:hAnsi="宋体" w:cs="宋体"/>
          <w:kern w:val="0"/>
          <w:sz w:val="24"/>
          <w:szCs w:val="20"/>
          <w:lang w:bidi="ar"/>
        </w:rPr>
      </w:pPr>
      <w:r>
        <w:rPr>
          <w:rFonts w:hint="eastAsia" w:ascii="宋体" w:hAnsi="宋体" w:cs="宋体"/>
          <w:kern w:val="0"/>
          <w:sz w:val="24"/>
          <w:szCs w:val="20"/>
          <w:lang w:bidi="ar"/>
        </w:rPr>
        <w:t>本项目周边无地表水，且与地表水无水力联系，洗井废水和井下作业废液送至</w:t>
      </w:r>
      <w:r>
        <w:rPr>
          <w:rFonts w:hint="eastAsia" w:ascii="宋体" w:cs="宋体"/>
          <w:kern w:val="0"/>
          <w:sz w:val="24"/>
          <w:szCs w:val="24"/>
        </w:rPr>
        <w:t>页岩油联合站压裂返排液处理系统处理</w:t>
      </w:r>
      <w:r>
        <w:rPr>
          <w:rFonts w:hint="eastAsia" w:ascii="宋体" w:hAnsi="宋体" w:cs="宋体"/>
          <w:kern w:val="0"/>
          <w:sz w:val="24"/>
          <w:szCs w:val="20"/>
          <w:lang w:bidi="ar"/>
        </w:rPr>
        <w:t>达标后，用于压裂液复配；</w:t>
      </w:r>
      <w:r>
        <w:rPr>
          <w:rFonts w:ascii="宋体" w:hAnsi="宋体" w:cs="宋体"/>
          <w:kern w:val="0"/>
          <w:sz w:val="24"/>
          <w:szCs w:val="20"/>
          <w:lang w:bidi="ar"/>
        </w:rPr>
        <w:t>根据</w:t>
      </w:r>
      <w:r>
        <w:rPr>
          <w:rFonts w:hint="eastAsia" w:ascii="宋体" w:hAnsi="宋体" w:cs="宋体"/>
          <w:kern w:val="0"/>
          <w:sz w:val="24"/>
          <w:szCs w:val="20"/>
          <w:lang w:bidi="ar"/>
        </w:rPr>
        <w:t>《环境影响评价技术导则 陆地石油天然气开发建设项目》（H</w:t>
      </w:r>
      <w:r>
        <w:rPr>
          <w:rFonts w:ascii="宋体" w:hAnsi="宋体" w:cs="宋体"/>
          <w:kern w:val="0"/>
          <w:sz w:val="24"/>
          <w:szCs w:val="20"/>
          <w:lang w:bidi="ar"/>
        </w:rPr>
        <w:t>J349</w:t>
      </w:r>
      <w:r>
        <w:rPr>
          <w:rFonts w:hint="eastAsia" w:ascii="宋体" w:hAnsi="宋体" w:cs="宋体"/>
          <w:kern w:val="0"/>
          <w:sz w:val="24"/>
          <w:szCs w:val="20"/>
          <w:lang w:bidi="ar"/>
        </w:rPr>
        <w:t>-</w:t>
      </w:r>
      <w:r>
        <w:rPr>
          <w:rFonts w:ascii="宋体" w:hAnsi="宋体" w:cs="宋体"/>
          <w:kern w:val="0"/>
          <w:sz w:val="24"/>
          <w:szCs w:val="20"/>
          <w:lang w:bidi="ar"/>
        </w:rPr>
        <w:t>2023</w:t>
      </w:r>
      <w:r>
        <w:rPr>
          <w:rFonts w:hint="eastAsia" w:ascii="宋体" w:hAnsi="宋体" w:cs="宋体"/>
          <w:kern w:val="0"/>
          <w:sz w:val="24"/>
          <w:szCs w:val="20"/>
          <w:lang w:bidi="ar"/>
        </w:rPr>
        <w:t>）规定：“废水处理后进行回注且无废水直接排入地表水体的建设项目，评价等级按照三级B开展评价”</w:t>
      </w:r>
      <w:r>
        <w:rPr>
          <w:rFonts w:ascii="宋体" w:hAnsi="宋体" w:cs="宋体"/>
          <w:kern w:val="0"/>
          <w:sz w:val="24"/>
          <w:szCs w:val="20"/>
          <w:lang w:bidi="ar"/>
        </w:rPr>
        <w:t>，</w:t>
      </w:r>
      <w:r>
        <w:rPr>
          <w:rFonts w:hint="eastAsia" w:ascii="宋体" w:hAnsi="宋体" w:cs="宋体"/>
          <w:kern w:val="0"/>
          <w:sz w:val="24"/>
          <w:szCs w:val="20"/>
          <w:lang w:bidi="ar"/>
        </w:rPr>
        <w:t>本项目</w:t>
      </w:r>
      <w:r>
        <w:rPr>
          <w:rFonts w:ascii="宋体" w:hAnsi="宋体" w:cs="宋体"/>
          <w:kern w:val="0"/>
          <w:sz w:val="24"/>
          <w:szCs w:val="20"/>
          <w:lang w:bidi="ar"/>
        </w:rPr>
        <w:t>地表水环境影响评价等级为三级B。</w:t>
      </w:r>
    </w:p>
    <w:bookmarkEnd w:id="93"/>
    <w:p w14:paraId="3C8787C0">
      <w:pPr>
        <w:pStyle w:val="117"/>
        <w:spacing w:line="480" w:lineRule="exact"/>
        <w:ind w:firstLine="480"/>
        <w:rPr>
          <w:rFonts w:hint="eastAsia"/>
        </w:rPr>
      </w:pPr>
      <w:r>
        <w:rPr>
          <w:rFonts w:hint="eastAsia"/>
          <w:szCs w:val="21"/>
        </w:rPr>
        <w:t>（</w:t>
      </w:r>
      <w:r>
        <w:rPr>
          <w:szCs w:val="21"/>
        </w:rPr>
        <w:t>3</w:t>
      </w:r>
      <w:r>
        <w:rPr>
          <w:rFonts w:hint="eastAsia"/>
          <w:szCs w:val="21"/>
        </w:rPr>
        <w:t>）</w:t>
      </w:r>
      <w:r>
        <w:t>地下水评价等级</w:t>
      </w:r>
    </w:p>
    <w:p w14:paraId="366FAE09">
      <w:pPr>
        <w:pStyle w:val="191"/>
        <w:ind w:firstLine="480"/>
        <w:rPr>
          <w:rFonts w:hint="eastAsia"/>
        </w:rPr>
      </w:pPr>
      <w:bookmarkStart w:id="96" w:name="_Hlk80048561"/>
      <w:r>
        <w:rPr>
          <w:rFonts w:hint="eastAsia"/>
        </w:rPr>
        <w:t>根据《环境影响评价技术导则 地下水环境》（H</w:t>
      </w:r>
      <w:r>
        <w:t>J610-2016</w:t>
      </w:r>
      <w:r>
        <w:rPr>
          <w:rFonts w:hint="eastAsia"/>
        </w:rPr>
        <w:t>）</w:t>
      </w:r>
      <w:bookmarkEnd w:id="96"/>
      <w:r>
        <w:rPr>
          <w:rFonts w:hint="eastAsia"/>
        </w:rPr>
        <w:t>中的评价工作等级划分，建设项目的地下水环境敏感程度可分为敏感、较敏感，不敏感三级，分级原则见表2.</w:t>
      </w:r>
      <w:r>
        <w:t>6</w:t>
      </w:r>
      <w:r>
        <w:rPr>
          <w:rFonts w:hint="eastAsia"/>
        </w:rPr>
        <w:t>-3，评价工作等级分级表见表2.</w:t>
      </w:r>
      <w:r>
        <w:t>6</w:t>
      </w:r>
      <w:r>
        <w:rPr>
          <w:rFonts w:hint="eastAsia"/>
        </w:rPr>
        <w:t>-4。</w:t>
      </w:r>
    </w:p>
    <w:p w14:paraId="75746E93">
      <w:pPr>
        <w:pStyle w:val="109"/>
        <w:rPr>
          <w:rFonts w:hint="eastAsia"/>
        </w:rPr>
      </w:pPr>
      <w:r>
        <w:rPr>
          <w:rFonts w:hint="eastAsia"/>
        </w:rPr>
        <w:t>表2.</w:t>
      </w:r>
      <w:r>
        <w:t>6</w:t>
      </w:r>
      <w:r>
        <w:rPr>
          <w:rFonts w:hint="eastAsia"/>
        </w:rPr>
        <w:t>-3</w:t>
      </w:r>
      <w:r>
        <w:t xml:space="preserve">  </w:t>
      </w:r>
      <w:r>
        <w:rPr>
          <w:rFonts w:hint="eastAsia"/>
        </w:rPr>
        <w:t>地下水环境敏感程度分级表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7846"/>
      </w:tblGrid>
      <w:tr w14:paraId="766AE7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5" w:type="pct"/>
            <w:vAlign w:val="center"/>
          </w:tcPr>
          <w:p w14:paraId="0EC2FF68">
            <w:pPr>
              <w:pStyle w:val="208"/>
              <w:adjustRightInd w:val="0"/>
              <w:snapToGrid w:val="0"/>
              <w:spacing w:line="300" w:lineRule="exact"/>
              <w:rPr>
                <w:rFonts w:hint="eastAsia"/>
                <w:szCs w:val="21"/>
              </w:rPr>
            </w:pPr>
            <w:r>
              <w:rPr>
                <w:rFonts w:hint="eastAsia"/>
                <w:szCs w:val="21"/>
              </w:rPr>
              <w:t>敏感程度</w:t>
            </w:r>
          </w:p>
        </w:tc>
        <w:tc>
          <w:tcPr>
            <w:tcW w:w="4385" w:type="pct"/>
            <w:vAlign w:val="center"/>
          </w:tcPr>
          <w:p w14:paraId="69CCF1F3">
            <w:pPr>
              <w:pStyle w:val="208"/>
              <w:adjustRightInd w:val="0"/>
              <w:snapToGrid w:val="0"/>
              <w:spacing w:line="300" w:lineRule="exact"/>
              <w:rPr>
                <w:rFonts w:hint="eastAsia"/>
                <w:szCs w:val="21"/>
              </w:rPr>
            </w:pPr>
            <w:r>
              <w:rPr>
                <w:rFonts w:hint="eastAsia"/>
                <w:szCs w:val="21"/>
              </w:rPr>
              <w:t>地下水环境敏感特征</w:t>
            </w:r>
          </w:p>
        </w:tc>
      </w:tr>
      <w:tr w14:paraId="44B28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5" w:type="pct"/>
            <w:vAlign w:val="center"/>
          </w:tcPr>
          <w:p w14:paraId="7E4C3662">
            <w:pPr>
              <w:pStyle w:val="208"/>
              <w:adjustRightInd w:val="0"/>
              <w:snapToGrid w:val="0"/>
              <w:spacing w:line="300" w:lineRule="exact"/>
              <w:rPr>
                <w:rFonts w:hint="eastAsia"/>
                <w:szCs w:val="21"/>
              </w:rPr>
            </w:pPr>
            <w:r>
              <w:rPr>
                <w:rFonts w:hint="eastAsia"/>
                <w:szCs w:val="21"/>
              </w:rPr>
              <w:t>敏感</w:t>
            </w:r>
          </w:p>
        </w:tc>
        <w:tc>
          <w:tcPr>
            <w:tcW w:w="4385" w:type="pct"/>
            <w:vAlign w:val="center"/>
          </w:tcPr>
          <w:p w14:paraId="4CCF3860">
            <w:pPr>
              <w:pStyle w:val="208"/>
              <w:adjustRightInd w:val="0"/>
              <w:snapToGrid w:val="0"/>
              <w:spacing w:line="300" w:lineRule="exact"/>
              <w:jc w:val="left"/>
              <w:rPr>
                <w:rFonts w:hint="eastAsia"/>
                <w:szCs w:val="21"/>
              </w:rPr>
            </w:pPr>
            <w:r>
              <w:rPr>
                <w:rFonts w:hint="eastAsia"/>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14:paraId="4A3C6A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5" w:type="pct"/>
            <w:vAlign w:val="center"/>
          </w:tcPr>
          <w:p w14:paraId="11144CC3">
            <w:pPr>
              <w:pStyle w:val="208"/>
              <w:adjustRightInd w:val="0"/>
              <w:snapToGrid w:val="0"/>
              <w:spacing w:line="300" w:lineRule="exact"/>
              <w:rPr>
                <w:rFonts w:hint="eastAsia"/>
                <w:szCs w:val="21"/>
              </w:rPr>
            </w:pPr>
            <w:r>
              <w:rPr>
                <w:rFonts w:hint="eastAsia"/>
                <w:szCs w:val="21"/>
              </w:rPr>
              <w:t>较敏感</w:t>
            </w:r>
          </w:p>
        </w:tc>
        <w:tc>
          <w:tcPr>
            <w:tcW w:w="4385" w:type="pct"/>
            <w:vAlign w:val="center"/>
          </w:tcPr>
          <w:p w14:paraId="52D18086">
            <w:pPr>
              <w:pStyle w:val="208"/>
              <w:adjustRightInd w:val="0"/>
              <w:snapToGrid w:val="0"/>
              <w:spacing w:line="300" w:lineRule="exact"/>
              <w:jc w:val="left"/>
              <w:rPr>
                <w:rFonts w:hint="eastAsia"/>
                <w:szCs w:val="21"/>
              </w:rPr>
            </w:pPr>
            <w:r>
              <w:rPr>
                <w:rFonts w:hint="eastAsia"/>
                <w:szCs w:val="21"/>
              </w:rPr>
              <w:t>集中式饮用水源（包括已建成的在用、备用、应急水源，在建和规划的饮用水水源）准保护区以外的补给径流区；未划定准保护区的集中水式饮用水水源，其它保护区以外的补给径流区；分散式饮用水水源地；特殊地下水资源（如矿泉水、温泉等）保护区以外的分布区等其它未列入上述敏感分级的环境敏感区</w:t>
            </w:r>
            <w:r>
              <w:rPr>
                <w:rFonts w:hint="eastAsia"/>
                <w:szCs w:val="21"/>
                <w:vertAlign w:val="superscript"/>
              </w:rPr>
              <w:t>a</w:t>
            </w:r>
            <w:r>
              <w:rPr>
                <w:rFonts w:hint="eastAsia"/>
                <w:szCs w:val="21"/>
              </w:rPr>
              <w:t>。</w:t>
            </w:r>
          </w:p>
        </w:tc>
      </w:tr>
      <w:tr w14:paraId="2485B1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5" w:type="pct"/>
            <w:vAlign w:val="center"/>
          </w:tcPr>
          <w:p w14:paraId="0AD05CD9">
            <w:pPr>
              <w:pStyle w:val="208"/>
              <w:adjustRightInd w:val="0"/>
              <w:snapToGrid w:val="0"/>
              <w:spacing w:line="300" w:lineRule="exact"/>
              <w:rPr>
                <w:rFonts w:hint="eastAsia"/>
                <w:szCs w:val="21"/>
              </w:rPr>
            </w:pPr>
            <w:r>
              <w:rPr>
                <w:rFonts w:hint="eastAsia"/>
                <w:szCs w:val="21"/>
              </w:rPr>
              <w:t>不敏感</w:t>
            </w:r>
          </w:p>
        </w:tc>
        <w:tc>
          <w:tcPr>
            <w:tcW w:w="4385" w:type="pct"/>
            <w:vAlign w:val="center"/>
          </w:tcPr>
          <w:p w14:paraId="76869817">
            <w:pPr>
              <w:pStyle w:val="208"/>
              <w:adjustRightInd w:val="0"/>
              <w:snapToGrid w:val="0"/>
              <w:spacing w:line="300" w:lineRule="exact"/>
              <w:jc w:val="left"/>
              <w:rPr>
                <w:rFonts w:hint="eastAsia"/>
                <w:szCs w:val="21"/>
              </w:rPr>
            </w:pPr>
            <w:r>
              <w:rPr>
                <w:rFonts w:hint="eastAsia"/>
                <w:szCs w:val="21"/>
              </w:rPr>
              <w:t>上述地区之外的其它地区</w:t>
            </w:r>
          </w:p>
        </w:tc>
      </w:tr>
      <w:tr w14:paraId="5EB4F7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2"/>
            <w:vAlign w:val="center"/>
          </w:tcPr>
          <w:p w14:paraId="37F575CC">
            <w:pPr>
              <w:pStyle w:val="208"/>
              <w:adjustRightInd w:val="0"/>
              <w:snapToGrid w:val="0"/>
              <w:spacing w:line="300" w:lineRule="exact"/>
              <w:jc w:val="left"/>
              <w:rPr>
                <w:rFonts w:hint="eastAsia"/>
                <w:szCs w:val="21"/>
              </w:rPr>
            </w:pPr>
            <w:r>
              <w:rPr>
                <w:rFonts w:hint="eastAsia"/>
                <w:szCs w:val="21"/>
              </w:rPr>
              <w:t>注：a“环境敏感区”是指《建设项目环境影响分类管理名录》中所界定的涉及地下水的环境敏感区</w:t>
            </w:r>
          </w:p>
        </w:tc>
      </w:tr>
    </w:tbl>
    <w:p w14:paraId="5F9984F0">
      <w:pPr>
        <w:pStyle w:val="109"/>
        <w:rPr>
          <w:rFonts w:hint="eastAsia"/>
        </w:rPr>
      </w:pPr>
      <w:r>
        <w:rPr>
          <w:rFonts w:hint="eastAsia"/>
        </w:rPr>
        <w:t>表2.</w:t>
      </w:r>
      <w:r>
        <w:t>6</w:t>
      </w:r>
      <w:r>
        <w:rPr>
          <w:rFonts w:hint="eastAsia"/>
        </w:rPr>
        <w:t>-4  建设项目评价工作等级分级表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50"/>
        <w:gridCol w:w="2151"/>
        <w:gridCol w:w="2036"/>
        <w:gridCol w:w="1909"/>
      </w:tblGrid>
      <w:tr w14:paraId="7269C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93" w:type="pct"/>
            <w:tcBorders>
              <w:tl2br w:val="single" w:color="auto" w:sz="4" w:space="0"/>
            </w:tcBorders>
            <w:vAlign w:val="center"/>
          </w:tcPr>
          <w:p w14:paraId="1F8DCC99">
            <w:pPr>
              <w:pStyle w:val="286"/>
              <w:jc w:val="right"/>
              <w:rPr>
                <w:rFonts w:hint="eastAsia" w:cs="Arial"/>
                <w:kern w:val="2"/>
                <w:sz w:val="21"/>
              </w:rPr>
            </w:pPr>
            <w:r>
              <w:rPr>
                <w:rFonts w:hint="eastAsia" w:cs="Arial"/>
                <w:kern w:val="2"/>
                <w:sz w:val="21"/>
              </w:rPr>
              <w:t>项目类别</w:t>
            </w:r>
          </w:p>
          <w:p w14:paraId="1DEEC228">
            <w:pPr>
              <w:pStyle w:val="286"/>
              <w:jc w:val="left"/>
              <w:rPr>
                <w:rFonts w:hint="eastAsia" w:cs="Arial"/>
                <w:kern w:val="2"/>
                <w:sz w:val="21"/>
              </w:rPr>
            </w:pPr>
            <w:r>
              <w:rPr>
                <w:rFonts w:hint="eastAsia" w:cs="Arial"/>
                <w:kern w:val="2"/>
                <w:sz w:val="21"/>
              </w:rPr>
              <w:t>环境敏感程度</w:t>
            </w:r>
          </w:p>
        </w:tc>
        <w:tc>
          <w:tcPr>
            <w:tcW w:w="1202" w:type="pct"/>
            <w:vAlign w:val="center"/>
          </w:tcPr>
          <w:p w14:paraId="6B9B3153">
            <w:pPr>
              <w:pStyle w:val="286"/>
              <w:rPr>
                <w:rFonts w:hint="eastAsia" w:cs="Arial"/>
                <w:kern w:val="2"/>
                <w:sz w:val="21"/>
              </w:rPr>
            </w:pPr>
            <w:r>
              <w:rPr>
                <w:rFonts w:hint="eastAsia" w:cs="Arial"/>
                <w:kern w:val="2"/>
                <w:sz w:val="21"/>
              </w:rPr>
              <w:t>Ⅰ类项目</w:t>
            </w:r>
          </w:p>
        </w:tc>
        <w:tc>
          <w:tcPr>
            <w:tcW w:w="1138" w:type="pct"/>
            <w:vAlign w:val="center"/>
          </w:tcPr>
          <w:p w14:paraId="3BC03138">
            <w:pPr>
              <w:pStyle w:val="286"/>
              <w:rPr>
                <w:rFonts w:hint="eastAsia" w:cs="Arial"/>
                <w:kern w:val="2"/>
                <w:sz w:val="21"/>
              </w:rPr>
            </w:pPr>
            <w:r>
              <w:rPr>
                <w:rFonts w:hint="eastAsia" w:cs="Arial"/>
                <w:kern w:val="2"/>
                <w:sz w:val="21"/>
              </w:rPr>
              <w:t>Ⅱ类项目</w:t>
            </w:r>
          </w:p>
        </w:tc>
        <w:tc>
          <w:tcPr>
            <w:tcW w:w="1067" w:type="pct"/>
            <w:vAlign w:val="center"/>
          </w:tcPr>
          <w:p w14:paraId="572CF2C1">
            <w:pPr>
              <w:pStyle w:val="286"/>
              <w:rPr>
                <w:rFonts w:hint="eastAsia" w:cs="Arial"/>
                <w:kern w:val="2"/>
                <w:sz w:val="21"/>
              </w:rPr>
            </w:pPr>
            <w:r>
              <w:rPr>
                <w:rFonts w:hint="eastAsia" w:cs="Arial"/>
                <w:kern w:val="2"/>
                <w:sz w:val="21"/>
              </w:rPr>
              <w:t>Ⅲ类项目</w:t>
            </w:r>
          </w:p>
        </w:tc>
      </w:tr>
      <w:tr w14:paraId="529FAD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93" w:type="pct"/>
            <w:vAlign w:val="center"/>
          </w:tcPr>
          <w:p w14:paraId="5EDA2F6B">
            <w:pPr>
              <w:pStyle w:val="286"/>
              <w:rPr>
                <w:rFonts w:hint="eastAsia" w:cs="Arial"/>
                <w:kern w:val="2"/>
                <w:sz w:val="21"/>
              </w:rPr>
            </w:pPr>
            <w:r>
              <w:rPr>
                <w:rFonts w:hint="eastAsia" w:cs="Arial"/>
                <w:kern w:val="2"/>
                <w:sz w:val="21"/>
              </w:rPr>
              <w:t>敏感</w:t>
            </w:r>
          </w:p>
        </w:tc>
        <w:tc>
          <w:tcPr>
            <w:tcW w:w="1202" w:type="pct"/>
            <w:vAlign w:val="center"/>
          </w:tcPr>
          <w:p w14:paraId="735A097D">
            <w:pPr>
              <w:pStyle w:val="286"/>
              <w:rPr>
                <w:rFonts w:hint="eastAsia" w:cs="Arial"/>
                <w:kern w:val="2"/>
                <w:sz w:val="21"/>
              </w:rPr>
            </w:pPr>
            <w:r>
              <w:rPr>
                <w:rFonts w:hint="eastAsia" w:cs="Arial"/>
                <w:kern w:val="2"/>
                <w:sz w:val="21"/>
              </w:rPr>
              <w:t>一</w:t>
            </w:r>
          </w:p>
        </w:tc>
        <w:tc>
          <w:tcPr>
            <w:tcW w:w="1138" w:type="pct"/>
            <w:vAlign w:val="center"/>
          </w:tcPr>
          <w:p w14:paraId="602AF6A5">
            <w:pPr>
              <w:pStyle w:val="286"/>
              <w:rPr>
                <w:rFonts w:hint="eastAsia" w:cs="Arial"/>
                <w:kern w:val="2"/>
                <w:sz w:val="21"/>
              </w:rPr>
            </w:pPr>
            <w:r>
              <w:rPr>
                <w:rFonts w:hint="eastAsia" w:cs="Arial"/>
                <w:kern w:val="2"/>
                <w:sz w:val="21"/>
              </w:rPr>
              <w:t>一</w:t>
            </w:r>
          </w:p>
        </w:tc>
        <w:tc>
          <w:tcPr>
            <w:tcW w:w="1067" w:type="pct"/>
            <w:vAlign w:val="center"/>
          </w:tcPr>
          <w:p w14:paraId="6B450A0E">
            <w:pPr>
              <w:pStyle w:val="286"/>
              <w:rPr>
                <w:rFonts w:hint="eastAsia" w:cs="Arial"/>
                <w:kern w:val="2"/>
                <w:sz w:val="21"/>
              </w:rPr>
            </w:pPr>
            <w:r>
              <w:rPr>
                <w:rFonts w:hint="eastAsia" w:cs="Arial"/>
                <w:kern w:val="2"/>
                <w:sz w:val="21"/>
              </w:rPr>
              <w:t>二</w:t>
            </w:r>
          </w:p>
        </w:tc>
      </w:tr>
      <w:tr w14:paraId="7A6E05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93" w:type="pct"/>
            <w:vAlign w:val="center"/>
          </w:tcPr>
          <w:p w14:paraId="52CD0FA1">
            <w:pPr>
              <w:pStyle w:val="286"/>
              <w:rPr>
                <w:rFonts w:hint="eastAsia" w:cs="Arial"/>
                <w:kern w:val="2"/>
                <w:sz w:val="21"/>
              </w:rPr>
            </w:pPr>
            <w:r>
              <w:rPr>
                <w:rFonts w:hint="eastAsia" w:cs="Arial"/>
                <w:kern w:val="2"/>
                <w:sz w:val="21"/>
              </w:rPr>
              <w:t>较敏感</w:t>
            </w:r>
          </w:p>
        </w:tc>
        <w:tc>
          <w:tcPr>
            <w:tcW w:w="1202" w:type="pct"/>
            <w:vAlign w:val="center"/>
          </w:tcPr>
          <w:p w14:paraId="1FDD75F2">
            <w:pPr>
              <w:pStyle w:val="286"/>
              <w:rPr>
                <w:rFonts w:hint="eastAsia" w:cs="Arial"/>
                <w:kern w:val="2"/>
                <w:sz w:val="21"/>
              </w:rPr>
            </w:pPr>
            <w:r>
              <w:rPr>
                <w:rFonts w:hint="eastAsia" w:cs="Arial"/>
                <w:kern w:val="2"/>
                <w:sz w:val="21"/>
              </w:rPr>
              <w:t>一</w:t>
            </w:r>
          </w:p>
        </w:tc>
        <w:tc>
          <w:tcPr>
            <w:tcW w:w="1138" w:type="pct"/>
            <w:vAlign w:val="center"/>
          </w:tcPr>
          <w:p w14:paraId="0E029252">
            <w:pPr>
              <w:pStyle w:val="286"/>
              <w:rPr>
                <w:rFonts w:hint="eastAsia" w:cs="Arial"/>
                <w:kern w:val="2"/>
                <w:sz w:val="21"/>
              </w:rPr>
            </w:pPr>
            <w:r>
              <w:rPr>
                <w:rFonts w:hint="eastAsia" w:cs="Arial"/>
                <w:kern w:val="2"/>
                <w:sz w:val="21"/>
              </w:rPr>
              <w:t>二</w:t>
            </w:r>
          </w:p>
        </w:tc>
        <w:tc>
          <w:tcPr>
            <w:tcW w:w="1067" w:type="pct"/>
            <w:vAlign w:val="center"/>
          </w:tcPr>
          <w:p w14:paraId="13B3F942">
            <w:pPr>
              <w:pStyle w:val="286"/>
              <w:rPr>
                <w:rFonts w:hint="eastAsia" w:cs="Arial"/>
                <w:kern w:val="2"/>
                <w:sz w:val="21"/>
              </w:rPr>
            </w:pPr>
            <w:r>
              <w:rPr>
                <w:rFonts w:hint="eastAsia" w:cs="Arial"/>
                <w:kern w:val="2"/>
                <w:sz w:val="21"/>
              </w:rPr>
              <w:t>三</w:t>
            </w:r>
          </w:p>
        </w:tc>
      </w:tr>
      <w:tr w14:paraId="731341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93" w:type="pct"/>
            <w:vAlign w:val="center"/>
          </w:tcPr>
          <w:p w14:paraId="69D81BB5">
            <w:pPr>
              <w:pStyle w:val="286"/>
              <w:rPr>
                <w:rFonts w:hint="eastAsia" w:cs="Arial"/>
                <w:kern w:val="2"/>
                <w:sz w:val="21"/>
              </w:rPr>
            </w:pPr>
            <w:r>
              <w:rPr>
                <w:rFonts w:hint="eastAsia" w:cs="Arial"/>
                <w:kern w:val="2"/>
                <w:sz w:val="21"/>
              </w:rPr>
              <w:t>不敏感</w:t>
            </w:r>
          </w:p>
        </w:tc>
        <w:tc>
          <w:tcPr>
            <w:tcW w:w="1202" w:type="pct"/>
            <w:vAlign w:val="center"/>
          </w:tcPr>
          <w:p w14:paraId="22ABEA2A">
            <w:pPr>
              <w:pStyle w:val="286"/>
              <w:rPr>
                <w:rFonts w:hint="eastAsia" w:cs="Arial"/>
                <w:kern w:val="2"/>
                <w:sz w:val="21"/>
              </w:rPr>
            </w:pPr>
            <w:r>
              <w:rPr>
                <w:rFonts w:hint="eastAsia" w:cs="Arial"/>
                <w:kern w:val="2"/>
                <w:sz w:val="21"/>
              </w:rPr>
              <w:t>二</w:t>
            </w:r>
          </w:p>
        </w:tc>
        <w:tc>
          <w:tcPr>
            <w:tcW w:w="1138" w:type="pct"/>
            <w:vAlign w:val="center"/>
          </w:tcPr>
          <w:p w14:paraId="384306F4">
            <w:pPr>
              <w:pStyle w:val="286"/>
              <w:rPr>
                <w:rFonts w:hint="eastAsia" w:cs="Arial"/>
                <w:kern w:val="2"/>
                <w:sz w:val="21"/>
              </w:rPr>
            </w:pPr>
            <w:r>
              <w:rPr>
                <w:rFonts w:hint="eastAsia" w:cs="Arial"/>
                <w:kern w:val="2"/>
                <w:sz w:val="21"/>
              </w:rPr>
              <w:t>三</w:t>
            </w:r>
          </w:p>
        </w:tc>
        <w:tc>
          <w:tcPr>
            <w:tcW w:w="1067" w:type="pct"/>
            <w:vAlign w:val="center"/>
          </w:tcPr>
          <w:p w14:paraId="7E6E933B">
            <w:pPr>
              <w:pStyle w:val="286"/>
              <w:rPr>
                <w:rFonts w:hint="eastAsia" w:cs="Arial"/>
                <w:kern w:val="2"/>
                <w:sz w:val="21"/>
              </w:rPr>
            </w:pPr>
            <w:r>
              <w:rPr>
                <w:rFonts w:hint="eastAsia" w:cs="Arial"/>
                <w:kern w:val="2"/>
                <w:sz w:val="21"/>
              </w:rPr>
              <w:t>三</w:t>
            </w:r>
          </w:p>
        </w:tc>
      </w:tr>
    </w:tbl>
    <w:p w14:paraId="44C1201A">
      <w:pPr>
        <w:pStyle w:val="117"/>
        <w:spacing w:line="480" w:lineRule="exact"/>
        <w:ind w:firstLine="480"/>
        <w:rPr>
          <w:rFonts w:hint="eastAsia" w:cs="宋体"/>
          <w:kern w:val="0"/>
          <w:szCs w:val="20"/>
          <w:lang w:bidi="ar"/>
        </w:rPr>
      </w:pPr>
      <w:r>
        <w:rPr>
          <w:rFonts w:hint="eastAsia" w:cs="宋体"/>
          <w:kern w:val="0"/>
          <w:lang w:bidi="ar"/>
        </w:rPr>
        <w:t>项目周边无</w:t>
      </w:r>
      <w:r>
        <w:rPr>
          <w:rFonts w:hint="eastAsia" w:cs="宋体"/>
          <w:kern w:val="0"/>
          <w:szCs w:val="20"/>
          <w:lang w:bidi="ar"/>
        </w:rPr>
        <w:t>“集中式水源区的准保护区、除集中水源地的国家或地方政府设定的地下水环境相关的保护区”，也无“集中式水源区的准保护区以外的补给径流区、分散式饮用水水源地、特殊地下水资源保护区”，敏感程度为“不敏感”。</w:t>
      </w:r>
    </w:p>
    <w:p w14:paraId="3FF95FE2">
      <w:pPr>
        <w:pStyle w:val="117"/>
        <w:spacing w:line="480" w:lineRule="exact"/>
        <w:ind w:firstLine="480"/>
        <w:rPr>
          <w:rFonts w:hint="eastAsia"/>
        </w:rPr>
      </w:pPr>
      <w:r>
        <w:rPr>
          <w:rFonts w:hint="eastAsia"/>
        </w:rPr>
        <w:t>本项目属于陆地石油开采行业，</w:t>
      </w:r>
      <w:r>
        <w:rPr>
          <w:rFonts w:hint="eastAsia" w:cs="宋体"/>
        </w:rPr>
        <w:t>根据</w:t>
      </w:r>
      <w:r>
        <w:rPr>
          <w:rFonts w:hint="eastAsia"/>
        </w:rPr>
        <w:t>《环境影响评价技术导则 陆地石油天然气开发建设项目》（H</w:t>
      </w:r>
      <w:r>
        <w:t>J349</w:t>
      </w:r>
      <w:r>
        <w:rPr>
          <w:rFonts w:hint="eastAsia"/>
        </w:rPr>
        <w:t>-</w:t>
      </w:r>
      <w:r>
        <w:t>2023</w:t>
      </w:r>
      <w:r>
        <w:rPr>
          <w:rFonts w:hint="eastAsia"/>
        </w:rPr>
        <w:t>）规定采油井场和计量站为Ⅰ类建设项目，单井采油管线、集油干支线为Ⅱ类建设项目，</w:t>
      </w:r>
      <w:bookmarkStart w:id="97" w:name="_Hlk41317454"/>
      <w:bookmarkStart w:id="98" w:name="_Toc445841977"/>
      <w:bookmarkStart w:id="99" w:name="_Toc25869"/>
      <w:r>
        <w:rPr>
          <w:rFonts w:hint="eastAsia"/>
        </w:rPr>
        <w:t>根据表2.</w:t>
      </w:r>
      <w:r>
        <w:t>6</w:t>
      </w:r>
      <w:r>
        <w:rPr>
          <w:rFonts w:hint="eastAsia"/>
        </w:rPr>
        <w:t>-4判定采油井场和计量站地下水评价等级为二级</w:t>
      </w:r>
      <w:bookmarkEnd w:id="97"/>
      <w:r>
        <w:rPr>
          <w:rFonts w:hint="eastAsia"/>
        </w:rPr>
        <w:t>，单井采油管线、集油干支线地下水评价等级为三级。</w:t>
      </w:r>
    </w:p>
    <w:p w14:paraId="5CE04428">
      <w:pPr>
        <w:pStyle w:val="117"/>
        <w:spacing w:line="480" w:lineRule="exact"/>
        <w:ind w:firstLine="480"/>
        <w:rPr>
          <w:rFonts w:hint="eastAsia"/>
        </w:rPr>
      </w:pPr>
      <w:bookmarkStart w:id="100" w:name="_Hlk92203563"/>
      <w:r>
        <w:rPr>
          <w:rFonts w:hint="eastAsia"/>
        </w:rPr>
        <w:t>（</w:t>
      </w:r>
      <w:r>
        <w:t>4</w:t>
      </w:r>
      <w:r>
        <w:rPr>
          <w:rFonts w:hint="eastAsia"/>
        </w:rPr>
        <w:t>）声环境评价等级</w:t>
      </w:r>
      <w:bookmarkEnd w:id="98"/>
      <w:bookmarkEnd w:id="99"/>
    </w:p>
    <w:p w14:paraId="22A39151">
      <w:pPr>
        <w:pStyle w:val="117"/>
        <w:spacing w:line="480" w:lineRule="exact"/>
        <w:ind w:firstLine="480"/>
        <w:rPr>
          <w:rFonts w:hint="eastAsia"/>
        </w:rPr>
      </w:pPr>
      <w:r>
        <w:rPr>
          <w:rFonts w:hint="eastAsia"/>
        </w:rPr>
        <w:t>项目区属于《声环境质量标准》（GB3096-2008）中的</w:t>
      </w:r>
      <w:r>
        <w:t>2</w:t>
      </w:r>
      <w:r>
        <w:rPr>
          <w:rFonts w:hint="eastAsia"/>
        </w:rPr>
        <w:t>类功能区，评价范围内无声环境敏感目标，受影响人口数量变化不大。根据《环境影响评价技术导则 声环境》（HJ2.4-20</w:t>
      </w:r>
      <w:r>
        <w:t>21</w:t>
      </w:r>
      <w:r>
        <w:rPr>
          <w:rFonts w:hint="eastAsia"/>
        </w:rPr>
        <w:t>）的有关要求，确定声环境评价等级为二级。</w:t>
      </w:r>
    </w:p>
    <w:bookmarkEnd w:id="100"/>
    <w:p w14:paraId="780AA1A5">
      <w:pPr>
        <w:pStyle w:val="117"/>
        <w:spacing w:line="480" w:lineRule="exact"/>
        <w:ind w:firstLine="480"/>
        <w:rPr>
          <w:rFonts w:hint="eastAsia"/>
        </w:rPr>
      </w:pPr>
      <w:bookmarkStart w:id="101" w:name="_Toc31988"/>
      <w:bookmarkStart w:id="102" w:name="_Toc445841975"/>
      <w:bookmarkStart w:id="103" w:name="_Hlk92203596"/>
      <w:r>
        <w:rPr>
          <w:rFonts w:hint="eastAsia"/>
        </w:rPr>
        <w:t>（</w:t>
      </w:r>
      <w:r>
        <w:t>5</w:t>
      </w:r>
      <w:r>
        <w:rPr>
          <w:rFonts w:hint="eastAsia"/>
        </w:rPr>
        <w:t>）生态环境评价等级</w:t>
      </w:r>
      <w:bookmarkEnd w:id="101"/>
      <w:bookmarkEnd w:id="102"/>
    </w:p>
    <w:bookmarkEnd w:id="103"/>
    <w:p w14:paraId="4AE8333F">
      <w:pPr>
        <w:pStyle w:val="117"/>
        <w:spacing w:line="480" w:lineRule="exact"/>
        <w:ind w:firstLine="480"/>
        <w:rPr>
          <w:rFonts w:hint="eastAsia" w:ascii="黑体" w:hAnsi="黑体" w:eastAsia="黑体"/>
          <w:kern w:val="0"/>
          <w:szCs w:val="21"/>
          <w:lang w:val="zh-CN"/>
        </w:rPr>
      </w:pPr>
      <w:bookmarkStart w:id="104" w:name="_Hlk80048150"/>
      <w:r>
        <w:t>《环境影响评价技术导则  生态影响》（</w:t>
      </w:r>
      <w:r>
        <w:fldChar w:fldCharType="begin"/>
      </w:r>
      <w:r>
        <w:instrText xml:space="preserve"> HYPERLINK "http://www.360doc.com/content/10/1102/08/4330919_65871295.shtml" \t "C:UsersAdministratorDesktop环评补充克拉美丽气田环评报告-报批稿_blank" </w:instrText>
      </w:r>
      <w:r>
        <w:fldChar w:fldCharType="separate"/>
      </w:r>
      <w:r>
        <w:t>HJ19-2022</w:t>
      </w:r>
      <w:r>
        <w:fldChar w:fldCharType="end"/>
      </w:r>
      <w:r>
        <w:t>）</w:t>
      </w:r>
      <w:r>
        <w:rPr>
          <w:rFonts w:hint="eastAsia"/>
        </w:rPr>
        <w:t>依据建设项目影响区域的生态敏感性和影响程度，评价等级划分为一级、二级和三级，具体判定情况见表</w:t>
      </w:r>
      <w:r>
        <w:t>2.6</w:t>
      </w:r>
      <w:r>
        <w:rPr>
          <w:rFonts w:hint="eastAsia"/>
        </w:rPr>
        <w:t>-</w:t>
      </w:r>
      <w:r>
        <w:t>5</w:t>
      </w:r>
      <w:r>
        <w:rPr>
          <w:rFonts w:hint="eastAsia"/>
        </w:rPr>
        <w:t>。</w:t>
      </w:r>
      <w:bookmarkEnd w:id="104"/>
    </w:p>
    <w:p w14:paraId="4FD9C7EB">
      <w:pPr>
        <w:adjustRightInd w:val="0"/>
        <w:snapToGrid w:val="0"/>
        <w:spacing w:line="500" w:lineRule="exact"/>
        <w:ind w:firstLine="420" w:firstLineChars="200"/>
        <w:jc w:val="center"/>
        <w:rPr>
          <w:rFonts w:hint="eastAsia" w:ascii="黑体" w:hAnsi="黑体" w:eastAsia="黑体"/>
          <w:kern w:val="0"/>
          <w:szCs w:val="21"/>
          <w:lang w:val="zh-CN"/>
        </w:rPr>
      </w:pPr>
      <w:r>
        <w:rPr>
          <w:rFonts w:hint="eastAsia" w:ascii="黑体" w:hAnsi="黑体" w:eastAsia="黑体"/>
          <w:kern w:val="0"/>
          <w:szCs w:val="21"/>
          <w:lang w:val="zh-CN"/>
        </w:rPr>
        <w:t>表2.</w:t>
      </w:r>
      <w:r>
        <w:rPr>
          <w:rFonts w:ascii="黑体" w:hAnsi="黑体" w:eastAsia="黑体"/>
          <w:kern w:val="0"/>
          <w:szCs w:val="21"/>
        </w:rPr>
        <w:t>6</w:t>
      </w:r>
      <w:r>
        <w:rPr>
          <w:rFonts w:hint="eastAsia" w:ascii="黑体" w:hAnsi="黑体" w:eastAsia="黑体"/>
          <w:kern w:val="0"/>
          <w:szCs w:val="21"/>
        </w:rPr>
        <w:t>-</w:t>
      </w:r>
      <w:r>
        <w:rPr>
          <w:rFonts w:ascii="黑体" w:hAnsi="黑体" w:eastAsia="黑体"/>
          <w:kern w:val="0"/>
          <w:szCs w:val="21"/>
        </w:rPr>
        <w:t>5</w:t>
      </w:r>
      <w:r>
        <w:rPr>
          <w:rFonts w:hint="eastAsia" w:ascii="黑体" w:hAnsi="黑体" w:eastAsia="黑体"/>
          <w:kern w:val="0"/>
          <w:szCs w:val="21"/>
        </w:rPr>
        <w:t xml:space="preserve">  生态环境影响评级等级判定</w:t>
      </w:r>
      <w:r>
        <w:rPr>
          <w:rFonts w:hint="eastAsia" w:ascii="黑体" w:hAnsi="黑体" w:eastAsia="黑体"/>
          <w:kern w:val="0"/>
          <w:szCs w:val="21"/>
          <w:lang w:val="zh-CN"/>
        </w:rPr>
        <w:t>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4877"/>
        <w:gridCol w:w="3853"/>
      </w:tblGrid>
      <w:tr w14:paraId="6366BEB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blHeader/>
          <w:jc w:val="center"/>
        </w:trPr>
        <w:tc>
          <w:tcPr>
            <w:tcW w:w="2793" w:type="pct"/>
            <w:vAlign w:val="center"/>
          </w:tcPr>
          <w:p w14:paraId="70D76E7D">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判定原则</w:t>
            </w:r>
          </w:p>
        </w:tc>
        <w:tc>
          <w:tcPr>
            <w:tcW w:w="2207" w:type="pct"/>
            <w:vAlign w:val="center"/>
          </w:tcPr>
          <w:p w14:paraId="13B6B5BD">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判定结果</w:t>
            </w:r>
          </w:p>
        </w:tc>
      </w:tr>
      <w:tr w14:paraId="673860A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77B069DE">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a）涉及国家公园、自然保护区、世界自然遗产、重要生境时，评价等级为一级</w:t>
            </w:r>
          </w:p>
        </w:tc>
        <w:tc>
          <w:tcPr>
            <w:tcW w:w="2207" w:type="pct"/>
            <w:vAlign w:val="center"/>
          </w:tcPr>
          <w:p w14:paraId="45DA6A9A">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占地范围内不涉及</w:t>
            </w:r>
          </w:p>
        </w:tc>
      </w:tr>
      <w:tr w14:paraId="661029A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78E09DD0">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b）涉及自然公园时，评价等级为二级</w:t>
            </w:r>
          </w:p>
        </w:tc>
        <w:tc>
          <w:tcPr>
            <w:tcW w:w="2207" w:type="pct"/>
            <w:vAlign w:val="center"/>
          </w:tcPr>
          <w:p w14:paraId="5C1328C6">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占地范围内不涉及</w:t>
            </w:r>
          </w:p>
        </w:tc>
      </w:tr>
      <w:tr w14:paraId="3F82F3E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151A6022">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c）涉及生态保护红线时，评价等级不低于二级</w:t>
            </w:r>
          </w:p>
        </w:tc>
        <w:tc>
          <w:tcPr>
            <w:tcW w:w="2207" w:type="pct"/>
            <w:vAlign w:val="center"/>
          </w:tcPr>
          <w:p w14:paraId="2FE6ACE1">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占地范围内不涉及</w:t>
            </w:r>
          </w:p>
        </w:tc>
      </w:tr>
      <w:tr w14:paraId="2C14A9F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1DD2C4CC">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d）根据HJ2.3判断属于水文要素影响型且地表水评价等级不低于二级的建设项目，生态影响评价等级不低于二级</w:t>
            </w:r>
          </w:p>
        </w:tc>
        <w:tc>
          <w:tcPr>
            <w:tcW w:w="2207" w:type="pct"/>
            <w:vAlign w:val="center"/>
          </w:tcPr>
          <w:p w14:paraId="39D49995">
            <w:pPr>
              <w:adjustRightInd w:val="0"/>
              <w:snapToGrid w:val="0"/>
              <w:jc w:val="center"/>
              <w:textAlignment w:val="center"/>
              <w:rPr>
                <w:rFonts w:hint="eastAsia" w:ascii="宋体" w:hAnsi="宋体" w:cs="宋体"/>
                <w:bCs/>
                <w:kern w:val="0"/>
                <w:szCs w:val="21"/>
              </w:rPr>
            </w:pPr>
            <w:r>
              <w:rPr>
                <w:rFonts w:hint="eastAsia" w:ascii="宋体" w:hAnsi="宋体"/>
                <w:szCs w:val="21"/>
              </w:rPr>
              <w:t>不属于水文要素影响型建设项目</w:t>
            </w:r>
          </w:p>
        </w:tc>
      </w:tr>
      <w:tr w14:paraId="6FBE26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2FC860F6">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e）根据HJ610、HJ964判断地下水水位或土壤影响范围内分布有天然林、公益林、湿地等生态保护目标的建设项目，生态影响评价等级不低于二级</w:t>
            </w:r>
          </w:p>
        </w:tc>
        <w:tc>
          <w:tcPr>
            <w:tcW w:w="2207" w:type="pct"/>
            <w:vAlign w:val="center"/>
          </w:tcPr>
          <w:p w14:paraId="353C921D">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占地范围内不涉及天然林和湿地，井场及管线沿线涉及国家公益林，评价等级为二级</w:t>
            </w:r>
          </w:p>
        </w:tc>
      </w:tr>
      <w:tr w14:paraId="2E0BBED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6CE045EB">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f）当工程占地规模大于20km</w:t>
            </w:r>
            <w:r>
              <w:rPr>
                <w:rFonts w:hint="eastAsia" w:ascii="宋体" w:hAnsi="宋体" w:cs="宋体"/>
                <w:szCs w:val="21"/>
                <w:vertAlign w:val="superscript"/>
              </w:rPr>
              <w:t>2</w:t>
            </w:r>
            <w:r>
              <w:rPr>
                <w:rFonts w:hint="eastAsia" w:ascii="宋体" w:hAnsi="宋体" w:cs="宋体"/>
                <w:szCs w:val="21"/>
              </w:rPr>
              <w:t>时（包括永久和临时占用陆域和水域），评价等级不低于二级；改扩建项目的占地范围以新增占地（包括陆域和水域）确定</w:t>
            </w:r>
          </w:p>
        </w:tc>
        <w:tc>
          <w:tcPr>
            <w:tcW w:w="2207" w:type="pct"/>
            <w:vAlign w:val="center"/>
          </w:tcPr>
          <w:p w14:paraId="72E749EB">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新增占地0.092</w:t>
            </w:r>
            <w:r>
              <w:rPr>
                <w:rFonts w:ascii="宋体" w:hAnsi="宋体" w:cs="宋体"/>
                <w:bCs/>
                <w:kern w:val="0"/>
                <w:szCs w:val="21"/>
              </w:rPr>
              <w:t>km</w:t>
            </w:r>
            <w:r>
              <w:rPr>
                <w:rFonts w:ascii="宋体" w:hAnsi="宋体" w:cs="宋体"/>
                <w:bCs/>
                <w:kern w:val="0"/>
                <w:szCs w:val="21"/>
                <w:vertAlign w:val="superscript"/>
              </w:rPr>
              <w:t>2</w:t>
            </w:r>
            <w:r>
              <w:rPr>
                <w:rFonts w:hint="eastAsia" w:ascii="宋体" w:hAnsi="宋体" w:cs="宋体"/>
                <w:bCs/>
                <w:kern w:val="0"/>
                <w:szCs w:val="21"/>
              </w:rPr>
              <w:t>，小于2</w:t>
            </w:r>
            <w:r>
              <w:rPr>
                <w:rFonts w:ascii="宋体" w:hAnsi="宋体" w:cs="宋体"/>
                <w:bCs/>
                <w:kern w:val="0"/>
                <w:szCs w:val="21"/>
              </w:rPr>
              <w:t>0</w:t>
            </w:r>
            <w:r>
              <w:rPr>
                <w:rFonts w:hint="eastAsia" w:ascii="宋体" w:hAnsi="宋体" w:cs="宋体"/>
                <w:szCs w:val="21"/>
              </w:rPr>
              <w:t>km</w:t>
            </w:r>
            <w:r>
              <w:rPr>
                <w:rFonts w:hint="eastAsia" w:ascii="宋体" w:hAnsi="宋体" w:cs="宋体"/>
                <w:szCs w:val="21"/>
                <w:vertAlign w:val="superscript"/>
              </w:rPr>
              <w:t>2</w:t>
            </w:r>
          </w:p>
        </w:tc>
      </w:tr>
      <w:tr w14:paraId="0A1B927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13A46146">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g）除本条a）、b）、c）、d）、e）、f）以外的情况，评价等级为三级</w:t>
            </w:r>
          </w:p>
        </w:tc>
        <w:tc>
          <w:tcPr>
            <w:tcW w:w="2207" w:type="pct"/>
            <w:vAlign w:val="center"/>
          </w:tcPr>
          <w:p w14:paraId="24346BE2">
            <w:pPr>
              <w:adjustRightInd w:val="0"/>
              <w:snapToGrid w:val="0"/>
              <w:jc w:val="center"/>
              <w:textAlignment w:val="center"/>
              <w:rPr>
                <w:rFonts w:hint="eastAsia" w:ascii="宋体" w:hAnsi="宋体" w:cs="宋体"/>
                <w:bCs/>
                <w:kern w:val="0"/>
                <w:szCs w:val="21"/>
              </w:rPr>
            </w:pPr>
            <w:r>
              <w:rPr>
                <w:rFonts w:hint="eastAsia" w:ascii="宋体" w:hAnsi="宋体"/>
                <w:szCs w:val="21"/>
              </w:rPr>
              <w:t>项目涉及</w:t>
            </w:r>
            <w:r>
              <w:rPr>
                <w:rFonts w:hint="eastAsia" w:ascii="宋体" w:hAnsi="宋体" w:cs="宋体"/>
                <w:bCs/>
                <w:kern w:val="0"/>
                <w:szCs w:val="21"/>
              </w:rPr>
              <w:t>国家公益林，属于</w:t>
            </w:r>
            <w:r>
              <w:rPr>
                <w:rFonts w:hint="eastAsia" w:ascii="宋体" w:hAnsi="宋体"/>
                <w:szCs w:val="21"/>
              </w:rPr>
              <w:t>HJ19-2022 6.1.2评价等级确定原则中的e级</w:t>
            </w:r>
            <w:r>
              <w:rPr>
                <w:rFonts w:ascii="宋体" w:hAnsi="宋体" w:cs="宋体"/>
                <w:bCs/>
                <w:kern w:val="0"/>
                <w:szCs w:val="21"/>
              </w:rPr>
              <w:t xml:space="preserve"> </w:t>
            </w:r>
          </w:p>
        </w:tc>
      </w:tr>
      <w:tr w14:paraId="0563AA2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5ECDF4FB">
            <w:pPr>
              <w:adjustRightInd w:val="0"/>
              <w:snapToGrid w:val="0"/>
              <w:jc w:val="left"/>
              <w:textAlignment w:val="center"/>
              <w:rPr>
                <w:rFonts w:hint="eastAsia" w:ascii="宋体" w:hAnsi="宋体" w:cs="宋体"/>
                <w:bCs/>
                <w:kern w:val="0"/>
                <w:szCs w:val="21"/>
                <w:lang w:val="zh-CN"/>
              </w:rPr>
            </w:pPr>
            <w:r>
              <w:rPr>
                <w:rFonts w:hint="eastAsia" w:ascii="宋体" w:hAnsi="宋体" w:cs="宋体"/>
                <w:szCs w:val="21"/>
              </w:rPr>
              <w:t>h）当评价等级判定同时符合上述多种情况时，应采用其中最高的评价等级</w:t>
            </w:r>
          </w:p>
        </w:tc>
        <w:tc>
          <w:tcPr>
            <w:tcW w:w="2207" w:type="pct"/>
            <w:vAlign w:val="center"/>
          </w:tcPr>
          <w:p w14:paraId="1E3C2BA9">
            <w:pPr>
              <w:adjustRightInd w:val="0"/>
              <w:snapToGrid w:val="0"/>
              <w:jc w:val="center"/>
              <w:textAlignment w:val="center"/>
              <w:rPr>
                <w:rFonts w:hint="eastAsia" w:ascii="宋体" w:hAnsi="宋体" w:cs="宋体"/>
                <w:bCs/>
                <w:kern w:val="0"/>
                <w:szCs w:val="21"/>
              </w:rPr>
            </w:pPr>
            <w:r>
              <w:rPr>
                <w:rFonts w:hint="eastAsia" w:ascii="宋体" w:hAnsi="宋体" w:cs="宋体"/>
                <w:bCs/>
                <w:kern w:val="0"/>
                <w:szCs w:val="21"/>
              </w:rPr>
              <w:t>符合上述e条，评价等级为二级</w:t>
            </w:r>
          </w:p>
        </w:tc>
      </w:tr>
      <w:tr w14:paraId="31808C8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2793" w:type="pct"/>
            <w:vAlign w:val="center"/>
          </w:tcPr>
          <w:p w14:paraId="5B830650">
            <w:pPr>
              <w:autoSpaceDE w:val="0"/>
              <w:autoSpaceDN w:val="0"/>
              <w:adjustRightInd w:val="0"/>
              <w:snapToGrid w:val="0"/>
              <w:jc w:val="center"/>
              <w:rPr>
                <w:rFonts w:hint="eastAsia" w:ascii="宋体" w:hAnsi="宋体" w:cs="宋体"/>
                <w:szCs w:val="21"/>
              </w:rPr>
            </w:pPr>
            <w:r>
              <w:rPr>
                <w:rFonts w:hint="eastAsia" w:ascii="宋体" w:hAnsi="宋体"/>
                <w:szCs w:val="21"/>
              </w:rPr>
              <w:t>建设项目涉及经论证对保护生物多样性具有重要意义的区域时，可适当上调评价等级。</w:t>
            </w:r>
          </w:p>
        </w:tc>
        <w:tc>
          <w:tcPr>
            <w:tcW w:w="2207" w:type="pct"/>
            <w:vAlign w:val="center"/>
          </w:tcPr>
          <w:p w14:paraId="4C95FFBB">
            <w:pPr>
              <w:adjustRightInd w:val="0"/>
              <w:snapToGrid w:val="0"/>
              <w:jc w:val="center"/>
              <w:textAlignment w:val="center"/>
              <w:rPr>
                <w:rFonts w:hint="eastAsia" w:ascii="宋体" w:hAnsi="宋体" w:cs="宋体"/>
                <w:bCs/>
                <w:kern w:val="0"/>
                <w:szCs w:val="21"/>
              </w:rPr>
            </w:pPr>
            <w:r>
              <w:rPr>
                <w:rFonts w:hint="eastAsia" w:ascii="宋体" w:hAnsi="宋体"/>
                <w:szCs w:val="21"/>
              </w:rPr>
              <w:t>占地范围内不涉及对保护生物多样性具有重要意义的区域，无需上调评价等级</w:t>
            </w:r>
          </w:p>
        </w:tc>
      </w:tr>
    </w:tbl>
    <w:p w14:paraId="2B9B66CA">
      <w:pPr>
        <w:pStyle w:val="117"/>
        <w:spacing w:line="480" w:lineRule="exact"/>
        <w:ind w:firstLine="480"/>
        <w:rPr>
          <w:rFonts w:hint="eastAsia"/>
        </w:rPr>
      </w:pPr>
      <w:r>
        <w:rPr>
          <w:rFonts w:hint="eastAsia"/>
        </w:rPr>
        <w:t>由表</w:t>
      </w:r>
      <w:r>
        <w:t>2.6</w:t>
      </w:r>
      <w:r>
        <w:rPr>
          <w:rFonts w:hint="eastAsia"/>
        </w:rPr>
        <w:t>-</w:t>
      </w:r>
      <w:r>
        <w:t>5</w:t>
      </w:r>
      <w:r>
        <w:rPr>
          <w:rFonts w:hint="eastAsia"/>
        </w:rPr>
        <w:t>可知，生态影响评价等级为二级。</w:t>
      </w:r>
    </w:p>
    <w:p w14:paraId="03C32E20">
      <w:pPr>
        <w:pStyle w:val="117"/>
        <w:spacing w:line="480" w:lineRule="exact"/>
        <w:ind w:firstLine="480"/>
        <w:rPr>
          <w:rFonts w:hint="eastAsia"/>
          <w:lang w:val="zh-CN"/>
        </w:rPr>
      </w:pPr>
      <w:bookmarkStart w:id="105" w:name="_Toc24207"/>
      <w:bookmarkStart w:id="106" w:name="_Toc445841978"/>
      <w:r>
        <w:rPr>
          <w:rFonts w:hint="eastAsia"/>
          <w:lang w:val="zh-CN"/>
        </w:rPr>
        <w:t>（6）土壤环境评价等级</w:t>
      </w:r>
    </w:p>
    <w:p w14:paraId="260140CA">
      <w:pPr>
        <w:pStyle w:val="117"/>
        <w:spacing w:line="480" w:lineRule="exact"/>
        <w:ind w:firstLine="480"/>
        <w:rPr>
          <w:rFonts w:hint="eastAsia"/>
        </w:rPr>
      </w:pPr>
      <w:r>
        <w:rPr>
          <w:rFonts w:hint="eastAsia"/>
        </w:rPr>
        <w:t xml:space="preserve">项目所在区域为盐化地区，根据《环境影响评价技术导则 </w:t>
      </w:r>
      <w:r>
        <w:t xml:space="preserve"> </w:t>
      </w:r>
      <w:r>
        <w:rPr>
          <w:rFonts w:hint="eastAsia"/>
        </w:rPr>
        <w:t>陆地石油天然气开发建设项目》（H</w:t>
      </w:r>
      <w:r>
        <w:t>J349-2023</w:t>
      </w:r>
      <w:r>
        <w:rPr>
          <w:rFonts w:hint="eastAsia"/>
        </w:rPr>
        <w:t>）中规定，项目应按照土壤污染影响型和生态影响型，按相应等级分别开展评价工作。</w:t>
      </w:r>
    </w:p>
    <w:p w14:paraId="0241607E">
      <w:pPr>
        <w:pStyle w:val="117"/>
        <w:spacing w:line="480" w:lineRule="exact"/>
        <w:ind w:firstLine="480" w:firstLineChars="0"/>
        <w:rPr>
          <w:rFonts w:hint="eastAsia"/>
        </w:rPr>
      </w:pPr>
      <w:r>
        <w:rPr>
          <w:rFonts w:hint="eastAsia"/>
        </w:rPr>
        <w:t>①土壤污染影响型</w:t>
      </w:r>
    </w:p>
    <w:p w14:paraId="71CD33D3">
      <w:pPr>
        <w:pStyle w:val="117"/>
        <w:spacing w:line="480" w:lineRule="exact"/>
        <w:ind w:firstLine="480"/>
        <w:rPr>
          <w:rFonts w:hint="eastAsia"/>
          <w:lang w:val="zh-CN"/>
        </w:rPr>
      </w:pPr>
      <w:r>
        <w:rPr>
          <w:rFonts w:hint="eastAsia"/>
          <w:lang w:val="zh-CN"/>
        </w:rPr>
        <w:t>土壤污染影响型项目根据评价类别、占地规模与敏感程度划分评价等级，见表</w:t>
      </w:r>
      <w:r>
        <w:rPr>
          <w:rFonts w:hint="eastAsia"/>
        </w:rPr>
        <w:t>2.</w:t>
      </w:r>
      <w:r>
        <w:t>6</w:t>
      </w:r>
      <w:r>
        <w:rPr>
          <w:rFonts w:hint="eastAsia"/>
        </w:rPr>
        <w:t>-6</w:t>
      </w:r>
      <w:r>
        <w:rPr>
          <w:rFonts w:hint="eastAsia"/>
          <w:lang w:val="zh-CN"/>
        </w:rPr>
        <w:t>。</w:t>
      </w:r>
    </w:p>
    <w:p w14:paraId="684A1A50">
      <w:pPr>
        <w:pStyle w:val="15"/>
        <w:rPr>
          <w:rFonts w:hint="eastAsia"/>
        </w:rPr>
      </w:pPr>
      <w:r>
        <w:rPr>
          <w:rFonts w:hint="eastAsia"/>
        </w:rPr>
        <w:t>表2.</w:t>
      </w:r>
      <w:r>
        <w:t>6</w:t>
      </w:r>
      <w:r>
        <w:rPr>
          <w:rFonts w:hint="eastAsia"/>
        </w:rPr>
        <w:t>-6  污染影响型评价工作等级划分表</w:t>
      </w:r>
      <w:r>
        <w:rPr>
          <w:rFonts w:hint="eastAsia" w:cs="Arial"/>
          <w:szCs w:val="21"/>
        </w:rPr>
        <mc:AlternateContent>
          <mc:Choice Requires="wps">
            <w:drawing>
              <wp:anchor distT="0" distB="0" distL="114300" distR="114300" simplePos="0" relativeHeight="251660288" behindDoc="0" locked="0" layoutInCell="1" allowOverlap="1">
                <wp:simplePos x="0" y="0"/>
                <wp:positionH relativeFrom="column">
                  <wp:posOffset>-111760</wp:posOffset>
                </wp:positionH>
                <wp:positionV relativeFrom="paragraph">
                  <wp:posOffset>668020</wp:posOffset>
                </wp:positionV>
                <wp:extent cx="1570355" cy="358775"/>
                <wp:effectExtent l="10795" t="12700" r="9525" b="9525"/>
                <wp:wrapNone/>
                <wp:docPr id="42" name="自选图形 364"/>
                <wp:cNvGraphicFramePr/>
                <a:graphic xmlns:a="http://schemas.openxmlformats.org/drawingml/2006/main">
                  <a:graphicData uri="http://schemas.microsoft.com/office/word/2010/wordprocessingShape">
                    <wps:wsp>
                      <wps:cNvCnPr>
                        <a:cxnSpLocks noChangeShapeType="1"/>
                      </wps:cNvCnPr>
                      <wps:spPr bwMode="auto">
                        <a:xfrm>
                          <a:off x="0" y="0"/>
                          <a:ext cx="1570355" cy="358775"/>
                        </a:xfrm>
                        <a:prstGeom prst="straightConnector1">
                          <a:avLst/>
                        </a:prstGeom>
                        <a:noFill/>
                        <a:ln w="6350">
                          <a:solidFill>
                            <a:srgbClr val="0D0D0D"/>
                          </a:solidFill>
                          <a:round/>
                        </a:ln>
                      </wps:spPr>
                      <wps:bodyPr/>
                    </wps:wsp>
                  </a:graphicData>
                </a:graphic>
              </wp:anchor>
            </w:drawing>
          </mc:Choice>
          <mc:Fallback>
            <w:pict>
              <v:shape id="自选图形 364" o:spid="_x0000_s1026" o:spt="32" type="#_x0000_t32" style="position:absolute;left:0pt;margin-left:-8.8pt;margin-top:52.6pt;height:28.25pt;width:123.65pt;z-index:251660288;mso-width-relative:page;mso-height-relative:page;" filled="f" stroked="t" coordsize="21600,21600" o:gfxdata="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DLCCvaAAAACwEAAA8AAAAAAAAAAQAgAAAAIgAAAGRycy9kb3ducmV2Lnht&#10;bFBLAQIUABQAAAAIAIdO4kBcG6Fs9wEAAL0DAAAOAAAAAAAAAAEAIAAAACkBAABkcnMvZTJvRG9j&#10;LnhtbFBLBQYAAAAABgAGAFkBAACSBQAAAAA=&#10;">
                <v:fill on="f" focussize="0,0"/>
                <v:stroke weight="0.5pt" color="#0D0D0D" joinstyle="round"/>
                <v:imagedata o:title=""/>
                <o:lock v:ext="edit" aspectratio="f"/>
              </v:shape>
            </w:pict>
          </mc:Fallback>
        </mc:AlternateContent>
      </w:r>
      <w:r>
        <w:rPr>
          <w:rFonts w:hint="eastAsia"/>
        </w:rPr>
        <mc:AlternateContent>
          <mc:Choice Requires="wps">
            <w:drawing>
              <wp:anchor distT="0" distB="0" distL="114300" distR="114300" simplePos="0" relativeHeight="251659264" behindDoc="0" locked="0" layoutInCell="1" allowOverlap="1">
                <wp:simplePos x="0" y="0"/>
                <wp:positionH relativeFrom="column">
                  <wp:posOffset>661035</wp:posOffset>
                </wp:positionH>
                <wp:positionV relativeFrom="paragraph">
                  <wp:posOffset>328295</wp:posOffset>
                </wp:positionV>
                <wp:extent cx="805180" cy="698500"/>
                <wp:effectExtent l="12065" t="6350" r="11430" b="9525"/>
                <wp:wrapNone/>
                <wp:docPr id="41" name="自选图形 363"/>
                <wp:cNvGraphicFramePr/>
                <a:graphic xmlns:a="http://schemas.openxmlformats.org/drawingml/2006/main">
                  <a:graphicData uri="http://schemas.microsoft.com/office/word/2010/wordprocessingShape">
                    <wps:wsp>
                      <wps:cNvCnPr>
                        <a:cxnSpLocks noChangeShapeType="1"/>
                      </wps:cNvCnPr>
                      <wps:spPr bwMode="auto">
                        <a:xfrm>
                          <a:off x="0" y="0"/>
                          <a:ext cx="805180" cy="698500"/>
                        </a:xfrm>
                        <a:prstGeom prst="straightConnector1">
                          <a:avLst/>
                        </a:prstGeom>
                        <a:noFill/>
                        <a:ln w="6350">
                          <a:solidFill>
                            <a:srgbClr val="0D0D0D"/>
                          </a:solidFill>
                          <a:round/>
                        </a:ln>
                      </wps:spPr>
                      <wps:bodyPr/>
                    </wps:wsp>
                  </a:graphicData>
                </a:graphic>
              </wp:anchor>
            </w:drawing>
          </mc:Choice>
          <mc:Fallback>
            <w:pict>
              <v:shape id="自选图形 363" o:spid="_x0000_s1026" o:spt="32" type="#_x0000_t32" style="position:absolute;left:0pt;margin-left:52.05pt;margin-top:25.85pt;height:55pt;width:63.4pt;z-index:251659264;mso-width-relative:page;mso-height-relative:page;" filled="f" stroked="t" coordsize="21600,21600" o:gfxdata="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7BYYzZAAAACgEAAA8AAAAAAAAAAQAgAAAAIgAAAGRycy9kb3ducmV2LnhtbFBL&#10;AQIUABQAAAAIAIdO4kC2+y4/9QEAALwDAAAOAAAAAAAAAAEAIAAAACgBAABkcnMvZTJvRG9jLnht&#10;bFBLBQYAAAAABgAGAFkBAACPBQAAAAA=&#10;">
                <v:fill on="f" focussize="0,0"/>
                <v:stroke weight="0.5pt" color="#0D0D0D" joinstyle="round"/>
                <v:imagedata o:title=""/>
                <o:lock v:ext="edit" aspectratio="f"/>
              </v:shape>
            </w:pict>
          </mc:Fallback>
        </mc:AlternateConten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13"/>
        <w:gridCol w:w="724"/>
        <w:gridCol w:w="725"/>
        <w:gridCol w:w="726"/>
        <w:gridCol w:w="725"/>
        <w:gridCol w:w="725"/>
        <w:gridCol w:w="728"/>
        <w:gridCol w:w="725"/>
        <w:gridCol w:w="725"/>
        <w:gridCol w:w="730"/>
      </w:tblGrid>
      <w:tr w14:paraId="1DDA97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49" w:type="pct"/>
            <w:vMerge w:val="restart"/>
            <w:vAlign w:val="center"/>
          </w:tcPr>
          <w:p w14:paraId="7DE06838">
            <w:pPr>
              <w:snapToGrid w:val="0"/>
              <w:spacing w:line="300" w:lineRule="exact"/>
              <w:jc w:val="right"/>
              <w:rPr>
                <w:rFonts w:hint="eastAsia" w:ascii="宋体" w:hAnsi="宋体" w:cs="Arial"/>
                <w:szCs w:val="21"/>
              </w:rPr>
            </w:pPr>
            <w:bookmarkStart w:id="107" w:name="_Hlk78386782"/>
            <w:r>
              <w:rPr>
                <w:rFonts w:hint="eastAsia" w:ascii="宋体" w:hAnsi="宋体" w:cs="Arial"/>
                <w:szCs w:val="21"/>
              </w:rPr>
              <w:t>占地规模</w:t>
            </w:r>
          </w:p>
          <w:p w14:paraId="250B2189">
            <w:pPr>
              <w:snapToGrid w:val="0"/>
              <w:spacing w:line="300" w:lineRule="exact"/>
              <w:jc w:val="center"/>
              <w:rPr>
                <w:rFonts w:hint="eastAsia" w:ascii="宋体" w:hAnsi="宋体" w:cs="Arial"/>
                <w:szCs w:val="21"/>
              </w:rPr>
            </w:pPr>
            <w:r>
              <w:rPr>
                <w:rFonts w:hint="eastAsia" w:ascii="宋体" w:hAnsi="宋体" w:cs="Arial"/>
                <w:szCs w:val="21"/>
              </w:rPr>
              <w:t>敏感程度</w:t>
            </w:r>
          </w:p>
          <w:p w14:paraId="37123B8B">
            <w:pPr>
              <w:snapToGrid w:val="0"/>
              <w:spacing w:line="300" w:lineRule="exact"/>
              <w:jc w:val="left"/>
              <w:rPr>
                <w:rFonts w:hint="eastAsia" w:ascii="宋体" w:hAnsi="宋体" w:cs="Arial"/>
                <w:szCs w:val="21"/>
              </w:rPr>
            </w:pPr>
            <w:r>
              <w:rPr>
                <w:rFonts w:hint="eastAsia" w:ascii="宋体" w:hAnsi="宋体" w:cs="Arial"/>
                <w:szCs w:val="21"/>
              </w:rPr>
              <w:t>评价等级</w:t>
            </w:r>
          </w:p>
        </w:tc>
        <w:tc>
          <w:tcPr>
            <w:tcW w:w="1216" w:type="pct"/>
            <w:gridSpan w:val="3"/>
            <w:tcBorders>
              <w:right w:val="single" w:color="000000" w:sz="2" w:space="0"/>
            </w:tcBorders>
            <w:vAlign w:val="center"/>
          </w:tcPr>
          <w:p w14:paraId="518314DE">
            <w:pPr>
              <w:spacing w:line="300" w:lineRule="exact"/>
              <w:jc w:val="center"/>
              <w:rPr>
                <w:rFonts w:hint="eastAsia" w:ascii="宋体" w:hAnsi="宋体" w:cs="Arial"/>
                <w:szCs w:val="21"/>
              </w:rPr>
            </w:pPr>
            <w:r>
              <w:rPr>
                <w:rFonts w:hint="eastAsia" w:ascii="宋体" w:hAnsi="宋体" w:cs="Arial"/>
                <w:szCs w:val="21"/>
              </w:rPr>
              <w:t>Ⅰ类</w:t>
            </w:r>
          </w:p>
        </w:tc>
        <w:tc>
          <w:tcPr>
            <w:tcW w:w="1217" w:type="pct"/>
            <w:gridSpan w:val="3"/>
            <w:tcBorders>
              <w:left w:val="single" w:color="000000" w:sz="2" w:space="0"/>
              <w:right w:val="single" w:color="000000" w:sz="2" w:space="0"/>
            </w:tcBorders>
            <w:vAlign w:val="center"/>
          </w:tcPr>
          <w:p w14:paraId="2CC46C88">
            <w:pPr>
              <w:spacing w:line="300" w:lineRule="exact"/>
              <w:jc w:val="center"/>
              <w:rPr>
                <w:rFonts w:hint="eastAsia" w:ascii="宋体" w:hAnsi="宋体" w:cs="Arial"/>
                <w:szCs w:val="21"/>
              </w:rPr>
            </w:pPr>
            <w:r>
              <w:rPr>
                <w:rFonts w:hint="eastAsia" w:ascii="宋体" w:hAnsi="宋体" w:cs="Arial"/>
                <w:szCs w:val="21"/>
              </w:rPr>
              <w:t>Ⅱ类</w:t>
            </w:r>
          </w:p>
        </w:tc>
        <w:tc>
          <w:tcPr>
            <w:tcW w:w="1218" w:type="pct"/>
            <w:gridSpan w:val="3"/>
            <w:tcBorders>
              <w:left w:val="single" w:color="000000" w:sz="2" w:space="0"/>
            </w:tcBorders>
            <w:vAlign w:val="center"/>
          </w:tcPr>
          <w:p w14:paraId="068455C2">
            <w:pPr>
              <w:spacing w:line="300" w:lineRule="exact"/>
              <w:jc w:val="center"/>
              <w:rPr>
                <w:rFonts w:hint="eastAsia" w:ascii="宋体" w:hAnsi="宋体" w:cs="Arial"/>
                <w:szCs w:val="21"/>
              </w:rPr>
            </w:pPr>
            <w:r>
              <w:rPr>
                <w:rFonts w:hint="eastAsia" w:ascii="宋体" w:hAnsi="宋体" w:cs="Arial"/>
                <w:szCs w:val="21"/>
              </w:rPr>
              <w:t>Ⅲ类</w:t>
            </w:r>
          </w:p>
        </w:tc>
      </w:tr>
      <w:tr w14:paraId="39B17E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349" w:type="pct"/>
            <w:vMerge w:val="continue"/>
            <w:vAlign w:val="center"/>
          </w:tcPr>
          <w:p w14:paraId="65EDCB36">
            <w:pPr>
              <w:spacing w:line="300" w:lineRule="exact"/>
              <w:jc w:val="center"/>
              <w:rPr>
                <w:rFonts w:hint="eastAsia" w:ascii="宋体" w:hAnsi="宋体" w:cs="Arial"/>
                <w:sz w:val="20"/>
                <w:szCs w:val="21"/>
              </w:rPr>
            </w:pPr>
          </w:p>
        </w:tc>
        <w:tc>
          <w:tcPr>
            <w:tcW w:w="405" w:type="pct"/>
            <w:tcBorders>
              <w:right w:val="single" w:color="000000" w:sz="2" w:space="0"/>
            </w:tcBorders>
            <w:vAlign w:val="center"/>
          </w:tcPr>
          <w:p w14:paraId="6E99BD31">
            <w:pPr>
              <w:spacing w:line="300" w:lineRule="exact"/>
              <w:jc w:val="center"/>
              <w:rPr>
                <w:rFonts w:hint="eastAsia" w:ascii="宋体" w:hAnsi="宋体" w:cs="Arial"/>
                <w:szCs w:val="21"/>
              </w:rPr>
            </w:pPr>
            <w:r>
              <w:rPr>
                <w:rFonts w:hint="eastAsia" w:ascii="宋体" w:hAnsi="宋体" w:cs="Arial"/>
                <w:szCs w:val="21"/>
              </w:rPr>
              <w:t>大</w:t>
            </w:r>
          </w:p>
        </w:tc>
        <w:tc>
          <w:tcPr>
            <w:tcW w:w="405" w:type="pct"/>
            <w:tcBorders>
              <w:left w:val="single" w:color="000000" w:sz="2" w:space="0"/>
              <w:right w:val="single" w:color="000000" w:sz="2" w:space="0"/>
            </w:tcBorders>
            <w:vAlign w:val="center"/>
          </w:tcPr>
          <w:p w14:paraId="1AFBF431">
            <w:pPr>
              <w:spacing w:line="300" w:lineRule="exact"/>
              <w:jc w:val="center"/>
              <w:rPr>
                <w:rFonts w:hint="eastAsia" w:ascii="宋体" w:hAnsi="宋体" w:cs="Arial"/>
                <w:szCs w:val="21"/>
              </w:rPr>
            </w:pPr>
            <w:r>
              <w:rPr>
                <w:rFonts w:hint="eastAsia" w:ascii="宋体" w:hAnsi="宋体" w:cs="Arial"/>
                <w:szCs w:val="21"/>
              </w:rPr>
              <w:t>中</w:t>
            </w:r>
          </w:p>
        </w:tc>
        <w:tc>
          <w:tcPr>
            <w:tcW w:w="406" w:type="pct"/>
            <w:tcBorders>
              <w:left w:val="single" w:color="000000" w:sz="2" w:space="0"/>
            </w:tcBorders>
            <w:vAlign w:val="center"/>
          </w:tcPr>
          <w:p w14:paraId="4ED3CB26">
            <w:pPr>
              <w:spacing w:line="300" w:lineRule="exact"/>
              <w:jc w:val="center"/>
              <w:rPr>
                <w:rFonts w:hint="eastAsia" w:ascii="宋体" w:hAnsi="宋体" w:cs="Arial"/>
                <w:szCs w:val="21"/>
              </w:rPr>
            </w:pPr>
            <w:r>
              <w:rPr>
                <w:rFonts w:hint="eastAsia" w:ascii="宋体" w:hAnsi="宋体" w:cs="Arial"/>
                <w:szCs w:val="21"/>
              </w:rPr>
              <w:t>小</w:t>
            </w:r>
          </w:p>
        </w:tc>
        <w:tc>
          <w:tcPr>
            <w:tcW w:w="405" w:type="pct"/>
            <w:tcBorders>
              <w:right w:val="single" w:color="000000" w:sz="2" w:space="0"/>
            </w:tcBorders>
            <w:vAlign w:val="center"/>
          </w:tcPr>
          <w:p w14:paraId="2E25585B">
            <w:pPr>
              <w:spacing w:line="300" w:lineRule="exact"/>
              <w:jc w:val="center"/>
              <w:rPr>
                <w:rFonts w:hint="eastAsia" w:ascii="宋体" w:hAnsi="宋体" w:cs="Arial"/>
                <w:szCs w:val="21"/>
              </w:rPr>
            </w:pPr>
            <w:r>
              <w:rPr>
                <w:rFonts w:hint="eastAsia" w:ascii="宋体" w:hAnsi="宋体" w:cs="Arial"/>
                <w:szCs w:val="21"/>
              </w:rPr>
              <w:t>大</w:t>
            </w:r>
          </w:p>
        </w:tc>
        <w:tc>
          <w:tcPr>
            <w:tcW w:w="405" w:type="pct"/>
            <w:tcBorders>
              <w:left w:val="single" w:color="000000" w:sz="2" w:space="0"/>
              <w:right w:val="single" w:color="000000" w:sz="2" w:space="0"/>
            </w:tcBorders>
            <w:vAlign w:val="center"/>
          </w:tcPr>
          <w:p w14:paraId="69BB75F2">
            <w:pPr>
              <w:spacing w:line="300" w:lineRule="exact"/>
              <w:jc w:val="center"/>
              <w:rPr>
                <w:rFonts w:hint="eastAsia" w:ascii="宋体" w:hAnsi="宋体" w:cs="Arial"/>
                <w:szCs w:val="21"/>
              </w:rPr>
            </w:pPr>
            <w:r>
              <w:rPr>
                <w:rFonts w:hint="eastAsia" w:ascii="宋体" w:hAnsi="宋体" w:cs="Arial"/>
                <w:szCs w:val="21"/>
              </w:rPr>
              <w:t>中</w:t>
            </w:r>
          </w:p>
        </w:tc>
        <w:tc>
          <w:tcPr>
            <w:tcW w:w="407" w:type="pct"/>
            <w:tcBorders>
              <w:left w:val="single" w:color="000000" w:sz="2" w:space="0"/>
            </w:tcBorders>
            <w:vAlign w:val="center"/>
          </w:tcPr>
          <w:p w14:paraId="57A8AB6A">
            <w:pPr>
              <w:spacing w:line="300" w:lineRule="exact"/>
              <w:jc w:val="center"/>
              <w:rPr>
                <w:rFonts w:hint="eastAsia" w:ascii="宋体" w:hAnsi="宋体" w:cs="Arial"/>
                <w:szCs w:val="21"/>
              </w:rPr>
            </w:pPr>
            <w:r>
              <w:rPr>
                <w:rFonts w:hint="eastAsia" w:ascii="宋体" w:hAnsi="宋体" w:cs="Arial"/>
                <w:szCs w:val="21"/>
              </w:rPr>
              <w:t>小</w:t>
            </w:r>
          </w:p>
        </w:tc>
        <w:tc>
          <w:tcPr>
            <w:tcW w:w="405" w:type="pct"/>
            <w:tcBorders>
              <w:right w:val="single" w:color="000000" w:sz="2" w:space="0"/>
            </w:tcBorders>
            <w:vAlign w:val="center"/>
          </w:tcPr>
          <w:p w14:paraId="7CC4EDED">
            <w:pPr>
              <w:spacing w:line="300" w:lineRule="exact"/>
              <w:jc w:val="center"/>
              <w:rPr>
                <w:rFonts w:hint="eastAsia" w:ascii="宋体" w:hAnsi="宋体" w:cs="Arial"/>
                <w:szCs w:val="21"/>
              </w:rPr>
            </w:pPr>
            <w:r>
              <w:rPr>
                <w:rFonts w:hint="eastAsia" w:ascii="宋体" w:hAnsi="宋体" w:cs="Arial"/>
                <w:szCs w:val="21"/>
              </w:rPr>
              <w:t>大</w:t>
            </w:r>
          </w:p>
        </w:tc>
        <w:tc>
          <w:tcPr>
            <w:tcW w:w="405" w:type="pct"/>
            <w:tcBorders>
              <w:left w:val="single" w:color="000000" w:sz="2" w:space="0"/>
              <w:right w:val="single" w:color="000000" w:sz="2" w:space="0"/>
            </w:tcBorders>
            <w:vAlign w:val="center"/>
          </w:tcPr>
          <w:p w14:paraId="29E896EF">
            <w:pPr>
              <w:spacing w:line="300" w:lineRule="exact"/>
              <w:jc w:val="center"/>
              <w:rPr>
                <w:rFonts w:hint="eastAsia" w:ascii="宋体" w:hAnsi="宋体" w:cs="Arial"/>
                <w:szCs w:val="21"/>
              </w:rPr>
            </w:pPr>
            <w:r>
              <w:rPr>
                <w:rFonts w:hint="eastAsia" w:ascii="宋体" w:hAnsi="宋体" w:cs="Arial"/>
                <w:szCs w:val="21"/>
              </w:rPr>
              <w:t>中</w:t>
            </w:r>
          </w:p>
        </w:tc>
        <w:tc>
          <w:tcPr>
            <w:tcW w:w="408" w:type="pct"/>
            <w:tcBorders>
              <w:left w:val="single" w:color="000000" w:sz="2" w:space="0"/>
            </w:tcBorders>
            <w:vAlign w:val="center"/>
          </w:tcPr>
          <w:p w14:paraId="5AF30FC9">
            <w:pPr>
              <w:spacing w:line="300" w:lineRule="exact"/>
              <w:jc w:val="center"/>
              <w:rPr>
                <w:rFonts w:hint="eastAsia" w:ascii="宋体" w:hAnsi="宋体" w:cs="Arial"/>
                <w:szCs w:val="21"/>
              </w:rPr>
            </w:pPr>
            <w:r>
              <w:rPr>
                <w:rFonts w:hint="eastAsia" w:ascii="宋体" w:hAnsi="宋体" w:cs="Arial"/>
                <w:szCs w:val="21"/>
              </w:rPr>
              <w:t>小</w:t>
            </w:r>
          </w:p>
        </w:tc>
      </w:tr>
      <w:tr w14:paraId="214BB3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49" w:type="pct"/>
            <w:vAlign w:val="center"/>
          </w:tcPr>
          <w:p w14:paraId="6949A8A6">
            <w:pPr>
              <w:spacing w:line="300" w:lineRule="exact"/>
              <w:jc w:val="center"/>
              <w:rPr>
                <w:rFonts w:hint="eastAsia" w:ascii="宋体" w:hAnsi="宋体" w:cs="Arial"/>
                <w:szCs w:val="21"/>
              </w:rPr>
            </w:pPr>
            <w:r>
              <w:rPr>
                <w:rFonts w:hint="eastAsia" w:ascii="宋体" w:hAnsi="宋体" w:cs="Arial"/>
                <w:szCs w:val="21"/>
              </w:rPr>
              <w:t>敏感</w:t>
            </w:r>
          </w:p>
        </w:tc>
        <w:tc>
          <w:tcPr>
            <w:tcW w:w="405" w:type="pct"/>
            <w:tcBorders>
              <w:right w:val="single" w:color="000000" w:sz="2" w:space="0"/>
            </w:tcBorders>
            <w:vAlign w:val="center"/>
          </w:tcPr>
          <w:p w14:paraId="49D7D39A">
            <w:pPr>
              <w:spacing w:line="300" w:lineRule="exact"/>
              <w:jc w:val="center"/>
              <w:rPr>
                <w:rFonts w:hint="eastAsia" w:ascii="宋体" w:hAnsi="宋体" w:cs="Arial"/>
                <w:szCs w:val="21"/>
              </w:rPr>
            </w:pPr>
            <w:r>
              <w:rPr>
                <w:rFonts w:hint="eastAsia" w:ascii="宋体" w:hAnsi="宋体" w:cs="Arial"/>
                <w:szCs w:val="21"/>
              </w:rPr>
              <w:t>一级</w:t>
            </w:r>
          </w:p>
        </w:tc>
        <w:tc>
          <w:tcPr>
            <w:tcW w:w="405" w:type="pct"/>
            <w:tcBorders>
              <w:left w:val="single" w:color="000000" w:sz="2" w:space="0"/>
              <w:right w:val="single" w:color="000000" w:sz="2" w:space="0"/>
            </w:tcBorders>
            <w:vAlign w:val="center"/>
          </w:tcPr>
          <w:p w14:paraId="77DD98FA">
            <w:pPr>
              <w:spacing w:line="300" w:lineRule="exact"/>
              <w:jc w:val="center"/>
              <w:rPr>
                <w:rFonts w:hint="eastAsia" w:ascii="宋体" w:hAnsi="宋体" w:cs="Arial"/>
                <w:szCs w:val="21"/>
              </w:rPr>
            </w:pPr>
            <w:r>
              <w:rPr>
                <w:rFonts w:hint="eastAsia" w:ascii="宋体" w:hAnsi="宋体" w:cs="Arial"/>
                <w:szCs w:val="21"/>
              </w:rPr>
              <w:t>一级</w:t>
            </w:r>
          </w:p>
        </w:tc>
        <w:tc>
          <w:tcPr>
            <w:tcW w:w="406" w:type="pct"/>
            <w:tcBorders>
              <w:left w:val="single" w:color="000000" w:sz="2" w:space="0"/>
            </w:tcBorders>
            <w:vAlign w:val="center"/>
          </w:tcPr>
          <w:p w14:paraId="0B42AD74">
            <w:pPr>
              <w:spacing w:line="300" w:lineRule="exact"/>
              <w:jc w:val="center"/>
              <w:rPr>
                <w:rFonts w:hint="eastAsia" w:ascii="宋体" w:hAnsi="宋体" w:cs="Arial"/>
                <w:szCs w:val="21"/>
              </w:rPr>
            </w:pPr>
            <w:r>
              <w:rPr>
                <w:rFonts w:hint="eastAsia" w:ascii="宋体" w:hAnsi="宋体" w:cs="Arial"/>
                <w:szCs w:val="21"/>
              </w:rPr>
              <w:t>一级</w:t>
            </w:r>
          </w:p>
        </w:tc>
        <w:tc>
          <w:tcPr>
            <w:tcW w:w="405" w:type="pct"/>
            <w:tcBorders>
              <w:right w:val="single" w:color="000000" w:sz="2" w:space="0"/>
            </w:tcBorders>
            <w:vAlign w:val="center"/>
          </w:tcPr>
          <w:p w14:paraId="1804EDB8">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left w:val="single" w:color="000000" w:sz="2" w:space="0"/>
              <w:right w:val="single" w:color="000000" w:sz="2" w:space="0"/>
            </w:tcBorders>
            <w:vAlign w:val="center"/>
          </w:tcPr>
          <w:p w14:paraId="102076A0">
            <w:pPr>
              <w:spacing w:line="300" w:lineRule="exact"/>
              <w:jc w:val="center"/>
              <w:rPr>
                <w:rFonts w:hint="eastAsia" w:ascii="宋体" w:hAnsi="宋体" w:cs="Arial"/>
                <w:szCs w:val="21"/>
              </w:rPr>
            </w:pPr>
            <w:r>
              <w:rPr>
                <w:rFonts w:hint="eastAsia" w:ascii="宋体" w:hAnsi="宋体" w:cs="Arial"/>
                <w:szCs w:val="21"/>
              </w:rPr>
              <w:t>二级</w:t>
            </w:r>
          </w:p>
        </w:tc>
        <w:tc>
          <w:tcPr>
            <w:tcW w:w="407" w:type="pct"/>
            <w:tcBorders>
              <w:left w:val="single" w:color="000000" w:sz="2" w:space="0"/>
            </w:tcBorders>
            <w:vAlign w:val="center"/>
          </w:tcPr>
          <w:p w14:paraId="4873963E">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right w:val="single" w:color="000000" w:sz="2" w:space="0"/>
            </w:tcBorders>
            <w:vAlign w:val="center"/>
          </w:tcPr>
          <w:p w14:paraId="15579241">
            <w:pPr>
              <w:spacing w:line="300" w:lineRule="exact"/>
              <w:jc w:val="center"/>
              <w:rPr>
                <w:rFonts w:hint="eastAsia" w:ascii="宋体" w:hAnsi="宋体" w:cs="Arial"/>
                <w:szCs w:val="21"/>
              </w:rPr>
            </w:pPr>
            <w:r>
              <w:rPr>
                <w:rFonts w:hint="eastAsia" w:ascii="宋体" w:hAnsi="宋体" w:cs="Arial"/>
                <w:szCs w:val="21"/>
              </w:rPr>
              <w:t>三级</w:t>
            </w:r>
          </w:p>
        </w:tc>
        <w:tc>
          <w:tcPr>
            <w:tcW w:w="405" w:type="pct"/>
            <w:tcBorders>
              <w:left w:val="single" w:color="000000" w:sz="2" w:space="0"/>
              <w:right w:val="single" w:color="000000" w:sz="2" w:space="0"/>
            </w:tcBorders>
            <w:vAlign w:val="center"/>
          </w:tcPr>
          <w:p w14:paraId="5B929743">
            <w:pPr>
              <w:spacing w:line="300" w:lineRule="exact"/>
              <w:jc w:val="center"/>
              <w:rPr>
                <w:rFonts w:hint="eastAsia" w:ascii="宋体" w:hAnsi="宋体" w:cs="Arial"/>
                <w:szCs w:val="21"/>
              </w:rPr>
            </w:pPr>
            <w:r>
              <w:rPr>
                <w:rFonts w:hint="eastAsia" w:ascii="宋体" w:hAnsi="宋体" w:cs="Arial"/>
                <w:szCs w:val="21"/>
              </w:rPr>
              <w:t>三级</w:t>
            </w:r>
          </w:p>
        </w:tc>
        <w:tc>
          <w:tcPr>
            <w:tcW w:w="408" w:type="pct"/>
            <w:tcBorders>
              <w:left w:val="single" w:color="000000" w:sz="2" w:space="0"/>
            </w:tcBorders>
            <w:vAlign w:val="center"/>
          </w:tcPr>
          <w:p w14:paraId="21C1C267">
            <w:pPr>
              <w:spacing w:line="300" w:lineRule="exact"/>
              <w:jc w:val="center"/>
              <w:rPr>
                <w:rFonts w:hint="eastAsia" w:ascii="宋体" w:hAnsi="宋体" w:cs="Arial"/>
                <w:szCs w:val="21"/>
              </w:rPr>
            </w:pPr>
            <w:r>
              <w:rPr>
                <w:rFonts w:hint="eastAsia" w:ascii="宋体" w:hAnsi="宋体" w:cs="Arial"/>
                <w:szCs w:val="21"/>
              </w:rPr>
              <w:t>三级</w:t>
            </w:r>
          </w:p>
        </w:tc>
      </w:tr>
      <w:tr w14:paraId="23FA18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49" w:type="pct"/>
            <w:vAlign w:val="center"/>
          </w:tcPr>
          <w:p w14:paraId="703E6749">
            <w:pPr>
              <w:spacing w:line="300" w:lineRule="exact"/>
              <w:jc w:val="center"/>
              <w:rPr>
                <w:rFonts w:hint="eastAsia" w:ascii="宋体" w:hAnsi="宋体" w:cs="Arial"/>
                <w:szCs w:val="21"/>
              </w:rPr>
            </w:pPr>
            <w:r>
              <w:rPr>
                <w:rFonts w:hint="eastAsia" w:ascii="宋体" w:hAnsi="宋体" w:cs="Arial"/>
                <w:szCs w:val="21"/>
              </w:rPr>
              <w:t>较敏感</w:t>
            </w:r>
          </w:p>
        </w:tc>
        <w:tc>
          <w:tcPr>
            <w:tcW w:w="405" w:type="pct"/>
            <w:tcBorders>
              <w:right w:val="single" w:color="000000" w:sz="2" w:space="0"/>
            </w:tcBorders>
            <w:vAlign w:val="center"/>
          </w:tcPr>
          <w:p w14:paraId="250D6038">
            <w:pPr>
              <w:spacing w:line="300" w:lineRule="exact"/>
              <w:jc w:val="center"/>
              <w:rPr>
                <w:rFonts w:hint="eastAsia" w:ascii="宋体" w:hAnsi="宋体" w:cs="Arial"/>
                <w:szCs w:val="21"/>
              </w:rPr>
            </w:pPr>
            <w:r>
              <w:rPr>
                <w:rFonts w:hint="eastAsia" w:ascii="宋体" w:hAnsi="宋体" w:cs="Arial"/>
                <w:szCs w:val="21"/>
              </w:rPr>
              <w:t>一级</w:t>
            </w:r>
          </w:p>
        </w:tc>
        <w:tc>
          <w:tcPr>
            <w:tcW w:w="405" w:type="pct"/>
            <w:tcBorders>
              <w:left w:val="single" w:color="000000" w:sz="2" w:space="0"/>
              <w:right w:val="single" w:color="000000" w:sz="2" w:space="0"/>
            </w:tcBorders>
            <w:vAlign w:val="center"/>
          </w:tcPr>
          <w:p w14:paraId="0D311233">
            <w:pPr>
              <w:spacing w:line="300" w:lineRule="exact"/>
              <w:jc w:val="center"/>
              <w:rPr>
                <w:rFonts w:hint="eastAsia" w:ascii="宋体" w:hAnsi="宋体" w:cs="Arial"/>
                <w:szCs w:val="21"/>
              </w:rPr>
            </w:pPr>
            <w:r>
              <w:rPr>
                <w:rFonts w:hint="eastAsia" w:ascii="宋体" w:hAnsi="宋体" w:cs="Arial"/>
                <w:szCs w:val="21"/>
              </w:rPr>
              <w:t>一级</w:t>
            </w:r>
          </w:p>
        </w:tc>
        <w:tc>
          <w:tcPr>
            <w:tcW w:w="406" w:type="pct"/>
            <w:tcBorders>
              <w:left w:val="single" w:color="000000" w:sz="2" w:space="0"/>
            </w:tcBorders>
            <w:vAlign w:val="center"/>
          </w:tcPr>
          <w:p w14:paraId="2E93D771">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right w:val="single" w:color="000000" w:sz="2" w:space="0"/>
            </w:tcBorders>
            <w:vAlign w:val="center"/>
          </w:tcPr>
          <w:p w14:paraId="78BCC444">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left w:val="single" w:color="000000" w:sz="2" w:space="0"/>
              <w:right w:val="single" w:color="000000" w:sz="2" w:space="0"/>
            </w:tcBorders>
            <w:vAlign w:val="center"/>
          </w:tcPr>
          <w:p w14:paraId="7CC26A12">
            <w:pPr>
              <w:spacing w:line="300" w:lineRule="exact"/>
              <w:jc w:val="center"/>
              <w:rPr>
                <w:rFonts w:hint="eastAsia" w:ascii="宋体" w:hAnsi="宋体" w:cs="Arial"/>
                <w:szCs w:val="21"/>
              </w:rPr>
            </w:pPr>
            <w:r>
              <w:rPr>
                <w:rFonts w:hint="eastAsia" w:ascii="宋体" w:hAnsi="宋体" w:cs="Arial"/>
                <w:szCs w:val="21"/>
              </w:rPr>
              <w:t>二级</w:t>
            </w:r>
          </w:p>
        </w:tc>
        <w:tc>
          <w:tcPr>
            <w:tcW w:w="407" w:type="pct"/>
            <w:tcBorders>
              <w:left w:val="single" w:color="000000" w:sz="2" w:space="0"/>
            </w:tcBorders>
            <w:vAlign w:val="center"/>
          </w:tcPr>
          <w:p w14:paraId="496C4108">
            <w:pPr>
              <w:spacing w:line="300" w:lineRule="exact"/>
              <w:jc w:val="center"/>
              <w:rPr>
                <w:rFonts w:hint="eastAsia" w:ascii="宋体" w:hAnsi="宋体" w:cs="Arial"/>
                <w:szCs w:val="21"/>
              </w:rPr>
            </w:pPr>
            <w:r>
              <w:rPr>
                <w:rFonts w:hint="eastAsia" w:ascii="宋体" w:hAnsi="宋体" w:cs="Arial"/>
                <w:szCs w:val="21"/>
              </w:rPr>
              <w:t>三级</w:t>
            </w:r>
          </w:p>
        </w:tc>
        <w:tc>
          <w:tcPr>
            <w:tcW w:w="405" w:type="pct"/>
            <w:tcBorders>
              <w:right w:val="single" w:color="000000" w:sz="2" w:space="0"/>
            </w:tcBorders>
            <w:vAlign w:val="center"/>
          </w:tcPr>
          <w:p w14:paraId="5907998F">
            <w:pPr>
              <w:spacing w:line="300" w:lineRule="exact"/>
              <w:jc w:val="center"/>
              <w:rPr>
                <w:rFonts w:hint="eastAsia" w:ascii="宋体" w:hAnsi="宋体" w:cs="Arial"/>
                <w:szCs w:val="21"/>
              </w:rPr>
            </w:pPr>
            <w:r>
              <w:rPr>
                <w:rFonts w:hint="eastAsia" w:ascii="宋体" w:hAnsi="宋体" w:cs="Arial"/>
                <w:szCs w:val="21"/>
              </w:rPr>
              <w:t>三级</w:t>
            </w:r>
          </w:p>
        </w:tc>
        <w:tc>
          <w:tcPr>
            <w:tcW w:w="405" w:type="pct"/>
            <w:tcBorders>
              <w:left w:val="single" w:color="000000" w:sz="2" w:space="0"/>
              <w:right w:val="single" w:color="000000" w:sz="2" w:space="0"/>
            </w:tcBorders>
            <w:vAlign w:val="center"/>
          </w:tcPr>
          <w:p w14:paraId="139AF1FF">
            <w:pPr>
              <w:spacing w:line="300" w:lineRule="exact"/>
              <w:jc w:val="center"/>
              <w:rPr>
                <w:rFonts w:hint="eastAsia" w:ascii="宋体" w:hAnsi="宋体" w:cs="Arial"/>
                <w:szCs w:val="21"/>
              </w:rPr>
            </w:pPr>
            <w:r>
              <w:rPr>
                <w:rFonts w:hint="eastAsia" w:ascii="宋体" w:hAnsi="宋体" w:cs="Arial"/>
                <w:szCs w:val="21"/>
              </w:rPr>
              <w:t>三级</w:t>
            </w:r>
          </w:p>
        </w:tc>
        <w:tc>
          <w:tcPr>
            <w:tcW w:w="408" w:type="pct"/>
            <w:tcBorders>
              <w:left w:val="single" w:color="000000" w:sz="2" w:space="0"/>
            </w:tcBorders>
            <w:vAlign w:val="center"/>
          </w:tcPr>
          <w:p w14:paraId="3A427E75">
            <w:pPr>
              <w:spacing w:line="300" w:lineRule="exact"/>
              <w:jc w:val="center"/>
              <w:rPr>
                <w:rFonts w:hint="eastAsia" w:ascii="宋体" w:hAnsi="宋体" w:cs="Arial"/>
                <w:szCs w:val="21"/>
              </w:rPr>
            </w:pPr>
            <w:r>
              <w:rPr>
                <w:rFonts w:hint="eastAsia" w:ascii="宋体" w:hAnsi="宋体" w:cs="Arial"/>
                <w:szCs w:val="21"/>
              </w:rPr>
              <w:t>-</w:t>
            </w:r>
          </w:p>
        </w:tc>
      </w:tr>
      <w:tr w14:paraId="40EE9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49" w:type="pct"/>
            <w:vAlign w:val="center"/>
          </w:tcPr>
          <w:p w14:paraId="4C8C04EE">
            <w:pPr>
              <w:spacing w:line="300" w:lineRule="exact"/>
              <w:jc w:val="center"/>
              <w:rPr>
                <w:rFonts w:hint="eastAsia" w:ascii="宋体" w:hAnsi="宋体" w:cs="Arial"/>
                <w:szCs w:val="21"/>
              </w:rPr>
            </w:pPr>
            <w:r>
              <w:rPr>
                <w:rFonts w:hint="eastAsia" w:ascii="宋体" w:hAnsi="宋体" w:cs="Arial"/>
                <w:szCs w:val="21"/>
              </w:rPr>
              <w:t>不敏感</w:t>
            </w:r>
          </w:p>
        </w:tc>
        <w:tc>
          <w:tcPr>
            <w:tcW w:w="405" w:type="pct"/>
            <w:tcBorders>
              <w:right w:val="single" w:color="000000" w:sz="2" w:space="0"/>
            </w:tcBorders>
            <w:vAlign w:val="center"/>
          </w:tcPr>
          <w:p w14:paraId="32A5EB0A">
            <w:pPr>
              <w:spacing w:line="300" w:lineRule="exact"/>
              <w:jc w:val="center"/>
              <w:rPr>
                <w:rFonts w:hint="eastAsia" w:ascii="宋体" w:hAnsi="宋体" w:cs="Arial"/>
                <w:szCs w:val="21"/>
              </w:rPr>
            </w:pPr>
            <w:r>
              <w:rPr>
                <w:rFonts w:hint="eastAsia" w:ascii="宋体" w:hAnsi="宋体" w:cs="Arial"/>
                <w:szCs w:val="21"/>
              </w:rPr>
              <w:t>一级</w:t>
            </w:r>
          </w:p>
        </w:tc>
        <w:tc>
          <w:tcPr>
            <w:tcW w:w="405" w:type="pct"/>
            <w:tcBorders>
              <w:left w:val="single" w:color="000000" w:sz="2" w:space="0"/>
              <w:right w:val="single" w:color="000000" w:sz="2" w:space="0"/>
            </w:tcBorders>
            <w:vAlign w:val="center"/>
          </w:tcPr>
          <w:p w14:paraId="2236AA8A">
            <w:pPr>
              <w:spacing w:line="300" w:lineRule="exact"/>
              <w:jc w:val="center"/>
              <w:rPr>
                <w:rFonts w:hint="eastAsia" w:ascii="宋体" w:hAnsi="宋体" w:cs="Arial"/>
                <w:szCs w:val="21"/>
              </w:rPr>
            </w:pPr>
            <w:r>
              <w:rPr>
                <w:rFonts w:hint="eastAsia" w:ascii="宋体" w:hAnsi="宋体" w:cs="Arial"/>
                <w:szCs w:val="21"/>
              </w:rPr>
              <w:t>二级</w:t>
            </w:r>
          </w:p>
        </w:tc>
        <w:tc>
          <w:tcPr>
            <w:tcW w:w="406" w:type="pct"/>
            <w:tcBorders>
              <w:left w:val="single" w:color="000000" w:sz="2" w:space="0"/>
            </w:tcBorders>
            <w:vAlign w:val="center"/>
          </w:tcPr>
          <w:p w14:paraId="263923AF">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right w:val="single" w:color="000000" w:sz="2" w:space="0"/>
            </w:tcBorders>
            <w:vAlign w:val="center"/>
          </w:tcPr>
          <w:p w14:paraId="791AC936">
            <w:pPr>
              <w:spacing w:line="300" w:lineRule="exact"/>
              <w:jc w:val="center"/>
              <w:rPr>
                <w:rFonts w:hint="eastAsia" w:ascii="宋体" w:hAnsi="宋体" w:cs="Arial"/>
                <w:szCs w:val="21"/>
              </w:rPr>
            </w:pPr>
            <w:r>
              <w:rPr>
                <w:rFonts w:hint="eastAsia" w:ascii="宋体" w:hAnsi="宋体" w:cs="Arial"/>
                <w:szCs w:val="21"/>
              </w:rPr>
              <w:t>二级</w:t>
            </w:r>
          </w:p>
        </w:tc>
        <w:tc>
          <w:tcPr>
            <w:tcW w:w="405" w:type="pct"/>
            <w:tcBorders>
              <w:left w:val="single" w:color="000000" w:sz="2" w:space="0"/>
              <w:right w:val="single" w:color="000000" w:sz="2" w:space="0"/>
            </w:tcBorders>
            <w:vAlign w:val="center"/>
          </w:tcPr>
          <w:p w14:paraId="13A61840">
            <w:pPr>
              <w:spacing w:line="300" w:lineRule="exact"/>
              <w:jc w:val="center"/>
              <w:rPr>
                <w:rFonts w:hint="eastAsia" w:ascii="宋体" w:hAnsi="宋体" w:cs="Arial"/>
                <w:szCs w:val="21"/>
              </w:rPr>
            </w:pPr>
            <w:r>
              <w:rPr>
                <w:rFonts w:hint="eastAsia" w:ascii="宋体" w:hAnsi="宋体" w:cs="Arial"/>
                <w:szCs w:val="21"/>
              </w:rPr>
              <w:t>三级</w:t>
            </w:r>
          </w:p>
        </w:tc>
        <w:tc>
          <w:tcPr>
            <w:tcW w:w="407" w:type="pct"/>
            <w:tcBorders>
              <w:left w:val="single" w:color="000000" w:sz="2" w:space="0"/>
            </w:tcBorders>
            <w:vAlign w:val="center"/>
          </w:tcPr>
          <w:p w14:paraId="65FD1DFF">
            <w:pPr>
              <w:spacing w:line="300" w:lineRule="exact"/>
              <w:jc w:val="center"/>
              <w:rPr>
                <w:rFonts w:hint="eastAsia" w:ascii="宋体" w:hAnsi="宋体" w:cs="Arial"/>
                <w:szCs w:val="21"/>
              </w:rPr>
            </w:pPr>
            <w:r>
              <w:rPr>
                <w:rFonts w:hint="eastAsia" w:ascii="宋体" w:hAnsi="宋体" w:cs="Arial"/>
                <w:szCs w:val="21"/>
              </w:rPr>
              <w:t>三级</w:t>
            </w:r>
          </w:p>
        </w:tc>
        <w:tc>
          <w:tcPr>
            <w:tcW w:w="405" w:type="pct"/>
            <w:tcBorders>
              <w:right w:val="single" w:color="000000" w:sz="2" w:space="0"/>
            </w:tcBorders>
            <w:vAlign w:val="center"/>
          </w:tcPr>
          <w:p w14:paraId="3A74BC2B">
            <w:pPr>
              <w:spacing w:line="300" w:lineRule="exact"/>
              <w:jc w:val="center"/>
              <w:rPr>
                <w:rFonts w:hint="eastAsia" w:ascii="宋体" w:hAnsi="宋体" w:cs="Arial"/>
                <w:szCs w:val="21"/>
              </w:rPr>
            </w:pPr>
            <w:r>
              <w:rPr>
                <w:rFonts w:hint="eastAsia" w:ascii="宋体" w:hAnsi="宋体" w:cs="Arial"/>
                <w:szCs w:val="21"/>
              </w:rPr>
              <w:t>三级</w:t>
            </w:r>
          </w:p>
        </w:tc>
        <w:tc>
          <w:tcPr>
            <w:tcW w:w="405" w:type="pct"/>
            <w:tcBorders>
              <w:left w:val="single" w:color="000000" w:sz="2" w:space="0"/>
              <w:right w:val="single" w:color="000000" w:sz="2" w:space="0"/>
            </w:tcBorders>
            <w:vAlign w:val="center"/>
          </w:tcPr>
          <w:p w14:paraId="2B63931E">
            <w:pPr>
              <w:spacing w:line="300" w:lineRule="exact"/>
              <w:jc w:val="center"/>
              <w:rPr>
                <w:rFonts w:hint="eastAsia" w:ascii="宋体" w:hAnsi="宋体" w:cs="Arial"/>
                <w:szCs w:val="21"/>
              </w:rPr>
            </w:pPr>
            <w:r>
              <w:rPr>
                <w:rFonts w:hint="eastAsia" w:ascii="宋体" w:hAnsi="宋体" w:cs="Arial"/>
                <w:szCs w:val="21"/>
              </w:rPr>
              <w:t>-</w:t>
            </w:r>
          </w:p>
        </w:tc>
        <w:tc>
          <w:tcPr>
            <w:tcW w:w="408" w:type="pct"/>
            <w:tcBorders>
              <w:left w:val="single" w:color="000000" w:sz="2" w:space="0"/>
            </w:tcBorders>
            <w:vAlign w:val="center"/>
          </w:tcPr>
          <w:p w14:paraId="260FA30B">
            <w:pPr>
              <w:spacing w:line="300" w:lineRule="exact"/>
              <w:jc w:val="center"/>
              <w:rPr>
                <w:rFonts w:hint="eastAsia" w:ascii="宋体" w:hAnsi="宋体" w:cs="Arial"/>
                <w:szCs w:val="21"/>
              </w:rPr>
            </w:pPr>
            <w:r>
              <w:rPr>
                <w:rFonts w:hint="eastAsia" w:ascii="宋体" w:hAnsi="宋体" w:cs="Arial"/>
                <w:szCs w:val="21"/>
              </w:rPr>
              <w:t>-</w:t>
            </w:r>
          </w:p>
        </w:tc>
      </w:tr>
      <w:bookmarkEnd w:id="107"/>
    </w:tbl>
    <w:p w14:paraId="1C6B3526">
      <w:pPr>
        <w:pStyle w:val="191"/>
        <w:adjustRightInd w:val="0"/>
        <w:snapToGrid w:val="0"/>
        <w:ind w:firstLine="480"/>
        <w:rPr>
          <w:rFonts w:hint="eastAsia"/>
        </w:rPr>
      </w:pPr>
      <w:r>
        <w:rPr>
          <w:rFonts w:hint="eastAsia"/>
        </w:rPr>
        <w:t>※占地规模</w:t>
      </w:r>
    </w:p>
    <w:p w14:paraId="57E2A4A2">
      <w:pPr>
        <w:pStyle w:val="191"/>
        <w:adjustRightInd w:val="0"/>
        <w:snapToGrid w:val="0"/>
        <w:ind w:firstLine="480"/>
        <w:rPr>
          <w:rFonts w:hint="eastAsia"/>
        </w:rPr>
      </w:pPr>
      <w:r>
        <w:rPr>
          <w:rFonts w:hint="eastAsia"/>
        </w:rPr>
        <w:t>永久占地面积约1.32</w:t>
      </w:r>
      <w:r>
        <w:t>hm</w:t>
      </w:r>
      <w:r>
        <w:rPr>
          <w:vertAlign w:val="superscript"/>
        </w:rPr>
        <w:t>2</w:t>
      </w:r>
      <w:r>
        <w:rPr>
          <w:rFonts w:hint="eastAsia"/>
        </w:rPr>
        <w:t>，占地规模为小型。</w:t>
      </w:r>
    </w:p>
    <w:p w14:paraId="2CD2ACAD">
      <w:pPr>
        <w:pStyle w:val="191"/>
        <w:adjustRightInd w:val="0"/>
        <w:snapToGrid w:val="0"/>
        <w:ind w:firstLine="480"/>
        <w:rPr>
          <w:rFonts w:hint="eastAsia"/>
        </w:rPr>
      </w:pPr>
      <w:r>
        <w:rPr>
          <w:rFonts w:hint="eastAsia"/>
        </w:rPr>
        <w:t>※土壤环境敏感程度</w:t>
      </w:r>
    </w:p>
    <w:p w14:paraId="024BC0AD">
      <w:pPr>
        <w:pStyle w:val="191"/>
        <w:adjustRightInd w:val="0"/>
        <w:snapToGrid w:val="0"/>
        <w:ind w:firstLine="480"/>
        <w:rPr>
          <w:rFonts w:hint="eastAsia"/>
        </w:rPr>
      </w:pPr>
      <w:r>
        <w:rPr>
          <w:rFonts w:hint="eastAsia"/>
        </w:rPr>
        <w:t>建设项目所在地周边的环境影响敏感程度分为敏感、较敏感、不敏感，判别依据详见表2.</w:t>
      </w:r>
      <w:r>
        <w:t>6</w:t>
      </w:r>
      <w:r>
        <w:rPr>
          <w:rFonts w:hint="eastAsia"/>
        </w:rPr>
        <w:t>-7。</w:t>
      </w:r>
    </w:p>
    <w:p w14:paraId="444BD68C">
      <w:pPr>
        <w:pStyle w:val="109"/>
        <w:rPr>
          <w:rFonts w:hint="eastAsia"/>
        </w:rPr>
      </w:pPr>
      <w:r>
        <w:rPr>
          <w:rFonts w:hint="eastAsia"/>
        </w:rPr>
        <w:t>表2.</w:t>
      </w:r>
      <w:r>
        <w:t>6</w:t>
      </w:r>
      <w:r>
        <w:rPr>
          <w:rFonts w:hint="eastAsia"/>
        </w:rPr>
        <w:t>-7   污染影响型敏感程度分级表</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7531"/>
      </w:tblGrid>
      <w:tr w14:paraId="17AF41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7" w:type="dxa"/>
            <w:vAlign w:val="center"/>
          </w:tcPr>
          <w:p w14:paraId="2C72855D">
            <w:pPr>
              <w:spacing w:line="300" w:lineRule="exact"/>
              <w:jc w:val="center"/>
              <w:rPr>
                <w:rFonts w:hint="eastAsia" w:ascii="宋体" w:hAnsi="宋体"/>
                <w:kern w:val="0"/>
                <w:szCs w:val="21"/>
              </w:rPr>
            </w:pPr>
            <w:r>
              <w:rPr>
                <w:rFonts w:hint="eastAsia" w:ascii="宋体" w:hAnsi="宋体"/>
                <w:kern w:val="0"/>
                <w:szCs w:val="21"/>
              </w:rPr>
              <w:t>敏感程度</w:t>
            </w:r>
          </w:p>
        </w:tc>
        <w:tc>
          <w:tcPr>
            <w:tcW w:w="7531" w:type="dxa"/>
            <w:vAlign w:val="center"/>
          </w:tcPr>
          <w:p w14:paraId="407305B8">
            <w:pPr>
              <w:spacing w:line="300" w:lineRule="exact"/>
              <w:jc w:val="center"/>
              <w:rPr>
                <w:rFonts w:hint="eastAsia" w:ascii="宋体" w:hAnsi="宋体"/>
                <w:kern w:val="0"/>
                <w:szCs w:val="21"/>
              </w:rPr>
            </w:pPr>
            <w:r>
              <w:rPr>
                <w:rFonts w:hint="eastAsia" w:ascii="宋体" w:hAnsi="宋体"/>
                <w:kern w:val="0"/>
                <w:szCs w:val="21"/>
              </w:rPr>
              <w:t>判别依据</w:t>
            </w:r>
          </w:p>
        </w:tc>
      </w:tr>
      <w:tr w14:paraId="78B8B3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7" w:type="dxa"/>
            <w:vAlign w:val="center"/>
          </w:tcPr>
          <w:p w14:paraId="397F2D01">
            <w:pPr>
              <w:spacing w:line="300" w:lineRule="exact"/>
              <w:jc w:val="center"/>
              <w:rPr>
                <w:rFonts w:hint="eastAsia" w:ascii="宋体" w:hAnsi="宋体"/>
                <w:kern w:val="0"/>
                <w:szCs w:val="21"/>
              </w:rPr>
            </w:pPr>
            <w:r>
              <w:rPr>
                <w:rFonts w:hint="eastAsia" w:ascii="宋体" w:hAnsi="宋体"/>
                <w:kern w:val="0"/>
                <w:szCs w:val="21"/>
              </w:rPr>
              <w:t>敏感</w:t>
            </w:r>
          </w:p>
        </w:tc>
        <w:tc>
          <w:tcPr>
            <w:tcW w:w="7531" w:type="dxa"/>
            <w:vAlign w:val="center"/>
          </w:tcPr>
          <w:p w14:paraId="5EEE5827">
            <w:pPr>
              <w:spacing w:line="300" w:lineRule="exact"/>
              <w:jc w:val="left"/>
              <w:rPr>
                <w:rFonts w:hint="eastAsia" w:ascii="宋体" w:hAnsi="宋体"/>
                <w:kern w:val="0"/>
                <w:szCs w:val="21"/>
              </w:rPr>
            </w:pPr>
            <w:r>
              <w:rPr>
                <w:rFonts w:hint="eastAsia" w:ascii="宋体" w:hAnsi="宋体"/>
                <w:kern w:val="0"/>
                <w:szCs w:val="21"/>
              </w:rPr>
              <w:t>建设项目周边存在耕地、园地、牧草地、饮用水水源地或居民区、学校、医院、疗养院、养老院等土壤环境敏感目标的。</w:t>
            </w:r>
          </w:p>
        </w:tc>
      </w:tr>
      <w:tr w14:paraId="4A8626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7" w:type="dxa"/>
            <w:vAlign w:val="center"/>
          </w:tcPr>
          <w:p w14:paraId="60C6303B">
            <w:pPr>
              <w:spacing w:line="300" w:lineRule="exact"/>
              <w:jc w:val="center"/>
              <w:rPr>
                <w:rFonts w:hint="eastAsia" w:ascii="宋体" w:hAnsi="宋体"/>
                <w:kern w:val="0"/>
                <w:szCs w:val="21"/>
              </w:rPr>
            </w:pPr>
            <w:r>
              <w:rPr>
                <w:rFonts w:hint="eastAsia" w:ascii="宋体" w:hAnsi="宋体"/>
                <w:kern w:val="0"/>
                <w:szCs w:val="21"/>
              </w:rPr>
              <w:t>较敏感</w:t>
            </w:r>
          </w:p>
        </w:tc>
        <w:tc>
          <w:tcPr>
            <w:tcW w:w="7531" w:type="dxa"/>
            <w:vAlign w:val="center"/>
          </w:tcPr>
          <w:p w14:paraId="2E3536DA">
            <w:pPr>
              <w:spacing w:line="300" w:lineRule="exact"/>
              <w:jc w:val="left"/>
              <w:rPr>
                <w:rFonts w:hint="eastAsia" w:ascii="宋体" w:hAnsi="宋体"/>
                <w:kern w:val="0"/>
                <w:szCs w:val="21"/>
              </w:rPr>
            </w:pPr>
            <w:r>
              <w:rPr>
                <w:rFonts w:hint="eastAsia" w:ascii="宋体" w:hAnsi="宋体"/>
                <w:kern w:val="0"/>
                <w:szCs w:val="21"/>
              </w:rPr>
              <w:t>建设项目周边存在其他土壤环境敏感目标的。</w:t>
            </w:r>
          </w:p>
        </w:tc>
      </w:tr>
      <w:tr w14:paraId="0AC9ED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7" w:type="dxa"/>
            <w:vAlign w:val="center"/>
          </w:tcPr>
          <w:p w14:paraId="178D7B59">
            <w:pPr>
              <w:spacing w:line="300" w:lineRule="exact"/>
              <w:jc w:val="center"/>
              <w:rPr>
                <w:rFonts w:hint="eastAsia" w:ascii="宋体" w:hAnsi="宋体"/>
                <w:kern w:val="0"/>
                <w:szCs w:val="21"/>
              </w:rPr>
            </w:pPr>
            <w:r>
              <w:rPr>
                <w:rFonts w:hint="eastAsia" w:ascii="宋体" w:hAnsi="宋体"/>
                <w:kern w:val="0"/>
                <w:szCs w:val="21"/>
              </w:rPr>
              <w:t>不敏感</w:t>
            </w:r>
          </w:p>
        </w:tc>
        <w:tc>
          <w:tcPr>
            <w:tcW w:w="7531" w:type="dxa"/>
            <w:vAlign w:val="center"/>
          </w:tcPr>
          <w:p w14:paraId="29C1CC5E">
            <w:pPr>
              <w:spacing w:line="300" w:lineRule="exact"/>
              <w:jc w:val="left"/>
              <w:rPr>
                <w:rFonts w:hint="eastAsia" w:ascii="宋体" w:hAnsi="宋体"/>
                <w:kern w:val="0"/>
                <w:szCs w:val="21"/>
              </w:rPr>
            </w:pPr>
            <w:r>
              <w:rPr>
                <w:rFonts w:hint="eastAsia" w:ascii="宋体" w:hAnsi="宋体"/>
                <w:kern w:val="0"/>
                <w:szCs w:val="21"/>
              </w:rPr>
              <w:t>其他情况。</w:t>
            </w:r>
          </w:p>
        </w:tc>
      </w:tr>
    </w:tbl>
    <w:p w14:paraId="7F9A6FDC">
      <w:pPr>
        <w:pStyle w:val="191"/>
        <w:adjustRightInd w:val="0"/>
        <w:snapToGrid w:val="0"/>
        <w:ind w:firstLine="480"/>
        <w:rPr>
          <w:rFonts w:hint="eastAsia"/>
        </w:rPr>
      </w:pPr>
      <w:r>
        <w:rPr>
          <w:rFonts w:hint="eastAsia"/>
        </w:rPr>
        <w:t>项目评价范围内存在耕地、牧草地等环境敏感目标，环境敏感程度为敏感。</w:t>
      </w:r>
    </w:p>
    <w:p w14:paraId="62C25490">
      <w:pPr>
        <w:pStyle w:val="191"/>
        <w:adjustRightInd w:val="0"/>
        <w:snapToGrid w:val="0"/>
        <w:ind w:firstLine="480"/>
        <w:rPr>
          <w:rFonts w:hint="eastAsia"/>
        </w:rPr>
      </w:pPr>
      <w:bookmarkStart w:id="108" w:name="_Hlk92203632"/>
      <w:r>
        <w:rPr>
          <w:rFonts w:hint="eastAsia"/>
        </w:rPr>
        <w:t>本项目属于陆地石油开采行业，根据《环境影响评价技术导则 陆地石油天然气开发建设项目》（H</w:t>
      </w:r>
      <w:r>
        <w:t>J349</w:t>
      </w:r>
      <w:r>
        <w:rPr>
          <w:rFonts w:hint="eastAsia"/>
        </w:rPr>
        <w:t>-</w:t>
      </w:r>
      <w:r>
        <w:t>2023</w:t>
      </w:r>
      <w:r>
        <w:rPr>
          <w:rFonts w:hint="eastAsia"/>
        </w:rPr>
        <w:t>）规定采油井场和计量站为Ⅰ类建设项目，单井采油管线和集油干支线为Ⅱ类建设项目，根据表2</w:t>
      </w:r>
      <w:r>
        <w:t>.6</w:t>
      </w:r>
      <w:r>
        <w:rPr>
          <w:rFonts w:hint="eastAsia"/>
        </w:rPr>
        <w:t>-</w:t>
      </w:r>
      <w:r>
        <w:t>7</w:t>
      </w:r>
      <w:r>
        <w:rPr>
          <w:rFonts w:hint="eastAsia"/>
        </w:rPr>
        <w:t>可知，采油井场和计量站土壤污染影响型评价等级为一级，单井采油管线和集油干支线土壤污染影响型评价等级为二级。</w:t>
      </w:r>
    </w:p>
    <w:bookmarkEnd w:id="108"/>
    <w:p w14:paraId="2E90FFEA">
      <w:pPr>
        <w:pStyle w:val="117"/>
        <w:spacing w:line="480" w:lineRule="exact"/>
        <w:ind w:firstLine="480"/>
        <w:rPr>
          <w:rFonts w:hint="eastAsia"/>
        </w:rPr>
      </w:pPr>
      <w:r>
        <w:rPr>
          <w:rFonts w:hint="eastAsia"/>
        </w:rPr>
        <w:t>②生态影响型</w:t>
      </w:r>
    </w:p>
    <w:p w14:paraId="4CA1B4E4">
      <w:pPr>
        <w:pStyle w:val="117"/>
        <w:spacing w:line="480" w:lineRule="exact"/>
        <w:ind w:firstLine="480"/>
        <w:rPr>
          <w:rFonts w:hint="eastAsia"/>
        </w:rPr>
      </w:pPr>
      <w:r>
        <w:rPr>
          <w:rFonts w:hint="eastAsia"/>
        </w:rPr>
        <w:t>土壤生态影响型项目根据建设项目类别、生态影响型敏感程度分级结果划分评价工作等级，生态影响型敏感程度分级见表2</w:t>
      </w:r>
      <w:r>
        <w:t>.6</w:t>
      </w:r>
      <w:r>
        <w:rPr>
          <w:rFonts w:hint="eastAsia"/>
        </w:rPr>
        <w:t>-</w:t>
      </w:r>
      <w:r>
        <w:t>8</w:t>
      </w:r>
      <w:r>
        <w:rPr>
          <w:rFonts w:hint="eastAsia"/>
        </w:rPr>
        <w:t>，评价工作等级划分表见表2</w:t>
      </w:r>
      <w:r>
        <w:t>.6</w:t>
      </w:r>
      <w:r>
        <w:rPr>
          <w:rFonts w:hint="eastAsia"/>
        </w:rPr>
        <w:t>-</w:t>
      </w:r>
      <w:r>
        <w:t>9</w:t>
      </w:r>
      <w:r>
        <w:rPr>
          <w:rFonts w:hint="eastAsia"/>
        </w:rPr>
        <w:t>。</w:t>
      </w:r>
    </w:p>
    <w:p w14:paraId="26228CFD">
      <w:pPr>
        <w:pStyle w:val="109"/>
        <w:rPr>
          <w:rFonts w:hint="eastAsia"/>
        </w:rPr>
      </w:pPr>
      <w:r>
        <w:rPr>
          <w:rFonts w:hint="eastAsia"/>
        </w:rPr>
        <w:t>表2</w:t>
      </w:r>
      <w:r>
        <w:t>.6</w:t>
      </w:r>
      <w:r>
        <w:rPr>
          <w:rFonts w:hint="eastAsia"/>
        </w:rPr>
        <w:t>-</w:t>
      </w:r>
      <w:r>
        <w:t>8</w:t>
      </w:r>
      <w:r>
        <w:rPr>
          <w:rFonts w:hint="eastAsia"/>
        </w:rPr>
        <w:t xml:space="preserve"> </w:t>
      </w:r>
      <w:r>
        <w:t xml:space="preserve"> </w:t>
      </w:r>
      <w:r>
        <w:rPr>
          <w:rFonts w:hint="eastAsia"/>
        </w:rPr>
        <w:t>生态影响型敏感程度分级表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5520"/>
        <w:gridCol w:w="1308"/>
        <w:gridCol w:w="1247"/>
      </w:tblGrid>
      <w:tr w14:paraId="7F7787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Merge w:val="restart"/>
            <w:vAlign w:val="center"/>
          </w:tcPr>
          <w:p w14:paraId="67D247AE">
            <w:pPr>
              <w:adjustRightInd w:val="0"/>
              <w:snapToGrid w:val="0"/>
              <w:spacing w:line="300" w:lineRule="exact"/>
              <w:jc w:val="center"/>
              <w:rPr>
                <w:rFonts w:hint="eastAsia" w:ascii="宋体" w:hAnsi="宋体"/>
                <w:kern w:val="0"/>
                <w:szCs w:val="21"/>
              </w:rPr>
            </w:pPr>
            <w:r>
              <w:rPr>
                <w:rFonts w:hint="eastAsia" w:ascii="宋体" w:hAnsi="宋体"/>
                <w:kern w:val="0"/>
                <w:szCs w:val="21"/>
              </w:rPr>
              <w:t>敏感程度</w:t>
            </w:r>
          </w:p>
        </w:tc>
        <w:tc>
          <w:tcPr>
            <w:tcW w:w="4513" w:type="pct"/>
            <w:gridSpan w:val="3"/>
            <w:vAlign w:val="center"/>
          </w:tcPr>
          <w:p w14:paraId="09D1F722">
            <w:pPr>
              <w:adjustRightInd w:val="0"/>
              <w:snapToGrid w:val="0"/>
              <w:spacing w:line="300" w:lineRule="exact"/>
              <w:jc w:val="center"/>
              <w:rPr>
                <w:rFonts w:hint="eastAsia" w:ascii="宋体" w:hAnsi="宋体"/>
                <w:kern w:val="0"/>
                <w:szCs w:val="21"/>
              </w:rPr>
            </w:pPr>
            <w:r>
              <w:rPr>
                <w:rFonts w:hint="eastAsia" w:ascii="宋体" w:hAnsi="宋体"/>
                <w:kern w:val="0"/>
                <w:szCs w:val="21"/>
              </w:rPr>
              <w:t>判别依据</w:t>
            </w:r>
          </w:p>
        </w:tc>
      </w:tr>
      <w:tr w14:paraId="2B2C07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Merge w:val="continue"/>
            <w:vAlign w:val="center"/>
          </w:tcPr>
          <w:p w14:paraId="387FF740">
            <w:pPr>
              <w:adjustRightInd w:val="0"/>
              <w:snapToGrid w:val="0"/>
              <w:spacing w:line="300" w:lineRule="exact"/>
              <w:jc w:val="center"/>
              <w:rPr>
                <w:rFonts w:hint="eastAsia" w:ascii="宋体" w:hAnsi="宋体"/>
                <w:kern w:val="0"/>
                <w:szCs w:val="21"/>
              </w:rPr>
            </w:pPr>
          </w:p>
        </w:tc>
        <w:tc>
          <w:tcPr>
            <w:tcW w:w="3085" w:type="pct"/>
          </w:tcPr>
          <w:p w14:paraId="203D18FC">
            <w:pPr>
              <w:adjustRightInd w:val="0"/>
              <w:snapToGrid w:val="0"/>
              <w:spacing w:line="300" w:lineRule="exact"/>
              <w:jc w:val="center"/>
              <w:rPr>
                <w:rFonts w:hint="eastAsia" w:ascii="宋体" w:hAnsi="宋体"/>
                <w:kern w:val="0"/>
                <w:szCs w:val="21"/>
              </w:rPr>
            </w:pPr>
            <w:r>
              <w:rPr>
                <w:rFonts w:hint="eastAsia" w:ascii="宋体" w:hAnsi="宋体"/>
                <w:kern w:val="0"/>
                <w:szCs w:val="21"/>
              </w:rPr>
              <w:t>盐化</w:t>
            </w:r>
          </w:p>
        </w:tc>
        <w:tc>
          <w:tcPr>
            <w:tcW w:w="731" w:type="pct"/>
          </w:tcPr>
          <w:p w14:paraId="62F44101">
            <w:pPr>
              <w:adjustRightInd w:val="0"/>
              <w:snapToGrid w:val="0"/>
              <w:spacing w:line="300" w:lineRule="exact"/>
              <w:jc w:val="center"/>
              <w:rPr>
                <w:rFonts w:hint="eastAsia" w:ascii="宋体" w:hAnsi="宋体"/>
                <w:kern w:val="0"/>
                <w:szCs w:val="21"/>
              </w:rPr>
            </w:pPr>
            <w:r>
              <w:rPr>
                <w:rFonts w:hint="eastAsia" w:ascii="宋体" w:hAnsi="宋体"/>
                <w:kern w:val="0"/>
                <w:szCs w:val="21"/>
              </w:rPr>
              <w:t>酸化</w:t>
            </w:r>
          </w:p>
        </w:tc>
        <w:tc>
          <w:tcPr>
            <w:tcW w:w="697" w:type="pct"/>
          </w:tcPr>
          <w:p w14:paraId="4F6EABD0">
            <w:pPr>
              <w:adjustRightInd w:val="0"/>
              <w:snapToGrid w:val="0"/>
              <w:spacing w:line="300" w:lineRule="exact"/>
              <w:jc w:val="center"/>
              <w:rPr>
                <w:rFonts w:hint="eastAsia" w:ascii="宋体" w:hAnsi="宋体"/>
                <w:kern w:val="0"/>
                <w:szCs w:val="21"/>
              </w:rPr>
            </w:pPr>
            <w:r>
              <w:rPr>
                <w:rFonts w:hint="eastAsia" w:ascii="宋体" w:hAnsi="宋体"/>
                <w:kern w:val="0"/>
                <w:szCs w:val="21"/>
              </w:rPr>
              <w:t>碱化</w:t>
            </w:r>
          </w:p>
        </w:tc>
      </w:tr>
      <w:tr w14:paraId="2A2233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7A00195">
            <w:pPr>
              <w:adjustRightInd w:val="0"/>
              <w:snapToGrid w:val="0"/>
              <w:spacing w:line="300" w:lineRule="exact"/>
              <w:jc w:val="center"/>
              <w:rPr>
                <w:rFonts w:hint="eastAsia" w:ascii="宋体" w:hAnsi="宋体"/>
                <w:kern w:val="0"/>
                <w:szCs w:val="21"/>
              </w:rPr>
            </w:pPr>
            <w:r>
              <w:rPr>
                <w:rFonts w:hint="eastAsia" w:ascii="宋体" w:hAnsi="宋体"/>
                <w:kern w:val="0"/>
                <w:szCs w:val="21"/>
              </w:rPr>
              <w:t>敏感</w:t>
            </w:r>
          </w:p>
        </w:tc>
        <w:tc>
          <w:tcPr>
            <w:tcW w:w="3085" w:type="pct"/>
            <w:vAlign w:val="center"/>
          </w:tcPr>
          <w:p w14:paraId="40697E61">
            <w:pPr>
              <w:autoSpaceDE w:val="0"/>
              <w:autoSpaceDN w:val="0"/>
              <w:adjustRightInd w:val="0"/>
              <w:snapToGrid w:val="0"/>
              <w:spacing w:line="300" w:lineRule="exact"/>
              <w:jc w:val="left"/>
              <w:rPr>
                <w:rFonts w:hint="eastAsia" w:ascii="宋体" w:hAnsi="宋体"/>
                <w:kern w:val="0"/>
                <w:szCs w:val="21"/>
              </w:rPr>
            </w:pPr>
            <w:r>
              <w:rPr>
                <w:rFonts w:hint="eastAsia" w:ascii="宋体" w:hAnsi="宋体" w:cs="宋体"/>
                <w:kern w:val="0"/>
                <w:szCs w:val="21"/>
              </w:rPr>
              <w:t>建设项目所在地干燥度</w:t>
            </w:r>
            <w:r>
              <w:rPr>
                <w:rFonts w:ascii="宋体" w:hAnsi="宋体" w:cs="宋体"/>
                <w:kern w:val="0"/>
                <w:szCs w:val="21"/>
              </w:rPr>
              <w:t>a</w:t>
            </w:r>
            <w:r>
              <w:rPr>
                <w:rFonts w:hint="eastAsia" w:ascii="宋体" w:hAnsi="宋体" w:cs="宋体"/>
                <w:kern w:val="0"/>
                <w:szCs w:val="21"/>
              </w:rPr>
              <w:t>＞</w:t>
            </w:r>
            <w:r>
              <w:rPr>
                <w:rFonts w:ascii="宋体" w:hAnsi="宋体" w:cs="TimesNewRomanPSMT"/>
                <w:kern w:val="0"/>
                <w:szCs w:val="21"/>
              </w:rPr>
              <w:t>2.5</w:t>
            </w:r>
            <w:r>
              <w:rPr>
                <w:rFonts w:hint="eastAsia" w:ascii="宋体" w:hAnsi="宋体" w:cs="宋体"/>
                <w:kern w:val="0"/>
                <w:szCs w:val="21"/>
              </w:rPr>
              <w:t>且常年地下水位平均埋深＜</w:t>
            </w:r>
            <w:r>
              <w:rPr>
                <w:rFonts w:ascii="宋体" w:hAnsi="宋体" w:cs="TimesNewRomanPSMT"/>
                <w:kern w:val="0"/>
                <w:szCs w:val="21"/>
              </w:rPr>
              <w:t>1.5m</w:t>
            </w:r>
            <w:r>
              <w:rPr>
                <w:rFonts w:hint="eastAsia" w:ascii="宋体" w:hAnsi="宋体" w:cs="宋体"/>
                <w:kern w:val="0"/>
                <w:szCs w:val="21"/>
              </w:rPr>
              <w:t>的地势平坦区域；或土壤含盐量＞</w:t>
            </w:r>
            <w:r>
              <w:rPr>
                <w:rFonts w:ascii="宋体" w:hAnsi="宋体" w:cs="TimesNewRomanPSMT"/>
                <w:kern w:val="0"/>
                <w:szCs w:val="21"/>
              </w:rPr>
              <w:t>4g/kg</w:t>
            </w:r>
            <w:r>
              <w:rPr>
                <w:rFonts w:hint="eastAsia" w:ascii="宋体" w:hAnsi="宋体" w:cs="宋体"/>
                <w:kern w:val="0"/>
                <w:szCs w:val="21"/>
              </w:rPr>
              <w:t>的区域</w:t>
            </w:r>
          </w:p>
        </w:tc>
        <w:tc>
          <w:tcPr>
            <w:tcW w:w="731" w:type="pct"/>
            <w:vAlign w:val="center"/>
          </w:tcPr>
          <w:p w14:paraId="01B8C8DB">
            <w:pPr>
              <w:adjustRightInd w:val="0"/>
              <w:snapToGrid w:val="0"/>
              <w:spacing w:line="300" w:lineRule="exact"/>
              <w:jc w:val="center"/>
              <w:rPr>
                <w:rFonts w:hint="eastAsia" w:ascii="宋体" w:hAnsi="宋体"/>
                <w:kern w:val="0"/>
                <w:szCs w:val="21"/>
              </w:rPr>
            </w:pPr>
            <w:r>
              <w:rPr>
                <w:rFonts w:hint="eastAsia" w:ascii="宋体" w:hAnsi="宋体"/>
                <w:kern w:val="0"/>
                <w:szCs w:val="21"/>
              </w:rPr>
              <w:t>p</w:t>
            </w:r>
            <w:r>
              <w:rPr>
                <w:rFonts w:ascii="宋体" w:hAnsi="宋体"/>
                <w:kern w:val="0"/>
                <w:szCs w:val="21"/>
              </w:rPr>
              <w:t>H</w:t>
            </w:r>
            <w:r>
              <w:rPr>
                <w:rFonts w:hint="eastAsia" w:ascii="宋体" w:hAnsi="宋体"/>
                <w:kern w:val="0"/>
                <w:szCs w:val="21"/>
              </w:rPr>
              <w:t>≤</w:t>
            </w:r>
            <w:r>
              <w:rPr>
                <w:rFonts w:ascii="宋体" w:hAnsi="宋体"/>
                <w:kern w:val="0"/>
                <w:szCs w:val="21"/>
              </w:rPr>
              <w:t>4.5</w:t>
            </w:r>
          </w:p>
        </w:tc>
        <w:tc>
          <w:tcPr>
            <w:tcW w:w="697" w:type="pct"/>
            <w:vAlign w:val="center"/>
          </w:tcPr>
          <w:p w14:paraId="1A1A60BD">
            <w:pPr>
              <w:adjustRightInd w:val="0"/>
              <w:snapToGrid w:val="0"/>
              <w:spacing w:line="300" w:lineRule="exact"/>
              <w:jc w:val="center"/>
              <w:rPr>
                <w:rFonts w:hint="eastAsia" w:ascii="宋体" w:hAnsi="宋体"/>
                <w:kern w:val="0"/>
                <w:szCs w:val="21"/>
              </w:rPr>
            </w:pPr>
            <w:r>
              <w:rPr>
                <w:rFonts w:hint="eastAsia" w:ascii="宋体" w:hAnsi="宋体"/>
                <w:kern w:val="0"/>
                <w:szCs w:val="21"/>
              </w:rPr>
              <w:t>p</w:t>
            </w:r>
            <w:r>
              <w:rPr>
                <w:rFonts w:ascii="宋体" w:hAnsi="宋体"/>
                <w:kern w:val="0"/>
                <w:szCs w:val="21"/>
              </w:rPr>
              <w:t>H</w:t>
            </w:r>
            <w:r>
              <w:rPr>
                <w:rFonts w:hint="eastAsia" w:ascii="宋体" w:hAnsi="宋体"/>
                <w:kern w:val="0"/>
                <w:szCs w:val="21"/>
              </w:rPr>
              <w:t>≥</w:t>
            </w:r>
            <w:r>
              <w:rPr>
                <w:rFonts w:ascii="宋体" w:hAnsi="宋体"/>
                <w:kern w:val="0"/>
                <w:szCs w:val="21"/>
              </w:rPr>
              <w:t>9.0</w:t>
            </w:r>
          </w:p>
        </w:tc>
      </w:tr>
      <w:tr w14:paraId="6EDB3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7D1E43F5">
            <w:pPr>
              <w:adjustRightInd w:val="0"/>
              <w:snapToGrid w:val="0"/>
              <w:spacing w:line="300" w:lineRule="exact"/>
              <w:jc w:val="center"/>
              <w:rPr>
                <w:rFonts w:hint="eastAsia" w:ascii="宋体" w:hAnsi="宋体"/>
                <w:kern w:val="0"/>
                <w:szCs w:val="21"/>
              </w:rPr>
            </w:pPr>
            <w:r>
              <w:rPr>
                <w:rFonts w:hint="eastAsia" w:ascii="宋体" w:hAnsi="宋体"/>
                <w:kern w:val="0"/>
                <w:szCs w:val="21"/>
              </w:rPr>
              <w:t>较敏感</w:t>
            </w:r>
          </w:p>
        </w:tc>
        <w:tc>
          <w:tcPr>
            <w:tcW w:w="3085" w:type="pct"/>
            <w:vAlign w:val="center"/>
          </w:tcPr>
          <w:p w14:paraId="0D221062">
            <w:pPr>
              <w:autoSpaceDE w:val="0"/>
              <w:autoSpaceDN w:val="0"/>
              <w:adjustRightInd w:val="0"/>
              <w:snapToGrid w:val="0"/>
              <w:spacing w:line="300" w:lineRule="exact"/>
              <w:jc w:val="left"/>
              <w:rPr>
                <w:rFonts w:hint="eastAsia" w:ascii="宋体" w:hAnsi="宋体"/>
                <w:kern w:val="0"/>
                <w:szCs w:val="21"/>
              </w:rPr>
            </w:pPr>
            <w:r>
              <w:rPr>
                <w:rFonts w:hint="eastAsia" w:ascii="宋体" w:hAnsi="宋体" w:cs="宋体"/>
                <w:kern w:val="0"/>
                <w:szCs w:val="21"/>
              </w:rPr>
              <w:t>建设项目所在地干燥度＞</w:t>
            </w:r>
            <w:r>
              <w:rPr>
                <w:rFonts w:ascii="宋体" w:hAnsi="宋体" w:cs="TimesNewRomanPSMT"/>
                <w:kern w:val="0"/>
                <w:szCs w:val="21"/>
              </w:rPr>
              <w:t>2.5</w:t>
            </w:r>
            <w:r>
              <w:rPr>
                <w:rFonts w:hint="eastAsia" w:ascii="宋体" w:hAnsi="宋体" w:cs="宋体"/>
                <w:kern w:val="0"/>
                <w:szCs w:val="21"/>
              </w:rPr>
              <w:t>且常年地下水位平均埋深≥</w:t>
            </w:r>
            <w:r>
              <w:rPr>
                <w:rFonts w:ascii="宋体" w:hAnsi="宋体" w:cs="TimesNewRomanPSMT"/>
                <w:kern w:val="0"/>
                <w:szCs w:val="21"/>
              </w:rPr>
              <w:t>1.5m</w:t>
            </w:r>
            <w:r>
              <w:rPr>
                <w:rFonts w:hint="eastAsia" w:ascii="宋体" w:hAnsi="宋体" w:cs="宋体"/>
                <w:kern w:val="0"/>
                <w:szCs w:val="21"/>
              </w:rPr>
              <w:t>的，或</w:t>
            </w:r>
            <w:r>
              <w:rPr>
                <w:rFonts w:ascii="宋体" w:hAnsi="宋体" w:cs="TimesNewRomanPSMT"/>
                <w:kern w:val="0"/>
                <w:szCs w:val="21"/>
              </w:rPr>
              <w:t>1.8</w:t>
            </w:r>
            <w:r>
              <w:rPr>
                <w:rFonts w:hint="eastAsia" w:ascii="宋体" w:hAnsi="宋体" w:cs="宋体"/>
                <w:kern w:val="0"/>
                <w:szCs w:val="21"/>
              </w:rPr>
              <w:t>＜干燥度≤</w:t>
            </w:r>
            <w:r>
              <w:rPr>
                <w:rFonts w:ascii="宋体" w:hAnsi="宋体" w:cs="TimesNewRomanPSMT"/>
                <w:kern w:val="0"/>
                <w:szCs w:val="21"/>
              </w:rPr>
              <w:t>2.5</w:t>
            </w:r>
            <w:r>
              <w:rPr>
                <w:rFonts w:hint="eastAsia" w:ascii="宋体" w:hAnsi="宋体" w:cs="宋体"/>
                <w:kern w:val="0"/>
                <w:szCs w:val="21"/>
              </w:rPr>
              <w:t>且常年地下水位平均埋深＜</w:t>
            </w:r>
            <w:r>
              <w:rPr>
                <w:rFonts w:ascii="宋体" w:hAnsi="宋体" w:cs="TimesNewRomanPSMT"/>
                <w:kern w:val="0"/>
                <w:szCs w:val="21"/>
              </w:rPr>
              <w:t>1.8m</w:t>
            </w:r>
            <w:r>
              <w:rPr>
                <w:rFonts w:hint="eastAsia" w:ascii="宋体" w:hAnsi="宋体" w:cs="宋体"/>
                <w:kern w:val="0"/>
                <w:szCs w:val="21"/>
              </w:rPr>
              <w:t>的地势平坦区域；建设项目所在地干燥度＞</w:t>
            </w:r>
            <w:r>
              <w:rPr>
                <w:rFonts w:ascii="宋体" w:hAnsi="宋体" w:cs="TimesNewRomanPSMT"/>
                <w:kern w:val="0"/>
                <w:szCs w:val="21"/>
              </w:rPr>
              <w:t>2.5</w:t>
            </w:r>
            <w:r>
              <w:rPr>
                <w:rFonts w:hint="eastAsia" w:ascii="宋体" w:hAnsi="宋体" w:cs="宋体"/>
                <w:kern w:val="0"/>
                <w:szCs w:val="21"/>
              </w:rPr>
              <w:t>或常年地下水位平均埋深＜</w:t>
            </w:r>
            <w:r>
              <w:rPr>
                <w:rFonts w:ascii="宋体" w:hAnsi="宋体" w:cs="TimesNewRomanPSMT"/>
                <w:kern w:val="0"/>
                <w:szCs w:val="21"/>
              </w:rPr>
              <w:t>1.5m</w:t>
            </w:r>
            <w:r>
              <w:rPr>
                <w:rFonts w:hint="eastAsia" w:ascii="宋体" w:hAnsi="宋体" w:cs="宋体"/>
                <w:kern w:val="0"/>
                <w:szCs w:val="21"/>
              </w:rPr>
              <w:t>的平原区；或</w:t>
            </w:r>
            <w:r>
              <w:rPr>
                <w:rFonts w:ascii="宋体" w:hAnsi="宋体" w:cs="TimesNewRomanPSMT"/>
                <w:kern w:val="0"/>
                <w:szCs w:val="21"/>
              </w:rPr>
              <w:t>2g/k</w:t>
            </w:r>
            <w:r>
              <w:rPr>
                <w:rFonts w:ascii="宋体" w:hAnsi="宋体" w:cs="宋体"/>
                <w:kern w:val="0"/>
                <w:szCs w:val="21"/>
              </w:rPr>
              <w:t>g</w:t>
            </w:r>
            <w:r>
              <w:rPr>
                <w:rFonts w:hint="eastAsia" w:ascii="宋体" w:hAnsi="宋体" w:cs="宋体"/>
                <w:kern w:val="0"/>
                <w:szCs w:val="21"/>
              </w:rPr>
              <w:t>＜土壤含盐量≤</w:t>
            </w:r>
            <w:r>
              <w:rPr>
                <w:rFonts w:ascii="宋体" w:hAnsi="宋体" w:cs="TimesNewRomanPSMT"/>
                <w:kern w:val="0"/>
                <w:szCs w:val="21"/>
              </w:rPr>
              <w:t>4g/kg</w:t>
            </w:r>
            <w:r>
              <w:rPr>
                <w:rFonts w:hint="eastAsia" w:ascii="宋体" w:hAnsi="宋体" w:cs="宋体"/>
                <w:kern w:val="0"/>
                <w:szCs w:val="21"/>
              </w:rPr>
              <w:t>的区域</w:t>
            </w:r>
          </w:p>
        </w:tc>
        <w:tc>
          <w:tcPr>
            <w:tcW w:w="731" w:type="pct"/>
            <w:vAlign w:val="center"/>
          </w:tcPr>
          <w:p w14:paraId="391B4F11">
            <w:pPr>
              <w:adjustRightInd w:val="0"/>
              <w:snapToGrid w:val="0"/>
              <w:spacing w:line="300" w:lineRule="exact"/>
              <w:jc w:val="center"/>
              <w:rPr>
                <w:rFonts w:hint="eastAsia" w:ascii="宋体" w:hAnsi="宋体"/>
                <w:kern w:val="0"/>
                <w:szCs w:val="21"/>
              </w:rPr>
            </w:pPr>
            <w:r>
              <w:rPr>
                <w:rFonts w:hint="eastAsia" w:ascii="宋体" w:hAnsi="宋体"/>
                <w:kern w:val="0"/>
                <w:szCs w:val="21"/>
              </w:rPr>
              <w:t>4</w:t>
            </w:r>
            <w:r>
              <w:rPr>
                <w:rFonts w:ascii="宋体" w:hAnsi="宋体"/>
                <w:kern w:val="0"/>
                <w:szCs w:val="21"/>
              </w:rPr>
              <w:t>.5</w:t>
            </w:r>
            <w:r>
              <w:rPr>
                <w:rFonts w:hint="eastAsia" w:ascii="宋体" w:hAnsi="宋体"/>
                <w:kern w:val="0"/>
                <w:szCs w:val="21"/>
              </w:rPr>
              <w:t>＜p</w:t>
            </w:r>
            <w:r>
              <w:rPr>
                <w:rFonts w:ascii="宋体" w:hAnsi="宋体"/>
                <w:kern w:val="0"/>
                <w:szCs w:val="21"/>
              </w:rPr>
              <w:t>H</w:t>
            </w:r>
            <w:r>
              <w:rPr>
                <w:rFonts w:hint="eastAsia" w:ascii="宋体" w:hAnsi="宋体"/>
                <w:kern w:val="0"/>
                <w:szCs w:val="21"/>
              </w:rPr>
              <w:t>≤5</w:t>
            </w:r>
            <w:r>
              <w:rPr>
                <w:rFonts w:ascii="宋体" w:hAnsi="宋体"/>
                <w:kern w:val="0"/>
                <w:szCs w:val="21"/>
              </w:rPr>
              <w:t>.5</w:t>
            </w:r>
          </w:p>
        </w:tc>
        <w:tc>
          <w:tcPr>
            <w:tcW w:w="697" w:type="pct"/>
            <w:vAlign w:val="center"/>
          </w:tcPr>
          <w:p w14:paraId="282A961D">
            <w:pPr>
              <w:adjustRightInd w:val="0"/>
              <w:snapToGrid w:val="0"/>
              <w:spacing w:line="300" w:lineRule="exact"/>
              <w:jc w:val="center"/>
              <w:rPr>
                <w:rFonts w:hint="eastAsia" w:ascii="宋体" w:hAnsi="宋体"/>
                <w:kern w:val="0"/>
                <w:szCs w:val="21"/>
              </w:rPr>
            </w:pPr>
            <w:r>
              <w:rPr>
                <w:rFonts w:hint="eastAsia" w:ascii="宋体" w:hAnsi="宋体"/>
                <w:kern w:val="0"/>
                <w:szCs w:val="21"/>
              </w:rPr>
              <w:t>8</w:t>
            </w:r>
            <w:r>
              <w:rPr>
                <w:rFonts w:ascii="宋体" w:hAnsi="宋体"/>
                <w:kern w:val="0"/>
                <w:szCs w:val="21"/>
              </w:rPr>
              <w:t>.5</w:t>
            </w:r>
            <w:r>
              <w:rPr>
                <w:rFonts w:hint="eastAsia" w:ascii="宋体" w:hAnsi="宋体"/>
                <w:kern w:val="0"/>
                <w:szCs w:val="21"/>
              </w:rPr>
              <w:t>≤p</w:t>
            </w:r>
            <w:r>
              <w:rPr>
                <w:rFonts w:ascii="宋体" w:hAnsi="宋体"/>
                <w:kern w:val="0"/>
                <w:szCs w:val="21"/>
              </w:rPr>
              <w:t>H</w:t>
            </w:r>
            <w:r>
              <w:rPr>
                <w:rFonts w:hint="eastAsia" w:ascii="宋体" w:hAnsi="宋体"/>
                <w:kern w:val="0"/>
                <w:szCs w:val="21"/>
              </w:rPr>
              <w:t>＜9</w:t>
            </w:r>
            <w:r>
              <w:rPr>
                <w:rFonts w:ascii="宋体" w:hAnsi="宋体"/>
                <w:kern w:val="0"/>
                <w:szCs w:val="21"/>
              </w:rPr>
              <w:t>.0</w:t>
            </w:r>
          </w:p>
        </w:tc>
      </w:tr>
      <w:tr w14:paraId="263760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A93D450">
            <w:pPr>
              <w:adjustRightInd w:val="0"/>
              <w:snapToGrid w:val="0"/>
              <w:spacing w:line="300" w:lineRule="exact"/>
              <w:jc w:val="center"/>
              <w:rPr>
                <w:rFonts w:hint="eastAsia" w:ascii="宋体" w:hAnsi="宋体"/>
                <w:kern w:val="0"/>
                <w:szCs w:val="21"/>
              </w:rPr>
            </w:pPr>
            <w:r>
              <w:rPr>
                <w:rFonts w:hint="eastAsia" w:ascii="宋体" w:hAnsi="宋体"/>
                <w:kern w:val="0"/>
                <w:szCs w:val="21"/>
              </w:rPr>
              <w:t>不敏感</w:t>
            </w:r>
          </w:p>
        </w:tc>
        <w:tc>
          <w:tcPr>
            <w:tcW w:w="3085" w:type="pct"/>
            <w:vAlign w:val="center"/>
          </w:tcPr>
          <w:p w14:paraId="444500AA">
            <w:pPr>
              <w:adjustRightInd w:val="0"/>
              <w:snapToGrid w:val="0"/>
              <w:spacing w:line="300" w:lineRule="exact"/>
              <w:jc w:val="left"/>
              <w:rPr>
                <w:rFonts w:hint="eastAsia" w:ascii="宋体" w:hAnsi="宋体"/>
                <w:kern w:val="0"/>
                <w:szCs w:val="21"/>
              </w:rPr>
            </w:pPr>
            <w:r>
              <w:rPr>
                <w:rFonts w:hint="eastAsia" w:ascii="宋体" w:hAnsi="宋体"/>
                <w:kern w:val="0"/>
                <w:szCs w:val="21"/>
              </w:rPr>
              <w:t>其他</w:t>
            </w:r>
          </w:p>
        </w:tc>
        <w:tc>
          <w:tcPr>
            <w:tcW w:w="1428" w:type="pct"/>
            <w:gridSpan w:val="2"/>
            <w:vAlign w:val="center"/>
          </w:tcPr>
          <w:p w14:paraId="5CDB2AC3">
            <w:pPr>
              <w:adjustRightInd w:val="0"/>
              <w:snapToGrid w:val="0"/>
              <w:spacing w:line="300" w:lineRule="exact"/>
              <w:jc w:val="center"/>
              <w:rPr>
                <w:rFonts w:hint="eastAsia" w:ascii="宋体" w:hAnsi="宋体"/>
                <w:kern w:val="0"/>
                <w:szCs w:val="21"/>
              </w:rPr>
            </w:pPr>
            <w:r>
              <w:rPr>
                <w:rFonts w:ascii="宋体" w:hAnsi="宋体"/>
                <w:kern w:val="0"/>
                <w:szCs w:val="21"/>
              </w:rPr>
              <w:t>5.5</w:t>
            </w:r>
            <w:r>
              <w:rPr>
                <w:rFonts w:hint="eastAsia" w:ascii="宋体" w:hAnsi="宋体"/>
                <w:kern w:val="0"/>
                <w:szCs w:val="21"/>
              </w:rPr>
              <w:t>＜p</w:t>
            </w:r>
            <w:r>
              <w:rPr>
                <w:rFonts w:ascii="宋体" w:hAnsi="宋体"/>
                <w:kern w:val="0"/>
                <w:szCs w:val="21"/>
              </w:rPr>
              <w:t>H</w:t>
            </w:r>
            <w:r>
              <w:rPr>
                <w:rFonts w:hint="eastAsia" w:ascii="宋体" w:hAnsi="宋体"/>
                <w:kern w:val="0"/>
                <w:szCs w:val="21"/>
              </w:rPr>
              <w:t>＜8</w:t>
            </w:r>
            <w:r>
              <w:rPr>
                <w:rFonts w:ascii="宋体" w:hAnsi="宋体"/>
                <w:kern w:val="0"/>
                <w:szCs w:val="21"/>
              </w:rPr>
              <w:t>.5</w:t>
            </w:r>
          </w:p>
        </w:tc>
      </w:tr>
      <w:tr w14:paraId="4BB88A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4"/>
            <w:vAlign w:val="center"/>
          </w:tcPr>
          <w:p w14:paraId="541BDB4A">
            <w:pPr>
              <w:adjustRightInd w:val="0"/>
              <w:snapToGrid w:val="0"/>
              <w:spacing w:line="300" w:lineRule="exact"/>
              <w:jc w:val="left"/>
              <w:rPr>
                <w:rFonts w:hint="eastAsia" w:ascii="宋体" w:hAnsi="宋体"/>
                <w:kern w:val="0"/>
                <w:szCs w:val="21"/>
              </w:rPr>
            </w:pPr>
            <w:r>
              <w:rPr>
                <w:rFonts w:ascii="宋体" w:hAnsi="宋体" w:cs="宋体"/>
                <w:kern w:val="0"/>
                <w:szCs w:val="21"/>
                <w:vertAlign w:val="superscript"/>
              </w:rPr>
              <w:t>a</w:t>
            </w:r>
            <w:r>
              <w:rPr>
                <w:rFonts w:hint="eastAsia" w:ascii="宋体" w:hAnsi="宋体" w:cs="宋体"/>
                <w:kern w:val="0"/>
                <w:szCs w:val="21"/>
              </w:rPr>
              <w:t>是指采用</w:t>
            </w:r>
            <w:r>
              <w:rPr>
                <w:rFonts w:ascii="宋体" w:hAnsi="宋体" w:cs="TimesNewRomanPSMT"/>
                <w:kern w:val="0"/>
                <w:szCs w:val="21"/>
              </w:rPr>
              <w:t>E601</w:t>
            </w:r>
            <w:r>
              <w:rPr>
                <w:rFonts w:hint="eastAsia" w:ascii="宋体" w:hAnsi="宋体" w:cs="宋体"/>
                <w:kern w:val="0"/>
                <w:szCs w:val="21"/>
              </w:rPr>
              <w:t>观测的多年平均水面蒸发量与降水量的比值，即蒸降比值。</w:t>
            </w:r>
          </w:p>
        </w:tc>
      </w:tr>
    </w:tbl>
    <w:p w14:paraId="18DAD90C">
      <w:pPr>
        <w:pStyle w:val="109"/>
        <w:rPr>
          <w:rFonts w:hint="eastAsia"/>
        </w:rPr>
      </w:pPr>
      <w:r>
        <w:rPr>
          <w:rFonts w:hint="eastAsia"/>
        </w:rPr>
        <mc:AlternateContent>
          <mc:Choice Requires="wps">
            <w:drawing>
              <wp:anchor distT="0" distB="0" distL="114300" distR="114300" simplePos="0" relativeHeight="251668480" behindDoc="0" locked="0" layoutInCell="1" allowOverlap="1">
                <wp:simplePos x="0" y="0"/>
                <wp:positionH relativeFrom="column">
                  <wp:posOffset>658495</wp:posOffset>
                </wp:positionH>
                <wp:positionV relativeFrom="paragraph">
                  <wp:posOffset>326390</wp:posOffset>
                </wp:positionV>
                <wp:extent cx="771525" cy="571500"/>
                <wp:effectExtent l="0" t="0" r="28575" b="19050"/>
                <wp:wrapNone/>
                <wp:docPr id="57539546" name="自选图形 363"/>
                <wp:cNvGraphicFramePr/>
                <a:graphic xmlns:a="http://schemas.openxmlformats.org/drawingml/2006/main">
                  <a:graphicData uri="http://schemas.microsoft.com/office/word/2010/wordprocessingShape">
                    <wps:wsp>
                      <wps:cNvCnPr>
                        <a:cxnSpLocks noChangeShapeType="1"/>
                      </wps:cNvCnPr>
                      <wps:spPr bwMode="auto">
                        <a:xfrm>
                          <a:off x="0" y="0"/>
                          <a:ext cx="771525" cy="571500"/>
                        </a:xfrm>
                        <a:prstGeom prst="straightConnector1">
                          <a:avLst/>
                        </a:prstGeom>
                        <a:noFill/>
                        <a:ln w="6350">
                          <a:solidFill>
                            <a:srgbClr val="0D0D0D"/>
                          </a:solidFill>
                          <a:round/>
                        </a:ln>
                      </wps:spPr>
                      <wps:bodyPr/>
                    </wps:wsp>
                  </a:graphicData>
                </a:graphic>
              </wp:anchor>
            </w:drawing>
          </mc:Choice>
          <mc:Fallback>
            <w:pict>
              <v:shape id="自选图形 363" o:spid="_x0000_s1026" o:spt="32" type="#_x0000_t32" style="position:absolute;left:0pt;margin-left:51.85pt;margin-top:25.7pt;height:45pt;width:60.75pt;z-index:251668480;mso-width-relative:page;mso-height-relative:page;" filled="f" stroked="t" coordsize="21600,21600" o:gfxdata="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evdxTdkAAAAKAQAADwAAAAAAAAABACAAAAAiAAAAZHJzL2Rvd25yZXYu&#10;eG1sUEsBAhQAFAAAAAgAh07iQEhKOIf6AQAAwgMAAA4AAAAAAAAAAQAgAAAAKAEAAGRycy9lMm9E&#10;b2MueG1sUEsFBgAAAAAGAAYAWQEAAJQFAAAAAA==&#10;">
                <v:fill on="f" focussize="0,0"/>
                <v:stroke weight="0.5pt" color="#0D0D0D" joinstyle="round"/>
                <v:imagedata o:title=""/>
                <o:lock v:ext="edit" aspectratio="f"/>
              </v:shape>
            </w:pict>
          </mc:Fallback>
        </mc:AlternateContent>
      </w:r>
      <w:r>
        <w:rPr>
          <w:rFonts w:hint="eastAsia"/>
        </w:rPr>
        <w:t>表2</w:t>
      </w:r>
      <w:r>
        <w:t>.6</w:t>
      </w:r>
      <w:r>
        <w:rPr>
          <w:rFonts w:hint="eastAsia"/>
        </w:rPr>
        <w:t>-</w:t>
      </w:r>
      <w:r>
        <w:t>9</w:t>
      </w:r>
      <w:r>
        <w:rPr>
          <w:rFonts w:hint="eastAsia"/>
        </w:rPr>
        <w:t xml:space="preserve"> </w:t>
      </w:r>
      <w:r>
        <w:t xml:space="preserve"> </w:t>
      </w:r>
      <w:r>
        <w:rPr>
          <w:rFonts w:hint="eastAsia"/>
        </w:rPr>
        <w:t>生态影响型评价工作等级划分表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22"/>
        <w:gridCol w:w="2180"/>
        <w:gridCol w:w="2180"/>
        <w:gridCol w:w="2264"/>
      </w:tblGrid>
      <w:tr w14:paraId="3867D1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98" w:type="pct"/>
            <w:tcBorders>
              <w:bottom w:val="single" w:color="auto" w:sz="4" w:space="0"/>
            </w:tcBorders>
            <w:vAlign w:val="center"/>
          </w:tcPr>
          <w:p w14:paraId="1EC55FDA">
            <w:pPr>
              <w:snapToGrid w:val="0"/>
              <w:spacing w:line="300" w:lineRule="exact"/>
              <w:jc w:val="right"/>
              <w:rPr>
                <w:rFonts w:hint="eastAsia" w:ascii="宋体" w:hAnsi="宋体" w:cs="Arial"/>
                <w:szCs w:val="21"/>
              </w:rPr>
            </w:pPr>
            <w:r>
              <w:rPr>
                <w:rFonts w:hint="eastAsia" w:ascii="宋体" w:hAnsi="宋体" w:cs="Arial"/>
                <w:szCs w:val="21"/>
              </w:rPr>
              <w:t>项目类别</w:t>
            </w:r>
          </w:p>
          <w:p w14:paraId="14FAF468">
            <w:pPr>
              <w:snapToGrid w:val="0"/>
              <w:spacing w:line="300" w:lineRule="exact"/>
              <w:jc w:val="center"/>
              <w:rPr>
                <w:rFonts w:hint="eastAsia" w:ascii="宋体" w:hAnsi="宋体" w:cs="Arial"/>
                <w:szCs w:val="21"/>
              </w:rPr>
            </w:pPr>
            <w:r>
              <w:rPr>
                <w:rFonts w:hint="eastAsia" w:cs="Arial"/>
                <w:szCs w:val="21"/>
              </w:rPr>
              <mc:AlternateContent>
                <mc:Choice Requires="wps">
                  <w:drawing>
                    <wp:anchor distT="0" distB="0" distL="114300" distR="114300" simplePos="0" relativeHeight="251669504" behindDoc="0" locked="0" layoutInCell="1" allowOverlap="1">
                      <wp:simplePos x="0" y="0"/>
                      <wp:positionH relativeFrom="column">
                        <wp:posOffset>-91440</wp:posOffset>
                      </wp:positionH>
                      <wp:positionV relativeFrom="paragraph">
                        <wp:posOffset>70485</wp:posOffset>
                      </wp:positionV>
                      <wp:extent cx="1466850" cy="299720"/>
                      <wp:effectExtent l="0" t="0" r="19050" b="24130"/>
                      <wp:wrapNone/>
                      <wp:docPr id="1724271120" name="自选图形 364"/>
                      <wp:cNvGraphicFramePr/>
                      <a:graphic xmlns:a="http://schemas.openxmlformats.org/drawingml/2006/main">
                        <a:graphicData uri="http://schemas.microsoft.com/office/word/2010/wordprocessingShape">
                          <wps:wsp>
                            <wps:cNvCnPr>
                              <a:cxnSpLocks noChangeShapeType="1"/>
                            </wps:cNvCnPr>
                            <wps:spPr bwMode="auto">
                              <a:xfrm>
                                <a:off x="0" y="0"/>
                                <a:ext cx="1466850" cy="299720"/>
                              </a:xfrm>
                              <a:prstGeom prst="straightConnector1">
                                <a:avLst/>
                              </a:prstGeom>
                              <a:noFill/>
                              <a:ln w="6350">
                                <a:solidFill>
                                  <a:srgbClr val="0D0D0D"/>
                                </a:solidFill>
                                <a:round/>
                              </a:ln>
                            </wps:spPr>
                            <wps:bodyPr/>
                          </wps:wsp>
                        </a:graphicData>
                      </a:graphic>
                    </wp:anchor>
                  </w:drawing>
                </mc:Choice>
                <mc:Fallback>
                  <w:pict>
                    <v:shape id="自选图形 364" o:spid="_x0000_s1026" o:spt="32" type="#_x0000_t32" style="position:absolute;left:0pt;margin-left:-7.2pt;margin-top:5.55pt;height:23.6pt;width:115.5pt;z-index:251669504;mso-width-relative:page;mso-height-relative:page;" filled="f" stroked="t" coordsize="21600,21600" o:gfxdata="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6a3NrZAAAACQEAAA8AAAAAAAAAAQAgAAAAIgAAAGRycy9kb3ducmV2&#10;LnhtbFBLAQIUABQAAAAIAIdO4kCv5Cs3+wEAAMUDAAAOAAAAAAAAAAEAIAAAACgBAABkcnMvZTJv&#10;RG9jLnhtbFBLBQYAAAAABgAGAFkBAACVBQAAAAA=&#10;">
                      <v:fill on="f" focussize="0,0"/>
                      <v:stroke weight="0.5pt" color="#0D0D0D" joinstyle="round"/>
                      <v:imagedata o:title=""/>
                      <o:lock v:ext="edit" aspectratio="f"/>
                    </v:shape>
                  </w:pict>
                </mc:Fallback>
              </mc:AlternateContent>
            </w:r>
            <w:r>
              <w:rPr>
                <w:rFonts w:hint="eastAsia" w:ascii="宋体" w:hAnsi="宋体" w:cs="Arial"/>
                <w:szCs w:val="21"/>
              </w:rPr>
              <w:t>评价工作等级</w:t>
            </w:r>
          </w:p>
          <w:p w14:paraId="7A7EF4D2">
            <w:pPr>
              <w:snapToGrid w:val="0"/>
              <w:spacing w:line="300" w:lineRule="exact"/>
              <w:jc w:val="left"/>
              <w:rPr>
                <w:rFonts w:hint="eastAsia" w:ascii="宋体" w:hAnsi="宋体" w:cs="Arial"/>
                <w:szCs w:val="21"/>
              </w:rPr>
            </w:pPr>
            <w:r>
              <w:rPr>
                <w:rFonts w:hint="eastAsia" w:ascii="宋体" w:hAnsi="宋体" w:cs="Arial"/>
                <w:szCs w:val="21"/>
              </w:rPr>
              <w:t>敏感程度</w:t>
            </w:r>
          </w:p>
        </w:tc>
        <w:tc>
          <w:tcPr>
            <w:tcW w:w="1218" w:type="pct"/>
            <w:tcBorders>
              <w:bottom w:val="single" w:color="auto" w:sz="4" w:space="0"/>
              <w:right w:val="single" w:color="000000" w:sz="2" w:space="0"/>
            </w:tcBorders>
            <w:vAlign w:val="center"/>
          </w:tcPr>
          <w:p w14:paraId="73832195">
            <w:pPr>
              <w:spacing w:line="300" w:lineRule="exact"/>
              <w:jc w:val="center"/>
              <w:rPr>
                <w:rFonts w:hint="eastAsia" w:ascii="宋体" w:hAnsi="宋体" w:cs="Arial"/>
                <w:szCs w:val="21"/>
              </w:rPr>
            </w:pPr>
            <w:r>
              <w:rPr>
                <w:rFonts w:hint="eastAsia" w:ascii="宋体" w:hAnsi="宋体" w:cs="Arial"/>
                <w:szCs w:val="21"/>
              </w:rPr>
              <w:t>Ⅰ类</w:t>
            </w:r>
          </w:p>
        </w:tc>
        <w:tc>
          <w:tcPr>
            <w:tcW w:w="1218" w:type="pct"/>
            <w:tcBorders>
              <w:left w:val="single" w:color="000000" w:sz="2" w:space="0"/>
              <w:bottom w:val="single" w:color="auto" w:sz="4" w:space="0"/>
              <w:right w:val="single" w:color="000000" w:sz="2" w:space="0"/>
            </w:tcBorders>
            <w:vAlign w:val="center"/>
          </w:tcPr>
          <w:p w14:paraId="08AC56BB">
            <w:pPr>
              <w:spacing w:line="300" w:lineRule="exact"/>
              <w:jc w:val="center"/>
              <w:rPr>
                <w:rFonts w:hint="eastAsia" w:ascii="宋体" w:hAnsi="宋体" w:cs="Arial"/>
                <w:szCs w:val="21"/>
              </w:rPr>
            </w:pPr>
            <w:r>
              <w:rPr>
                <w:rFonts w:hint="eastAsia" w:ascii="宋体" w:hAnsi="宋体" w:cs="Arial"/>
                <w:szCs w:val="21"/>
              </w:rPr>
              <w:t>Ⅱ类</w:t>
            </w:r>
          </w:p>
        </w:tc>
        <w:tc>
          <w:tcPr>
            <w:tcW w:w="1265" w:type="pct"/>
            <w:tcBorders>
              <w:left w:val="single" w:color="000000" w:sz="2" w:space="0"/>
              <w:bottom w:val="single" w:color="auto" w:sz="4" w:space="0"/>
            </w:tcBorders>
            <w:vAlign w:val="center"/>
          </w:tcPr>
          <w:p w14:paraId="5687F250">
            <w:pPr>
              <w:spacing w:line="300" w:lineRule="exact"/>
              <w:jc w:val="center"/>
              <w:rPr>
                <w:rFonts w:hint="eastAsia" w:ascii="宋体" w:hAnsi="宋体" w:cs="Arial"/>
                <w:szCs w:val="21"/>
              </w:rPr>
            </w:pPr>
            <w:r>
              <w:rPr>
                <w:rFonts w:hint="eastAsia" w:ascii="宋体" w:hAnsi="宋体" w:cs="Arial"/>
                <w:szCs w:val="21"/>
              </w:rPr>
              <w:t>Ⅲ类</w:t>
            </w:r>
          </w:p>
        </w:tc>
      </w:tr>
      <w:tr w14:paraId="2F8C44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98" w:type="pct"/>
            <w:tcBorders>
              <w:top w:val="single" w:color="auto" w:sz="4" w:space="0"/>
              <w:bottom w:val="single" w:color="auto" w:sz="4" w:space="0"/>
              <w:right w:val="single" w:color="auto" w:sz="4" w:space="0"/>
            </w:tcBorders>
            <w:vAlign w:val="center"/>
          </w:tcPr>
          <w:p w14:paraId="34CCCBCF">
            <w:pPr>
              <w:spacing w:line="300" w:lineRule="exact"/>
              <w:jc w:val="center"/>
              <w:rPr>
                <w:rFonts w:hint="eastAsia" w:ascii="宋体" w:hAnsi="宋体" w:cs="Arial"/>
                <w:szCs w:val="21"/>
              </w:rPr>
            </w:pPr>
            <w:r>
              <w:rPr>
                <w:rFonts w:hint="eastAsia" w:ascii="宋体" w:hAnsi="宋体" w:cs="Arial"/>
                <w:szCs w:val="21"/>
              </w:rPr>
              <w:t>敏感</w:t>
            </w:r>
          </w:p>
        </w:tc>
        <w:tc>
          <w:tcPr>
            <w:tcW w:w="1218" w:type="pct"/>
            <w:tcBorders>
              <w:top w:val="single" w:color="auto" w:sz="4" w:space="0"/>
              <w:left w:val="single" w:color="auto" w:sz="4" w:space="0"/>
              <w:bottom w:val="single" w:color="auto" w:sz="4" w:space="0"/>
              <w:right w:val="single" w:color="auto" w:sz="4" w:space="0"/>
            </w:tcBorders>
            <w:vAlign w:val="center"/>
          </w:tcPr>
          <w:p w14:paraId="2FB39799">
            <w:pPr>
              <w:spacing w:line="300" w:lineRule="exact"/>
              <w:jc w:val="center"/>
              <w:rPr>
                <w:rFonts w:hint="eastAsia" w:ascii="宋体" w:hAnsi="宋体" w:cs="Arial"/>
                <w:szCs w:val="21"/>
              </w:rPr>
            </w:pPr>
            <w:r>
              <w:rPr>
                <w:rFonts w:hint="eastAsia" w:ascii="宋体" w:hAnsi="宋体" w:cs="Arial"/>
                <w:szCs w:val="21"/>
              </w:rPr>
              <w:t>一级</w:t>
            </w:r>
          </w:p>
        </w:tc>
        <w:tc>
          <w:tcPr>
            <w:tcW w:w="1218" w:type="pct"/>
            <w:tcBorders>
              <w:top w:val="single" w:color="auto" w:sz="4" w:space="0"/>
              <w:left w:val="single" w:color="auto" w:sz="4" w:space="0"/>
              <w:bottom w:val="single" w:color="auto" w:sz="4" w:space="0"/>
              <w:right w:val="single" w:color="auto" w:sz="4" w:space="0"/>
            </w:tcBorders>
            <w:vAlign w:val="center"/>
          </w:tcPr>
          <w:p w14:paraId="36C2305C">
            <w:pPr>
              <w:spacing w:line="300" w:lineRule="exact"/>
              <w:jc w:val="center"/>
              <w:rPr>
                <w:rFonts w:hint="eastAsia" w:ascii="宋体" w:hAnsi="宋体" w:cs="Arial"/>
                <w:szCs w:val="21"/>
              </w:rPr>
            </w:pPr>
            <w:r>
              <w:rPr>
                <w:rFonts w:hint="eastAsia" w:ascii="宋体" w:hAnsi="宋体" w:cs="Arial"/>
                <w:szCs w:val="21"/>
              </w:rPr>
              <w:t>二级</w:t>
            </w:r>
          </w:p>
        </w:tc>
        <w:tc>
          <w:tcPr>
            <w:tcW w:w="1265" w:type="pct"/>
            <w:tcBorders>
              <w:top w:val="single" w:color="auto" w:sz="4" w:space="0"/>
              <w:left w:val="single" w:color="auto" w:sz="4" w:space="0"/>
              <w:bottom w:val="single" w:color="auto" w:sz="4" w:space="0"/>
              <w:right w:val="nil"/>
            </w:tcBorders>
            <w:vAlign w:val="center"/>
          </w:tcPr>
          <w:p w14:paraId="52C60147">
            <w:pPr>
              <w:spacing w:line="300" w:lineRule="exact"/>
              <w:jc w:val="center"/>
              <w:rPr>
                <w:rFonts w:hint="eastAsia" w:ascii="宋体" w:hAnsi="宋体" w:cs="Arial"/>
                <w:szCs w:val="21"/>
              </w:rPr>
            </w:pPr>
            <w:r>
              <w:rPr>
                <w:rFonts w:hint="eastAsia" w:ascii="宋体" w:hAnsi="宋体" w:cs="Arial"/>
                <w:szCs w:val="21"/>
              </w:rPr>
              <w:t>三级</w:t>
            </w:r>
          </w:p>
        </w:tc>
      </w:tr>
      <w:tr w14:paraId="557F14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98" w:type="pct"/>
            <w:tcBorders>
              <w:top w:val="single" w:color="auto" w:sz="4" w:space="0"/>
              <w:bottom w:val="single" w:color="auto" w:sz="4" w:space="0"/>
              <w:right w:val="single" w:color="auto" w:sz="4" w:space="0"/>
            </w:tcBorders>
            <w:vAlign w:val="center"/>
          </w:tcPr>
          <w:p w14:paraId="332C34B9">
            <w:pPr>
              <w:spacing w:line="300" w:lineRule="exact"/>
              <w:jc w:val="center"/>
              <w:rPr>
                <w:rFonts w:hint="eastAsia" w:ascii="宋体" w:hAnsi="宋体" w:cs="Arial"/>
                <w:szCs w:val="21"/>
              </w:rPr>
            </w:pPr>
            <w:r>
              <w:rPr>
                <w:rFonts w:hint="eastAsia" w:ascii="宋体" w:hAnsi="宋体" w:cs="Arial"/>
                <w:szCs w:val="21"/>
              </w:rPr>
              <w:t>较敏感</w:t>
            </w:r>
          </w:p>
        </w:tc>
        <w:tc>
          <w:tcPr>
            <w:tcW w:w="1218" w:type="pct"/>
            <w:tcBorders>
              <w:top w:val="single" w:color="auto" w:sz="4" w:space="0"/>
              <w:left w:val="single" w:color="auto" w:sz="4" w:space="0"/>
              <w:bottom w:val="single" w:color="auto" w:sz="4" w:space="0"/>
              <w:right w:val="single" w:color="auto" w:sz="4" w:space="0"/>
            </w:tcBorders>
            <w:vAlign w:val="center"/>
          </w:tcPr>
          <w:p w14:paraId="41EF5CDC">
            <w:pPr>
              <w:spacing w:line="300" w:lineRule="exact"/>
              <w:jc w:val="center"/>
              <w:rPr>
                <w:rFonts w:hint="eastAsia" w:ascii="宋体" w:hAnsi="宋体" w:cs="Arial"/>
                <w:szCs w:val="21"/>
              </w:rPr>
            </w:pPr>
            <w:r>
              <w:rPr>
                <w:rFonts w:hint="eastAsia" w:ascii="宋体" w:hAnsi="宋体" w:cs="Arial"/>
                <w:szCs w:val="21"/>
              </w:rPr>
              <w:t>二级</w:t>
            </w:r>
          </w:p>
        </w:tc>
        <w:tc>
          <w:tcPr>
            <w:tcW w:w="1218" w:type="pct"/>
            <w:tcBorders>
              <w:top w:val="single" w:color="auto" w:sz="4" w:space="0"/>
              <w:left w:val="single" w:color="auto" w:sz="4" w:space="0"/>
              <w:bottom w:val="single" w:color="auto" w:sz="4" w:space="0"/>
              <w:right w:val="single" w:color="auto" w:sz="4" w:space="0"/>
            </w:tcBorders>
            <w:vAlign w:val="center"/>
          </w:tcPr>
          <w:p w14:paraId="2311DFE8">
            <w:pPr>
              <w:spacing w:line="300" w:lineRule="exact"/>
              <w:jc w:val="center"/>
              <w:rPr>
                <w:rFonts w:hint="eastAsia" w:ascii="宋体" w:hAnsi="宋体" w:cs="Arial"/>
                <w:szCs w:val="21"/>
              </w:rPr>
            </w:pPr>
            <w:r>
              <w:rPr>
                <w:rFonts w:hint="eastAsia" w:ascii="宋体" w:hAnsi="宋体" w:cs="Arial"/>
                <w:szCs w:val="21"/>
              </w:rPr>
              <w:t>二级</w:t>
            </w:r>
          </w:p>
        </w:tc>
        <w:tc>
          <w:tcPr>
            <w:tcW w:w="1265" w:type="pct"/>
            <w:tcBorders>
              <w:top w:val="single" w:color="auto" w:sz="4" w:space="0"/>
              <w:left w:val="single" w:color="auto" w:sz="4" w:space="0"/>
              <w:bottom w:val="single" w:color="auto" w:sz="4" w:space="0"/>
              <w:right w:val="nil"/>
            </w:tcBorders>
            <w:vAlign w:val="center"/>
          </w:tcPr>
          <w:p w14:paraId="7FC780F9">
            <w:pPr>
              <w:spacing w:line="300" w:lineRule="exact"/>
              <w:jc w:val="center"/>
              <w:rPr>
                <w:rFonts w:hint="eastAsia" w:ascii="宋体" w:hAnsi="宋体" w:cs="Arial"/>
                <w:szCs w:val="21"/>
              </w:rPr>
            </w:pPr>
            <w:r>
              <w:rPr>
                <w:rFonts w:hint="eastAsia" w:ascii="宋体" w:hAnsi="宋体" w:cs="Arial"/>
                <w:szCs w:val="21"/>
              </w:rPr>
              <w:t>三级</w:t>
            </w:r>
          </w:p>
        </w:tc>
      </w:tr>
      <w:tr w14:paraId="11EC84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98" w:type="pct"/>
            <w:tcBorders>
              <w:top w:val="single" w:color="auto" w:sz="4" w:space="0"/>
              <w:bottom w:val="single" w:color="auto" w:sz="12" w:space="0"/>
              <w:right w:val="single" w:color="auto" w:sz="4" w:space="0"/>
            </w:tcBorders>
            <w:vAlign w:val="center"/>
          </w:tcPr>
          <w:p w14:paraId="0730C962">
            <w:pPr>
              <w:spacing w:line="300" w:lineRule="exact"/>
              <w:jc w:val="center"/>
              <w:rPr>
                <w:rFonts w:hint="eastAsia" w:ascii="宋体" w:hAnsi="宋体" w:cs="Arial"/>
                <w:szCs w:val="21"/>
              </w:rPr>
            </w:pPr>
            <w:r>
              <w:rPr>
                <w:rFonts w:hint="eastAsia" w:ascii="宋体" w:hAnsi="宋体" w:cs="Arial"/>
                <w:szCs w:val="21"/>
              </w:rPr>
              <w:t>不敏感</w:t>
            </w:r>
          </w:p>
        </w:tc>
        <w:tc>
          <w:tcPr>
            <w:tcW w:w="1218" w:type="pct"/>
            <w:tcBorders>
              <w:top w:val="single" w:color="auto" w:sz="4" w:space="0"/>
              <w:left w:val="single" w:color="auto" w:sz="4" w:space="0"/>
              <w:bottom w:val="single" w:color="auto" w:sz="12" w:space="0"/>
              <w:right w:val="single" w:color="auto" w:sz="4" w:space="0"/>
            </w:tcBorders>
            <w:vAlign w:val="center"/>
          </w:tcPr>
          <w:p w14:paraId="75AA70D7">
            <w:pPr>
              <w:spacing w:line="300" w:lineRule="exact"/>
              <w:jc w:val="center"/>
              <w:rPr>
                <w:rFonts w:hint="eastAsia" w:ascii="宋体" w:hAnsi="宋体" w:cs="Arial"/>
                <w:szCs w:val="21"/>
              </w:rPr>
            </w:pPr>
            <w:r>
              <w:rPr>
                <w:rFonts w:hint="eastAsia" w:ascii="宋体" w:hAnsi="宋体" w:cs="Arial"/>
                <w:szCs w:val="21"/>
              </w:rPr>
              <w:t>二级</w:t>
            </w:r>
          </w:p>
        </w:tc>
        <w:tc>
          <w:tcPr>
            <w:tcW w:w="1218" w:type="pct"/>
            <w:tcBorders>
              <w:top w:val="single" w:color="auto" w:sz="4" w:space="0"/>
              <w:left w:val="single" w:color="auto" w:sz="4" w:space="0"/>
              <w:bottom w:val="single" w:color="auto" w:sz="12" w:space="0"/>
              <w:right w:val="single" w:color="auto" w:sz="4" w:space="0"/>
            </w:tcBorders>
            <w:vAlign w:val="center"/>
          </w:tcPr>
          <w:p w14:paraId="7E306B95">
            <w:pPr>
              <w:spacing w:line="300" w:lineRule="exact"/>
              <w:jc w:val="center"/>
              <w:rPr>
                <w:rFonts w:hint="eastAsia" w:ascii="宋体" w:hAnsi="宋体" w:cs="Arial"/>
                <w:szCs w:val="21"/>
              </w:rPr>
            </w:pPr>
            <w:r>
              <w:rPr>
                <w:rFonts w:hint="eastAsia" w:ascii="宋体" w:hAnsi="宋体" w:cs="Arial"/>
                <w:szCs w:val="21"/>
              </w:rPr>
              <w:t>三级</w:t>
            </w:r>
          </w:p>
        </w:tc>
        <w:tc>
          <w:tcPr>
            <w:tcW w:w="1265" w:type="pct"/>
            <w:tcBorders>
              <w:top w:val="single" w:color="auto" w:sz="4" w:space="0"/>
              <w:left w:val="single" w:color="auto" w:sz="4" w:space="0"/>
              <w:bottom w:val="single" w:color="auto" w:sz="12" w:space="0"/>
              <w:right w:val="nil"/>
            </w:tcBorders>
            <w:vAlign w:val="center"/>
          </w:tcPr>
          <w:p w14:paraId="229C2B3E">
            <w:pPr>
              <w:spacing w:line="300" w:lineRule="exact"/>
              <w:jc w:val="center"/>
              <w:rPr>
                <w:rFonts w:hint="eastAsia" w:ascii="宋体" w:hAnsi="宋体" w:cs="Arial"/>
                <w:szCs w:val="21"/>
              </w:rPr>
            </w:pPr>
            <w:r>
              <w:rPr>
                <w:rFonts w:hint="eastAsia" w:ascii="宋体" w:hAnsi="宋体" w:cs="Arial"/>
                <w:szCs w:val="21"/>
              </w:rPr>
              <w:t>/</w:t>
            </w:r>
          </w:p>
        </w:tc>
      </w:tr>
    </w:tbl>
    <w:p w14:paraId="4BAC87C1">
      <w:pPr>
        <w:pStyle w:val="117"/>
        <w:spacing w:line="480" w:lineRule="exact"/>
        <w:ind w:firstLine="480"/>
        <w:rPr>
          <w:rFonts w:hint="eastAsia"/>
        </w:rPr>
      </w:pPr>
      <w:r>
        <w:rPr>
          <w:rFonts w:hint="eastAsia"/>
        </w:rPr>
        <w:t>项目区土壤盐分含量＞4g</w:t>
      </w:r>
      <w:r>
        <w:t>/kg</w:t>
      </w:r>
      <w:r>
        <w:rPr>
          <w:rFonts w:hint="eastAsia"/>
        </w:rPr>
        <w:t>，生态影响型敏感程度为敏感；本项目属于陆地石油开采行业，根据《环境影响评价技术导则 陆地石油天然气开发建设项目》（H</w:t>
      </w:r>
      <w:r>
        <w:t>J349</w:t>
      </w:r>
      <w:r>
        <w:rPr>
          <w:rFonts w:hint="eastAsia"/>
        </w:rPr>
        <w:t>-</w:t>
      </w:r>
      <w:r>
        <w:t>2023</w:t>
      </w:r>
      <w:r>
        <w:rPr>
          <w:rFonts w:hint="eastAsia"/>
        </w:rPr>
        <w:t>）规定采油井场和计量站为Ⅰ类建设项目，单井采油管线和集油干支线为Ⅱ类建设项目。根据表2</w:t>
      </w:r>
      <w:r>
        <w:t>.6</w:t>
      </w:r>
      <w:r>
        <w:rPr>
          <w:rFonts w:hint="eastAsia"/>
        </w:rPr>
        <w:t>-</w:t>
      </w:r>
      <w:r>
        <w:t>9</w:t>
      </w:r>
      <w:r>
        <w:rPr>
          <w:rFonts w:hint="eastAsia"/>
        </w:rPr>
        <w:t>可知，采油井场和计量站土壤生态影响型评价等级为一级，单井采油管线和集油干支线土壤生影响型评价等级为二级。</w:t>
      </w:r>
    </w:p>
    <w:p w14:paraId="54330C13">
      <w:pPr>
        <w:pStyle w:val="117"/>
        <w:spacing w:line="480" w:lineRule="exact"/>
        <w:ind w:firstLine="480"/>
        <w:rPr>
          <w:rFonts w:hint="eastAsia"/>
        </w:rPr>
      </w:pPr>
      <w:r>
        <w:rPr>
          <w:rFonts w:hint="eastAsia"/>
        </w:rPr>
        <w:t>（</w:t>
      </w:r>
      <w:r>
        <w:t>7</w:t>
      </w:r>
      <w:r>
        <w:rPr>
          <w:rFonts w:hint="eastAsia"/>
        </w:rPr>
        <w:t>）环境风险评价等级</w:t>
      </w:r>
    </w:p>
    <w:p w14:paraId="3BB97837">
      <w:pPr>
        <w:pStyle w:val="117"/>
        <w:spacing w:line="480" w:lineRule="exact"/>
        <w:ind w:firstLine="480"/>
        <w:rPr>
          <w:rFonts w:hint="eastAsia"/>
        </w:rPr>
      </w:pPr>
      <w:r>
        <w:t>依据《建设项目环境风险评价技术导则》（HJT169-20</w:t>
      </w:r>
      <w:r>
        <w:rPr>
          <w:rFonts w:hint="eastAsia"/>
        </w:rPr>
        <w:t>18</w:t>
      </w:r>
      <w:r>
        <w:t>），环境风险评价工作级别按</w:t>
      </w:r>
      <w:r>
        <w:rPr>
          <w:rFonts w:hint="eastAsia"/>
        </w:rPr>
        <w:t>表2.</w:t>
      </w:r>
      <w:r>
        <w:t>6</w:t>
      </w:r>
      <w:r>
        <w:rPr>
          <w:rFonts w:hint="eastAsia"/>
        </w:rPr>
        <w:t>-</w:t>
      </w:r>
      <w:r>
        <w:t>10进行划分。</w:t>
      </w:r>
    </w:p>
    <w:p w14:paraId="07DF96AB">
      <w:pPr>
        <w:pStyle w:val="109"/>
        <w:rPr>
          <w:rFonts w:hint="eastAsia"/>
        </w:rPr>
      </w:pPr>
      <w:r>
        <w:rPr>
          <w:rFonts w:hint="eastAsia"/>
        </w:rPr>
        <w:t>表2.</w:t>
      </w:r>
      <w:r>
        <w:t>6</w:t>
      </w:r>
      <w:r>
        <w:rPr>
          <w:rFonts w:hint="eastAsia"/>
        </w:rPr>
        <w:t>-</w:t>
      </w:r>
      <w:r>
        <w:t xml:space="preserve">10 </w:t>
      </w:r>
      <w:r>
        <w:rPr>
          <w:rFonts w:hint="eastAsia"/>
        </w:rPr>
        <w:t xml:space="preserve"> 环境风险评价工作级别划分表</w:t>
      </w:r>
    </w:p>
    <w:tbl>
      <w:tblPr>
        <w:tblStyle w:val="5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630"/>
        <w:gridCol w:w="1642"/>
        <w:gridCol w:w="1897"/>
        <w:gridCol w:w="2149"/>
        <w:gridCol w:w="1628"/>
      </w:tblGrid>
      <w:tr w14:paraId="34838D0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trPr>
        <w:tc>
          <w:tcPr>
            <w:tcW w:w="911" w:type="pct"/>
            <w:vAlign w:val="center"/>
          </w:tcPr>
          <w:p w14:paraId="27A3D485">
            <w:pPr>
              <w:pStyle w:val="143"/>
              <w:adjustRightInd w:val="0"/>
              <w:snapToGrid w:val="0"/>
              <w:spacing w:before="0" w:line="300" w:lineRule="exact"/>
              <w:ind w:firstLine="0" w:firstLineChars="0"/>
              <w:jc w:val="center"/>
              <w:rPr>
                <w:rFonts w:hint="eastAsia" w:ascii="宋体" w:hAnsi="宋体"/>
                <w:bCs w:val="0"/>
                <w:caps/>
                <w:sz w:val="21"/>
                <w:szCs w:val="21"/>
              </w:rPr>
            </w:pPr>
            <w:r>
              <w:rPr>
                <w:rFonts w:hint="eastAsia" w:ascii="宋体" w:hAnsi="宋体"/>
                <w:bCs w:val="0"/>
                <w:caps/>
                <w:sz w:val="21"/>
                <w:szCs w:val="21"/>
              </w:rPr>
              <w:t>环境风险潜势</w:t>
            </w:r>
          </w:p>
        </w:tc>
        <w:tc>
          <w:tcPr>
            <w:tcW w:w="918" w:type="pct"/>
            <w:vAlign w:val="center"/>
          </w:tcPr>
          <w:p w14:paraId="531CC736">
            <w:pPr>
              <w:pStyle w:val="143"/>
              <w:adjustRightInd w:val="0"/>
              <w:snapToGrid w:val="0"/>
              <w:spacing w:before="0" w:line="300" w:lineRule="exact"/>
              <w:ind w:firstLine="0" w:firstLineChars="0"/>
              <w:jc w:val="center"/>
              <w:rPr>
                <w:rFonts w:hint="eastAsia" w:ascii="宋体" w:hAnsi="宋体"/>
                <w:bCs w:val="0"/>
                <w:caps/>
                <w:sz w:val="21"/>
                <w:szCs w:val="21"/>
              </w:rPr>
            </w:pPr>
            <w:r>
              <w:rPr>
                <w:rFonts w:hint="eastAsia" w:ascii="宋体" w:hAnsi="宋体"/>
                <w:bCs w:val="0"/>
                <w:caps/>
                <w:sz w:val="21"/>
                <w:szCs w:val="21"/>
              </w:rPr>
              <w:t>Ⅳ、Ⅳ</w:t>
            </w:r>
            <w:r>
              <w:rPr>
                <w:rFonts w:hint="eastAsia" w:ascii="宋体" w:hAnsi="宋体"/>
                <w:bCs w:val="0"/>
                <w:caps/>
                <w:sz w:val="21"/>
                <w:szCs w:val="21"/>
                <w:vertAlign w:val="superscript"/>
              </w:rPr>
              <w:t>+</w:t>
            </w:r>
          </w:p>
        </w:tc>
        <w:tc>
          <w:tcPr>
            <w:tcW w:w="1060" w:type="pct"/>
            <w:vAlign w:val="center"/>
          </w:tcPr>
          <w:p w14:paraId="121334BE">
            <w:pPr>
              <w:pStyle w:val="143"/>
              <w:adjustRightInd w:val="0"/>
              <w:snapToGrid w:val="0"/>
              <w:spacing w:before="0" w:line="300" w:lineRule="exact"/>
              <w:ind w:firstLine="0" w:firstLineChars="0"/>
              <w:jc w:val="center"/>
              <w:rPr>
                <w:rFonts w:hint="eastAsia" w:ascii="宋体" w:hAnsi="宋体"/>
                <w:bCs w:val="0"/>
                <w:caps/>
                <w:sz w:val="21"/>
                <w:szCs w:val="21"/>
              </w:rPr>
            </w:pPr>
            <w:r>
              <w:rPr>
                <w:rFonts w:hint="eastAsia" w:ascii="宋体" w:hAnsi="宋体"/>
                <w:bCs w:val="0"/>
                <w:caps/>
                <w:sz w:val="21"/>
                <w:szCs w:val="21"/>
              </w:rPr>
              <w:t>Ⅲ</w:t>
            </w:r>
          </w:p>
        </w:tc>
        <w:tc>
          <w:tcPr>
            <w:tcW w:w="1201" w:type="pct"/>
            <w:vAlign w:val="center"/>
          </w:tcPr>
          <w:p w14:paraId="05DB1380">
            <w:pPr>
              <w:pStyle w:val="143"/>
              <w:adjustRightInd w:val="0"/>
              <w:snapToGrid w:val="0"/>
              <w:spacing w:before="0" w:line="300" w:lineRule="exact"/>
              <w:ind w:firstLine="0" w:firstLineChars="0"/>
              <w:jc w:val="center"/>
              <w:rPr>
                <w:rFonts w:hint="eastAsia" w:ascii="宋体" w:hAnsi="宋体"/>
                <w:bCs w:val="0"/>
                <w:caps/>
                <w:sz w:val="21"/>
                <w:szCs w:val="21"/>
              </w:rPr>
            </w:pPr>
            <w:r>
              <w:rPr>
                <w:rFonts w:hint="eastAsia" w:ascii="宋体" w:hAnsi="宋体"/>
                <w:bCs w:val="0"/>
                <w:caps/>
                <w:sz w:val="21"/>
                <w:szCs w:val="21"/>
              </w:rPr>
              <w:t>Ⅱ</w:t>
            </w:r>
          </w:p>
        </w:tc>
        <w:tc>
          <w:tcPr>
            <w:tcW w:w="910" w:type="pct"/>
            <w:vAlign w:val="center"/>
          </w:tcPr>
          <w:p w14:paraId="4087CB00">
            <w:pPr>
              <w:pStyle w:val="143"/>
              <w:adjustRightInd w:val="0"/>
              <w:snapToGrid w:val="0"/>
              <w:spacing w:before="0" w:line="300" w:lineRule="exact"/>
              <w:ind w:firstLine="0" w:firstLineChars="0"/>
              <w:jc w:val="center"/>
              <w:rPr>
                <w:rFonts w:hint="eastAsia" w:ascii="宋体" w:hAnsi="宋体"/>
                <w:bCs w:val="0"/>
                <w:caps/>
                <w:sz w:val="21"/>
                <w:szCs w:val="21"/>
              </w:rPr>
            </w:pPr>
            <w:r>
              <w:rPr>
                <w:rFonts w:hint="eastAsia" w:ascii="宋体" w:hAnsi="宋体"/>
                <w:bCs w:val="0"/>
                <w:caps/>
                <w:sz w:val="21"/>
                <w:szCs w:val="21"/>
              </w:rPr>
              <w:t>Ⅰ</w:t>
            </w:r>
          </w:p>
        </w:tc>
      </w:tr>
      <w:tr w14:paraId="7DC00CD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trPr>
        <w:tc>
          <w:tcPr>
            <w:tcW w:w="911" w:type="pct"/>
            <w:vAlign w:val="center"/>
          </w:tcPr>
          <w:p w14:paraId="35C51636">
            <w:pPr>
              <w:pStyle w:val="143"/>
              <w:adjustRightInd w:val="0"/>
              <w:snapToGrid w:val="0"/>
              <w:spacing w:before="0" w:line="300" w:lineRule="exact"/>
              <w:ind w:firstLine="0" w:firstLineChars="0"/>
              <w:jc w:val="center"/>
              <w:rPr>
                <w:rFonts w:hint="eastAsia" w:ascii="宋体" w:hAnsi="宋体"/>
                <w:bCs w:val="0"/>
                <w:sz w:val="21"/>
                <w:szCs w:val="21"/>
              </w:rPr>
            </w:pPr>
            <w:r>
              <w:rPr>
                <w:rFonts w:hint="eastAsia" w:ascii="宋体" w:hAnsi="宋体"/>
                <w:bCs w:val="0"/>
                <w:sz w:val="21"/>
                <w:szCs w:val="21"/>
              </w:rPr>
              <w:t>评价工作等级</w:t>
            </w:r>
          </w:p>
        </w:tc>
        <w:tc>
          <w:tcPr>
            <w:tcW w:w="918" w:type="pct"/>
            <w:vAlign w:val="center"/>
          </w:tcPr>
          <w:p w14:paraId="64F1EDF5">
            <w:pPr>
              <w:pStyle w:val="143"/>
              <w:adjustRightInd w:val="0"/>
              <w:snapToGrid w:val="0"/>
              <w:spacing w:before="0" w:line="300" w:lineRule="exact"/>
              <w:ind w:firstLine="0" w:firstLineChars="0"/>
              <w:jc w:val="center"/>
              <w:rPr>
                <w:rFonts w:hint="eastAsia" w:ascii="宋体" w:hAnsi="宋体"/>
                <w:bCs w:val="0"/>
                <w:sz w:val="21"/>
                <w:szCs w:val="21"/>
              </w:rPr>
            </w:pPr>
            <w:r>
              <w:rPr>
                <w:rFonts w:hint="eastAsia" w:ascii="宋体" w:hAnsi="宋体"/>
                <w:bCs w:val="0"/>
                <w:sz w:val="21"/>
                <w:szCs w:val="21"/>
              </w:rPr>
              <w:t>一</w:t>
            </w:r>
          </w:p>
        </w:tc>
        <w:tc>
          <w:tcPr>
            <w:tcW w:w="1060" w:type="pct"/>
            <w:vAlign w:val="center"/>
          </w:tcPr>
          <w:p w14:paraId="3042AFC3">
            <w:pPr>
              <w:pStyle w:val="143"/>
              <w:adjustRightInd w:val="0"/>
              <w:snapToGrid w:val="0"/>
              <w:spacing w:before="0" w:line="300" w:lineRule="exact"/>
              <w:ind w:firstLine="0" w:firstLineChars="0"/>
              <w:jc w:val="center"/>
              <w:rPr>
                <w:rFonts w:hint="eastAsia" w:ascii="宋体" w:hAnsi="宋体"/>
                <w:bCs w:val="0"/>
                <w:sz w:val="21"/>
                <w:szCs w:val="21"/>
              </w:rPr>
            </w:pPr>
            <w:r>
              <w:rPr>
                <w:rFonts w:hint="eastAsia" w:ascii="宋体" w:hAnsi="宋体"/>
                <w:bCs w:val="0"/>
                <w:sz w:val="21"/>
                <w:szCs w:val="21"/>
              </w:rPr>
              <w:t>二</w:t>
            </w:r>
          </w:p>
        </w:tc>
        <w:tc>
          <w:tcPr>
            <w:tcW w:w="1201" w:type="pct"/>
            <w:vAlign w:val="center"/>
          </w:tcPr>
          <w:p w14:paraId="095DAAED">
            <w:pPr>
              <w:pStyle w:val="143"/>
              <w:adjustRightInd w:val="0"/>
              <w:snapToGrid w:val="0"/>
              <w:spacing w:before="0" w:line="300" w:lineRule="exact"/>
              <w:ind w:firstLine="0" w:firstLineChars="0"/>
              <w:jc w:val="center"/>
              <w:rPr>
                <w:rFonts w:hint="eastAsia" w:ascii="宋体" w:hAnsi="宋体"/>
                <w:bCs w:val="0"/>
                <w:sz w:val="21"/>
                <w:szCs w:val="21"/>
              </w:rPr>
            </w:pPr>
            <w:r>
              <w:rPr>
                <w:rFonts w:hint="eastAsia" w:ascii="宋体" w:hAnsi="宋体"/>
                <w:bCs w:val="0"/>
                <w:sz w:val="21"/>
                <w:szCs w:val="21"/>
              </w:rPr>
              <w:t>三</w:t>
            </w:r>
          </w:p>
        </w:tc>
        <w:tc>
          <w:tcPr>
            <w:tcW w:w="910" w:type="pct"/>
            <w:vAlign w:val="center"/>
          </w:tcPr>
          <w:p w14:paraId="69730CD4">
            <w:pPr>
              <w:pStyle w:val="143"/>
              <w:adjustRightInd w:val="0"/>
              <w:snapToGrid w:val="0"/>
              <w:spacing w:before="0" w:line="300" w:lineRule="exact"/>
              <w:ind w:firstLine="0" w:firstLineChars="0"/>
              <w:jc w:val="center"/>
              <w:rPr>
                <w:rFonts w:hint="eastAsia" w:ascii="宋体" w:hAnsi="宋体"/>
                <w:bCs w:val="0"/>
                <w:sz w:val="21"/>
                <w:szCs w:val="21"/>
              </w:rPr>
            </w:pPr>
            <w:r>
              <w:rPr>
                <w:rFonts w:hint="eastAsia" w:ascii="宋体" w:hAnsi="宋体"/>
                <w:bCs w:val="0"/>
                <w:sz w:val="21"/>
                <w:szCs w:val="21"/>
              </w:rPr>
              <w:t>简单分析</w:t>
            </w:r>
            <w:r>
              <w:rPr>
                <w:rFonts w:hint="eastAsia" w:ascii="宋体" w:hAnsi="宋体"/>
                <w:bCs w:val="0"/>
                <w:sz w:val="21"/>
                <w:szCs w:val="21"/>
                <w:vertAlign w:val="superscript"/>
              </w:rPr>
              <w:t>a</w:t>
            </w:r>
          </w:p>
        </w:tc>
      </w:tr>
      <w:tr w14:paraId="202C77B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trPr>
        <w:tc>
          <w:tcPr>
            <w:tcW w:w="5000" w:type="pct"/>
            <w:gridSpan w:val="5"/>
            <w:vAlign w:val="center"/>
          </w:tcPr>
          <w:p w14:paraId="4BB95631">
            <w:pPr>
              <w:pStyle w:val="143"/>
              <w:adjustRightInd w:val="0"/>
              <w:snapToGrid w:val="0"/>
              <w:spacing w:before="0" w:line="300" w:lineRule="exact"/>
              <w:ind w:firstLine="0" w:firstLineChars="0"/>
              <w:jc w:val="left"/>
              <w:rPr>
                <w:rFonts w:hint="eastAsia" w:ascii="宋体" w:hAnsi="宋体"/>
                <w:bCs w:val="0"/>
                <w:sz w:val="21"/>
                <w:szCs w:val="21"/>
              </w:rPr>
            </w:pPr>
            <w:r>
              <w:rPr>
                <w:rFonts w:hint="eastAsia" w:ascii="宋体" w:hAnsi="宋体"/>
                <w:bCs w:val="0"/>
                <w:sz w:val="21"/>
                <w:szCs w:val="21"/>
                <w:vertAlign w:val="superscript"/>
              </w:rPr>
              <w:t>a</w:t>
            </w:r>
            <w:r>
              <w:rPr>
                <w:rFonts w:hint="eastAsia" w:ascii="宋体" w:hAnsi="宋体"/>
                <w:bCs w:val="0"/>
                <w:sz w:val="21"/>
                <w:szCs w:val="21"/>
              </w:rPr>
              <w:t>是相对于详细评价工作内容而言，在描述危险物质、环境影响途径、环境危害后果、风险防范措施等方面给出定性说明。</w:t>
            </w:r>
          </w:p>
        </w:tc>
      </w:tr>
    </w:tbl>
    <w:p w14:paraId="45EF6DCF">
      <w:pPr>
        <w:pStyle w:val="117"/>
        <w:ind w:firstLine="480"/>
        <w:rPr>
          <w:rFonts w:hint="eastAsia"/>
        </w:rPr>
      </w:pPr>
      <w:bookmarkStart w:id="109" w:name="_Hlk147580791"/>
      <w:r>
        <w:rPr>
          <w:rFonts w:hint="eastAsia"/>
        </w:rPr>
        <w:t>施工期涉及的危险物质主要为柴油，运营期涉及的风险物质为原油、伴生气。风险单元为采油平台、单井采油管线、集油干支线，则危险物质与临界量的比值（Q值）计算结果详见表2.6-11。</w:t>
      </w:r>
    </w:p>
    <w:p w14:paraId="0D5471E6">
      <w:pPr>
        <w:pStyle w:val="15"/>
        <w:rPr>
          <w:rFonts w:hint="eastAsia"/>
        </w:rPr>
      </w:pPr>
      <w:r>
        <w:rPr>
          <w:rFonts w:hint="eastAsia"/>
        </w:rPr>
        <w:t>表2.6-11  各风险单元Q值一览表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1"/>
        <w:gridCol w:w="664"/>
        <w:gridCol w:w="1231"/>
        <w:gridCol w:w="1668"/>
        <w:gridCol w:w="1016"/>
        <w:gridCol w:w="975"/>
        <w:gridCol w:w="1548"/>
        <w:gridCol w:w="1263"/>
      </w:tblGrid>
      <w:tr w14:paraId="067964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4" w:type="pct"/>
            <w:gridSpan w:val="3"/>
            <w:tcBorders>
              <w:top w:val="single" w:color="auto" w:sz="12" w:space="0"/>
              <w:left w:val="nil"/>
              <w:bottom w:val="single" w:color="auto" w:sz="4" w:space="0"/>
              <w:right w:val="single" w:color="auto" w:sz="4" w:space="0"/>
            </w:tcBorders>
            <w:vAlign w:val="center"/>
          </w:tcPr>
          <w:p w14:paraId="7BA233E8">
            <w:pPr>
              <w:pStyle w:val="286"/>
              <w:spacing w:line="300" w:lineRule="exact"/>
              <w:rPr>
                <w:rFonts w:hint="eastAsia"/>
                <w:sz w:val="21"/>
              </w:rPr>
            </w:pPr>
            <w:r>
              <w:rPr>
                <w:rFonts w:hint="eastAsia"/>
                <w:sz w:val="21"/>
              </w:rPr>
              <w:t>风险单元</w:t>
            </w:r>
          </w:p>
        </w:tc>
        <w:tc>
          <w:tcPr>
            <w:tcW w:w="932" w:type="pct"/>
            <w:tcBorders>
              <w:top w:val="single" w:color="auto" w:sz="12" w:space="0"/>
              <w:left w:val="single" w:color="auto" w:sz="4" w:space="0"/>
              <w:bottom w:val="single" w:color="auto" w:sz="4" w:space="0"/>
              <w:right w:val="single" w:color="auto" w:sz="4" w:space="0"/>
            </w:tcBorders>
            <w:vAlign w:val="center"/>
          </w:tcPr>
          <w:p w14:paraId="18AE43B2">
            <w:pPr>
              <w:pStyle w:val="286"/>
              <w:spacing w:line="300" w:lineRule="exact"/>
              <w:rPr>
                <w:rFonts w:hint="eastAsia"/>
                <w:sz w:val="21"/>
              </w:rPr>
            </w:pPr>
            <w:r>
              <w:rPr>
                <w:rFonts w:hint="eastAsia"/>
                <w:sz w:val="21"/>
              </w:rPr>
              <w:t>规格</w:t>
            </w:r>
          </w:p>
        </w:tc>
        <w:tc>
          <w:tcPr>
            <w:tcW w:w="1113" w:type="pct"/>
            <w:gridSpan w:val="2"/>
            <w:tcBorders>
              <w:top w:val="single" w:color="auto" w:sz="12" w:space="0"/>
              <w:left w:val="single" w:color="auto" w:sz="4" w:space="0"/>
              <w:bottom w:val="single" w:color="auto" w:sz="4" w:space="0"/>
              <w:right w:val="single" w:color="auto" w:sz="4" w:space="0"/>
            </w:tcBorders>
            <w:vAlign w:val="center"/>
          </w:tcPr>
          <w:p w14:paraId="7067B33E">
            <w:pPr>
              <w:pStyle w:val="286"/>
              <w:spacing w:line="300" w:lineRule="exact"/>
              <w:rPr>
                <w:rFonts w:hint="eastAsia"/>
                <w:sz w:val="21"/>
              </w:rPr>
            </w:pPr>
            <w:r>
              <w:rPr>
                <w:rFonts w:hint="eastAsia"/>
                <w:sz w:val="21"/>
              </w:rPr>
              <w:t>风险物质在线量（t）</w:t>
            </w:r>
          </w:p>
        </w:tc>
        <w:tc>
          <w:tcPr>
            <w:tcW w:w="865" w:type="pct"/>
            <w:tcBorders>
              <w:top w:val="single" w:color="auto" w:sz="12" w:space="0"/>
              <w:left w:val="single" w:color="auto" w:sz="4" w:space="0"/>
              <w:bottom w:val="single" w:color="auto" w:sz="4" w:space="0"/>
              <w:right w:val="single" w:color="auto" w:sz="4" w:space="0"/>
            </w:tcBorders>
            <w:vAlign w:val="center"/>
          </w:tcPr>
          <w:p w14:paraId="55543879">
            <w:pPr>
              <w:pStyle w:val="286"/>
              <w:spacing w:line="300" w:lineRule="exact"/>
              <w:rPr>
                <w:rFonts w:hint="eastAsia"/>
                <w:sz w:val="21"/>
              </w:rPr>
            </w:pPr>
            <w:r>
              <w:rPr>
                <w:rFonts w:hint="eastAsia"/>
                <w:sz w:val="21"/>
              </w:rPr>
              <w:t>风险物质临界量（t）</w:t>
            </w:r>
          </w:p>
        </w:tc>
        <w:tc>
          <w:tcPr>
            <w:tcW w:w="706" w:type="pct"/>
            <w:tcBorders>
              <w:top w:val="single" w:color="auto" w:sz="12" w:space="0"/>
              <w:left w:val="single" w:color="auto" w:sz="4" w:space="0"/>
              <w:bottom w:val="single" w:color="auto" w:sz="4" w:space="0"/>
              <w:right w:val="nil"/>
            </w:tcBorders>
            <w:vAlign w:val="center"/>
          </w:tcPr>
          <w:p w14:paraId="1B0769FA">
            <w:pPr>
              <w:pStyle w:val="286"/>
              <w:spacing w:line="300" w:lineRule="exact"/>
              <w:rPr>
                <w:rFonts w:hint="eastAsia"/>
                <w:sz w:val="21"/>
              </w:rPr>
            </w:pPr>
            <w:r>
              <w:rPr>
                <w:rFonts w:hint="eastAsia"/>
                <w:sz w:val="21"/>
              </w:rPr>
              <w:t>Q值</w:t>
            </w:r>
          </w:p>
        </w:tc>
      </w:tr>
      <w:tr w14:paraId="1DB04B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6" w:type="pct"/>
            <w:gridSpan w:val="2"/>
            <w:tcBorders>
              <w:top w:val="single" w:color="auto" w:sz="4" w:space="0"/>
              <w:left w:val="nil"/>
              <w:bottom w:val="single" w:color="auto" w:sz="4" w:space="0"/>
              <w:right w:val="single" w:color="auto" w:sz="4" w:space="0"/>
            </w:tcBorders>
            <w:vAlign w:val="center"/>
          </w:tcPr>
          <w:p w14:paraId="7A1163AE">
            <w:pPr>
              <w:pStyle w:val="286"/>
              <w:spacing w:line="300" w:lineRule="exact"/>
              <w:rPr>
                <w:rFonts w:hint="eastAsia"/>
                <w:sz w:val="21"/>
              </w:rPr>
            </w:pPr>
            <w:r>
              <w:rPr>
                <w:rFonts w:hint="eastAsia"/>
                <w:sz w:val="21"/>
              </w:rPr>
              <w:t>施工期</w:t>
            </w:r>
          </w:p>
        </w:tc>
        <w:tc>
          <w:tcPr>
            <w:tcW w:w="688" w:type="pct"/>
            <w:tcBorders>
              <w:top w:val="single" w:color="auto" w:sz="4" w:space="0"/>
              <w:left w:val="single" w:color="auto" w:sz="4" w:space="0"/>
              <w:bottom w:val="single" w:color="auto" w:sz="4" w:space="0"/>
              <w:right w:val="single" w:color="auto" w:sz="4" w:space="0"/>
            </w:tcBorders>
            <w:vAlign w:val="center"/>
          </w:tcPr>
          <w:p w14:paraId="0829FA9B">
            <w:pPr>
              <w:pStyle w:val="286"/>
              <w:spacing w:line="300" w:lineRule="exact"/>
              <w:rPr>
                <w:rFonts w:hint="eastAsia"/>
                <w:sz w:val="21"/>
              </w:rPr>
            </w:pPr>
            <w:r>
              <w:rPr>
                <w:rFonts w:hint="eastAsia"/>
                <w:sz w:val="21"/>
              </w:rPr>
              <w:t>采油井场</w:t>
            </w:r>
          </w:p>
        </w:tc>
        <w:tc>
          <w:tcPr>
            <w:tcW w:w="932" w:type="pct"/>
            <w:tcBorders>
              <w:top w:val="single" w:color="auto" w:sz="4" w:space="0"/>
              <w:left w:val="single" w:color="auto" w:sz="4" w:space="0"/>
              <w:bottom w:val="single" w:color="auto" w:sz="4" w:space="0"/>
              <w:right w:val="single" w:color="auto" w:sz="4" w:space="0"/>
            </w:tcBorders>
            <w:vAlign w:val="center"/>
          </w:tcPr>
          <w:p w14:paraId="4D7FD178">
            <w:pPr>
              <w:pStyle w:val="286"/>
              <w:spacing w:line="300" w:lineRule="exact"/>
              <w:rPr>
                <w:rFonts w:hint="eastAsia"/>
                <w:sz w:val="21"/>
              </w:rPr>
            </w:pPr>
            <w:r>
              <w:rPr>
                <w:rFonts w:hint="eastAsia"/>
                <w:sz w:val="21"/>
              </w:rPr>
              <w:t>柴油</w:t>
            </w:r>
          </w:p>
        </w:tc>
        <w:tc>
          <w:tcPr>
            <w:tcW w:w="1113" w:type="pct"/>
            <w:gridSpan w:val="2"/>
            <w:tcBorders>
              <w:top w:val="single" w:color="auto" w:sz="4" w:space="0"/>
              <w:left w:val="single" w:color="auto" w:sz="4" w:space="0"/>
              <w:bottom w:val="single" w:color="auto" w:sz="4" w:space="0"/>
              <w:right w:val="single" w:color="auto" w:sz="4" w:space="0"/>
            </w:tcBorders>
            <w:vAlign w:val="center"/>
          </w:tcPr>
          <w:p w14:paraId="3B93B52C">
            <w:pPr>
              <w:pStyle w:val="286"/>
              <w:spacing w:line="300" w:lineRule="exact"/>
              <w:rPr>
                <w:rFonts w:hint="eastAsia"/>
                <w:sz w:val="21"/>
              </w:rPr>
            </w:pPr>
            <w:r>
              <w:rPr>
                <w:rFonts w:hint="eastAsia"/>
                <w:sz w:val="21"/>
              </w:rPr>
              <w:t>20</w:t>
            </w:r>
          </w:p>
        </w:tc>
        <w:tc>
          <w:tcPr>
            <w:tcW w:w="865" w:type="pct"/>
            <w:tcBorders>
              <w:top w:val="single" w:color="auto" w:sz="4" w:space="0"/>
              <w:left w:val="single" w:color="auto" w:sz="4" w:space="0"/>
              <w:bottom w:val="single" w:color="auto" w:sz="4" w:space="0"/>
              <w:right w:val="single" w:color="auto" w:sz="4" w:space="0"/>
            </w:tcBorders>
            <w:vAlign w:val="center"/>
          </w:tcPr>
          <w:p w14:paraId="2C9A24E3">
            <w:pPr>
              <w:pStyle w:val="286"/>
              <w:spacing w:line="300" w:lineRule="exact"/>
              <w:rPr>
                <w:rFonts w:hint="eastAsia"/>
                <w:sz w:val="21"/>
              </w:rPr>
            </w:pPr>
            <w:r>
              <w:rPr>
                <w:rFonts w:hint="eastAsia"/>
                <w:sz w:val="21"/>
              </w:rPr>
              <w:t>2500</w:t>
            </w:r>
          </w:p>
        </w:tc>
        <w:tc>
          <w:tcPr>
            <w:tcW w:w="706" w:type="pct"/>
            <w:tcBorders>
              <w:top w:val="single" w:color="auto" w:sz="4" w:space="0"/>
              <w:left w:val="single" w:color="auto" w:sz="4" w:space="0"/>
              <w:bottom w:val="single" w:color="auto" w:sz="4" w:space="0"/>
              <w:right w:val="nil"/>
            </w:tcBorders>
            <w:vAlign w:val="center"/>
          </w:tcPr>
          <w:p w14:paraId="3085F261">
            <w:pPr>
              <w:pStyle w:val="286"/>
              <w:spacing w:line="300" w:lineRule="exact"/>
              <w:rPr>
                <w:rFonts w:hint="eastAsia"/>
                <w:sz w:val="21"/>
              </w:rPr>
            </w:pPr>
            <w:r>
              <w:rPr>
                <w:rFonts w:hint="eastAsia"/>
                <w:sz w:val="21"/>
              </w:rPr>
              <w:t>0.008</w:t>
            </w:r>
          </w:p>
        </w:tc>
      </w:tr>
      <w:tr w14:paraId="36AFB0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tcBorders>
              <w:top w:val="single" w:color="auto" w:sz="4" w:space="0"/>
              <w:left w:val="nil"/>
              <w:bottom w:val="single" w:color="auto" w:sz="4" w:space="0"/>
              <w:right w:val="single" w:color="auto" w:sz="4" w:space="0"/>
            </w:tcBorders>
            <w:vAlign w:val="center"/>
          </w:tcPr>
          <w:p w14:paraId="0F5BCC03">
            <w:pPr>
              <w:pStyle w:val="286"/>
              <w:spacing w:line="300" w:lineRule="exact"/>
              <w:rPr>
                <w:rFonts w:hint="eastAsia"/>
                <w:sz w:val="21"/>
              </w:rPr>
            </w:pPr>
            <w:r>
              <w:rPr>
                <w:rFonts w:hint="eastAsia"/>
                <w:sz w:val="21"/>
              </w:rPr>
              <w:t>运营期</w:t>
            </w:r>
          </w:p>
        </w:tc>
        <w:tc>
          <w:tcPr>
            <w:tcW w:w="371" w:type="pct"/>
            <w:vMerge w:val="restart"/>
            <w:tcBorders>
              <w:top w:val="single" w:color="auto" w:sz="4" w:space="0"/>
              <w:left w:val="single" w:color="auto" w:sz="4" w:space="0"/>
              <w:bottom w:val="single" w:color="auto" w:sz="4" w:space="0"/>
              <w:right w:val="single" w:color="auto" w:sz="4" w:space="0"/>
            </w:tcBorders>
            <w:vAlign w:val="center"/>
          </w:tcPr>
          <w:p w14:paraId="4FAE3753">
            <w:pPr>
              <w:pStyle w:val="286"/>
              <w:spacing w:line="300" w:lineRule="exact"/>
              <w:rPr>
                <w:rFonts w:hint="eastAsia"/>
                <w:sz w:val="21"/>
              </w:rPr>
            </w:pPr>
            <w:r>
              <w:rPr>
                <w:rFonts w:hint="eastAsia"/>
                <w:sz w:val="21"/>
              </w:rPr>
              <w:t>一期</w:t>
            </w:r>
          </w:p>
        </w:tc>
        <w:tc>
          <w:tcPr>
            <w:tcW w:w="688" w:type="pct"/>
            <w:vMerge w:val="restart"/>
            <w:tcBorders>
              <w:top w:val="single" w:color="auto" w:sz="4" w:space="0"/>
              <w:left w:val="single" w:color="auto" w:sz="4" w:space="0"/>
              <w:bottom w:val="single" w:color="auto" w:sz="4" w:space="0"/>
              <w:right w:val="single" w:color="auto" w:sz="4" w:space="0"/>
            </w:tcBorders>
            <w:vAlign w:val="center"/>
          </w:tcPr>
          <w:p w14:paraId="698D59BF">
            <w:pPr>
              <w:pStyle w:val="286"/>
              <w:spacing w:line="300" w:lineRule="exact"/>
              <w:rPr>
                <w:rFonts w:hint="eastAsia"/>
                <w:sz w:val="21"/>
              </w:rPr>
            </w:pPr>
            <w:r>
              <w:rPr>
                <w:rFonts w:hint="eastAsia"/>
                <w:sz w:val="21"/>
              </w:rPr>
              <w:t>单井采油管线</w:t>
            </w:r>
          </w:p>
        </w:tc>
        <w:tc>
          <w:tcPr>
            <w:tcW w:w="932" w:type="pct"/>
            <w:vMerge w:val="restart"/>
            <w:tcBorders>
              <w:top w:val="single" w:color="auto" w:sz="4" w:space="0"/>
              <w:left w:val="single" w:color="auto" w:sz="4" w:space="0"/>
              <w:bottom w:val="single" w:color="auto" w:sz="4" w:space="0"/>
              <w:right w:val="single" w:color="auto" w:sz="4" w:space="0"/>
            </w:tcBorders>
            <w:vAlign w:val="center"/>
          </w:tcPr>
          <w:p w14:paraId="6EB8D21F">
            <w:pPr>
              <w:pStyle w:val="286"/>
              <w:spacing w:line="300" w:lineRule="exact"/>
              <w:rPr>
                <w:rFonts w:hint="eastAsia"/>
                <w:sz w:val="21"/>
              </w:rPr>
            </w:pPr>
            <w:r>
              <w:rPr>
                <w:rFonts w:hint="eastAsia"/>
                <w:sz w:val="21"/>
              </w:rPr>
              <w:t>长度100m、DN65、</w:t>
            </w:r>
            <w:r>
              <w:rPr>
                <w:rFonts w:hint="eastAsia" w:cs="宋体"/>
                <w:snapToGrid w:val="0"/>
                <w:sz w:val="21"/>
              </w:rPr>
              <w:t>2.5MPa</w:t>
            </w:r>
          </w:p>
        </w:tc>
        <w:tc>
          <w:tcPr>
            <w:tcW w:w="568" w:type="pct"/>
            <w:tcBorders>
              <w:top w:val="single" w:color="auto" w:sz="4" w:space="0"/>
              <w:left w:val="single" w:color="auto" w:sz="4" w:space="0"/>
              <w:bottom w:val="single" w:color="auto" w:sz="4" w:space="0"/>
              <w:right w:val="single" w:color="auto" w:sz="4" w:space="0"/>
            </w:tcBorders>
            <w:vAlign w:val="center"/>
          </w:tcPr>
          <w:p w14:paraId="4361D204">
            <w:pPr>
              <w:pStyle w:val="286"/>
              <w:spacing w:line="300" w:lineRule="exact"/>
              <w:rPr>
                <w:rFonts w:hint="eastAsia"/>
                <w:sz w:val="21"/>
              </w:rPr>
            </w:pPr>
            <w:r>
              <w:rPr>
                <w:rFonts w:hint="eastAsia"/>
                <w:sz w:val="21"/>
              </w:rPr>
              <w:t>原油</w:t>
            </w:r>
          </w:p>
        </w:tc>
        <w:tc>
          <w:tcPr>
            <w:tcW w:w="545" w:type="pct"/>
            <w:tcBorders>
              <w:top w:val="single" w:color="auto" w:sz="4" w:space="0"/>
              <w:left w:val="single" w:color="auto" w:sz="4" w:space="0"/>
              <w:bottom w:val="single" w:color="auto" w:sz="4" w:space="0"/>
              <w:right w:val="single" w:color="auto" w:sz="4" w:space="0"/>
            </w:tcBorders>
            <w:vAlign w:val="center"/>
          </w:tcPr>
          <w:p w14:paraId="1AC2CCE1">
            <w:pPr>
              <w:pStyle w:val="286"/>
              <w:spacing w:line="300" w:lineRule="exact"/>
              <w:rPr>
                <w:rFonts w:hint="eastAsia"/>
                <w:sz w:val="21"/>
              </w:rPr>
            </w:pPr>
            <w:r>
              <w:rPr>
                <w:rFonts w:hint="eastAsia"/>
                <w:sz w:val="21"/>
              </w:rPr>
              <w:t>0.3</w:t>
            </w:r>
          </w:p>
        </w:tc>
        <w:tc>
          <w:tcPr>
            <w:tcW w:w="865" w:type="pct"/>
            <w:tcBorders>
              <w:top w:val="single" w:color="auto" w:sz="4" w:space="0"/>
              <w:left w:val="single" w:color="auto" w:sz="4" w:space="0"/>
              <w:bottom w:val="single" w:color="auto" w:sz="4" w:space="0"/>
              <w:right w:val="single" w:color="auto" w:sz="4" w:space="0"/>
            </w:tcBorders>
            <w:vAlign w:val="center"/>
          </w:tcPr>
          <w:p w14:paraId="3E3A9D05">
            <w:pPr>
              <w:pStyle w:val="286"/>
              <w:spacing w:line="300" w:lineRule="exact"/>
              <w:rPr>
                <w:rFonts w:hint="eastAsia"/>
                <w:sz w:val="21"/>
              </w:rPr>
            </w:pPr>
            <w:r>
              <w:rPr>
                <w:rFonts w:hint="eastAsia"/>
                <w:sz w:val="21"/>
              </w:rPr>
              <w:t>2500</w:t>
            </w:r>
          </w:p>
        </w:tc>
        <w:tc>
          <w:tcPr>
            <w:tcW w:w="706" w:type="pct"/>
            <w:tcBorders>
              <w:top w:val="single" w:color="auto" w:sz="4" w:space="0"/>
              <w:left w:val="single" w:color="auto" w:sz="4" w:space="0"/>
              <w:bottom w:val="single" w:color="auto" w:sz="4" w:space="0"/>
              <w:right w:val="nil"/>
            </w:tcBorders>
            <w:vAlign w:val="center"/>
          </w:tcPr>
          <w:p w14:paraId="69A69504">
            <w:pPr>
              <w:pStyle w:val="286"/>
              <w:spacing w:line="300" w:lineRule="exact"/>
              <w:rPr>
                <w:rFonts w:hint="eastAsia"/>
                <w:sz w:val="21"/>
              </w:rPr>
            </w:pPr>
            <w:r>
              <w:rPr>
                <w:rFonts w:hint="eastAsia"/>
                <w:sz w:val="21"/>
              </w:rPr>
              <w:t>0.00012</w:t>
            </w:r>
          </w:p>
        </w:tc>
      </w:tr>
      <w:tr w14:paraId="2BA032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0D0902AF">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2DB8A3FB">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1F7794B3">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9905990">
            <w:pPr>
              <w:widowControl/>
              <w:jc w:val="left"/>
              <w:rPr>
                <w:rFonts w:hint="eastAsia" w:ascii="宋体" w:hAnsi="宋体" w:cs="Arial"/>
                <w:kern w:val="0"/>
                <w:szCs w:val="21"/>
              </w:rPr>
            </w:pPr>
          </w:p>
        </w:tc>
        <w:tc>
          <w:tcPr>
            <w:tcW w:w="568" w:type="pct"/>
            <w:tcBorders>
              <w:top w:val="single" w:color="auto" w:sz="4" w:space="0"/>
              <w:left w:val="single" w:color="auto" w:sz="4" w:space="0"/>
              <w:bottom w:val="single" w:color="auto" w:sz="4" w:space="0"/>
              <w:right w:val="single" w:color="auto" w:sz="4" w:space="0"/>
            </w:tcBorders>
            <w:vAlign w:val="center"/>
          </w:tcPr>
          <w:p w14:paraId="41C8CE8A">
            <w:pPr>
              <w:pStyle w:val="286"/>
              <w:spacing w:line="300" w:lineRule="exact"/>
              <w:rPr>
                <w:rFonts w:hint="eastAsia"/>
                <w:sz w:val="21"/>
              </w:rPr>
            </w:pPr>
            <w:r>
              <w:rPr>
                <w:rFonts w:hint="eastAsia"/>
                <w:sz w:val="21"/>
              </w:rPr>
              <w:t>伴生气</w:t>
            </w:r>
          </w:p>
        </w:tc>
        <w:tc>
          <w:tcPr>
            <w:tcW w:w="545" w:type="pct"/>
            <w:tcBorders>
              <w:top w:val="single" w:color="auto" w:sz="4" w:space="0"/>
              <w:left w:val="single" w:color="auto" w:sz="4" w:space="0"/>
              <w:bottom w:val="single" w:color="auto" w:sz="4" w:space="0"/>
              <w:right w:val="single" w:color="auto" w:sz="4" w:space="0"/>
            </w:tcBorders>
            <w:vAlign w:val="center"/>
          </w:tcPr>
          <w:p w14:paraId="4FA86D2F">
            <w:pPr>
              <w:pStyle w:val="286"/>
              <w:spacing w:line="300" w:lineRule="exact"/>
              <w:rPr>
                <w:rFonts w:hint="eastAsia"/>
                <w:sz w:val="21"/>
              </w:rPr>
            </w:pPr>
            <w:r>
              <w:rPr>
                <w:rFonts w:hint="eastAsia"/>
                <w:sz w:val="21"/>
              </w:rPr>
              <w:t>0.00036</w:t>
            </w:r>
          </w:p>
        </w:tc>
        <w:tc>
          <w:tcPr>
            <w:tcW w:w="865" w:type="pct"/>
            <w:tcBorders>
              <w:top w:val="single" w:color="auto" w:sz="4" w:space="0"/>
              <w:left w:val="single" w:color="auto" w:sz="4" w:space="0"/>
              <w:bottom w:val="single" w:color="auto" w:sz="4" w:space="0"/>
              <w:right w:val="single" w:color="auto" w:sz="4" w:space="0"/>
            </w:tcBorders>
            <w:vAlign w:val="center"/>
          </w:tcPr>
          <w:p w14:paraId="0B7170E1">
            <w:pPr>
              <w:pStyle w:val="286"/>
              <w:spacing w:line="300" w:lineRule="exact"/>
              <w:rPr>
                <w:rFonts w:hint="eastAsia"/>
                <w:sz w:val="21"/>
              </w:rPr>
            </w:pPr>
            <w:r>
              <w:rPr>
                <w:rFonts w:hint="eastAsia"/>
                <w:sz w:val="21"/>
              </w:rPr>
              <w:t>10</w:t>
            </w:r>
          </w:p>
        </w:tc>
        <w:tc>
          <w:tcPr>
            <w:tcW w:w="706" w:type="pct"/>
            <w:tcBorders>
              <w:top w:val="single" w:color="auto" w:sz="4" w:space="0"/>
              <w:left w:val="single" w:color="auto" w:sz="4" w:space="0"/>
              <w:bottom w:val="single" w:color="auto" w:sz="4" w:space="0"/>
              <w:right w:val="nil"/>
            </w:tcBorders>
            <w:vAlign w:val="center"/>
          </w:tcPr>
          <w:p w14:paraId="1A04222F">
            <w:pPr>
              <w:pStyle w:val="286"/>
              <w:spacing w:line="300" w:lineRule="exact"/>
              <w:rPr>
                <w:rFonts w:hint="eastAsia"/>
                <w:sz w:val="21"/>
              </w:rPr>
            </w:pPr>
            <w:r>
              <w:rPr>
                <w:rFonts w:hint="eastAsia"/>
                <w:sz w:val="21"/>
              </w:rPr>
              <w:t>0.000036</w:t>
            </w:r>
          </w:p>
        </w:tc>
      </w:tr>
      <w:tr w14:paraId="2576FE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3BC2FDE4">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292DE88">
            <w:pPr>
              <w:widowControl/>
              <w:jc w:val="left"/>
              <w:rPr>
                <w:rFonts w:hint="eastAsia" w:ascii="宋体" w:hAnsi="宋体" w:cs="Arial"/>
                <w:kern w:val="0"/>
                <w:szCs w:val="21"/>
              </w:rPr>
            </w:pPr>
          </w:p>
        </w:tc>
        <w:tc>
          <w:tcPr>
            <w:tcW w:w="688" w:type="pct"/>
            <w:tcBorders>
              <w:top w:val="single" w:color="auto" w:sz="4" w:space="0"/>
              <w:left w:val="single" w:color="auto" w:sz="4" w:space="0"/>
              <w:bottom w:val="single" w:color="auto" w:sz="4" w:space="0"/>
              <w:right w:val="single" w:color="auto" w:sz="4" w:space="0"/>
            </w:tcBorders>
            <w:vAlign w:val="center"/>
          </w:tcPr>
          <w:p w14:paraId="176FE4EB">
            <w:pPr>
              <w:pStyle w:val="286"/>
              <w:spacing w:line="300" w:lineRule="exact"/>
              <w:rPr>
                <w:rFonts w:hint="eastAsia"/>
                <w:sz w:val="21"/>
              </w:rPr>
            </w:pPr>
            <w:r>
              <w:rPr>
                <w:rFonts w:hint="eastAsia"/>
                <w:sz w:val="21"/>
              </w:rPr>
              <w:t>拉油罐</w:t>
            </w:r>
          </w:p>
        </w:tc>
        <w:tc>
          <w:tcPr>
            <w:tcW w:w="932" w:type="pct"/>
            <w:tcBorders>
              <w:top w:val="single" w:color="auto" w:sz="4" w:space="0"/>
              <w:left w:val="single" w:color="auto" w:sz="4" w:space="0"/>
              <w:bottom w:val="single" w:color="auto" w:sz="4" w:space="0"/>
              <w:right w:val="single" w:color="auto" w:sz="4" w:space="0"/>
            </w:tcBorders>
            <w:vAlign w:val="center"/>
          </w:tcPr>
          <w:p w14:paraId="3AADD939">
            <w:pPr>
              <w:pStyle w:val="286"/>
              <w:spacing w:line="300" w:lineRule="exact"/>
              <w:rPr>
                <w:rFonts w:hint="eastAsia"/>
                <w:sz w:val="21"/>
              </w:rPr>
            </w:pPr>
            <w:r>
              <w:rPr>
                <w:rFonts w:hint="eastAsia"/>
                <w:sz w:val="21"/>
              </w:rPr>
              <w:t>5座60m</w:t>
            </w:r>
            <w:r>
              <w:rPr>
                <w:rFonts w:hint="eastAsia"/>
                <w:sz w:val="21"/>
                <w:vertAlign w:val="superscript"/>
              </w:rPr>
              <w:t>3</w:t>
            </w:r>
            <w:r>
              <w:rPr>
                <w:rFonts w:hint="eastAsia"/>
                <w:sz w:val="21"/>
              </w:rPr>
              <w:t>拉油方罐</w:t>
            </w:r>
          </w:p>
        </w:tc>
        <w:tc>
          <w:tcPr>
            <w:tcW w:w="568" w:type="pct"/>
            <w:tcBorders>
              <w:top w:val="single" w:color="auto" w:sz="4" w:space="0"/>
              <w:left w:val="single" w:color="auto" w:sz="4" w:space="0"/>
              <w:bottom w:val="single" w:color="auto" w:sz="4" w:space="0"/>
              <w:right w:val="single" w:color="auto" w:sz="4" w:space="0"/>
            </w:tcBorders>
            <w:vAlign w:val="center"/>
          </w:tcPr>
          <w:p w14:paraId="3A732EFB">
            <w:pPr>
              <w:pStyle w:val="286"/>
              <w:spacing w:line="300" w:lineRule="exact"/>
              <w:rPr>
                <w:rFonts w:hint="eastAsia"/>
                <w:sz w:val="21"/>
              </w:rPr>
            </w:pPr>
            <w:r>
              <w:rPr>
                <w:rFonts w:hint="eastAsia"/>
                <w:sz w:val="21"/>
              </w:rPr>
              <w:t>原油</w:t>
            </w:r>
          </w:p>
        </w:tc>
        <w:tc>
          <w:tcPr>
            <w:tcW w:w="545" w:type="pct"/>
            <w:tcBorders>
              <w:top w:val="single" w:color="auto" w:sz="4" w:space="0"/>
              <w:left w:val="single" w:color="auto" w:sz="4" w:space="0"/>
              <w:bottom w:val="single" w:color="auto" w:sz="4" w:space="0"/>
              <w:right w:val="single" w:color="auto" w:sz="4" w:space="0"/>
            </w:tcBorders>
            <w:vAlign w:val="center"/>
          </w:tcPr>
          <w:p w14:paraId="6FDE33C3">
            <w:pPr>
              <w:pStyle w:val="286"/>
              <w:spacing w:line="300" w:lineRule="exact"/>
              <w:rPr>
                <w:rFonts w:hint="eastAsia"/>
                <w:sz w:val="21"/>
              </w:rPr>
            </w:pPr>
            <w:r>
              <w:rPr>
                <w:rFonts w:hint="eastAsia"/>
                <w:sz w:val="21"/>
              </w:rPr>
              <w:t>265.6</w:t>
            </w:r>
          </w:p>
        </w:tc>
        <w:tc>
          <w:tcPr>
            <w:tcW w:w="865" w:type="pct"/>
            <w:tcBorders>
              <w:top w:val="single" w:color="auto" w:sz="4" w:space="0"/>
              <w:left w:val="single" w:color="auto" w:sz="4" w:space="0"/>
              <w:bottom w:val="single" w:color="auto" w:sz="4" w:space="0"/>
              <w:right w:val="single" w:color="auto" w:sz="4" w:space="0"/>
            </w:tcBorders>
            <w:vAlign w:val="center"/>
          </w:tcPr>
          <w:p w14:paraId="3A74C536">
            <w:pPr>
              <w:pStyle w:val="286"/>
              <w:spacing w:line="300" w:lineRule="exact"/>
              <w:rPr>
                <w:rFonts w:hint="eastAsia"/>
                <w:sz w:val="21"/>
              </w:rPr>
            </w:pPr>
            <w:r>
              <w:rPr>
                <w:rFonts w:hint="eastAsia"/>
                <w:sz w:val="21"/>
              </w:rPr>
              <w:t>2500</w:t>
            </w:r>
          </w:p>
        </w:tc>
        <w:tc>
          <w:tcPr>
            <w:tcW w:w="706" w:type="pct"/>
            <w:tcBorders>
              <w:top w:val="single" w:color="auto" w:sz="4" w:space="0"/>
              <w:left w:val="single" w:color="auto" w:sz="4" w:space="0"/>
              <w:bottom w:val="single" w:color="auto" w:sz="4" w:space="0"/>
              <w:right w:val="nil"/>
            </w:tcBorders>
            <w:vAlign w:val="center"/>
          </w:tcPr>
          <w:p w14:paraId="2CBE8EBF">
            <w:pPr>
              <w:pStyle w:val="286"/>
              <w:spacing w:line="300" w:lineRule="exact"/>
              <w:rPr>
                <w:rFonts w:hint="eastAsia"/>
                <w:sz w:val="21"/>
              </w:rPr>
            </w:pPr>
            <w:r>
              <w:rPr>
                <w:rFonts w:hint="eastAsia"/>
                <w:sz w:val="21"/>
              </w:rPr>
              <w:t>0.106</w:t>
            </w:r>
          </w:p>
        </w:tc>
      </w:tr>
      <w:tr w14:paraId="454531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612031CE">
            <w:pPr>
              <w:widowControl/>
              <w:jc w:val="left"/>
              <w:rPr>
                <w:rFonts w:hint="eastAsia" w:ascii="宋体" w:hAnsi="宋体" w:cs="Arial"/>
                <w:kern w:val="0"/>
                <w:szCs w:val="21"/>
              </w:rPr>
            </w:pPr>
          </w:p>
        </w:tc>
        <w:tc>
          <w:tcPr>
            <w:tcW w:w="371" w:type="pct"/>
            <w:vMerge w:val="restart"/>
            <w:tcBorders>
              <w:top w:val="single" w:color="auto" w:sz="4" w:space="0"/>
              <w:left w:val="single" w:color="auto" w:sz="4" w:space="0"/>
              <w:bottom w:val="single" w:color="auto" w:sz="4" w:space="0"/>
              <w:right w:val="single" w:color="auto" w:sz="4" w:space="0"/>
            </w:tcBorders>
            <w:vAlign w:val="center"/>
          </w:tcPr>
          <w:p w14:paraId="2B239124">
            <w:pPr>
              <w:pStyle w:val="286"/>
              <w:spacing w:line="300" w:lineRule="exact"/>
              <w:rPr>
                <w:rFonts w:hint="eastAsia"/>
                <w:sz w:val="21"/>
              </w:rPr>
            </w:pPr>
            <w:r>
              <w:rPr>
                <w:rFonts w:hint="eastAsia"/>
                <w:sz w:val="21"/>
              </w:rPr>
              <w:t>二期</w:t>
            </w:r>
          </w:p>
        </w:tc>
        <w:tc>
          <w:tcPr>
            <w:tcW w:w="688" w:type="pct"/>
            <w:vMerge w:val="restart"/>
            <w:tcBorders>
              <w:top w:val="single" w:color="auto" w:sz="4" w:space="0"/>
              <w:left w:val="single" w:color="auto" w:sz="4" w:space="0"/>
              <w:bottom w:val="single" w:color="auto" w:sz="4" w:space="0"/>
              <w:right w:val="single" w:color="auto" w:sz="4" w:space="0"/>
            </w:tcBorders>
            <w:vAlign w:val="center"/>
          </w:tcPr>
          <w:p w14:paraId="0E83DBBC">
            <w:pPr>
              <w:pStyle w:val="286"/>
              <w:spacing w:line="300" w:lineRule="exact"/>
              <w:rPr>
                <w:rFonts w:hint="eastAsia"/>
                <w:sz w:val="21"/>
              </w:rPr>
            </w:pPr>
            <w:r>
              <w:rPr>
                <w:rFonts w:hint="eastAsia"/>
                <w:sz w:val="21"/>
              </w:rPr>
              <w:t>集油干线</w:t>
            </w:r>
          </w:p>
        </w:tc>
        <w:tc>
          <w:tcPr>
            <w:tcW w:w="932" w:type="pct"/>
            <w:vMerge w:val="restart"/>
            <w:tcBorders>
              <w:top w:val="single" w:color="auto" w:sz="4" w:space="0"/>
              <w:left w:val="single" w:color="auto" w:sz="4" w:space="0"/>
              <w:bottom w:val="single" w:color="auto" w:sz="4" w:space="0"/>
              <w:right w:val="single" w:color="auto" w:sz="4" w:space="0"/>
            </w:tcBorders>
            <w:vAlign w:val="center"/>
          </w:tcPr>
          <w:p w14:paraId="739183F9">
            <w:pPr>
              <w:pStyle w:val="286"/>
              <w:spacing w:line="300" w:lineRule="exact"/>
              <w:rPr>
                <w:rFonts w:hint="eastAsia"/>
                <w:sz w:val="21"/>
              </w:rPr>
            </w:pPr>
            <w:r>
              <w:rPr>
                <w:rFonts w:hint="eastAsia"/>
                <w:sz w:val="21"/>
              </w:rPr>
              <w:t>长度6km、</w:t>
            </w:r>
            <w:r>
              <w:rPr>
                <w:rFonts w:hint="eastAsia" w:cs="宋体"/>
                <w:snapToGrid w:val="0"/>
                <w:sz w:val="21"/>
              </w:rPr>
              <w:t>DN200、3.5MPa</w:t>
            </w:r>
          </w:p>
        </w:tc>
        <w:tc>
          <w:tcPr>
            <w:tcW w:w="568" w:type="pct"/>
            <w:tcBorders>
              <w:top w:val="single" w:color="auto" w:sz="4" w:space="0"/>
              <w:left w:val="single" w:color="auto" w:sz="4" w:space="0"/>
              <w:bottom w:val="single" w:color="auto" w:sz="4" w:space="0"/>
              <w:right w:val="single" w:color="auto" w:sz="4" w:space="0"/>
            </w:tcBorders>
            <w:vAlign w:val="center"/>
          </w:tcPr>
          <w:p w14:paraId="3080EF01">
            <w:pPr>
              <w:pStyle w:val="286"/>
              <w:spacing w:line="300" w:lineRule="exact"/>
              <w:rPr>
                <w:rFonts w:hint="eastAsia"/>
                <w:sz w:val="21"/>
              </w:rPr>
            </w:pPr>
            <w:r>
              <w:rPr>
                <w:rFonts w:hint="eastAsia"/>
                <w:sz w:val="21"/>
              </w:rPr>
              <w:t>原油</w:t>
            </w:r>
          </w:p>
        </w:tc>
        <w:tc>
          <w:tcPr>
            <w:tcW w:w="545" w:type="pct"/>
            <w:tcBorders>
              <w:top w:val="single" w:color="auto" w:sz="4" w:space="0"/>
              <w:left w:val="single" w:color="auto" w:sz="4" w:space="0"/>
              <w:bottom w:val="single" w:color="auto" w:sz="4" w:space="0"/>
              <w:right w:val="single" w:color="auto" w:sz="4" w:space="0"/>
            </w:tcBorders>
            <w:vAlign w:val="center"/>
          </w:tcPr>
          <w:p w14:paraId="5D5DC377">
            <w:pPr>
              <w:pStyle w:val="286"/>
              <w:spacing w:line="300" w:lineRule="exact"/>
              <w:rPr>
                <w:rFonts w:hint="eastAsia"/>
                <w:sz w:val="21"/>
              </w:rPr>
            </w:pPr>
            <w:r>
              <w:rPr>
                <w:rFonts w:hint="eastAsia"/>
                <w:sz w:val="21"/>
              </w:rPr>
              <w:t>166.8</w:t>
            </w:r>
          </w:p>
        </w:tc>
        <w:tc>
          <w:tcPr>
            <w:tcW w:w="865" w:type="pct"/>
            <w:tcBorders>
              <w:top w:val="single" w:color="auto" w:sz="4" w:space="0"/>
              <w:left w:val="single" w:color="auto" w:sz="4" w:space="0"/>
              <w:bottom w:val="single" w:color="auto" w:sz="4" w:space="0"/>
              <w:right w:val="single" w:color="auto" w:sz="4" w:space="0"/>
            </w:tcBorders>
            <w:vAlign w:val="center"/>
          </w:tcPr>
          <w:p w14:paraId="71209EB8">
            <w:pPr>
              <w:pStyle w:val="286"/>
              <w:spacing w:line="300" w:lineRule="exact"/>
              <w:rPr>
                <w:rFonts w:hint="eastAsia"/>
                <w:sz w:val="21"/>
              </w:rPr>
            </w:pPr>
            <w:r>
              <w:rPr>
                <w:rFonts w:hint="eastAsia"/>
                <w:sz w:val="21"/>
              </w:rPr>
              <w:t>2500</w:t>
            </w:r>
          </w:p>
        </w:tc>
        <w:tc>
          <w:tcPr>
            <w:tcW w:w="706" w:type="pct"/>
            <w:tcBorders>
              <w:top w:val="single" w:color="auto" w:sz="4" w:space="0"/>
              <w:left w:val="single" w:color="auto" w:sz="4" w:space="0"/>
              <w:bottom w:val="single" w:color="auto" w:sz="4" w:space="0"/>
              <w:right w:val="nil"/>
            </w:tcBorders>
            <w:vAlign w:val="center"/>
          </w:tcPr>
          <w:p w14:paraId="0B75E7AB">
            <w:pPr>
              <w:pStyle w:val="286"/>
              <w:spacing w:line="300" w:lineRule="exact"/>
              <w:rPr>
                <w:rFonts w:hint="eastAsia"/>
                <w:sz w:val="21"/>
              </w:rPr>
            </w:pPr>
            <w:r>
              <w:rPr>
                <w:rFonts w:hint="eastAsia"/>
                <w:sz w:val="21"/>
              </w:rPr>
              <w:t>0.0667</w:t>
            </w:r>
          </w:p>
        </w:tc>
      </w:tr>
      <w:tr w14:paraId="523914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0A79DC89">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00E33B0">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3BE19817">
            <w:pPr>
              <w:widowControl/>
              <w:jc w:val="left"/>
              <w:rPr>
                <w:rFonts w:hint="eastAsia" w:ascii="宋体" w:hAnsi="宋体" w:cs="Arial"/>
                <w:kern w:val="0"/>
                <w:szCs w:val="21"/>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58948A30">
            <w:pPr>
              <w:widowControl/>
              <w:jc w:val="left"/>
              <w:rPr>
                <w:rFonts w:hint="eastAsia" w:ascii="宋体" w:hAnsi="宋体" w:cs="Arial"/>
                <w:kern w:val="0"/>
                <w:szCs w:val="21"/>
              </w:rPr>
            </w:pPr>
          </w:p>
        </w:tc>
        <w:tc>
          <w:tcPr>
            <w:tcW w:w="568" w:type="pct"/>
            <w:tcBorders>
              <w:top w:val="single" w:color="auto" w:sz="4" w:space="0"/>
              <w:left w:val="single" w:color="auto" w:sz="4" w:space="0"/>
              <w:bottom w:val="single" w:color="auto" w:sz="4" w:space="0"/>
              <w:right w:val="single" w:color="auto" w:sz="4" w:space="0"/>
            </w:tcBorders>
            <w:vAlign w:val="center"/>
          </w:tcPr>
          <w:p w14:paraId="55864720">
            <w:pPr>
              <w:pStyle w:val="286"/>
              <w:spacing w:line="300" w:lineRule="exact"/>
              <w:rPr>
                <w:rFonts w:hint="eastAsia"/>
                <w:sz w:val="21"/>
              </w:rPr>
            </w:pPr>
            <w:r>
              <w:rPr>
                <w:rFonts w:hint="eastAsia"/>
                <w:sz w:val="21"/>
              </w:rPr>
              <w:t>伴生气</w:t>
            </w:r>
          </w:p>
        </w:tc>
        <w:tc>
          <w:tcPr>
            <w:tcW w:w="545" w:type="pct"/>
            <w:tcBorders>
              <w:top w:val="single" w:color="auto" w:sz="4" w:space="0"/>
              <w:left w:val="single" w:color="auto" w:sz="4" w:space="0"/>
              <w:bottom w:val="single" w:color="auto" w:sz="4" w:space="0"/>
              <w:right w:val="single" w:color="auto" w:sz="4" w:space="0"/>
            </w:tcBorders>
            <w:vAlign w:val="center"/>
          </w:tcPr>
          <w:p w14:paraId="1B6381DA">
            <w:pPr>
              <w:pStyle w:val="286"/>
              <w:spacing w:line="300" w:lineRule="exact"/>
              <w:rPr>
                <w:rFonts w:hint="eastAsia"/>
                <w:sz w:val="21"/>
              </w:rPr>
            </w:pPr>
            <w:r>
              <w:rPr>
                <w:rFonts w:hint="eastAsia"/>
                <w:sz w:val="21"/>
              </w:rPr>
              <w:t>0.182</w:t>
            </w:r>
          </w:p>
        </w:tc>
        <w:tc>
          <w:tcPr>
            <w:tcW w:w="865" w:type="pct"/>
            <w:tcBorders>
              <w:top w:val="single" w:color="auto" w:sz="4" w:space="0"/>
              <w:left w:val="single" w:color="auto" w:sz="4" w:space="0"/>
              <w:bottom w:val="single" w:color="auto" w:sz="4" w:space="0"/>
              <w:right w:val="single" w:color="auto" w:sz="4" w:space="0"/>
            </w:tcBorders>
            <w:vAlign w:val="center"/>
          </w:tcPr>
          <w:p w14:paraId="537938E6">
            <w:pPr>
              <w:pStyle w:val="286"/>
              <w:spacing w:line="300" w:lineRule="exact"/>
              <w:rPr>
                <w:rFonts w:hint="eastAsia"/>
                <w:sz w:val="21"/>
              </w:rPr>
            </w:pPr>
            <w:r>
              <w:rPr>
                <w:rFonts w:hint="eastAsia"/>
                <w:sz w:val="21"/>
              </w:rPr>
              <w:t>10</w:t>
            </w:r>
          </w:p>
        </w:tc>
        <w:tc>
          <w:tcPr>
            <w:tcW w:w="706" w:type="pct"/>
            <w:tcBorders>
              <w:top w:val="single" w:color="auto" w:sz="4" w:space="0"/>
              <w:left w:val="single" w:color="auto" w:sz="4" w:space="0"/>
              <w:bottom w:val="single" w:color="auto" w:sz="4" w:space="0"/>
              <w:right w:val="nil"/>
            </w:tcBorders>
            <w:vAlign w:val="center"/>
          </w:tcPr>
          <w:p w14:paraId="6C88ABF0">
            <w:pPr>
              <w:pStyle w:val="286"/>
              <w:spacing w:line="300" w:lineRule="exact"/>
              <w:rPr>
                <w:rFonts w:hint="eastAsia"/>
                <w:sz w:val="21"/>
              </w:rPr>
            </w:pPr>
            <w:r>
              <w:rPr>
                <w:rFonts w:hint="eastAsia"/>
                <w:sz w:val="21"/>
              </w:rPr>
              <w:t>0.0152</w:t>
            </w:r>
          </w:p>
        </w:tc>
      </w:tr>
      <w:tr w14:paraId="442C8C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4" w:type="pct"/>
            <w:gridSpan w:val="3"/>
            <w:tcBorders>
              <w:top w:val="single" w:color="auto" w:sz="4" w:space="0"/>
              <w:left w:val="nil"/>
              <w:bottom w:val="single" w:color="auto" w:sz="12" w:space="0"/>
              <w:right w:val="single" w:color="auto" w:sz="4" w:space="0"/>
            </w:tcBorders>
            <w:vAlign w:val="center"/>
          </w:tcPr>
          <w:p w14:paraId="72E62E74">
            <w:pPr>
              <w:pStyle w:val="286"/>
              <w:spacing w:line="300" w:lineRule="exact"/>
              <w:rPr>
                <w:rFonts w:hint="eastAsia"/>
                <w:sz w:val="21"/>
              </w:rPr>
            </w:pPr>
            <w:r>
              <w:rPr>
                <w:rFonts w:hint="eastAsia"/>
                <w:sz w:val="21"/>
              </w:rPr>
              <w:t>合计</w:t>
            </w:r>
          </w:p>
        </w:tc>
        <w:tc>
          <w:tcPr>
            <w:tcW w:w="932" w:type="pct"/>
            <w:tcBorders>
              <w:top w:val="single" w:color="auto" w:sz="4" w:space="0"/>
              <w:left w:val="single" w:color="auto" w:sz="4" w:space="0"/>
              <w:bottom w:val="single" w:color="auto" w:sz="12" w:space="0"/>
              <w:right w:val="single" w:color="auto" w:sz="4" w:space="0"/>
            </w:tcBorders>
          </w:tcPr>
          <w:p w14:paraId="03911979">
            <w:pPr>
              <w:pStyle w:val="286"/>
              <w:spacing w:line="300" w:lineRule="exact"/>
              <w:rPr>
                <w:rFonts w:hint="eastAsia"/>
                <w:sz w:val="21"/>
              </w:rPr>
            </w:pPr>
            <w:r>
              <w:rPr>
                <w:rFonts w:hint="eastAsia"/>
                <w:sz w:val="21"/>
              </w:rPr>
              <w:t>/</w:t>
            </w:r>
          </w:p>
        </w:tc>
        <w:tc>
          <w:tcPr>
            <w:tcW w:w="568" w:type="pct"/>
            <w:tcBorders>
              <w:top w:val="single" w:color="auto" w:sz="4" w:space="0"/>
              <w:left w:val="single" w:color="auto" w:sz="4" w:space="0"/>
              <w:bottom w:val="single" w:color="auto" w:sz="12" w:space="0"/>
              <w:right w:val="single" w:color="auto" w:sz="4" w:space="0"/>
            </w:tcBorders>
          </w:tcPr>
          <w:p w14:paraId="708AD7D9">
            <w:pPr>
              <w:pStyle w:val="286"/>
              <w:spacing w:line="300" w:lineRule="exact"/>
              <w:rPr>
                <w:rFonts w:hint="eastAsia"/>
                <w:sz w:val="21"/>
              </w:rPr>
            </w:pPr>
            <w:r>
              <w:rPr>
                <w:rFonts w:hint="eastAsia"/>
                <w:sz w:val="21"/>
              </w:rPr>
              <w:t>/</w:t>
            </w:r>
          </w:p>
        </w:tc>
        <w:tc>
          <w:tcPr>
            <w:tcW w:w="545" w:type="pct"/>
            <w:tcBorders>
              <w:top w:val="single" w:color="auto" w:sz="4" w:space="0"/>
              <w:left w:val="single" w:color="auto" w:sz="4" w:space="0"/>
              <w:bottom w:val="single" w:color="auto" w:sz="12" w:space="0"/>
              <w:right w:val="single" w:color="auto" w:sz="4" w:space="0"/>
            </w:tcBorders>
          </w:tcPr>
          <w:p w14:paraId="19879612">
            <w:pPr>
              <w:pStyle w:val="286"/>
              <w:spacing w:line="300" w:lineRule="exact"/>
              <w:rPr>
                <w:rFonts w:hint="eastAsia"/>
                <w:sz w:val="21"/>
              </w:rPr>
            </w:pPr>
            <w:r>
              <w:rPr>
                <w:rFonts w:hint="eastAsia"/>
                <w:sz w:val="21"/>
              </w:rPr>
              <w:t>/</w:t>
            </w:r>
          </w:p>
        </w:tc>
        <w:tc>
          <w:tcPr>
            <w:tcW w:w="865" w:type="pct"/>
            <w:tcBorders>
              <w:top w:val="single" w:color="auto" w:sz="4" w:space="0"/>
              <w:left w:val="single" w:color="auto" w:sz="4" w:space="0"/>
              <w:bottom w:val="single" w:color="auto" w:sz="12" w:space="0"/>
              <w:right w:val="single" w:color="auto" w:sz="4" w:space="0"/>
            </w:tcBorders>
          </w:tcPr>
          <w:p w14:paraId="0194FC4C">
            <w:pPr>
              <w:pStyle w:val="286"/>
              <w:spacing w:line="300" w:lineRule="exact"/>
              <w:rPr>
                <w:rFonts w:hint="eastAsia"/>
                <w:sz w:val="21"/>
              </w:rPr>
            </w:pPr>
            <w:r>
              <w:rPr>
                <w:rFonts w:hint="eastAsia"/>
                <w:sz w:val="21"/>
              </w:rPr>
              <w:t>/</w:t>
            </w:r>
          </w:p>
        </w:tc>
        <w:tc>
          <w:tcPr>
            <w:tcW w:w="706" w:type="pct"/>
            <w:tcBorders>
              <w:top w:val="single" w:color="auto" w:sz="4" w:space="0"/>
              <w:left w:val="single" w:color="auto" w:sz="4" w:space="0"/>
              <w:bottom w:val="single" w:color="auto" w:sz="12" w:space="0"/>
              <w:right w:val="nil"/>
            </w:tcBorders>
            <w:vAlign w:val="center"/>
          </w:tcPr>
          <w:p w14:paraId="4B9F9539">
            <w:pPr>
              <w:pStyle w:val="286"/>
              <w:spacing w:line="300" w:lineRule="exact"/>
              <w:rPr>
                <w:rFonts w:hint="eastAsia" w:ascii="等线" w:hAnsi="等线" w:eastAsia="等线"/>
                <w:sz w:val="22"/>
                <w:szCs w:val="22"/>
              </w:rPr>
            </w:pPr>
            <w:r>
              <w:rPr>
                <w:rFonts w:hint="eastAsia"/>
                <w:sz w:val="21"/>
              </w:rPr>
              <w:t>0.196056</w:t>
            </w:r>
          </w:p>
        </w:tc>
      </w:tr>
    </w:tbl>
    <w:p w14:paraId="64FA2A48">
      <w:pPr>
        <w:pStyle w:val="117"/>
        <w:ind w:firstLine="480"/>
        <w:rPr>
          <w:rFonts w:hint="eastAsia"/>
        </w:rPr>
      </w:pPr>
      <w:r>
        <w:rPr>
          <w:rFonts w:hint="eastAsia"/>
        </w:rPr>
        <w:t>根据上表计算结果可知，</w:t>
      </w:r>
      <w:r>
        <w:t>Q=196056</w:t>
      </w:r>
      <w:r>
        <w:rPr>
          <w:rFonts w:hint="eastAsia"/>
        </w:rPr>
        <w:t>，小于1，判断风险潜势为Ⅰ。根据《建设项目环境风险评价技术导则》（H</w:t>
      </w:r>
      <w:r>
        <w:t>J169-2018</w:t>
      </w:r>
      <w:r>
        <w:rPr>
          <w:rFonts w:hint="eastAsia"/>
        </w:rPr>
        <w:t>）相关要求，根据表2</w:t>
      </w:r>
      <w:r>
        <w:t>.6</w:t>
      </w:r>
      <w:r>
        <w:rPr>
          <w:rFonts w:hint="eastAsia"/>
        </w:rPr>
        <w:t>-</w:t>
      </w:r>
      <w:r>
        <w:t>10</w:t>
      </w:r>
      <w:r>
        <w:rPr>
          <w:rFonts w:hint="eastAsia"/>
        </w:rPr>
        <w:t>判定本次风险评价仅进行简单分析。</w:t>
      </w:r>
    </w:p>
    <w:bookmarkEnd w:id="105"/>
    <w:bookmarkEnd w:id="106"/>
    <w:bookmarkEnd w:id="109"/>
    <w:p w14:paraId="6C34F4D4">
      <w:pPr>
        <w:pStyle w:val="4"/>
        <w:rPr>
          <w:rFonts w:hint="eastAsia"/>
          <w:lang w:val="zh-CN"/>
        </w:rPr>
      </w:pPr>
      <w:bookmarkStart w:id="110" w:name="_Toc445841979"/>
      <w:bookmarkStart w:id="111" w:name="_Toc445996332"/>
      <w:bookmarkStart w:id="112" w:name="_Toc24149"/>
      <w:bookmarkStart w:id="113" w:name="_Toc445840375"/>
      <w:bookmarkStart w:id="114" w:name="_Hlk92203645"/>
      <w:r>
        <w:rPr>
          <w:rFonts w:hint="eastAsia"/>
          <w:lang w:val="zh-CN"/>
        </w:rPr>
        <w:t>评价</w:t>
      </w:r>
      <w:bookmarkEnd w:id="110"/>
      <w:bookmarkEnd w:id="111"/>
      <w:bookmarkEnd w:id="112"/>
      <w:bookmarkEnd w:id="113"/>
      <w:r>
        <w:rPr>
          <w:rFonts w:hint="eastAsia"/>
        </w:rPr>
        <w:t>范围</w:t>
      </w:r>
    </w:p>
    <w:p w14:paraId="7F3A33C5">
      <w:pPr>
        <w:pStyle w:val="117"/>
        <w:spacing w:line="480" w:lineRule="exact"/>
        <w:ind w:firstLine="480"/>
        <w:rPr>
          <w:rFonts w:hint="eastAsia"/>
        </w:rPr>
      </w:pPr>
      <w:r>
        <w:rPr>
          <w:rFonts w:hint="eastAsia"/>
        </w:rPr>
        <w:t>根据各环境要素导则要求，结合周边环境，确定本项目各环境要素的评价范围见表2.</w:t>
      </w:r>
      <w:r>
        <w:t>6</w:t>
      </w:r>
      <w:r>
        <w:rPr>
          <w:rFonts w:hint="eastAsia"/>
        </w:rPr>
        <w:t>-</w:t>
      </w:r>
      <w:r>
        <w:t>12</w:t>
      </w:r>
      <w:r>
        <w:rPr>
          <w:rFonts w:hint="eastAsia"/>
        </w:rPr>
        <w:t>和图2.</w:t>
      </w:r>
      <w:r>
        <w:t>6</w:t>
      </w:r>
      <w:r>
        <w:rPr>
          <w:rFonts w:hint="eastAsia"/>
        </w:rPr>
        <w:t>-1、图2</w:t>
      </w:r>
      <w:r>
        <w:t>.6</w:t>
      </w:r>
      <w:r>
        <w:rPr>
          <w:rFonts w:hint="eastAsia"/>
        </w:rPr>
        <w:t>-</w:t>
      </w:r>
      <w:r>
        <w:t>2</w:t>
      </w:r>
      <w:r>
        <w:rPr>
          <w:rFonts w:hint="eastAsia"/>
        </w:rPr>
        <w:t>。</w:t>
      </w:r>
    </w:p>
    <w:bookmarkEnd w:id="114"/>
    <w:p w14:paraId="71EE31B0">
      <w:pPr>
        <w:pStyle w:val="109"/>
        <w:rPr>
          <w:rFonts w:hint="eastAsia"/>
        </w:rPr>
      </w:pPr>
      <w:bookmarkStart w:id="115" w:name="_Hlk147580904"/>
      <w:r>
        <w:rPr>
          <w:rFonts w:hint="eastAsia"/>
        </w:rPr>
        <w:t>表2.</w:t>
      </w:r>
      <w:r>
        <w:t>6</w:t>
      </w:r>
      <w:r>
        <w:rPr>
          <w:rFonts w:hint="eastAsia"/>
        </w:rPr>
        <w:t>-</w:t>
      </w:r>
      <w:r>
        <w:t>12</w:t>
      </w:r>
      <w:r>
        <w:rPr>
          <w:rFonts w:hint="eastAsia"/>
        </w:rPr>
        <w:t xml:space="preserve">  各环境要素评价范围一览表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1"/>
        <w:gridCol w:w="1308"/>
        <w:gridCol w:w="7057"/>
      </w:tblGrid>
      <w:tr w14:paraId="24F31F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1056" w:type="pct"/>
            <w:gridSpan w:val="2"/>
            <w:vAlign w:val="center"/>
          </w:tcPr>
          <w:p w14:paraId="59F5172F">
            <w:pPr>
              <w:pStyle w:val="278"/>
              <w:adjustRightInd w:val="0"/>
              <w:snapToGrid w:val="0"/>
              <w:spacing w:line="300" w:lineRule="exact"/>
              <w:rPr>
                <w:rFonts w:hint="eastAsia"/>
              </w:rPr>
            </w:pPr>
            <w:r>
              <w:rPr>
                <w:rFonts w:hint="eastAsia"/>
                <w:lang w:bidi="ar"/>
              </w:rPr>
              <w:t>环境要素</w:t>
            </w:r>
          </w:p>
        </w:tc>
        <w:tc>
          <w:tcPr>
            <w:tcW w:w="3944" w:type="pct"/>
            <w:vAlign w:val="center"/>
          </w:tcPr>
          <w:p w14:paraId="2A8755CB">
            <w:pPr>
              <w:pStyle w:val="278"/>
              <w:adjustRightInd w:val="0"/>
              <w:snapToGrid w:val="0"/>
              <w:spacing w:line="300" w:lineRule="exact"/>
              <w:rPr>
                <w:rFonts w:hint="eastAsia"/>
              </w:rPr>
            </w:pPr>
            <w:r>
              <w:rPr>
                <w:rFonts w:hint="eastAsia"/>
                <w:lang w:bidi="ar"/>
              </w:rPr>
              <w:t>范围</w:t>
            </w:r>
          </w:p>
        </w:tc>
      </w:tr>
      <w:tr w14:paraId="352C4A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gridSpan w:val="2"/>
            <w:vAlign w:val="center"/>
          </w:tcPr>
          <w:p w14:paraId="1E1C45AD">
            <w:pPr>
              <w:pStyle w:val="278"/>
              <w:adjustRightInd w:val="0"/>
              <w:snapToGrid w:val="0"/>
              <w:spacing w:line="300" w:lineRule="exact"/>
              <w:rPr>
                <w:rFonts w:hint="eastAsia"/>
              </w:rPr>
            </w:pPr>
            <w:r>
              <w:rPr>
                <w:rFonts w:hint="eastAsia"/>
              </w:rPr>
              <w:t>大</w:t>
            </w:r>
            <w:r>
              <w:t xml:space="preserve">   </w:t>
            </w:r>
            <w:r>
              <w:rPr>
                <w:rFonts w:hint="eastAsia"/>
              </w:rPr>
              <w:t>气</w:t>
            </w:r>
          </w:p>
        </w:tc>
        <w:tc>
          <w:tcPr>
            <w:tcW w:w="3944" w:type="pct"/>
            <w:vAlign w:val="center"/>
          </w:tcPr>
          <w:p w14:paraId="3DA9C661">
            <w:pPr>
              <w:pStyle w:val="278"/>
              <w:adjustRightInd w:val="0"/>
              <w:snapToGrid w:val="0"/>
              <w:spacing w:line="300" w:lineRule="exact"/>
              <w:jc w:val="left"/>
              <w:rPr>
                <w:rFonts w:hint="eastAsia"/>
              </w:rPr>
            </w:pPr>
            <w:r>
              <w:rPr>
                <w:rFonts w:hint="eastAsia"/>
              </w:rPr>
              <w:t>以井场为中心，边长为5</w:t>
            </w:r>
            <w:r>
              <w:t>km</w:t>
            </w:r>
            <w:r>
              <w:rPr>
                <w:rFonts w:hint="eastAsia"/>
              </w:rPr>
              <w:t>矩形形成的包络线。</w:t>
            </w:r>
          </w:p>
        </w:tc>
      </w:tr>
      <w:tr w14:paraId="20A2DF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gridSpan w:val="2"/>
            <w:vAlign w:val="center"/>
          </w:tcPr>
          <w:p w14:paraId="7F324951">
            <w:pPr>
              <w:pStyle w:val="278"/>
              <w:adjustRightInd w:val="0"/>
              <w:snapToGrid w:val="0"/>
              <w:spacing w:line="300" w:lineRule="exact"/>
              <w:rPr>
                <w:rFonts w:hint="eastAsia"/>
              </w:rPr>
            </w:pPr>
            <w:r>
              <w:rPr>
                <w:rFonts w:hint="eastAsia"/>
                <w:lang w:bidi="ar"/>
              </w:rPr>
              <w:t>地 下 水</w:t>
            </w:r>
          </w:p>
        </w:tc>
        <w:tc>
          <w:tcPr>
            <w:tcW w:w="3944" w:type="pct"/>
            <w:vAlign w:val="center"/>
          </w:tcPr>
          <w:p w14:paraId="47339333">
            <w:pPr>
              <w:pStyle w:val="278"/>
              <w:adjustRightInd w:val="0"/>
              <w:snapToGrid w:val="0"/>
              <w:spacing w:line="300" w:lineRule="exact"/>
              <w:jc w:val="left"/>
              <w:rPr>
                <w:rFonts w:hint="eastAsia"/>
              </w:rPr>
            </w:pPr>
            <w:r>
              <w:rPr>
                <w:rFonts w:hint="eastAsia"/>
                <w:lang w:bidi="ar"/>
              </w:rPr>
              <w:t>以地下水流向为长轴，</w:t>
            </w:r>
            <w:r>
              <w:rPr>
                <w:rFonts w:hint="eastAsia"/>
              </w:rPr>
              <w:t>各采油平台中心上游1km、下游3km，水流垂直方向分别外扩1km；各类管线边界两侧向外延伸200m范围。</w:t>
            </w:r>
          </w:p>
        </w:tc>
      </w:tr>
      <w:tr w14:paraId="229575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gridSpan w:val="2"/>
            <w:vAlign w:val="center"/>
          </w:tcPr>
          <w:p w14:paraId="235A636D">
            <w:pPr>
              <w:pStyle w:val="278"/>
              <w:adjustRightInd w:val="0"/>
              <w:snapToGrid w:val="0"/>
              <w:spacing w:line="300" w:lineRule="exact"/>
              <w:rPr>
                <w:rFonts w:hint="eastAsia"/>
                <w:lang w:bidi="ar"/>
              </w:rPr>
            </w:pPr>
            <w:r>
              <w:rPr>
                <w:rFonts w:hint="eastAsia"/>
                <w:lang w:bidi="ar"/>
              </w:rPr>
              <w:t>声 环 境</w:t>
            </w:r>
          </w:p>
        </w:tc>
        <w:tc>
          <w:tcPr>
            <w:tcW w:w="3944" w:type="pct"/>
            <w:vAlign w:val="center"/>
          </w:tcPr>
          <w:p w14:paraId="5DA51EA5">
            <w:pPr>
              <w:pStyle w:val="278"/>
              <w:adjustRightInd w:val="0"/>
              <w:snapToGrid w:val="0"/>
              <w:spacing w:line="300" w:lineRule="exact"/>
              <w:jc w:val="left"/>
              <w:rPr>
                <w:rFonts w:hint="eastAsia"/>
                <w:lang w:bidi="ar"/>
              </w:rPr>
            </w:pPr>
            <w:r>
              <w:rPr>
                <w:rFonts w:hint="eastAsia"/>
                <w:lang w:bidi="ar"/>
              </w:rPr>
              <w:t>项目占地范围内及厂界向外延伸2</w:t>
            </w:r>
            <w:r>
              <w:rPr>
                <w:lang w:bidi="ar"/>
              </w:rPr>
              <w:t>00m</w:t>
            </w:r>
            <w:r>
              <w:rPr>
                <w:rFonts w:hint="eastAsia"/>
                <w:lang w:bidi="ar"/>
              </w:rPr>
              <w:t>范围。</w:t>
            </w:r>
          </w:p>
        </w:tc>
      </w:tr>
      <w:tr w14:paraId="7E0F9C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vAlign w:val="center"/>
          </w:tcPr>
          <w:p w14:paraId="5AD5662E">
            <w:pPr>
              <w:pStyle w:val="278"/>
              <w:adjustRightInd w:val="0"/>
              <w:snapToGrid w:val="0"/>
              <w:spacing w:line="300" w:lineRule="exact"/>
              <w:rPr>
                <w:rFonts w:hint="eastAsia"/>
                <w:lang w:bidi="ar"/>
              </w:rPr>
            </w:pPr>
            <w:r>
              <w:rPr>
                <w:rFonts w:hint="eastAsia"/>
                <w:lang w:bidi="ar"/>
              </w:rPr>
              <w:t>土壤环境</w:t>
            </w:r>
          </w:p>
        </w:tc>
        <w:tc>
          <w:tcPr>
            <w:tcW w:w="731" w:type="pct"/>
            <w:vAlign w:val="center"/>
          </w:tcPr>
          <w:p w14:paraId="47BDE6B3">
            <w:pPr>
              <w:pStyle w:val="278"/>
              <w:adjustRightInd w:val="0"/>
              <w:snapToGrid w:val="0"/>
              <w:spacing w:line="300" w:lineRule="exact"/>
              <w:rPr>
                <w:rFonts w:hint="eastAsia"/>
                <w:lang w:bidi="ar"/>
              </w:rPr>
            </w:pPr>
            <w:r>
              <w:rPr>
                <w:rFonts w:hint="eastAsia"/>
                <w:lang w:bidi="ar"/>
              </w:rPr>
              <w:t>污染影响型</w:t>
            </w:r>
          </w:p>
        </w:tc>
        <w:tc>
          <w:tcPr>
            <w:tcW w:w="3944" w:type="pct"/>
            <w:vAlign w:val="center"/>
          </w:tcPr>
          <w:p w14:paraId="5B4841C2">
            <w:pPr>
              <w:pStyle w:val="278"/>
              <w:adjustRightInd w:val="0"/>
              <w:snapToGrid w:val="0"/>
              <w:spacing w:line="300" w:lineRule="exact"/>
              <w:jc w:val="left"/>
              <w:rPr>
                <w:rFonts w:hint="eastAsia"/>
                <w:lang w:bidi="ar"/>
              </w:rPr>
            </w:pPr>
            <w:r>
              <w:rPr>
                <w:rFonts w:hint="eastAsia"/>
                <w:lang w:bidi="ar"/>
              </w:rPr>
              <w:t>采油井场、计量拉油站占地范围内及厂界向外延伸10</w:t>
            </w:r>
            <w:r>
              <w:rPr>
                <w:lang w:bidi="ar"/>
              </w:rPr>
              <w:t>00m</w:t>
            </w:r>
            <w:r>
              <w:rPr>
                <w:rFonts w:hint="eastAsia"/>
                <w:lang w:bidi="ar"/>
              </w:rPr>
              <w:t>形成的包络线。</w:t>
            </w:r>
          </w:p>
        </w:tc>
      </w:tr>
      <w:tr w14:paraId="3E5FF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37F0B91F">
            <w:pPr>
              <w:pStyle w:val="278"/>
              <w:adjustRightInd w:val="0"/>
              <w:snapToGrid w:val="0"/>
              <w:spacing w:line="300" w:lineRule="exact"/>
              <w:rPr>
                <w:rFonts w:hint="eastAsia"/>
                <w:lang w:bidi="ar"/>
              </w:rPr>
            </w:pPr>
          </w:p>
        </w:tc>
        <w:tc>
          <w:tcPr>
            <w:tcW w:w="731" w:type="pct"/>
            <w:vAlign w:val="center"/>
          </w:tcPr>
          <w:p w14:paraId="28FAA4AB">
            <w:pPr>
              <w:pStyle w:val="278"/>
              <w:adjustRightInd w:val="0"/>
              <w:snapToGrid w:val="0"/>
              <w:spacing w:line="300" w:lineRule="exact"/>
              <w:rPr>
                <w:rFonts w:hint="eastAsia"/>
                <w:lang w:bidi="ar"/>
              </w:rPr>
            </w:pPr>
            <w:r>
              <w:rPr>
                <w:rFonts w:hint="eastAsia"/>
                <w:lang w:bidi="ar"/>
              </w:rPr>
              <w:t>生态影响型</w:t>
            </w:r>
          </w:p>
        </w:tc>
        <w:tc>
          <w:tcPr>
            <w:tcW w:w="3944" w:type="pct"/>
            <w:vAlign w:val="center"/>
          </w:tcPr>
          <w:p w14:paraId="328BF5C2">
            <w:pPr>
              <w:pStyle w:val="278"/>
              <w:adjustRightInd w:val="0"/>
              <w:snapToGrid w:val="0"/>
              <w:spacing w:line="300" w:lineRule="exact"/>
              <w:jc w:val="left"/>
              <w:rPr>
                <w:rFonts w:hint="eastAsia"/>
                <w:lang w:bidi="ar"/>
              </w:rPr>
            </w:pPr>
            <w:r>
              <w:rPr>
                <w:rFonts w:hint="eastAsia"/>
                <w:lang w:bidi="ar"/>
              </w:rPr>
              <w:t>采油井场、计量站拉油占地范围内及厂界向外延伸</w:t>
            </w:r>
            <w:r>
              <w:rPr>
                <w:lang w:bidi="ar"/>
              </w:rPr>
              <w:t>5</w:t>
            </w:r>
            <w:r>
              <w:rPr>
                <w:rFonts w:hint="eastAsia"/>
                <w:lang w:bidi="ar"/>
              </w:rPr>
              <w:t>k</w:t>
            </w:r>
            <w:r>
              <w:rPr>
                <w:lang w:bidi="ar"/>
              </w:rPr>
              <w:t>m</w:t>
            </w:r>
            <w:r>
              <w:rPr>
                <w:rFonts w:hint="eastAsia"/>
                <w:lang w:bidi="ar"/>
              </w:rPr>
              <w:t>形成的包络线。</w:t>
            </w:r>
          </w:p>
        </w:tc>
      </w:tr>
      <w:tr w14:paraId="1D7335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01CC8658">
            <w:pPr>
              <w:pStyle w:val="278"/>
              <w:adjustRightInd w:val="0"/>
              <w:snapToGrid w:val="0"/>
              <w:spacing w:line="300" w:lineRule="exact"/>
              <w:rPr>
                <w:rFonts w:hint="eastAsia"/>
                <w:lang w:bidi="ar"/>
              </w:rPr>
            </w:pPr>
          </w:p>
        </w:tc>
        <w:tc>
          <w:tcPr>
            <w:tcW w:w="731" w:type="pct"/>
            <w:vAlign w:val="center"/>
          </w:tcPr>
          <w:p w14:paraId="1E4A7FEA">
            <w:pPr>
              <w:pStyle w:val="278"/>
              <w:adjustRightInd w:val="0"/>
              <w:snapToGrid w:val="0"/>
              <w:spacing w:line="300" w:lineRule="exact"/>
              <w:rPr>
                <w:rFonts w:hint="eastAsia"/>
                <w:lang w:bidi="ar"/>
              </w:rPr>
            </w:pPr>
            <w:r>
              <w:rPr>
                <w:rFonts w:hint="eastAsia"/>
                <w:lang w:bidi="ar"/>
              </w:rPr>
              <w:t>管线</w:t>
            </w:r>
          </w:p>
        </w:tc>
        <w:tc>
          <w:tcPr>
            <w:tcW w:w="3944" w:type="pct"/>
            <w:vAlign w:val="center"/>
          </w:tcPr>
          <w:p w14:paraId="2B19F25A">
            <w:pPr>
              <w:pStyle w:val="278"/>
              <w:adjustRightInd w:val="0"/>
              <w:snapToGrid w:val="0"/>
              <w:spacing w:line="300" w:lineRule="exact"/>
              <w:jc w:val="left"/>
              <w:rPr>
                <w:rFonts w:hint="eastAsia"/>
                <w:lang w:bidi="ar"/>
              </w:rPr>
            </w:pPr>
            <w:r>
              <w:rPr>
                <w:rFonts w:hint="eastAsia"/>
                <w:lang w:bidi="ar"/>
              </w:rPr>
              <w:t>单井采油管线和集油干支线边界两侧向外延伸2</w:t>
            </w:r>
            <w:r>
              <w:rPr>
                <w:lang w:bidi="ar"/>
              </w:rPr>
              <w:t>00m</w:t>
            </w:r>
            <w:r>
              <w:rPr>
                <w:rFonts w:hint="eastAsia"/>
                <w:lang w:bidi="ar"/>
              </w:rPr>
              <w:t>范围。</w:t>
            </w:r>
          </w:p>
        </w:tc>
      </w:tr>
      <w:tr w14:paraId="3FBB5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gridSpan w:val="2"/>
            <w:vAlign w:val="center"/>
          </w:tcPr>
          <w:p w14:paraId="67EA4BAD">
            <w:pPr>
              <w:pStyle w:val="278"/>
              <w:adjustRightInd w:val="0"/>
              <w:snapToGrid w:val="0"/>
              <w:spacing w:line="300" w:lineRule="exact"/>
              <w:rPr>
                <w:rFonts w:hint="eastAsia"/>
                <w:lang w:bidi="ar"/>
              </w:rPr>
            </w:pPr>
            <w:r>
              <w:rPr>
                <w:rFonts w:hint="eastAsia"/>
                <w:lang w:bidi="ar"/>
              </w:rPr>
              <w:t>生态环境</w:t>
            </w:r>
          </w:p>
        </w:tc>
        <w:tc>
          <w:tcPr>
            <w:tcW w:w="3944" w:type="pct"/>
            <w:vAlign w:val="center"/>
          </w:tcPr>
          <w:p w14:paraId="22660ADC">
            <w:pPr>
              <w:pStyle w:val="278"/>
              <w:adjustRightInd w:val="0"/>
              <w:snapToGrid w:val="0"/>
              <w:spacing w:line="300" w:lineRule="exact"/>
              <w:jc w:val="left"/>
              <w:rPr>
                <w:rFonts w:hint="eastAsia"/>
                <w:lang w:bidi="ar"/>
              </w:rPr>
            </w:pPr>
            <w:r>
              <w:rPr>
                <w:rFonts w:hint="eastAsia"/>
                <w:lang w:bidi="ar"/>
              </w:rPr>
              <w:t>采油井场、计量站厂界周围5</w:t>
            </w:r>
            <w:r>
              <w:rPr>
                <w:lang w:bidi="ar"/>
              </w:rPr>
              <w:t>0</w:t>
            </w:r>
            <w:r>
              <w:rPr>
                <w:rFonts w:hint="eastAsia"/>
                <w:lang w:bidi="ar"/>
              </w:rPr>
              <w:t>m范围内，单井采油管线和集油干支线两侧外延3</w:t>
            </w:r>
            <w:r>
              <w:rPr>
                <w:lang w:bidi="ar"/>
              </w:rPr>
              <w:t>00m</w:t>
            </w:r>
            <w:r>
              <w:rPr>
                <w:rFonts w:hint="eastAsia"/>
                <w:lang w:bidi="ar"/>
              </w:rPr>
              <w:t>。</w:t>
            </w:r>
          </w:p>
        </w:tc>
      </w:tr>
      <w:tr w14:paraId="1942CF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gridSpan w:val="2"/>
            <w:vAlign w:val="center"/>
          </w:tcPr>
          <w:p w14:paraId="116C7E85">
            <w:pPr>
              <w:pStyle w:val="278"/>
              <w:adjustRightInd w:val="0"/>
              <w:snapToGrid w:val="0"/>
              <w:spacing w:line="300" w:lineRule="exact"/>
              <w:rPr>
                <w:rFonts w:hint="eastAsia"/>
                <w:lang w:bidi="ar"/>
              </w:rPr>
            </w:pPr>
            <w:r>
              <w:rPr>
                <w:rFonts w:hint="eastAsia"/>
                <w:lang w:bidi="ar"/>
              </w:rPr>
              <w:t>环境风险</w:t>
            </w:r>
          </w:p>
        </w:tc>
        <w:tc>
          <w:tcPr>
            <w:tcW w:w="3944" w:type="pct"/>
            <w:vAlign w:val="center"/>
          </w:tcPr>
          <w:p w14:paraId="0A3E7608">
            <w:pPr>
              <w:pStyle w:val="278"/>
              <w:adjustRightInd w:val="0"/>
              <w:snapToGrid w:val="0"/>
              <w:spacing w:line="300" w:lineRule="exact"/>
              <w:jc w:val="left"/>
              <w:rPr>
                <w:rFonts w:hint="eastAsia"/>
                <w:lang w:bidi="ar"/>
              </w:rPr>
            </w:pPr>
            <w:r>
              <w:rPr>
                <w:rFonts w:hint="eastAsia"/>
                <w:lang w:bidi="ar"/>
              </w:rPr>
              <w:t>不设评价范围</w:t>
            </w:r>
          </w:p>
        </w:tc>
      </w:tr>
      <w:bookmarkEnd w:id="115"/>
    </w:tbl>
    <w:p w14:paraId="259DE8AA">
      <w:pPr>
        <w:pStyle w:val="2"/>
        <w:rPr>
          <w:rFonts w:hint="eastAsia"/>
        </w:rPr>
      </w:pPr>
      <w:bookmarkStart w:id="116" w:name="_Toc160381868"/>
      <w:r>
        <w:rPr>
          <w:rFonts w:hint="eastAsia"/>
        </w:rPr>
        <w:t>环境保护目标</w:t>
      </w:r>
      <w:bookmarkEnd w:id="116"/>
    </w:p>
    <w:p w14:paraId="35F398D3">
      <w:pPr>
        <w:pStyle w:val="117"/>
        <w:ind w:firstLine="480"/>
        <w:rPr>
          <w:rFonts w:hint="eastAsia"/>
          <w:lang w:val="zh-CN"/>
        </w:rPr>
      </w:pPr>
      <w:r>
        <w:rPr>
          <w:rFonts w:hint="eastAsia"/>
          <w:lang w:val="zh-CN"/>
        </w:rPr>
        <w:t>根据现场调查，评价范围内无</w:t>
      </w:r>
      <w:r>
        <w:rPr>
          <w:rFonts w:hint="eastAsia"/>
        </w:rPr>
        <w:t>自然保护区、风景名胜区、世界文化和自然遗产、海洋特别保护区、饮用水水源保护区，无基本草原、自然公园、重要湿地、天然林、重点保护野生动物栖息地、重点保护野生植物生长繁殖地</w:t>
      </w:r>
      <w:r>
        <w:rPr>
          <w:rFonts w:hint="eastAsia"/>
          <w:lang w:val="zh-CN"/>
        </w:rPr>
        <w:t>；生态环境保护目标为评价范围内的水土流失重点治理区和国家公益林，大气环境保护目标为居民区，土壤环境保护目标为一般耕地和天然牧草地。</w:t>
      </w:r>
      <w:r>
        <w:rPr>
          <w:rFonts w:hint="eastAsia"/>
        </w:rPr>
        <w:t>各环境要素</w:t>
      </w:r>
      <w:r>
        <w:rPr>
          <w:rFonts w:hint="eastAsia"/>
          <w:lang w:val="zh-CN"/>
        </w:rPr>
        <w:t>保护级别见表</w:t>
      </w:r>
      <w:r>
        <w:rPr>
          <w:rFonts w:hint="eastAsia"/>
        </w:rPr>
        <w:t>2.</w:t>
      </w:r>
      <w:r>
        <w:t>7</w:t>
      </w:r>
      <w:r>
        <w:rPr>
          <w:rFonts w:hint="eastAsia"/>
        </w:rPr>
        <w:t>-1和图2</w:t>
      </w:r>
      <w:r>
        <w:t>.7</w:t>
      </w:r>
      <w:r>
        <w:rPr>
          <w:rFonts w:hint="eastAsia"/>
        </w:rPr>
        <w:t>-</w:t>
      </w:r>
      <w:r>
        <w:t>1</w:t>
      </w:r>
      <w:r>
        <w:rPr>
          <w:rFonts w:hint="eastAsia"/>
        </w:rPr>
        <w:t>、图2.7-2</w:t>
      </w:r>
      <w:r>
        <w:rPr>
          <w:lang w:val="zh-CN"/>
        </w:rPr>
        <w:t>。</w:t>
      </w:r>
    </w:p>
    <w:p w14:paraId="11442A5F">
      <w:pPr>
        <w:pStyle w:val="15"/>
        <w:rPr>
          <w:rFonts w:hint="eastAsia"/>
          <w:lang w:val="zh-CN"/>
        </w:rPr>
      </w:pPr>
      <w:bookmarkStart w:id="117" w:name="_Ref78387040"/>
      <w:r>
        <w:rPr>
          <w:rFonts w:hint="eastAsia"/>
        </w:rPr>
        <w:t>表2</w:t>
      </w:r>
      <w:r>
        <w:t>.7-1</w:t>
      </w:r>
      <w:r>
        <w:rPr>
          <w:rFonts w:hint="eastAsia"/>
        </w:rPr>
        <w:t xml:space="preserve">  环境保护目标一览表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3"/>
        <w:gridCol w:w="2554"/>
        <w:gridCol w:w="1699"/>
        <w:gridCol w:w="3344"/>
      </w:tblGrid>
      <w:tr w14:paraId="73B9D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tcMar>
              <w:left w:w="0" w:type="dxa"/>
              <w:right w:w="0" w:type="dxa"/>
            </w:tcMar>
            <w:vAlign w:val="center"/>
          </w:tcPr>
          <w:p w14:paraId="7F1A4278">
            <w:pPr>
              <w:pStyle w:val="278"/>
              <w:adjustRightInd w:val="0"/>
              <w:snapToGrid w:val="0"/>
              <w:spacing w:line="300" w:lineRule="exact"/>
              <w:rPr>
                <w:rFonts w:hint="eastAsia"/>
              </w:rPr>
            </w:pPr>
            <w:r>
              <w:rPr>
                <w:rFonts w:hint="eastAsia"/>
              </w:rPr>
              <w:t>保护要素</w:t>
            </w:r>
          </w:p>
        </w:tc>
        <w:tc>
          <w:tcPr>
            <w:tcW w:w="1463" w:type="pct"/>
            <w:tcMar>
              <w:left w:w="0" w:type="dxa"/>
              <w:right w:w="0" w:type="dxa"/>
            </w:tcMar>
            <w:vAlign w:val="center"/>
          </w:tcPr>
          <w:p w14:paraId="2D74EC22">
            <w:pPr>
              <w:pStyle w:val="278"/>
              <w:adjustRightInd w:val="0"/>
              <w:snapToGrid w:val="0"/>
              <w:spacing w:line="300" w:lineRule="exact"/>
              <w:rPr>
                <w:rFonts w:hint="eastAsia"/>
              </w:rPr>
            </w:pPr>
            <w:r>
              <w:rPr>
                <w:rFonts w:hint="eastAsia"/>
              </w:rPr>
              <w:t>环境保护目标</w:t>
            </w:r>
          </w:p>
        </w:tc>
        <w:tc>
          <w:tcPr>
            <w:tcW w:w="973" w:type="pct"/>
            <w:tcMar>
              <w:left w:w="0" w:type="dxa"/>
              <w:right w:w="0" w:type="dxa"/>
            </w:tcMar>
            <w:vAlign w:val="center"/>
          </w:tcPr>
          <w:p w14:paraId="7993959C">
            <w:pPr>
              <w:pStyle w:val="278"/>
              <w:adjustRightInd w:val="0"/>
              <w:snapToGrid w:val="0"/>
              <w:spacing w:line="300" w:lineRule="exact"/>
              <w:rPr>
                <w:rFonts w:hint="eastAsia"/>
              </w:rPr>
            </w:pPr>
            <w:r>
              <w:rPr>
                <w:rFonts w:hint="eastAsia"/>
              </w:rPr>
              <w:t>与项目区的位置关系</w:t>
            </w:r>
          </w:p>
        </w:tc>
        <w:tc>
          <w:tcPr>
            <w:tcW w:w="1915" w:type="pct"/>
            <w:tcMar>
              <w:left w:w="0" w:type="dxa"/>
              <w:right w:w="0" w:type="dxa"/>
            </w:tcMar>
            <w:vAlign w:val="center"/>
          </w:tcPr>
          <w:p w14:paraId="2DDF89E5">
            <w:pPr>
              <w:pStyle w:val="278"/>
              <w:adjustRightInd w:val="0"/>
              <w:snapToGrid w:val="0"/>
              <w:spacing w:line="300" w:lineRule="exact"/>
              <w:rPr>
                <w:rFonts w:hint="eastAsia"/>
              </w:rPr>
            </w:pPr>
            <w:r>
              <w:rPr>
                <w:rFonts w:hint="eastAsia"/>
              </w:rPr>
              <w:t>各要素保护级别及要求</w:t>
            </w:r>
          </w:p>
        </w:tc>
      </w:tr>
      <w:tr w14:paraId="429E2D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restart"/>
            <w:shd w:val="clear" w:color="auto" w:fill="auto"/>
            <w:tcMar>
              <w:left w:w="0" w:type="dxa"/>
              <w:right w:w="0" w:type="dxa"/>
            </w:tcMar>
            <w:vAlign w:val="center"/>
          </w:tcPr>
          <w:p w14:paraId="3AC7E7CB">
            <w:pPr>
              <w:pStyle w:val="278"/>
              <w:adjustRightInd w:val="0"/>
              <w:snapToGrid w:val="0"/>
              <w:spacing w:line="300" w:lineRule="exact"/>
              <w:rPr>
                <w:rFonts w:hint="eastAsia"/>
              </w:rPr>
            </w:pPr>
            <w:r>
              <w:rPr>
                <w:rFonts w:hint="eastAsia"/>
              </w:rPr>
              <w:t>环境空气</w:t>
            </w:r>
          </w:p>
        </w:tc>
        <w:tc>
          <w:tcPr>
            <w:tcW w:w="1463" w:type="pct"/>
            <w:shd w:val="clear" w:color="auto" w:fill="auto"/>
            <w:tcMar>
              <w:left w:w="0" w:type="dxa"/>
              <w:right w:w="0" w:type="dxa"/>
            </w:tcMar>
            <w:vAlign w:val="center"/>
          </w:tcPr>
          <w:p w14:paraId="22141E9B">
            <w:pPr>
              <w:pStyle w:val="278"/>
              <w:adjustRightInd w:val="0"/>
              <w:snapToGrid w:val="0"/>
              <w:spacing w:line="300" w:lineRule="exact"/>
              <w:rPr>
                <w:rFonts w:hint="eastAsia"/>
              </w:rPr>
            </w:pPr>
            <w:r>
              <w:rPr>
                <w:rFonts w:hint="eastAsia"/>
              </w:rPr>
              <w:t>评价范围内的环境空气质量</w:t>
            </w:r>
          </w:p>
        </w:tc>
        <w:tc>
          <w:tcPr>
            <w:tcW w:w="973" w:type="pct"/>
            <w:shd w:val="clear" w:color="auto" w:fill="auto"/>
            <w:tcMar>
              <w:left w:w="0" w:type="dxa"/>
              <w:right w:w="0" w:type="dxa"/>
            </w:tcMar>
            <w:vAlign w:val="center"/>
          </w:tcPr>
          <w:p w14:paraId="78E6DB33">
            <w:pPr>
              <w:pStyle w:val="278"/>
              <w:adjustRightInd w:val="0"/>
              <w:snapToGrid w:val="0"/>
              <w:spacing w:line="300" w:lineRule="exact"/>
              <w:rPr>
                <w:rFonts w:hint="eastAsia"/>
              </w:rPr>
            </w:pPr>
            <w:r>
              <w:rPr>
                <w:rFonts w:hint="eastAsia"/>
              </w:rPr>
              <w:t>/</w:t>
            </w:r>
          </w:p>
        </w:tc>
        <w:tc>
          <w:tcPr>
            <w:tcW w:w="1915" w:type="pct"/>
            <w:vMerge w:val="restart"/>
            <w:shd w:val="clear" w:color="auto" w:fill="auto"/>
            <w:tcMar>
              <w:left w:w="0" w:type="dxa"/>
              <w:right w:w="0" w:type="dxa"/>
            </w:tcMar>
            <w:vAlign w:val="center"/>
          </w:tcPr>
          <w:p w14:paraId="4B742AE3">
            <w:pPr>
              <w:pStyle w:val="278"/>
              <w:adjustRightInd w:val="0"/>
              <w:snapToGrid w:val="0"/>
              <w:spacing w:line="300" w:lineRule="exact"/>
              <w:rPr>
                <w:rFonts w:hint="eastAsia"/>
              </w:rPr>
            </w:pPr>
            <w:r>
              <w:t>GB3095-2012 二级</w:t>
            </w:r>
          </w:p>
        </w:tc>
      </w:tr>
      <w:tr w14:paraId="6530B6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shd w:val="clear" w:color="auto" w:fill="auto"/>
            <w:tcMar>
              <w:left w:w="0" w:type="dxa"/>
              <w:right w:w="0" w:type="dxa"/>
            </w:tcMar>
            <w:vAlign w:val="center"/>
          </w:tcPr>
          <w:p w14:paraId="49554A78">
            <w:pPr>
              <w:pStyle w:val="278"/>
              <w:adjustRightInd w:val="0"/>
              <w:snapToGrid w:val="0"/>
              <w:spacing w:line="300" w:lineRule="exact"/>
              <w:rPr>
                <w:rFonts w:hint="eastAsia"/>
              </w:rPr>
            </w:pPr>
          </w:p>
        </w:tc>
        <w:tc>
          <w:tcPr>
            <w:tcW w:w="1463" w:type="pct"/>
            <w:shd w:val="clear" w:color="auto" w:fill="auto"/>
            <w:tcMar>
              <w:left w:w="0" w:type="dxa"/>
              <w:right w:w="0" w:type="dxa"/>
            </w:tcMar>
            <w:vAlign w:val="center"/>
          </w:tcPr>
          <w:p w14:paraId="6816C837">
            <w:pPr>
              <w:pStyle w:val="278"/>
              <w:adjustRightInd w:val="0"/>
              <w:snapToGrid w:val="0"/>
              <w:spacing w:line="300" w:lineRule="exact"/>
              <w:rPr>
                <w:rFonts w:hint="eastAsia"/>
              </w:rPr>
            </w:pPr>
            <w:r>
              <w:rPr>
                <w:rFonts w:hint="eastAsia"/>
              </w:rPr>
              <w:t>四厂湖（N</w:t>
            </w:r>
            <w:r>
              <w:t>44°11'39.40"</w:t>
            </w:r>
            <w:r>
              <w:rPr>
                <w:rFonts w:hint="eastAsia"/>
              </w:rPr>
              <w:t>、E</w:t>
            </w:r>
            <w:r>
              <w:t>89°8'10.67"</w:t>
            </w:r>
            <w:r>
              <w:rPr>
                <w:rFonts w:hint="eastAsia"/>
              </w:rPr>
              <w:t>）</w:t>
            </w:r>
          </w:p>
        </w:tc>
        <w:tc>
          <w:tcPr>
            <w:tcW w:w="973" w:type="pct"/>
            <w:shd w:val="clear" w:color="auto" w:fill="auto"/>
            <w:tcMar>
              <w:left w:w="0" w:type="dxa"/>
              <w:right w:w="0" w:type="dxa"/>
            </w:tcMar>
            <w:vAlign w:val="center"/>
          </w:tcPr>
          <w:p w14:paraId="4D0BD207">
            <w:pPr>
              <w:pStyle w:val="278"/>
              <w:adjustRightInd w:val="0"/>
              <w:snapToGrid w:val="0"/>
              <w:spacing w:line="300" w:lineRule="exact"/>
              <w:rPr>
                <w:rFonts w:hint="eastAsia"/>
              </w:rPr>
            </w:pPr>
            <w:bookmarkStart w:id="118" w:name="OLE_LINK400"/>
            <w:r>
              <w:rPr>
                <w:rFonts w:hint="eastAsia"/>
              </w:rPr>
              <w:t>项目区西侧最近距离1.7km</w:t>
            </w:r>
            <w:bookmarkEnd w:id="118"/>
          </w:p>
        </w:tc>
        <w:tc>
          <w:tcPr>
            <w:tcW w:w="1915" w:type="pct"/>
            <w:vMerge w:val="continue"/>
            <w:shd w:val="clear" w:color="auto" w:fill="auto"/>
            <w:tcMar>
              <w:left w:w="0" w:type="dxa"/>
              <w:right w:w="0" w:type="dxa"/>
            </w:tcMar>
            <w:vAlign w:val="center"/>
          </w:tcPr>
          <w:p w14:paraId="59852D89">
            <w:pPr>
              <w:pStyle w:val="278"/>
              <w:adjustRightInd w:val="0"/>
              <w:snapToGrid w:val="0"/>
              <w:spacing w:line="300" w:lineRule="exact"/>
              <w:rPr>
                <w:rFonts w:hint="eastAsia"/>
              </w:rPr>
            </w:pPr>
          </w:p>
        </w:tc>
      </w:tr>
      <w:tr w14:paraId="16F9DB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shd w:val="clear" w:color="auto" w:fill="auto"/>
            <w:tcMar>
              <w:left w:w="0" w:type="dxa"/>
              <w:right w:w="0" w:type="dxa"/>
            </w:tcMar>
            <w:vAlign w:val="center"/>
          </w:tcPr>
          <w:p w14:paraId="18CA2BFA">
            <w:pPr>
              <w:pStyle w:val="278"/>
              <w:adjustRightInd w:val="0"/>
              <w:snapToGrid w:val="0"/>
              <w:spacing w:line="300" w:lineRule="exact"/>
              <w:rPr>
                <w:rFonts w:hint="eastAsia"/>
              </w:rPr>
            </w:pPr>
          </w:p>
        </w:tc>
        <w:tc>
          <w:tcPr>
            <w:tcW w:w="1463" w:type="pct"/>
            <w:shd w:val="clear" w:color="auto" w:fill="auto"/>
            <w:tcMar>
              <w:left w:w="0" w:type="dxa"/>
              <w:right w:w="0" w:type="dxa"/>
            </w:tcMar>
            <w:vAlign w:val="center"/>
          </w:tcPr>
          <w:p w14:paraId="1F05D5D0">
            <w:pPr>
              <w:pStyle w:val="278"/>
              <w:adjustRightInd w:val="0"/>
              <w:snapToGrid w:val="0"/>
              <w:spacing w:line="300" w:lineRule="exact"/>
              <w:rPr>
                <w:rFonts w:hint="eastAsia"/>
              </w:rPr>
            </w:pPr>
            <w:r>
              <w:rPr>
                <w:rFonts w:hint="eastAsia"/>
              </w:rPr>
              <w:t>农一连（N</w:t>
            </w:r>
            <w:r>
              <w:t>44°12'32.91"</w:t>
            </w:r>
            <w:r>
              <w:rPr>
                <w:rFonts w:hint="eastAsia"/>
              </w:rPr>
              <w:t>、</w:t>
            </w:r>
            <w:r>
              <w:t xml:space="preserve"> </w:t>
            </w:r>
            <w:r>
              <w:rPr>
                <w:rFonts w:hint="eastAsia"/>
              </w:rPr>
              <w:t>E</w:t>
            </w:r>
            <w:r>
              <w:t>89°7'47.27"</w:t>
            </w:r>
            <w:r>
              <w:rPr>
                <w:rFonts w:hint="eastAsia"/>
              </w:rPr>
              <w:t>）</w:t>
            </w:r>
          </w:p>
        </w:tc>
        <w:tc>
          <w:tcPr>
            <w:tcW w:w="973" w:type="pct"/>
            <w:shd w:val="clear" w:color="auto" w:fill="auto"/>
            <w:tcMar>
              <w:left w:w="0" w:type="dxa"/>
              <w:right w:w="0" w:type="dxa"/>
            </w:tcMar>
            <w:vAlign w:val="center"/>
          </w:tcPr>
          <w:p w14:paraId="3DE844AF">
            <w:pPr>
              <w:pStyle w:val="278"/>
              <w:adjustRightInd w:val="0"/>
              <w:snapToGrid w:val="0"/>
              <w:spacing w:line="300" w:lineRule="exact"/>
              <w:rPr>
                <w:rFonts w:hint="eastAsia"/>
              </w:rPr>
            </w:pPr>
            <w:r>
              <w:rPr>
                <w:rFonts w:hint="eastAsia"/>
              </w:rPr>
              <w:t>项目区西北侧最近距离2.6km</w:t>
            </w:r>
          </w:p>
        </w:tc>
        <w:tc>
          <w:tcPr>
            <w:tcW w:w="1915" w:type="pct"/>
            <w:vMerge w:val="continue"/>
            <w:shd w:val="clear" w:color="auto" w:fill="auto"/>
            <w:tcMar>
              <w:left w:w="0" w:type="dxa"/>
              <w:right w:w="0" w:type="dxa"/>
            </w:tcMar>
            <w:vAlign w:val="center"/>
          </w:tcPr>
          <w:p w14:paraId="129FC94A">
            <w:pPr>
              <w:pStyle w:val="278"/>
              <w:adjustRightInd w:val="0"/>
              <w:snapToGrid w:val="0"/>
              <w:spacing w:line="300" w:lineRule="exact"/>
              <w:rPr>
                <w:rFonts w:hint="eastAsia"/>
              </w:rPr>
            </w:pPr>
          </w:p>
        </w:tc>
      </w:tr>
      <w:tr w14:paraId="668C65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restart"/>
            <w:tcMar>
              <w:left w:w="0" w:type="dxa"/>
              <w:right w:w="0" w:type="dxa"/>
            </w:tcMar>
            <w:vAlign w:val="center"/>
          </w:tcPr>
          <w:p w14:paraId="0A77B85F">
            <w:pPr>
              <w:pStyle w:val="278"/>
              <w:adjustRightInd w:val="0"/>
              <w:snapToGrid w:val="0"/>
              <w:spacing w:line="300" w:lineRule="exact"/>
              <w:rPr>
                <w:rFonts w:hint="eastAsia"/>
              </w:rPr>
            </w:pPr>
            <w:r>
              <w:rPr>
                <w:rFonts w:hint="eastAsia"/>
              </w:rPr>
              <w:t>土壤环境</w:t>
            </w:r>
          </w:p>
        </w:tc>
        <w:tc>
          <w:tcPr>
            <w:tcW w:w="1463" w:type="pct"/>
            <w:tcMar>
              <w:left w:w="0" w:type="dxa"/>
              <w:right w:w="0" w:type="dxa"/>
            </w:tcMar>
            <w:vAlign w:val="center"/>
          </w:tcPr>
          <w:p w14:paraId="2DE8C5BE">
            <w:pPr>
              <w:pStyle w:val="278"/>
              <w:adjustRightInd w:val="0"/>
              <w:snapToGrid w:val="0"/>
              <w:spacing w:line="300" w:lineRule="exact"/>
              <w:rPr>
                <w:rFonts w:hint="eastAsia"/>
              </w:rPr>
            </w:pPr>
            <w:r>
              <w:rPr>
                <w:rFonts w:hint="eastAsia"/>
              </w:rPr>
              <w:t>占地范围内和占地范围外的土壤</w:t>
            </w:r>
          </w:p>
        </w:tc>
        <w:tc>
          <w:tcPr>
            <w:tcW w:w="973" w:type="pct"/>
            <w:tcMar>
              <w:left w:w="0" w:type="dxa"/>
              <w:right w:w="0" w:type="dxa"/>
            </w:tcMar>
            <w:vAlign w:val="center"/>
          </w:tcPr>
          <w:p w14:paraId="55F6CA76">
            <w:pPr>
              <w:pStyle w:val="278"/>
              <w:adjustRightInd w:val="0"/>
              <w:snapToGrid w:val="0"/>
              <w:spacing w:line="300" w:lineRule="exact"/>
              <w:rPr>
                <w:rFonts w:hint="eastAsia"/>
              </w:rPr>
            </w:pPr>
            <w:r>
              <w:rPr>
                <w:rFonts w:hint="eastAsia"/>
              </w:rPr>
              <w:t>/</w:t>
            </w:r>
          </w:p>
        </w:tc>
        <w:tc>
          <w:tcPr>
            <w:tcW w:w="1915" w:type="pct"/>
            <w:tcMar>
              <w:left w:w="0" w:type="dxa"/>
              <w:right w:w="0" w:type="dxa"/>
            </w:tcMar>
            <w:vAlign w:val="center"/>
          </w:tcPr>
          <w:p w14:paraId="77C1F2CC">
            <w:pPr>
              <w:pStyle w:val="278"/>
              <w:adjustRightInd w:val="0"/>
              <w:snapToGrid w:val="0"/>
              <w:spacing w:line="300" w:lineRule="exact"/>
              <w:rPr>
                <w:rFonts w:hint="eastAsia"/>
              </w:rPr>
            </w:pPr>
            <w:r>
              <w:t>GB36600-2018</w:t>
            </w:r>
            <w:r>
              <w:rPr>
                <w:rFonts w:hint="eastAsia"/>
              </w:rPr>
              <w:t xml:space="preserve"> 第二类用地筛选值</w:t>
            </w:r>
            <w:r>
              <w:t>标准</w:t>
            </w:r>
            <w:r>
              <w:rPr>
                <w:rFonts w:hint="eastAsia"/>
              </w:rPr>
              <w:t>和</w:t>
            </w:r>
            <w:r>
              <w:rPr>
                <w:rFonts w:cs="宋体"/>
              </w:rPr>
              <w:t>GB15618-2018</w:t>
            </w:r>
            <w:r>
              <w:rPr>
                <w:rFonts w:hint="eastAsia" w:cs="宋体"/>
              </w:rPr>
              <w:t xml:space="preserve">  表1</w:t>
            </w:r>
          </w:p>
        </w:tc>
      </w:tr>
      <w:tr w14:paraId="1284A3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tcMar>
              <w:left w:w="0" w:type="dxa"/>
              <w:right w:w="0" w:type="dxa"/>
            </w:tcMar>
            <w:vAlign w:val="center"/>
          </w:tcPr>
          <w:p w14:paraId="331D2254">
            <w:pPr>
              <w:pStyle w:val="278"/>
              <w:adjustRightInd w:val="0"/>
              <w:snapToGrid w:val="0"/>
              <w:spacing w:line="300" w:lineRule="exact"/>
              <w:rPr>
                <w:rFonts w:hint="eastAsia"/>
              </w:rPr>
            </w:pPr>
          </w:p>
        </w:tc>
        <w:tc>
          <w:tcPr>
            <w:tcW w:w="1463" w:type="pct"/>
            <w:tcMar>
              <w:left w:w="0" w:type="dxa"/>
              <w:right w:w="0" w:type="dxa"/>
            </w:tcMar>
            <w:vAlign w:val="center"/>
          </w:tcPr>
          <w:p w14:paraId="7FBACEC6">
            <w:pPr>
              <w:pStyle w:val="278"/>
              <w:adjustRightInd w:val="0"/>
              <w:snapToGrid w:val="0"/>
              <w:spacing w:line="300" w:lineRule="exact"/>
              <w:rPr>
                <w:rFonts w:hint="eastAsia"/>
              </w:rPr>
            </w:pPr>
            <w:r>
              <w:rPr>
                <w:rFonts w:hint="eastAsia"/>
              </w:rPr>
              <w:t>一般耕地</w:t>
            </w:r>
          </w:p>
        </w:tc>
        <w:tc>
          <w:tcPr>
            <w:tcW w:w="973" w:type="pct"/>
            <w:vMerge w:val="restart"/>
            <w:tcMar>
              <w:left w:w="0" w:type="dxa"/>
              <w:right w:w="0" w:type="dxa"/>
            </w:tcMar>
            <w:vAlign w:val="center"/>
          </w:tcPr>
          <w:p w14:paraId="3C9B6F1A">
            <w:pPr>
              <w:pStyle w:val="278"/>
              <w:adjustRightInd w:val="0"/>
              <w:snapToGrid w:val="0"/>
              <w:spacing w:line="300" w:lineRule="exact"/>
              <w:rPr>
                <w:rFonts w:hint="eastAsia"/>
              </w:rPr>
            </w:pPr>
            <w:r>
              <w:rPr>
                <w:rFonts w:hint="eastAsia"/>
              </w:rPr>
              <w:t>项目区及周边区域</w:t>
            </w:r>
          </w:p>
        </w:tc>
        <w:tc>
          <w:tcPr>
            <w:tcW w:w="1915" w:type="pct"/>
            <w:vMerge w:val="restart"/>
            <w:tcMar>
              <w:left w:w="0" w:type="dxa"/>
              <w:right w:w="0" w:type="dxa"/>
            </w:tcMar>
            <w:vAlign w:val="center"/>
          </w:tcPr>
          <w:p w14:paraId="320204F3">
            <w:pPr>
              <w:pStyle w:val="278"/>
              <w:adjustRightInd w:val="0"/>
              <w:snapToGrid w:val="0"/>
              <w:spacing w:line="300" w:lineRule="exact"/>
              <w:rPr>
                <w:rFonts w:hint="eastAsia" w:cs="宋体"/>
              </w:rPr>
            </w:pPr>
            <w:r>
              <w:rPr>
                <w:rFonts w:cs="宋体"/>
              </w:rPr>
              <w:t>GB15618-2018</w:t>
            </w:r>
            <w:r>
              <w:rPr>
                <w:rFonts w:hint="eastAsia" w:cs="宋体"/>
              </w:rPr>
              <w:t xml:space="preserve">  表1</w:t>
            </w:r>
          </w:p>
        </w:tc>
      </w:tr>
      <w:tr w14:paraId="546185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tcMar>
              <w:left w:w="0" w:type="dxa"/>
              <w:right w:w="0" w:type="dxa"/>
            </w:tcMar>
            <w:vAlign w:val="center"/>
          </w:tcPr>
          <w:p w14:paraId="05762CA8">
            <w:pPr>
              <w:pStyle w:val="278"/>
              <w:adjustRightInd w:val="0"/>
              <w:snapToGrid w:val="0"/>
              <w:spacing w:line="300" w:lineRule="exact"/>
              <w:rPr>
                <w:rFonts w:hint="eastAsia"/>
              </w:rPr>
            </w:pPr>
          </w:p>
        </w:tc>
        <w:tc>
          <w:tcPr>
            <w:tcW w:w="1463" w:type="pct"/>
            <w:tcMar>
              <w:left w:w="0" w:type="dxa"/>
              <w:right w:w="0" w:type="dxa"/>
            </w:tcMar>
            <w:vAlign w:val="center"/>
          </w:tcPr>
          <w:p w14:paraId="219BDAF0">
            <w:pPr>
              <w:pStyle w:val="278"/>
              <w:adjustRightInd w:val="0"/>
              <w:snapToGrid w:val="0"/>
              <w:spacing w:line="300" w:lineRule="exact"/>
              <w:rPr>
                <w:rFonts w:hint="eastAsia"/>
              </w:rPr>
            </w:pPr>
            <w:r>
              <w:rPr>
                <w:rFonts w:hint="eastAsia"/>
              </w:rPr>
              <w:t>天然牧草地</w:t>
            </w:r>
          </w:p>
        </w:tc>
        <w:tc>
          <w:tcPr>
            <w:tcW w:w="973" w:type="pct"/>
            <w:vMerge w:val="continue"/>
            <w:tcMar>
              <w:left w:w="0" w:type="dxa"/>
              <w:right w:w="0" w:type="dxa"/>
            </w:tcMar>
            <w:vAlign w:val="center"/>
          </w:tcPr>
          <w:p w14:paraId="732ADB9D">
            <w:pPr>
              <w:pStyle w:val="278"/>
              <w:adjustRightInd w:val="0"/>
              <w:snapToGrid w:val="0"/>
              <w:spacing w:line="300" w:lineRule="exact"/>
              <w:rPr>
                <w:rFonts w:hint="eastAsia"/>
              </w:rPr>
            </w:pPr>
          </w:p>
        </w:tc>
        <w:tc>
          <w:tcPr>
            <w:tcW w:w="1915" w:type="pct"/>
            <w:vMerge w:val="continue"/>
            <w:tcMar>
              <w:left w:w="0" w:type="dxa"/>
              <w:right w:w="0" w:type="dxa"/>
            </w:tcMar>
            <w:vAlign w:val="center"/>
          </w:tcPr>
          <w:p w14:paraId="4E37F93D">
            <w:pPr>
              <w:pStyle w:val="278"/>
              <w:adjustRightInd w:val="0"/>
              <w:snapToGrid w:val="0"/>
              <w:spacing w:line="300" w:lineRule="exact"/>
              <w:rPr>
                <w:rFonts w:hint="eastAsia" w:cs="宋体"/>
              </w:rPr>
            </w:pPr>
          </w:p>
        </w:tc>
      </w:tr>
      <w:tr w14:paraId="7AB148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tcMar>
              <w:left w:w="0" w:type="dxa"/>
              <w:right w:w="0" w:type="dxa"/>
            </w:tcMar>
            <w:vAlign w:val="center"/>
          </w:tcPr>
          <w:p w14:paraId="3C59F815">
            <w:pPr>
              <w:pStyle w:val="278"/>
              <w:adjustRightInd w:val="0"/>
              <w:snapToGrid w:val="0"/>
              <w:spacing w:line="300" w:lineRule="exact"/>
              <w:rPr>
                <w:rFonts w:hint="eastAsia"/>
              </w:rPr>
            </w:pPr>
            <w:r>
              <w:rPr>
                <w:rFonts w:hint="eastAsia"/>
              </w:rPr>
              <w:t>地下水环境</w:t>
            </w:r>
          </w:p>
        </w:tc>
        <w:tc>
          <w:tcPr>
            <w:tcW w:w="1463" w:type="pct"/>
            <w:tcMar>
              <w:left w:w="0" w:type="dxa"/>
              <w:right w:w="0" w:type="dxa"/>
            </w:tcMar>
            <w:vAlign w:val="center"/>
          </w:tcPr>
          <w:p w14:paraId="628F1452">
            <w:pPr>
              <w:pStyle w:val="278"/>
              <w:adjustRightInd w:val="0"/>
              <w:snapToGrid w:val="0"/>
              <w:spacing w:line="300" w:lineRule="exact"/>
              <w:rPr>
                <w:rFonts w:hint="eastAsia"/>
              </w:rPr>
            </w:pPr>
            <w:r>
              <w:rPr>
                <w:rFonts w:hint="eastAsia"/>
              </w:rPr>
              <w:t>评价范围内的潜层地下水</w:t>
            </w:r>
          </w:p>
        </w:tc>
        <w:tc>
          <w:tcPr>
            <w:tcW w:w="973" w:type="pct"/>
            <w:tcMar>
              <w:left w:w="0" w:type="dxa"/>
              <w:right w:w="0" w:type="dxa"/>
            </w:tcMar>
            <w:vAlign w:val="center"/>
          </w:tcPr>
          <w:p w14:paraId="260B6DB3">
            <w:pPr>
              <w:pStyle w:val="278"/>
              <w:adjustRightInd w:val="0"/>
              <w:snapToGrid w:val="0"/>
              <w:spacing w:line="300" w:lineRule="exact"/>
              <w:rPr>
                <w:rFonts w:hint="eastAsia"/>
              </w:rPr>
            </w:pPr>
            <w:r>
              <w:rPr>
                <w:rFonts w:hint="eastAsia"/>
              </w:rPr>
              <w:t>/</w:t>
            </w:r>
          </w:p>
        </w:tc>
        <w:tc>
          <w:tcPr>
            <w:tcW w:w="1915" w:type="pct"/>
            <w:tcMar>
              <w:left w:w="0" w:type="dxa"/>
              <w:right w:w="0" w:type="dxa"/>
            </w:tcMar>
            <w:vAlign w:val="center"/>
          </w:tcPr>
          <w:p w14:paraId="1F7C32B0">
            <w:pPr>
              <w:pStyle w:val="278"/>
              <w:adjustRightInd w:val="0"/>
              <w:snapToGrid w:val="0"/>
              <w:spacing w:line="300" w:lineRule="exact"/>
              <w:rPr>
                <w:rFonts w:hint="eastAsia"/>
              </w:rPr>
            </w:pPr>
            <w:r>
              <w:t xml:space="preserve">GB/T14848-2017 </w:t>
            </w:r>
            <w:r>
              <w:rPr>
                <w:rFonts w:hint="eastAsia"/>
              </w:rPr>
              <w:t>Ⅲ</w:t>
            </w:r>
            <w:r>
              <w:t>类</w:t>
            </w:r>
          </w:p>
        </w:tc>
      </w:tr>
      <w:tr w14:paraId="48E2CD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tcMar>
              <w:left w:w="0" w:type="dxa"/>
              <w:right w:w="0" w:type="dxa"/>
            </w:tcMar>
            <w:vAlign w:val="center"/>
          </w:tcPr>
          <w:p w14:paraId="7E346A2A">
            <w:pPr>
              <w:pStyle w:val="278"/>
              <w:adjustRightInd w:val="0"/>
              <w:snapToGrid w:val="0"/>
              <w:spacing w:line="300" w:lineRule="exact"/>
              <w:rPr>
                <w:rFonts w:hint="eastAsia"/>
              </w:rPr>
            </w:pPr>
            <w:r>
              <w:rPr>
                <w:rFonts w:hint="eastAsia"/>
              </w:rPr>
              <w:t>声环境</w:t>
            </w:r>
          </w:p>
        </w:tc>
        <w:tc>
          <w:tcPr>
            <w:tcW w:w="1463" w:type="pct"/>
            <w:tcMar>
              <w:left w:w="0" w:type="dxa"/>
              <w:right w:w="0" w:type="dxa"/>
            </w:tcMar>
            <w:vAlign w:val="center"/>
          </w:tcPr>
          <w:p w14:paraId="3BD9D51A">
            <w:pPr>
              <w:pStyle w:val="278"/>
              <w:adjustRightInd w:val="0"/>
              <w:snapToGrid w:val="0"/>
              <w:spacing w:line="300" w:lineRule="exact"/>
              <w:rPr>
                <w:rFonts w:hint="eastAsia"/>
              </w:rPr>
            </w:pPr>
            <w:r>
              <w:rPr>
                <w:rFonts w:hint="eastAsia"/>
              </w:rPr>
              <w:t>评价范围内的声环境</w:t>
            </w:r>
          </w:p>
        </w:tc>
        <w:tc>
          <w:tcPr>
            <w:tcW w:w="973" w:type="pct"/>
            <w:tcMar>
              <w:left w:w="0" w:type="dxa"/>
              <w:right w:w="0" w:type="dxa"/>
            </w:tcMar>
            <w:vAlign w:val="center"/>
          </w:tcPr>
          <w:p w14:paraId="2ED12C6D">
            <w:pPr>
              <w:pStyle w:val="278"/>
              <w:adjustRightInd w:val="0"/>
              <w:snapToGrid w:val="0"/>
              <w:spacing w:line="300" w:lineRule="exact"/>
              <w:rPr>
                <w:rFonts w:hint="eastAsia"/>
              </w:rPr>
            </w:pPr>
            <w:r>
              <w:rPr>
                <w:rFonts w:hint="eastAsia"/>
              </w:rPr>
              <w:t>/</w:t>
            </w:r>
          </w:p>
        </w:tc>
        <w:tc>
          <w:tcPr>
            <w:tcW w:w="1915" w:type="pct"/>
            <w:tcMar>
              <w:left w:w="0" w:type="dxa"/>
              <w:right w:w="0" w:type="dxa"/>
            </w:tcMar>
            <w:vAlign w:val="center"/>
          </w:tcPr>
          <w:p w14:paraId="29A20D3E">
            <w:pPr>
              <w:pStyle w:val="278"/>
              <w:adjustRightInd w:val="0"/>
              <w:snapToGrid w:val="0"/>
              <w:spacing w:line="300" w:lineRule="exact"/>
              <w:rPr>
                <w:rFonts w:hint="eastAsia"/>
              </w:rPr>
            </w:pPr>
            <w:r>
              <w:rPr>
                <w:rFonts w:hint="eastAsia"/>
              </w:rPr>
              <w:t xml:space="preserve">GB3096-2008 </w:t>
            </w:r>
            <w:r>
              <w:t>2</w:t>
            </w:r>
            <w:r>
              <w:rPr>
                <w:rFonts w:hint="eastAsia"/>
              </w:rPr>
              <w:t>类</w:t>
            </w:r>
          </w:p>
        </w:tc>
      </w:tr>
      <w:tr w14:paraId="0F79C7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restart"/>
            <w:tcMar>
              <w:left w:w="0" w:type="dxa"/>
              <w:right w:w="0" w:type="dxa"/>
            </w:tcMar>
            <w:vAlign w:val="center"/>
          </w:tcPr>
          <w:p w14:paraId="3FF1A5E0">
            <w:pPr>
              <w:pStyle w:val="278"/>
              <w:adjustRightInd w:val="0"/>
              <w:snapToGrid w:val="0"/>
              <w:spacing w:line="300" w:lineRule="exact"/>
              <w:rPr>
                <w:rFonts w:hint="eastAsia"/>
              </w:rPr>
            </w:pPr>
            <w:r>
              <w:rPr>
                <w:rFonts w:hint="eastAsia"/>
                <w:spacing w:val="-8"/>
              </w:rPr>
              <w:t>生态环境</w:t>
            </w:r>
          </w:p>
        </w:tc>
        <w:tc>
          <w:tcPr>
            <w:tcW w:w="1463" w:type="pct"/>
            <w:tcMar>
              <w:left w:w="0" w:type="dxa"/>
              <w:right w:w="0" w:type="dxa"/>
            </w:tcMar>
            <w:vAlign w:val="center"/>
          </w:tcPr>
          <w:p w14:paraId="34755313">
            <w:pPr>
              <w:pStyle w:val="278"/>
              <w:adjustRightInd w:val="0"/>
              <w:snapToGrid w:val="0"/>
              <w:spacing w:line="300" w:lineRule="exact"/>
              <w:rPr>
                <w:rFonts w:hint="eastAsia"/>
              </w:rPr>
            </w:pPr>
            <w:r>
              <w:rPr>
                <w:rFonts w:hint="eastAsia"/>
              </w:rPr>
              <w:t>水土流失重点治理区</w:t>
            </w:r>
          </w:p>
        </w:tc>
        <w:tc>
          <w:tcPr>
            <w:tcW w:w="973" w:type="pct"/>
            <w:vMerge w:val="restart"/>
            <w:tcMar>
              <w:left w:w="0" w:type="dxa"/>
              <w:right w:w="0" w:type="dxa"/>
            </w:tcMar>
            <w:vAlign w:val="center"/>
          </w:tcPr>
          <w:p w14:paraId="1400CB6F">
            <w:pPr>
              <w:pStyle w:val="278"/>
              <w:adjustRightInd w:val="0"/>
              <w:snapToGrid w:val="0"/>
              <w:spacing w:line="300" w:lineRule="exact"/>
              <w:rPr>
                <w:rFonts w:hint="eastAsia"/>
                <w:spacing w:val="-8"/>
              </w:rPr>
            </w:pPr>
            <w:r>
              <w:rPr>
                <w:rFonts w:hint="eastAsia"/>
                <w:spacing w:val="-8"/>
              </w:rPr>
              <w:t>项目区及评价范围内</w:t>
            </w:r>
          </w:p>
        </w:tc>
        <w:tc>
          <w:tcPr>
            <w:tcW w:w="1915" w:type="pct"/>
            <w:tcMar>
              <w:left w:w="0" w:type="dxa"/>
              <w:right w:w="0" w:type="dxa"/>
            </w:tcMar>
            <w:vAlign w:val="center"/>
          </w:tcPr>
          <w:p w14:paraId="7D891865">
            <w:pPr>
              <w:pStyle w:val="278"/>
              <w:adjustRightInd w:val="0"/>
              <w:snapToGrid w:val="0"/>
              <w:spacing w:line="300" w:lineRule="exact"/>
              <w:rPr>
                <w:rFonts w:hint="eastAsia"/>
              </w:rPr>
            </w:pPr>
            <w:r>
              <w:rPr>
                <w:rFonts w:hint="eastAsia" w:cs="宋体"/>
              </w:rPr>
              <w:t>做好植被恢复与水土保持工作，</w:t>
            </w:r>
            <w:r>
              <w:rPr>
                <w:rFonts w:hint="eastAsia"/>
              </w:rPr>
              <w:t>维持水土流失的程度不因项目建设而加剧</w:t>
            </w:r>
          </w:p>
        </w:tc>
      </w:tr>
      <w:tr w14:paraId="1AC356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tcMar>
              <w:left w:w="0" w:type="dxa"/>
              <w:right w:w="0" w:type="dxa"/>
            </w:tcMar>
            <w:vAlign w:val="center"/>
          </w:tcPr>
          <w:p w14:paraId="4DF815BB">
            <w:pPr>
              <w:pStyle w:val="278"/>
              <w:adjustRightInd w:val="0"/>
              <w:snapToGrid w:val="0"/>
              <w:spacing w:line="300" w:lineRule="exact"/>
              <w:rPr>
                <w:rFonts w:hint="eastAsia"/>
                <w:spacing w:val="-8"/>
              </w:rPr>
            </w:pPr>
          </w:p>
        </w:tc>
        <w:tc>
          <w:tcPr>
            <w:tcW w:w="1463" w:type="pct"/>
            <w:tcMar>
              <w:left w:w="0" w:type="dxa"/>
              <w:right w:w="0" w:type="dxa"/>
            </w:tcMar>
            <w:vAlign w:val="center"/>
          </w:tcPr>
          <w:p w14:paraId="41669514">
            <w:pPr>
              <w:pStyle w:val="278"/>
              <w:adjustRightInd w:val="0"/>
              <w:snapToGrid w:val="0"/>
              <w:spacing w:line="300" w:lineRule="exact"/>
              <w:rPr>
                <w:rFonts w:hint="eastAsia"/>
              </w:rPr>
            </w:pPr>
            <w:r>
              <w:rPr>
                <w:rFonts w:hint="eastAsia"/>
              </w:rPr>
              <w:t>其他野生动植物</w:t>
            </w:r>
          </w:p>
        </w:tc>
        <w:tc>
          <w:tcPr>
            <w:tcW w:w="973" w:type="pct"/>
            <w:vMerge w:val="continue"/>
            <w:tcMar>
              <w:left w:w="0" w:type="dxa"/>
              <w:right w:w="0" w:type="dxa"/>
            </w:tcMar>
            <w:vAlign w:val="center"/>
          </w:tcPr>
          <w:p w14:paraId="1771FA8F">
            <w:pPr>
              <w:pStyle w:val="278"/>
              <w:adjustRightInd w:val="0"/>
              <w:snapToGrid w:val="0"/>
              <w:spacing w:line="300" w:lineRule="exact"/>
              <w:rPr>
                <w:rFonts w:hint="eastAsia"/>
                <w:spacing w:val="-8"/>
              </w:rPr>
            </w:pPr>
          </w:p>
        </w:tc>
        <w:tc>
          <w:tcPr>
            <w:tcW w:w="1915" w:type="pct"/>
            <w:tcMar>
              <w:left w:w="0" w:type="dxa"/>
              <w:right w:w="0" w:type="dxa"/>
            </w:tcMar>
            <w:vAlign w:val="center"/>
          </w:tcPr>
          <w:p w14:paraId="0AA5EEB5">
            <w:pPr>
              <w:pStyle w:val="278"/>
              <w:adjustRightInd w:val="0"/>
              <w:snapToGrid w:val="0"/>
              <w:spacing w:line="300" w:lineRule="exact"/>
              <w:rPr>
                <w:rFonts w:hint="eastAsia"/>
              </w:rPr>
            </w:pPr>
            <w:r>
              <w:rPr>
                <w:rFonts w:hint="eastAsia"/>
              </w:rPr>
              <w:t>保护野生动植物生境不被破坏</w:t>
            </w:r>
          </w:p>
        </w:tc>
      </w:tr>
      <w:tr w14:paraId="155614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9" w:type="pct"/>
            <w:vMerge w:val="continue"/>
            <w:tcMar>
              <w:left w:w="0" w:type="dxa"/>
              <w:right w:w="0" w:type="dxa"/>
            </w:tcMar>
            <w:vAlign w:val="center"/>
          </w:tcPr>
          <w:p w14:paraId="52D71758">
            <w:pPr>
              <w:pStyle w:val="278"/>
              <w:adjustRightInd w:val="0"/>
              <w:snapToGrid w:val="0"/>
              <w:spacing w:line="300" w:lineRule="exact"/>
              <w:rPr>
                <w:rFonts w:hint="eastAsia"/>
                <w:spacing w:val="-8"/>
              </w:rPr>
            </w:pPr>
          </w:p>
        </w:tc>
        <w:tc>
          <w:tcPr>
            <w:tcW w:w="1463" w:type="pct"/>
            <w:tcMar>
              <w:left w:w="0" w:type="dxa"/>
              <w:right w:w="0" w:type="dxa"/>
            </w:tcMar>
            <w:vAlign w:val="center"/>
          </w:tcPr>
          <w:p w14:paraId="20A767F5">
            <w:pPr>
              <w:pStyle w:val="278"/>
              <w:adjustRightInd w:val="0"/>
              <w:snapToGrid w:val="0"/>
              <w:spacing w:line="300" w:lineRule="exact"/>
              <w:rPr>
                <w:rFonts w:hint="eastAsia"/>
              </w:rPr>
            </w:pPr>
            <w:r>
              <w:rPr>
                <w:rFonts w:hint="eastAsia"/>
              </w:rPr>
              <w:t>国家公益林</w:t>
            </w:r>
          </w:p>
        </w:tc>
        <w:tc>
          <w:tcPr>
            <w:tcW w:w="973" w:type="pct"/>
            <w:vMerge w:val="continue"/>
            <w:tcMar>
              <w:left w:w="0" w:type="dxa"/>
              <w:right w:w="0" w:type="dxa"/>
            </w:tcMar>
            <w:vAlign w:val="center"/>
          </w:tcPr>
          <w:p w14:paraId="514BE570">
            <w:pPr>
              <w:pStyle w:val="278"/>
              <w:adjustRightInd w:val="0"/>
              <w:snapToGrid w:val="0"/>
              <w:spacing w:line="300" w:lineRule="exact"/>
              <w:rPr>
                <w:rFonts w:hint="eastAsia"/>
                <w:spacing w:val="-8"/>
              </w:rPr>
            </w:pPr>
          </w:p>
        </w:tc>
        <w:tc>
          <w:tcPr>
            <w:tcW w:w="1915" w:type="pct"/>
            <w:tcMar>
              <w:left w:w="0" w:type="dxa"/>
              <w:right w:w="0" w:type="dxa"/>
            </w:tcMar>
            <w:vAlign w:val="center"/>
          </w:tcPr>
          <w:p w14:paraId="67ADE5CF">
            <w:pPr>
              <w:pStyle w:val="278"/>
              <w:adjustRightInd w:val="0"/>
              <w:snapToGrid w:val="0"/>
              <w:spacing w:line="300" w:lineRule="exact"/>
              <w:rPr>
                <w:rFonts w:hint="eastAsia"/>
              </w:rPr>
            </w:pPr>
            <w:r>
              <w:rPr>
                <w:rFonts w:hint="eastAsia" w:cs="宋体"/>
              </w:rPr>
              <w:t>严格落实项目占地范围内生态环境保护措施</w:t>
            </w:r>
          </w:p>
        </w:tc>
      </w:tr>
      <w:bookmarkEnd w:id="117"/>
    </w:tbl>
    <w:p w14:paraId="2F683673">
      <w:pPr>
        <w:pStyle w:val="156"/>
        <w:snapToGrid w:val="0"/>
        <w:spacing w:line="500" w:lineRule="exact"/>
        <w:ind w:firstLine="480" w:firstLineChars="200"/>
        <w:rPr>
          <w:rFonts w:hint="eastAsia" w:ascii="宋体" w:hAnsi="宋体"/>
          <w:bCs/>
          <w:szCs w:val="24"/>
        </w:rPr>
      </w:pPr>
    </w:p>
    <w:p w14:paraId="5A403B5A">
      <w:pPr>
        <w:pStyle w:val="156"/>
        <w:snapToGrid w:val="0"/>
        <w:spacing w:line="500" w:lineRule="exact"/>
        <w:ind w:firstLine="480" w:firstLineChars="200"/>
        <w:rPr>
          <w:rFonts w:hint="eastAsia" w:ascii="宋体" w:hAnsi="宋体"/>
          <w:bCs/>
          <w:szCs w:val="24"/>
        </w:rPr>
      </w:pPr>
    </w:p>
    <w:p w14:paraId="0910E44D">
      <w:pPr>
        <w:pStyle w:val="156"/>
        <w:snapToGrid w:val="0"/>
        <w:spacing w:line="500" w:lineRule="exact"/>
        <w:ind w:firstLine="480" w:firstLineChars="200"/>
        <w:rPr>
          <w:rFonts w:hint="eastAsia" w:ascii="宋体" w:hAnsi="宋体"/>
          <w:bCs/>
          <w:szCs w:val="24"/>
        </w:rPr>
        <w:sectPr>
          <w:footerReference r:id="rId5" w:type="default"/>
          <w:pgSz w:w="11906" w:h="16838"/>
          <w:pgMar w:top="1418" w:right="1588" w:bottom="1418" w:left="1588" w:header="1020" w:footer="1020" w:gutter="0"/>
          <w:pgNumType w:start="1"/>
          <w:cols w:space="720" w:num="1"/>
          <w:docGrid w:type="lines" w:linePitch="312" w:charSpace="0"/>
        </w:sectPr>
      </w:pPr>
    </w:p>
    <w:p w14:paraId="4098DAB5">
      <w:pPr>
        <w:pStyle w:val="109"/>
        <w:spacing w:line="360" w:lineRule="auto"/>
        <w:rPr>
          <w:rFonts w:hint="eastAsia"/>
        </w:rPr>
      </w:pPr>
      <w:r>
        <w:drawing>
          <wp:inline distT="0" distB="0" distL="0" distR="0">
            <wp:extent cx="7903210" cy="502920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913084" cy="5035442"/>
                    </a:xfrm>
                    <a:prstGeom prst="rect">
                      <a:avLst/>
                    </a:prstGeom>
                  </pic:spPr>
                </pic:pic>
              </a:graphicData>
            </a:graphic>
          </wp:inline>
        </w:drawing>
      </w:r>
    </w:p>
    <w:p w14:paraId="4716FC58">
      <w:pPr>
        <w:pStyle w:val="109"/>
        <w:spacing w:line="360" w:lineRule="auto"/>
        <w:rPr>
          <w:rFonts w:hint="eastAsia"/>
        </w:rPr>
      </w:pPr>
      <w:r>
        <w:rPr>
          <w:rFonts w:hint="eastAsia"/>
        </w:rPr>
        <w:t>图2.6-1  一期工程评价范围示意图（a）</w:t>
      </w:r>
    </w:p>
    <w:p w14:paraId="65F899E0">
      <w:pPr>
        <w:pStyle w:val="109"/>
        <w:spacing w:line="360" w:lineRule="auto"/>
        <w:rPr>
          <w:rFonts w:hint="eastAsia"/>
        </w:rPr>
      </w:pPr>
      <w:r>
        <w:rPr>
          <w:rFonts w:hint="eastAsia"/>
          <w:lang w:val="zh-CN"/>
        </w:rPr>
        <w:drawing>
          <wp:inline distT="0" distB="0" distL="0" distR="0">
            <wp:extent cx="7590155" cy="5008880"/>
            <wp:effectExtent l="0" t="0" r="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629130" cy="5034948"/>
                    </a:xfrm>
                    <a:prstGeom prst="rect">
                      <a:avLst/>
                    </a:prstGeom>
                  </pic:spPr>
                </pic:pic>
              </a:graphicData>
            </a:graphic>
          </wp:inline>
        </w:drawing>
      </w:r>
    </w:p>
    <w:p w14:paraId="023CFF6F">
      <w:pPr>
        <w:pStyle w:val="109"/>
        <w:spacing w:line="360" w:lineRule="auto"/>
        <w:rPr>
          <w:rFonts w:hint="eastAsia"/>
        </w:rPr>
      </w:pPr>
      <w:r>
        <w:rPr>
          <w:rFonts w:hint="eastAsia"/>
        </w:rPr>
        <w:t>图2.6-2  一期生态评价范围及二期工程评价范围示意图（b）</w:t>
      </w:r>
    </w:p>
    <w:p w14:paraId="7AAABDB6">
      <w:pPr>
        <w:pStyle w:val="109"/>
        <w:rPr>
          <w:rFonts w:hint="eastAsia"/>
        </w:rPr>
        <w:sectPr>
          <w:pgSz w:w="16838" w:h="11906" w:orient="landscape"/>
          <w:pgMar w:top="1588" w:right="1418" w:bottom="1588" w:left="1418" w:header="1020" w:footer="1020" w:gutter="0"/>
          <w:cols w:space="720" w:num="1"/>
          <w:docGrid w:type="lines" w:linePitch="312" w:charSpace="0"/>
        </w:sectPr>
      </w:pPr>
    </w:p>
    <w:p w14:paraId="27764264">
      <w:pPr>
        <w:pStyle w:val="109"/>
        <w:spacing w:line="360" w:lineRule="auto"/>
        <w:rPr>
          <w:rFonts w:hint="eastAsia"/>
        </w:rPr>
      </w:pPr>
      <w:r>
        <w:drawing>
          <wp:inline distT="0" distB="0" distL="0" distR="0">
            <wp:extent cx="5543550" cy="3559810"/>
            <wp:effectExtent l="0" t="0" r="0" b="254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43550" cy="3559810"/>
                    </a:xfrm>
                    <a:prstGeom prst="rect">
                      <a:avLst/>
                    </a:prstGeom>
                  </pic:spPr>
                </pic:pic>
              </a:graphicData>
            </a:graphic>
          </wp:inline>
        </w:drawing>
      </w:r>
    </w:p>
    <w:p w14:paraId="1C8B0A30">
      <w:pPr>
        <w:pStyle w:val="109"/>
        <w:rPr>
          <w:rFonts w:hint="eastAsia"/>
        </w:rPr>
      </w:pPr>
      <w:r>
        <w:rPr>
          <w:rFonts w:hint="eastAsia"/>
        </w:rPr>
        <w:t>图2.7-1  大气环境保护目标分布示意图</w:t>
      </w:r>
    </w:p>
    <w:p w14:paraId="67EB73A6">
      <w:pPr>
        <w:pStyle w:val="109"/>
        <w:spacing w:line="360" w:lineRule="auto"/>
        <w:rPr>
          <w:rFonts w:hint="eastAsia"/>
        </w:rPr>
      </w:pPr>
      <w:r>
        <w:drawing>
          <wp:inline distT="0" distB="0" distL="0" distR="0">
            <wp:extent cx="5362575" cy="4210050"/>
            <wp:effectExtent l="0" t="0" r="9525" b="0"/>
            <wp:docPr id="1766857743" name="图片 38"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57743" name="图片 38" descr="地图&#10;&#10;描述已自动生成"/>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62575" cy="4210050"/>
                    </a:xfrm>
                    <a:prstGeom prst="rect">
                      <a:avLst/>
                    </a:prstGeom>
                  </pic:spPr>
                </pic:pic>
              </a:graphicData>
            </a:graphic>
          </wp:inline>
        </w:drawing>
      </w:r>
    </w:p>
    <w:p w14:paraId="18B4E09F">
      <w:pPr>
        <w:pStyle w:val="109"/>
        <w:rPr>
          <w:rFonts w:hint="eastAsia"/>
        </w:rPr>
      </w:pPr>
      <w:r>
        <w:rPr>
          <w:rFonts w:hint="eastAsia"/>
        </w:rPr>
        <w:t>图2.7-2  项目与公益林相对位置关系示意图</w:t>
      </w:r>
    </w:p>
    <w:p w14:paraId="20CECD1A">
      <w:pPr>
        <w:pStyle w:val="2"/>
        <w:rPr>
          <w:rFonts w:hint="eastAsia"/>
        </w:rPr>
      </w:pPr>
      <w:bookmarkStart w:id="119" w:name="_Toc160381869"/>
      <w:r>
        <w:rPr>
          <w:rFonts w:hint="eastAsia"/>
        </w:rPr>
        <w:t>评价内容和评价重点</w:t>
      </w:r>
      <w:bookmarkEnd w:id="119"/>
    </w:p>
    <w:p w14:paraId="389F2F72">
      <w:pPr>
        <w:pStyle w:val="4"/>
        <w:rPr>
          <w:rFonts w:hint="eastAsia"/>
          <w:lang w:val="zh-CN"/>
        </w:rPr>
      </w:pPr>
      <w:r>
        <w:rPr>
          <w:rFonts w:hint="eastAsia"/>
          <w:lang w:val="zh-CN"/>
        </w:rPr>
        <w:t>评价内容</w:t>
      </w:r>
    </w:p>
    <w:p w14:paraId="4DEBE974">
      <w:pPr>
        <w:pStyle w:val="117"/>
        <w:ind w:firstLine="468"/>
        <w:rPr>
          <w:rFonts w:hint="eastAsia"/>
        </w:rPr>
      </w:pPr>
      <w:r>
        <w:rPr>
          <w:spacing w:val="-6"/>
        </w:rPr>
        <w:t>根据《</w:t>
      </w:r>
      <w:r>
        <w:rPr>
          <w:rFonts w:hint="eastAsia"/>
          <w:spacing w:val="-6"/>
        </w:rPr>
        <w:t>建设项目</w:t>
      </w:r>
      <w:r>
        <w:rPr>
          <w:spacing w:val="-6"/>
        </w:rPr>
        <w:t>环境影响评价技术导则</w:t>
      </w:r>
      <w:r>
        <w:rPr>
          <w:rFonts w:hint="eastAsia"/>
          <w:spacing w:val="-6"/>
        </w:rPr>
        <w:t xml:space="preserve"> </w:t>
      </w:r>
      <w:r>
        <w:rPr>
          <w:spacing w:val="-6"/>
        </w:rPr>
        <w:t xml:space="preserve"> </w:t>
      </w:r>
      <w:r>
        <w:rPr>
          <w:rFonts w:hint="eastAsia"/>
          <w:spacing w:val="-6"/>
        </w:rPr>
        <w:t>总纲</w:t>
      </w:r>
      <w:r>
        <w:rPr>
          <w:spacing w:val="-6"/>
        </w:rPr>
        <w:t>》</w:t>
      </w:r>
      <w:r>
        <w:rPr>
          <w:rFonts w:hint="eastAsia"/>
          <w:spacing w:val="-6"/>
        </w:rPr>
        <w:t>（H</w:t>
      </w:r>
      <w:r>
        <w:rPr>
          <w:spacing w:val="-6"/>
        </w:rPr>
        <w:t>J2.1-2016</w:t>
      </w:r>
      <w:r>
        <w:rPr>
          <w:rFonts w:hint="eastAsia"/>
          <w:spacing w:val="-6"/>
        </w:rPr>
        <w:t>）</w:t>
      </w:r>
      <w:r>
        <w:rPr>
          <w:spacing w:val="-6"/>
        </w:rPr>
        <w:t>要求，结合项目特点、周围区域环境现状、环境功能区划，确定本次评价内容包括建设项目工程分析、环境</w:t>
      </w:r>
      <w:r>
        <w:rPr>
          <w:rFonts w:hint="eastAsia"/>
          <w:spacing w:val="-6"/>
        </w:rPr>
        <w:t>现</w:t>
      </w:r>
      <w:r>
        <w:rPr>
          <w:spacing w:val="-6"/>
        </w:rPr>
        <w:t>状调查与评价、环境影响预测与评价、环境保护措施及其可行性论证、环境影响经济损益分析、环境管理与监测计划、环境影响评价结论</w:t>
      </w:r>
      <w:r>
        <w:rPr>
          <w:rFonts w:hint="eastAsia"/>
          <w:spacing w:val="-6"/>
        </w:rPr>
        <w:t>，具体</w:t>
      </w:r>
      <w:r>
        <w:rPr>
          <w:spacing w:val="-6"/>
        </w:rPr>
        <w:t>见</w:t>
      </w:r>
      <w:r>
        <w:rPr>
          <w:rFonts w:hint="eastAsia"/>
          <w:spacing w:val="-6"/>
        </w:rPr>
        <w:t>表</w:t>
      </w:r>
      <w:r>
        <w:rPr>
          <w:spacing w:val="-6"/>
        </w:rPr>
        <w:t>2.8</w:t>
      </w:r>
      <w:r>
        <w:rPr>
          <w:rFonts w:hint="eastAsia"/>
          <w:spacing w:val="-6"/>
        </w:rPr>
        <w:t>-</w:t>
      </w:r>
      <w:r>
        <w:rPr>
          <w:spacing w:val="-6"/>
        </w:rPr>
        <w:t>1</w:t>
      </w:r>
      <w:r>
        <w:rPr>
          <w:rFonts w:hint="eastAsia"/>
          <w:spacing w:val="-6"/>
        </w:rPr>
        <w:t>。</w:t>
      </w:r>
    </w:p>
    <w:p w14:paraId="3EB2647D">
      <w:pPr>
        <w:pStyle w:val="109"/>
        <w:rPr>
          <w:rFonts w:hint="eastAsia"/>
        </w:rPr>
      </w:pPr>
      <w:r>
        <w:rPr>
          <w:rFonts w:hint="eastAsia"/>
        </w:rPr>
        <w:t>表2</w:t>
      </w:r>
      <w:r>
        <w:t>.8</w:t>
      </w:r>
      <w:r>
        <w:rPr>
          <w:rFonts w:hint="eastAsia"/>
        </w:rPr>
        <w:t>-</w:t>
      </w:r>
      <w:r>
        <w:t>1</w:t>
      </w:r>
      <w:r>
        <w:rPr>
          <w:rFonts w:hint="eastAsia"/>
        </w:rPr>
        <w:t xml:space="preserve">  评价内容一览表</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709"/>
        <w:gridCol w:w="1526"/>
        <w:gridCol w:w="6711"/>
      </w:tblGrid>
      <w:tr w14:paraId="55382F1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5CC5E54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序号</w:t>
            </w:r>
          </w:p>
        </w:tc>
        <w:tc>
          <w:tcPr>
            <w:tcW w:w="1526" w:type="dxa"/>
            <w:vAlign w:val="center"/>
          </w:tcPr>
          <w:p w14:paraId="2EF9B4C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评价专题</w:t>
            </w:r>
          </w:p>
        </w:tc>
        <w:tc>
          <w:tcPr>
            <w:tcW w:w="6711" w:type="dxa"/>
            <w:vAlign w:val="center"/>
          </w:tcPr>
          <w:p w14:paraId="3C9903E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评价内容</w:t>
            </w:r>
          </w:p>
        </w:tc>
      </w:tr>
      <w:tr w14:paraId="5EE842B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6773E56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p>
        </w:tc>
        <w:tc>
          <w:tcPr>
            <w:tcW w:w="1526" w:type="dxa"/>
            <w:vAlign w:val="center"/>
          </w:tcPr>
          <w:p w14:paraId="64340B3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工程分析</w:t>
            </w:r>
          </w:p>
        </w:tc>
        <w:tc>
          <w:tcPr>
            <w:tcW w:w="6711" w:type="dxa"/>
            <w:vAlign w:val="center"/>
          </w:tcPr>
          <w:p w14:paraId="3B9F074F">
            <w:pPr>
              <w:adjustRightInd w:val="0"/>
              <w:snapToGrid w:val="0"/>
              <w:spacing w:line="300" w:lineRule="exact"/>
              <w:textAlignment w:val="baseline"/>
              <w:rPr>
                <w:rFonts w:hint="eastAsia" w:ascii="宋体" w:hAnsi="宋体" w:cs="宋体"/>
                <w:kern w:val="0"/>
                <w:szCs w:val="21"/>
              </w:rPr>
            </w:pPr>
            <w:r>
              <w:rPr>
                <w:rFonts w:hint="eastAsia" w:ascii="宋体" w:hAnsi="宋体" w:cs="宋体"/>
                <w:kern w:val="0"/>
                <w:szCs w:val="21"/>
              </w:rPr>
              <w:t>项目基本情况、主体工程、公辅工程、环保工程、依托工程，根据污染物产生环节、方式及治理措施，核算污染物产生和排放强度，给出污染因子及其产生和排放的方式及数量等。</w:t>
            </w:r>
          </w:p>
        </w:tc>
      </w:tr>
      <w:tr w14:paraId="6E3982C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0F54E26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w:t>
            </w:r>
          </w:p>
        </w:tc>
        <w:tc>
          <w:tcPr>
            <w:tcW w:w="1526" w:type="dxa"/>
            <w:vAlign w:val="center"/>
          </w:tcPr>
          <w:p w14:paraId="467DE3B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环境现状</w:t>
            </w:r>
          </w:p>
          <w:p w14:paraId="669648C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调查与评价</w:t>
            </w:r>
          </w:p>
        </w:tc>
        <w:tc>
          <w:tcPr>
            <w:tcW w:w="6711" w:type="dxa"/>
            <w:vAlign w:val="center"/>
          </w:tcPr>
          <w:p w14:paraId="2E7233C9">
            <w:pPr>
              <w:adjustRightInd w:val="0"/>
              <w:snapToGrid w:val="0"/>
              <w:spacing w:line="300" w:lineRule="exact"/>
              <w:textAlignment w:val="baseline"/>
              <w:rPr>
                <w:rFonts w:hint="eastAsia" w:ascii="宋体" w:hAnsi="宋体" w:cs="宋体"/>
                <w:kern w:val="0"/>
                <w:szCs w:val="21"/>
              </w:rPr>
            </w:pPr>
            <w:r>
              <w:rPr>
                <w:rFonts w:hint="eastAsia" w:ascii="宋体" w:hAnsi="宋体" w:cs="宋体"/>
                <w:kern w:val="0"/>
                <w:szCs w:val="21"/>
              </w:rPr>
              <w:t>自然环境、环境保护目标调查、环境质量现状调查（包括环境空气、地下水、声环境、土壤环境和生态环境）。</w:t>
            </w:r>
          </w:p>
        </w:tc>
      </w:tr>
      <w:tr w14:paraId="70E5653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2F5B078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w:t>
            </w:r>
          </w:p>
        </w:tc>
        <w:tc>
          <w:tcPr>
            <w:tcW w:w="1526" w:type="dxa"/>
            <w:vAlign w:val="center"/>
          </w:tcPr>
          <w:p w14:paraId="523D7E6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环境影响</w:t>
            </w:r>
          </w:p>
          <w:p w14:paraId="1C27B2A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预测与评价</w:t>
            </w:r>
          </w:p>
        </w:tc>
        <w:tc>
          <w:tcPr>
            <w:tcW w:w="6711" w:type="dxa"/>
            <w:vAlign w:val="center"/>
          </w:tcPr>
          <w:p w14:paraId="39FE6E97">
            <w:pPr>
              <w:adjustRightInd w:val="0"/>
              <w:snapToGrid w:val="0"/>
              <w:spacing w:line="300" w:lineRule="exact"/>
              <w:textAlignment w:val="baseline"/>
              <w:rPr>
                <w:rFonts w:hint="eastAsia" w:ascii="宋体" w:hAnsi="宋体" w:cs="宋体"/>
                <w:spacing w:val="-4"/>
                <w:kern w:val="0"/>
                <w:szCs w:val="21"/>
              </w:rPr>
            </w:pPr>
            <w:r>
              <w:rPr>
                <w:rFonts w:hint="eastAsia" w:ascii="宋体" w:hAnsi="宋体" w:cs="宋体"/>
                <w:spacing w:val="-4"/>
                <w:kern w:val="0"/>
                <w:szCs w:val="21"/>
              </w:rPr>
              <w:t>分为施工期、运营期和退役期。对施工期和退役期扬尘、废水、噪声、固废、生态环境和土壤环境等进行分析。运营期对废气、废水、噪声、固体废物、土壤进行了影响预测和分析，并开展了环境风险评价。</w:t>
            </w:r>
          </w:p>
        </w:tc>
      </w:tr>
      <w:tr w14:paraId="3362A07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2B69622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4</w:t>
            </w:r>
          </w:p>
        </w:tc>
        <w:tc>
          <w:tcPr>
            <w:tcW w:w="1526" w:type="dxa"/>
            <w:vAlign w:val="center"/>
          </w:tcPr>
          <w:p w14:paraId="04E6297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环保措施及其可行性论证</w:t>
            </w:r>
          </w:p>
        </w:tc>
        <w:tc>
          <w:tcPr>
            <w:tcW w:w="6711" w:type="dxa"/>
            <w:vAlign w:val="center"/>
          </w:tcPr>
          <w:p w14:paraId="0CD06FED">
            <w:pPr>
              <w:adjustRightInd w:val="0"/>
              <w:snapToGrid w:val="0"/>
              <w:spacing w:line="300" w:lineRule="exact"/>
              <w:textAlignment w:val="baseline"/>
              <w:rPr>
                <w:rFonts w:hint="eastAsia" w:ascii="宋体" w:hAnsi="宋体" w:cs="宋体"/>
                <w:spacing w:val="-4"/>
                <w:kern w:val="0"/>
                <w:szCs w:val="21"/>
              </w:rPr>
            </w:pPr>
            <w:r>
              <w:rPr>
                <w:rFonts w:hint="eastAsia" w:ascii="宋体" w:hAnsi="宋体" w:cs="宋体"/>
                <w:spacing w:val="-4"/>
                <w:kern w:val="0"/>
                <w:szCs w:val="21"/>
              </w:rPr>
              <w:t>针对废气、废水、噪声、固体废物、土壤污染防治措施、生态环境保护措施和环境风险防范措施进行论证。</w:t>
            </w:r>
          </w:p>
        </w:tc>
      </w:tr>
      <w:tr w14:paraId="2CDE3D7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69B2554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1526" w:type="dxa"/>
            <w:vAlign w:val="center"/>
          </w:tcPr>
          <w:p w14:paraId="797FA95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环境影响经济损益分析</w:t>
            </w:r>
          </w:p>
        </w:tc>
        <w:tc>
          <w:tcPr>
            <w:tcW w:w="6711" w:type="dxa"/>
            <w:vAlign w:val="center"/>
          </w:tcPr>
          <w:p w14:paraId="319143AE">
            <w:pPr>
              <w:adjustRightInd w:val="0"/>
              <w:snapToGrid w:val="0"/>
              <w:spacing w:line="300" w:lineRule="exact"/>
              <w:textAlignment w:val="baseline"/>
              <w:rPr>
                <w:rFonts w:hint="eastAsia" w:ascii="宋体" w:hAnsi="宋体" w:cs="宋体"/>
                <w:kern w:val="0"/>
                <w:szCs w:val="21"/>
              </w:rPr>
            </w:pPr>
            <w:r>
              <w:rPr>
                <w:rFonts w:hint="eastAsia" w:ascii="宋体" w:hAnsi="宋体" w:cs="宋体"/>
                <w:kern w:val="0"/>
                <w:szCs w:val="21"/>
              </w:rPr>
              <w:t>从社会效益、经济效益和环境效益等方面叙述。</w:t>
            </w:r>
          </w:p>
        </w:tc>
      </w:tr>
      <w:tr w14:paraId="28010FD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64E883C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w:t>
            </w:r>
          </w:p>
        </w:tc>
        <w:tc>
          <w:tcPr>
            <w:tcW w:w="1526" w:type="dxa"/>
            <w:vAlign w:val="center"/>
          </w:tcPr>
          <w:p w14:paraId="47142DB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环境管理与环境监测计划</w:t>
            </w:r>
          </w:p>
        </w:tc>
        <w:tc>
          <w:tcPr>
            <w:tcW w:w="6711" w:type="dxa"/>
            <w:vAlign w:val="center"/>
          </w:tcPr>
          <w:p w14:paraId="6C2A2602">
            <w:pPr>
              <w:adjustRightInd w:val="0"/>
              <w:snapToGrid w:val="0"/>
              <w:spacing w:line="300" w:lineRule="exact"/>
              <w:textAlignment w:val="baseline"/>
              <w:rPr>
                <w:rFonts w:hint="eastAsia" w:ascii="宋体" w:hAnsi="宋体" w:cs="宋体"/>
                <w:kern w:val="0"/>
                <w:szCs w:val="21"/>
              </w:rPr>
            </w:pPr>
            <w:r>
              <w:rPr>
                <w:rFonts w:hint="eastAsia" w:ascii="宋体" w:hAnsi="宋体" w:cs="宋体"/>
                <w:kern w:val="0"/>
                <w:szCs w:val="21"/>
              </w:rPr>
              <w:t>根据国家环境管理与监测要求，给出环境管理制度和日常监测计划，给出污染物排放清单、制定环保三同时验收一览表。</w:t>
            </w:r>
          </w:p>
        </w:tc>
      </w:tr>
      <w:tr w14:paraId="0E20DA9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709" w:type="dxa"/>
            <w:vAlign w:val="center"/>
          </w:tcPr>
          <w:p w14:paraId="4BC9815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w:t>
            </w:r>
          </w:p>
        </w:tc>
        <w:tc>
          <w:tcPr>
            <w:tcW w:w="1526" w:type="dxa"/>
            <w:vAlign w:val="center"/>
          </w:tcPr>
          <w:p w14:paraId="0C740FC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结论</w:t>
            </w:r>
          </w:p>
        </w:tc>
        <w:tc>
          <w:tcPr>
            <w:tcW w:w="6711" w:type="dxa"/>
            <w:vAlign w:val="center"/>
          </w:tcPr>
          <w:p w14:paraId="5B8EBE21">
            <w:pPr>
              <w:adjustRightInd w:val="0"/>
              <w:snapToGrid w:val="0"/>
              <w:spacing w:line="300" w:lineRule="exact"/>
              <w:textAlignment w:val="baseline"/>
              <w:rPr>
                <w:rFonts w:hint="eastAsia" w:ascii="宋体" w:hAnsi="宋体" w:cs="宋体"/>
                <w:kern w:val="0"/>
                <w:szCs w:val="21"/>
              </w:rPr>
            </w:pPr>
            <w:r>
              <w:rPr>
                <w:rFonts w:hint="eastAsia" w:ascii="宋体" w:hAnsi="宋体" w:cs="宋体"/>
                <w:kern w:val="0"/>
                <w:szCs w:val="21"/>
              </w:rPr>
              <w:t>根据上述各章节的相关分析结果，从环保角度给出建设可行性结论。</w:t>
            </w:r>
          </w:p>
        </w:tc>
      </w:tr>
    </w:tbl>
    <w:p w14:paraId="1D6ED48F">
      <w:pPr>
        <w:pStyle w:val="4"/>
        <w:rPr>
          <w:rFonts w:hint="eastAsia"/>
          <w:lang w:val="zh-CN"/>
        </w:rPr>
      </w:pPr>
      <w:r>
        <w:rPr>
          <w:rFonts w:hint="eastAsia"/>
          <w:lang w:val="zh-CN"/>
        </w:rPr>
        <w:t>评价重点</w:t>
      </w:r>
    </w:p>
    <w:p w14:paraId="3FDD3589">
      <w:pPr>
        <w:pStyle w:val="117"/>
        <w:spacing w:line="480" w:lineRule="exact"/>
        <w:ind w:firstLine="480"/>
        <w:rPr>
          <w:rFonts w:hint="eastAsia"/>
        </w:rPr>
      </w:pPr>
      <w:r>
        <w:t>根据</w:t>
      </w:r>
      <w:r>
        <w:rPr>
          <w:rFonts w:hint="eastAsia"/>
        </w:rPr>
        <w:t>工</w:t>
      </w:r>
      <w:r>
        <w:t>程特点及评价因子筛选的结果，结合区域环境状况，确定本次环境影响评价工作的重点为：</w:t>
      </w:r>
    </w:p>
    <w:p w14:paraId="245B9C77">
      <w:pPr>
        <w:pStyle w:val="117"/>
        <w:spacing w:line="480" w:lineRule="exact"/>
        <w:ind w:firstLine="480"/>
        <w:rPr>
          <w:rFonts w:hint="eastAsia"/>
        </w:rPr>
      </w:pPr>
      <w:r>
        <w:t>（1）</w:t>
      </w:r>
      <w:r>
        <w:rPr>
          <w:rFonts w:hint="eastAsia"/>
        </w:rPr>
        <w:t>建设项目</w:t>
      </w:r>
      <w:r>
        <w:t>工程分析</w:t>
      </w:r>
      <w:r>
        <w:rPr>
          <w:rFonts w:hint="eastAsia"/>
        </w:rPr>
        <w:t>；</w:t>
      </w:r>
    </w:p>
    <w:p w14:paraId="698E56F2">
      <w:pPr>
        <w:pStyle w:val="117"/>
        <w:spacing w:line="480" w:lineRule="exact"/>
        <w:ind w:firstLine="480"/>
        <w:rPr>
          <w:rFonts w:hint="eastAsia"/>
        </w:rPr>
      </w:pPr>
      <w:r>
        <w:t>（2）</w:t>
      </w:r>
      <w:r>
        <w:rPr>
          <w:rFonts w:hint="eastAsia"/>
        </w:rPr>
        <w:t>大气、地下水、土壤、生态</w:t>
      </w:r>
      <w:r>
        <w:t>环境影响评价</w:t>
      </w:r>
      <w:r>
        <w:rPr>
          <w:rFonts w:hint="eastAsia"/>
        </w:rPr>
        <w:t>及环境风险分析；</w:t>
      </w:r>
    </w:p>
    <w:p w14:paraId="14AA7A54">
      <w:pPr>
        <w:pStyle w:val="117"/>
        <w:spacing w:line="480" w:lineRule="exact"/>
        <w:ind w:firstLine="480"/>
        <w:rPr>
          <w:rFonts w:hint="eastAsia"/>
        </w:rPr>
      </w:pPr>
      <w:r>
        <w:t>（3）环境保护措施</w:t>
      </w:r>
      <w:r>
        <w:rPr>
          <w:rFonts w:hint="eastAsia"/>
        </w:rPr>
        <w:t>及其可行性论证。</w:t>
      </w:r>
    </w:p>
    <w:p w14:paraId="6B239805">
      <w:pPr>
        <w:pStyle w:val="2"/>
        <w:rPr>
          <w:rFonts w:hint="eastAsia"/>
          <w:lang w:val="zh-CN"/>
        </w:rPr>
      </w:pPr>
      <w:bookmarkStart w:id="120" w:name="_Toc475624465"/>
      <w:bookmarkStart w:id="121" w:name="_Toc160381870"/>
      <w:r>
        <w:rPr>
          <w:rFonts w:hint="eastAsia"/>
          <w:lang w:val="zh-CN"/>
        </w:rPr>
        <w:t>相关规划</w:t>
      </w:r>
      <w:bookmarkEnd w:id="120"/>
      <w:r>
        <w:rPr>
          <w:rFonts w:hint="eastAsia"/>
        </w:rPr>
        <w:t>及政策符合性分析</w:t>
      </w:r>
      <w:bookmarkEnd w:id="121"/>
    </w:p>
    <w:p w14:paraId="4F8BD7CD">
      <w:pPr>
        <w:pStyle w:val="4"/>
        <w:rPr>
          <w:rFonts w:hint="eastAsia"/>
          <w:lang w:val="zh-CN"/>
        </w:rPr>
      </w:pPr>
      <w:bookmarkStart w:id="122" w:name="_Toc445996339"/>
      <w:bookmarkStart w:id="123" w:name="_Toc445842058"/>
      <w:bookmarkStart w:id="124" w:name="_Toc12849"/>
      <w:r>
        <w:rPr>
          <w:lang w:val="zh-CN"/>
        </w:rPr>
        <w:t>相关规划</w:t>
      </w:r>
      <w:bookmarkEnd w:id="122"/>
      <w:bookmarkEnd w:id="123"/>
      <w:bookmarkEnd w:id="124"/>
      <w:r>
        <w:rPr>
          <w:rFonts w:hint="eastAsia"/>
        </w:rPr>
        <w:t>符合性分析</w:t>
      </w:r>
    </w:p>
    <w:p w14:paraId="42E2A12C">
      <w:pPr>
        <w:pStyle w:val="117"/>
        <w:ind w:firstLine="480"/>
        <w:rPr>
          <w:rFonts w:hint="eastAsia"/>
        </w:rPr>
      </w:pPr>
      <w:r>
        <w:rPr>
          <w:rFonts w:hint="eastAsia"/>
        </w:rPr>
        <w:t>（</w:t>
      </w:r>
      <w:r>
        <w:t>1）区域发展规划</w:t>
      </w:r>
      <w:r>
        <w:rPr>
          <w:rFonts w:hint="eastAsia"/>
        </w:rPr>
        <w:t>符合性分析</w:t>
      </w:r>
    </w:p>
    <w:p w14:paraId="0B4DFCB0">
      <w:pPr>
        <w:pStyle w:val="117"/>
        <w:ind w:firstLine="480"/>
        <w:rPr>
          <w:rFonts w:hint="eastAsia"/>
        </w:rPr>
      </w:pPr>
      <w:r>
        <w:rPr>
          <w:rFonts w:hint="eastAsia"/>
        </w:rPr>
        <w:t>《新疆维吾尔自治区国民经济和社会发展第十四个五年规划和2035年远景目标纲要》中指出：“加大准噶尔、吐哈、塔里木三大盆地油气勘探开发力度，提高新疆在油气资源开发利用转化过程中的参与度。加快中石油玛湖、吉木萨尔、准噶尔盆地南缘以及中石化顺北等大型油气田建设，促进油气增储上产”。本项目位于准噶尔盆地，属于陆地石油开采行业，符合规划及纲要中的相关要求。</w:t>
      </w:r>
    </w:p>
    <w:p w14:paraId="7092D867">
      <w:pPr>
        <w:pStyle w:val="117"/>
        <w:ind w:firstLine="468"/>
        <w:rPr>
          <w:rFonts w:hint="eastAsia"/>
          <w:spacing w:val="-6"/>
        </w:rPr>
      </w:pPr>
      <w:r>
        <w:rPr>
          <w:rFonts w:hint="eastAsia"/>
          <w:spacing w:val="-6"/>
        </w:rPr>
        <w:t>根据《新疆生产建设兵团国民经济和社会发展第十四个五年规划和二〇三五年远景目标纲要》：①加强与央企和国内化工龙头企业合作，参与国家布局在新疆的重大油气生产和炼化加工基地建设，逐步建立完善石油天然气化工、煤化工、氯碱化工产业链。支持第一师阿拉尔市、二师铁门关市、三师图木舒克市、六师五家渠市、七师胡杨河市、十四师昆玉市等发展石油天然气深加工项目。②加大油气勘探开发力度。推动油气勘探开发在兵团辖区内扎根落户，弥补兵团油气生产短板，力争实现油气供给增储上产。加快石油天然气管网建设，充分利用现有原油、成品油管道，优化长输高压管线、城市次高压管线和园区中低压管线配套，形成兵团油气管道“由点成线”的配置格局。</w:t>
      </w:r>
    </w:p>
    <w:p w14:paraId="0A7727E0">
      <w:pPr>
        <w:pStyle w:val="117"/>
        <w:ind w:firstLine="468"/>
        <w:rPr>
          <w:rFonts w:hint="eastAsia"/>
        </w:rPr>
      </w:pPr>
      <w:r>
        <w:rPr>
          <w:rFonts w:hint="eastAsia"/>
          <w:spacing w:val="-6"/>
        </w:rPr>
        <w:t>本工程为页岩油开采项目，位于新疆生产建设兵团第六师红旗农场，符合规划及纲要中的要求。</w:t>
      </w:r>
    </w:p>
    <w:p w14:paraId="49E3AE66">
      <w:pPr>
        <w:pStyle w:val="117"/>
        <w:ind w:firstLine="480"/>
        <w:rPr>
          <w:rFonts w:hint="eastAsia"/>
        </w:rPr>
      </w:pPr>
      <w:r>
        <w:rPr>
          <w:rFonts w:hint="eastAsia"/>
        </w:rPr>
        <w:t>（2</w:t>
      </w:r>
      <w:r>
        <w:t>）</w:t>
      </w:r>
      <w:r>
        <w:rPr>
          <w:rFonts w:hint="eastAsia"/>
        </w:rPr>
        <w:t>主体功能区规划</w:t>
      </w:r>
      <w:r>
        <w:t>相符性分析</w:t>
      </w:r>
    </w:p>
    <w:p w14:paraId="11FB1850">
      <w:pPr>
        <w:pStyle w:val="191"/>
        <w:ind w:firstLine="480"/>
        <w:rPr>
          <w:rFonts w:hint="eastAsia"/>
        </w:rPr>
      </w:pPr>
      <w:r>
        <w:rPr>
          <w:rFonts w:hint="eastAsia"/>
        </w:rPr>
        <w:t>本工程位于《新疆生产建设兵团主体功能区规划》中天山北坡农产品主产区，该区限制进行大规模、高强度城镇化工业化开发的农产品主产区。本次属于页岩油开发项目，不占用耕地，不会影响区域农产品生产；项目建设符合《新疆生产建设兵团主体功能区规划》的功能定位。</w:t>
      </w:r>
    </w:p>
    <w:p w14:paraId="77C9EB45">
      <w:pPr>
        <w:pStyle w:val="191"/>
        <w:ind w:firstLine="480"/>
        <w:rPr>
          <w:rFonts w:hint="eastAsia"/>
        </w:rPr>
      </w:pPr>
      <w:r>
        <w:rPr>
          <w:rFonts w:hint="eastAsia"/>
        </w:rPr>
        <w:t>（3）行业发展规划及规划环评</w:t>
      </w:r>
      <w:r>
        <w:t>相符性分析</w:t>
      </w:r>
    </w:p>
    <w:p w14:paraId="18539F32">
      <w:pPr>
        <w:pStyle w:val="191"/>
        <w:ind w:firstLine="480"/>
        <w:rPr>
          <w:rFonts w:hint="eastAsia"/>
        </w:rPr>
      </w:pPr>
      <w:r>
        <w:rPr>
          <w:rFonts w:hint="eastAsia"/>
        </w:rPr>
        <w:t>《</w:t>
      </w:r>
      <w:r>
        <w:t>新疆维吾尔自治区矿产资源</w:t>
      </w:r>
      <w:r>
        <w:rPr>
          <w:rFonts w:hint="eastAsia"/>
        </w:rPr>
        <w:t>总体</w:t>
      </w:r>
      <w:r>
        <w:t>规划（2021－2025）</w:t>
      </w:r>
      <w:r>
        <w:rPr>
          <w:rFonts w:hint="eastAsia"/>
        </w:rPr>
        <w:t>》指出，将石油、天然气列为重点勘查开采矿种，并指出要加快玛湖、吉木萨尔、准噶尔盆地南缘等大型油气田建设，促进增储上产，支撑克拉玛依、吉木萨尔油气能源资源基地建设。</w:t>
      </w:r>
      <w:bookmarkStart w:id="125" w:name="_Hlk159578378"/>
      <w:r>
        <w:rPr>
          <w:rFonts w:hint="eastAsia"/>
        </w:rPr>
        <w:t>本项目属于页岩油开发项目，地理位置位于新疆生产建设兵团第六师红旗农场，工程所在区域位于《新疆维吾尔自治区矿产资源总体规划（</w:t>
      </w:r>
      <w:r>
        <w:t>2020-2025</w:t>
      </w:r>
      <w:r>
        <w:rPr>
          <w:rFonts w:hint="eastAsia"/>
        </w:rPr>
        <w:t>）》中的环准噶尔能源资源勘查开发区。项目建设符合规划及规划环评的相关要求。</w:t>
      </w:r>
      <w:bookmarkEnd w:id="125"/>
    </w:p>
    <w:p w14:paraId="5B0EEEA5">
      <w:pPr>
        <w:pStyle w:val="191"/>
        <w:ind w:firstLine="480"/>
        <w:rPr>
          <w:rFonts w:hint="eastAsia"/>
        </w:rPr>
      </w:pPr>
      <w:bookmarkStart w:id="126" w:name="_Hlk159578427"/>
      <w:bookmarkStart w:id="127" w:name="_Hlk173778850"/>
      <w:r>
        <w:rPr>
          <w:rFonts w:hint="eastAsia"/>
        </w:rPr>
        <w:t>《新疆生产建设兵团</w:t>
      </w:r>
      <w:bookmarkEnd w:id="126"/>
      <w:r>
        <w:rPr>
          <w:rFonts w:hint="eastAsia"/>
        </w:rPr>
        <w:t>矿产资源总体规划（2021—2025）》</w:t>
      </w:r>
      <w:bookmarkEnd w:id="127"/>
      <w:r>
        <w:rPr>
          <w:rFonts w:hint="eastAsia"/>
        </w:rPr>
        <w:t>指出，将石油、天然气列为重点勘查开采矿种，项目所在区为环准噶尔北疆师市能源资源非金属矿产勘查开发区，“十四五”期间要参与准噶尔盆地克拉玛依-乌鲁木齐油气国家规划矿区及准噶尔克拉玛依、</w:t>
      </w:r>
      <w:bookmarkStart w:id="128" w:name="_Hlk159578398"/>
      <w:r>
        <w:rPr>
          <w:rFonts w:hint="eastAsia"/>
        </w:rPr>
        <w:t>吐哈盆地吉木萨尔油气能源资源基地</w:t>
      </w:r>
      <w:bookmarkEnd w:id="128"/>
      <w:r>
        <w:rPr>
          <w:rFonts w:hint="eastAsia"/>
        </w:rPr>
        <w:t>建设。依托和什托洛盖、塔城白杨河煤炭国家规划矿区，提升煤炭资源保障能力。稳定并扩大膨润土矿生产能力，推进砂石集中开发。探索红旗农场页岩气等清洁能源开发利用。本项目属于页岩油开采项目，地理位置位于新疆生产建设兵团第六师红旗农场，工程所在区域位于《新疆生产建设兵团矿产资源总体规划（</w:t>
      </w:r>
      <w:r>
        <w:t>202</w:t>
      </w:r>
      <w:r>
        <w:rPr>
          <w:rFonts w:hint="eastAsia"/>
          <w:lang w:val="en-US" w:eastAsia="zh-CN"/>
        </w:rPr>
        <w:t>1</w:t>
      </w:r>
      <w:r>
        <w:t>-2025</w:t>
      </w:r>
      <w:r>
        <w:rPr>
          <w:rFonts w:hint="eastAsia"/>
        </w:rPr>
        <w:t>）》中的吐哈盆地吉木萨尔油气能源资源基地，项目建设符合规划及规划环评的相关要求。</w:t>
      </w:r>
    </w:p>
    <w:p w14:paraId="66E61398">
      <w:pPr>
        <w:pStyle w:val="191"/>
        <w:ind w:firstLine="480"/>
        <w:rPr>
          <w:rFonts w:hint="eastAsia"/>
        </w:rPr>
      </w:pPr>
      <w:r>
        <w:rPr>
          <w:rFonts w:hint="eastAsia"/>
        </w:rPr>
        <w:t>《新疆油田公司“十四五”发展规划》指出，地面系统总体能力满足“十四五”期间新区玛湖500万吨上产、</w:t>
      </w:r>
      <w:bookmarkStart w:id="129" w:name="_Hlk159578586"/>
      <w:r>
        <w:rPr>
          <w:rFonts w:hint="eastAsia"/>
        </w:rPr>
        <w:t>吉木萨尔页岩油建产</w:t>
      </w:r>
      <w:bookmarkEnd w:id="129"/>
      <w:r>
        <w:rPr>
          <w:rFonts w:hint="eastAsia"/>
        </w:rPr>
        <w:t>、南缘建产，老区千万吨稳产、天然气稳产的需要，非常规油气藏地面配套关键技术取得重大突破，数字化、标准化等指标达到股份公司先进水平，生产运行、能耗等指标超越股份公司一般水平。全面建成保障坚强、结构合理、安全可靠、运行灵活、节能环保、经济高效的水、电、路、讯保障系统。本项目属于页岩油开采项目，地理位置位于新疆生产建设兵团第六师红旗农场，项目的建设有助于实现《新疆油田公司“十四五”发展规划》中吉木萨尔页岩油建产的目标。项目建设符合规划及规划环评的相关要求。</w:t>
      </w:r>
    </w:p>
    <w:p w14:paraId="0F56B33C">
      <w:pPr>
        <w:pStyle w:val="117"/>
        <w:ind w:firstLine="480"/>
        <w:rPr>
          <w:rFonts w:hint="eastAsia"/>
        </w:rPr>
      </w:pPr>
      <w:r>
        <w:rPr>
          <w:rFonts w:hint="eastAsia"/>
        </w:rPr>
        <w:t>（4）与</w:t>
      </w:r>
      <w:r>
        <w:rPr>
          <w:rFonts w:hint="eastAsia"/>
          <w:lang w:bidi="ar"/>
        </w:rPr>
        <w:t>《</w:t>
      </w:r>
      <w:r>
        <w:rPr>
          <w:lang w:bidi="ar"/>
        </w:rPr>
        <w:t>新疆生态环境保护“十四五”规划</w:t>
      </w:r>
      <w:r>
        <w:rPr>
          <w:rFonts w:hint="eastAsia"/>
          <w:lang w:bidi="ar"/>
        </w:rPr>
        <w:t>》</w:t>
      </w:r>
      <w:r>
        <w:rPr>
          <w:rFonts w:hint="eastAsia"/>
        </w:rPr>
        <w:t>的符合性分析</w:t>
      </w:r>
    </w:p>
    <w:p w14:paraId="0C26D13A">
      <w:pPr>
        <w:pStyle w:val="117"/>
        <w:adjustRightInd w:val="0"/>
        <w:snapToGrid w:val="0"/>
        <w:ind w:firstLine="480"/>
        <w:rPr>
          <w:rFonts w:hint="eastAsia"/>
          <w:lang w:bidi="ar"/>
        </w:rPr>
      </w:pPr>
      <w:r>
        <w:rPr>
          <w:rFonts w:hint="eastAsia"/>
          <w:lang w:bidi="ar"/>
        </w:rPr>
        <w:t>项目建设符合《</w:t>
      </w:r>
      <w:r>
        <w:rPr>
          <w:lang w:bidi="ar"/>
        </w:rPr>
        <w:t>新疆生态环境保护“十四五”规划</w:t>
      </w:r>
      <w:r>
        <w:rPr>
          <w:rFonts w:hint="eastAsia"/>
          <w:lang w:bidi="ar"/>
        </w:rPr>
        <w:t>》中的相关要求，详见表2</w:t>
      </w:r>
      <w:r>
        <w:rPr>
          <w:lang w:bidi="ar"/>
        </w:rPr>
        <w:t>.9-1</w:t>
      </w:r>
      <w:r>
        <w:rPr>
          <w:rFonts w:hint="eastAsia"/>
          <w:lang w:bidi="ar"/>
        </w:rPr>
        <w:t>。</w:t>
      </w:r>
    </w:p>
    <w:p w14:paraId="48355C09">
      <w:pPr>
        <w:spacing w:line="500" w:lineRule="exact"/>
        <w:ind w:firstLine="420" w:firstLineChars="200"/>
        <w:jc w:val="center"/>
        <w:rPr>
          <w:rFonts w:hint="eastAsia" w:ascii="黑体" w:hAnsi="黑体" w:eastAsia="黑体"/>
          <w:szCs w:val="21"/>
        </w:rPr>
      </w:pPr>
      <w:r>
        <w:rPr>
          <w:rFonts w:hint="eastAsia" w:ascii="黑体" w:hAnsi="黑体" w:eastAsia="黑体"/>
          <w:szCs w:val="21"/>
        </w:rPr>
        <w:t>表2</w:t>
      </w:r>
      <w:r>
        <w:rPr>
          <w:rFonts w:ascii="黑体" w:hAnsi="黑体" w:eastAsia="黑体"/>
          <w:szCs w:val="21"/>
        </w:rPr>
        <w:t>.9-1</w:t>
      </w:r>
      <w:r>
        <w:rPr>
          <w:rFonts w:hint="eastAsia" w:ascii="黑体" w:hAnsi="黑体" w:eastAsia="黑体"/>
          <w:szCs w:val="21"/>
        </w:rPr>
        <w:t xml:space="preserve"> </w:t>
      </w:r>
      <w:r>
        <w:rPr>
          <w:rFonts w:ascii="黑体" w:hAnsi="黑体" w:eastAsia="黑体"/>
          <w:szCs w:val="21"/>
        </w:rPr>
        <w:t xml:space="preserve"> </w:t>
      </w:r>
      <w:r>
        <w:rPr>
          <w:rFonts w:hint="eastAsia" w:ascii="黑体" w:hAnsi="黑体" w:eastAsia="黑体"/>
          <w:szCs w:val="21"/>
        </w:rPr>
        <w:t>项目与《</w:t>
      </w:r>
      <w:r>
        <w:rPr>
          <w:rFonts w:ascii="黑体" w:hAnsi="黑体" w:eastAsia="黑体"/>
          <w:szCs w:val="21"/>
        </w:rPr>
        <w:t>新疆生态环境保护“十四五”规划</w:t>
      </w:r>
      <w:r>
        <w:rPr>
          <w:rFonts w:hint="eastAsia" w:ascii="黑体" w:hAnsi="黑体" w:eastAsia="黑体"/>
          <w:szCs w:val="21"/>
        </w:rPr>
        <w:t>》的相符性分析</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6" w:type="dxa"/>
          <w:bottom w:w="0" w:type="dxa"/>
          <w:right w:w="6" w:type="dxa"/>
        </w:tblCellMar>
      </w:tblPr>
      <w:tblGrid>
        <w:gridCol w:w="285"/>
        <w:gridCol w:w="4826"/>
        <w:gridCol w:w="2981"/>
        <w:gridCol w:w="650"/>
      </w:tblGrid>
      <w:tr w14:paraId="6FAFDA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4218A76D">
            <w:pPr>
              <w:adjustRightInd w:val="0"/>
              <w:snapToGrid w:val="0"/>
              <w:spacing w:line="280" w:lineRule="exact"/>
              <w:jc w:val="center"/>
              <w:rPr>
                <w:rFonts w:hint="eastAsia" w:ascii="宋体" w:hAnsi="宋体"/>
                <w:szCs w:val="21"/>
              </w:rPr>
            </w:pPr>
            <w:r>
              <w:rPr>
                <w:rFonts w:hint="eastAsia" w:ascii="宋体" w:hAnsi="宋体"/>
                <w:szCs w:val="21"/>
              </w:rPr>
              <w:t>序号</w:t>
            </w:r>
          </w:p>
        </w:tc>
        <w:tc>
          <w:tcPr>
            <w:tcW w:w="2760" w:type="pct"/>
            <w:vAlign w:val="center"/>
          </w:tcPr>
          <w:p w14:paraId="46DBD87D">
            <w:pPr>
              <w:adjustRightInd w:val="0"/>
              <w:snapToGrid w:val="0"/>
              <w:spacing w:line="280" w:lineRule="exact"/>
              <w:jc w:val="center"/>
              <w:rPr>
                <w:rFonts w:hint="eastAsia" w:ascii="宋体" w:hAnsi="宋体"/>
                <w:szCs w:val="21"/>
              </w:rPr>
            </w:pPr>
            <w:r>
              <w:rPr>
                <w:rFonts w:hint="eastAsia" w:ascii="宋体" w:hAnsi="宋体"/>
                <w:szCs w:val="21"/>
              </w:rPr>
              <w:t>规划中相关要求</w:t>
            </w:r>
          </w:p>
        </w:tc>
        <w:tc>
          <w:tcPr>
            <w:tcW w:w="1705" w:type="pct"/>
            <w:vAlign w:val="center"/>
          </w:tcPr>
          <w:p w14:paraId="7B0D0FB8">
            <w:pPr>
              <w:adjustRightInd w:val="0"/>
              <w:snapToGrid w:val="0"/>
              <w:spacing w:line="280" w:lineRule="exact"/>
              <w:jc w:val="center"/>
              <w:rPr>
                <w:rFonts w:hint="eastAsia" w:ascii="宋体" w:hAnsi="宋体"/>
                <w:szCs w:val="21"/>
              </w:rPr>
            </w:pPr>
            <w:r>
              <w:rPr>
                <w:rFonts w:hint="eastAsia" w:ascii="宋体" w:hAnsi="宋体"/>
                <w:szCs w:val="21"/>
              </w:rPr>
              <w:t>本项目拟采取措施</w:t>
            </w:r>
          </w:p>
        </w:tc>
        <w:tc>
          <w:tcPr>
            <w:tcW w:w="372" w:type="pct"/>
            <w:vAlign w:val="center"/>
          </w:tcPr>
          <w:p w14:paraId="3F20FDA8">
            <w:pPr>
              <w:adjustRightInd w:val="0"/>
              <w:snapToGrid w:val="0"/>
              <w:spacing w:line="280" w:lineRule="exact"/>
              <w:jc w:val="center"/>
              <w:rPr>
                <w:rFonts w:hint="eastAsia" w:ascii="宋体" w:hAnsi="宋体"/>
                <w:szCs w:val="21"/>
              </w:rPr>
            </w:pPr>
            <w:r>
              <w:rPr>
                <w:rFonts w:hint="eastAsia" w:ascii="宋体" w:hAnsi="宋体"/>
                <w:szCs w:val="21"/>
              </w:rPr>
              <w:t>符合性分析</w:t>
            </w:r>
          </w:p>
        </w:tc>
      </w:tr>
      <w:tr w14:paraId="12419E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105BAE65">
            <w:pPr>
              <w:adjustRightInd w:val="0"/>
              <w:snapToGrid w:val="0"/>
              <w:spacing w:line="280" w:lineRule="exact"/>
              <w:jc w:val="center"/>
              <w:rPr>
                <w:rFonts w:hint="eastAsia" w:ascii="宋体" w:hAnsi="宋体"/>
                <w:szCs w:val="21"/>
              </w:rPr>
            </w:pPr>
            <w:r>
              <w:rPr>
                <w:rFonts w:hint="eastAsia" w:ascii="宋体" w:hAnsi="宋体"/>
                <w:szCs w:val="21"/>
              </w:rPr>
              <w:t>1</w:t>
            </w:r>
          </w:p>
        </w:tc>
        <w:tc>
          <w:tcPr>
            <w:tcW w:w="2760" w:type="pct"/>
            <w:vAlign w:val="center"/>
          </w:tcPr>
          <w:p w14:paraId="283E2306">
            <w:pPr>
              <w:adjustRightInd w:val="0"/>
              <w:snapToGrid w:val="0"/>
              <w:spacing w:line="280" w:lineRule="exact"/>
              <w:jc w:val="center"/>
              <w:rPr>
                <w:rFonts w:hint="eastAsia" w:ascii="宋体" w:hAnsi="宋体"/>
                <w:szCs w:val="21"/>
              </w:rPr>
            </w:pPr>
            <w:r>
              <w:rPr>
                <w:rFonts w:hint="eastAsia"/>
              </w:rPr>
              <w:t>加快发展现代煤化工、新材料、有色金属、煤炭、煤电、矿产开采及加工等优势产业，培育壮大先进装备制造、页岩油气加工、节能环保、新型建材、新能源等新兴产业和生产性服务业</w:t>
            </w:r>
          </w:p>
        </w:tc>
        <w:tc>
          <w:tcPr>
            <w:tcW w:w="1705" w:type="pct"/>
            <w:vAlign w:val="center"/>
          </w:tcPr>
          <w:p w14:paraId="72D257D9">
            <w:pPr>
              <w:adjustRightInd w:val="0"/>
              <w:snapToGrid w:val="0"/>
              <w:spacing w:line="280" w:lineRule="exact"/>
              <w:jc w:val="center"/>
              <w:rPr>
                <w:rFonts w:hint="eastAsia" w:ascii="宋体" w:hAnsi="宋体"/>
                <w:szCs w:val="21"/>
              </w:rPr>
            </w:pPr>
            <w:r>
              <w:rPr>
                <w:rFonts w:hint="eastAsia"/>
              </w:rPr>
              <w:t>本工程为页岩油开采项目，属于区域优势矿产资源</w:t>
            </w:r>
          </w:p>
        </w:tc>
        <w:tc>
          <w:tcPr>
            <w:tcW w:w="372" w:type="pct"/>
            <w:vAlign w:val="center"/>
          </w:tcPr>
          <w:p w14:paraId="0A81024B">
            <w:pPr>
              <w:adjustRightInd w:val="0"/>
              <w:snapToGrid w:val="0"/>
              <w:spacing w:line="280" w:lineRule="exact"/>
              <w:jc w:val="center"/>
              <w:rPr>
                <w:rFonts w:hint="eastAsia" w:ascii="宋体" w:hAnsi="宋体"/>
                <w:szCs w:val="21"/>
              </w:rPr>
            </w:pPr>
            <w:r>
              <w:rPr>
                <w:rFonts w:hint="eastAsia"/>
              </w:rPr>
              <w:t>符合</w:t>
            </w:r>
          </w:p>
        </w:tc>
      </w:tr>
      <w:tr w14:paraId="551D31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4861B469">
            <w:pPr>
              <w:adjustRightInd w:val="0"/>
              <w:snapToGrid w:val="0"/>
              <w:spacing w:line="280" w:lineRule="exact"/>
              <w:jc w:val="center"/>
              <w:rPr>
                <w:rFonts w:hint="eastAsia" w:ascii="宋体" w:hAnsi="宋体"/>
                <w:szCs w:val="21"/>
              </w:rPr>
            </w:pPr>
            <w:r>
              <w:rPr>
                <w:rFonts w:hint="eastAsia" w:ascii="宋体" w:hAnsi="宋体"/>
                <w:szCs w:val="21"/>
              </w:rPr>
              <w:t>2</w:t>
            </w:r>
          </w:p>
        </w:tc>
        <w:tc>
          <w:tcPr>
            <w:tcW w:w="2760" w:type="pct"/>
            <w:vAlign w:val="center"/>
          </w:tcPr>
          <w:p w14:paraId="67530D2A">
            <w:pPr>
              <w:adjustRightInd w:val="0"/>
              <w:snapToGrid w:val="0"/>
              <w:spacing w:line="280" w:lineRule="exact"/>
              <w:jc w:val="center"/>
              <w:rPr>
                <w:rFonts w:hint="eastAsia" w:ascii="宋体" w:hAnsi="宋体"/>
                <w:szCs w:val="21"/>
              </w:rPr>
            </w:pPr>
            <w:r>
              <w:rPr>
                <w:rFonts w:hint="eastAsia" w:ascii="宋体" w:hAnsi="宋体"/>
                <w:szCs w:val="21"/>
              </w:rPr>
              <w:t>实施最严格的生态保护制度。坚决遏制“两高”项目盲目发展，严格执行能源、矿产资源开发自治区人民政府“一支笔”审批制度、环境保护“一票否决”制度，落实“三线一单”生态环境分区管控要求，守住生态保护红线、环境质量底线和资源利用上线，实施生态环境准入清单管控。</w:t>
            </w:r>
          </w:p>
        </w:tc>
        <w:tc>
          <w:tcPr>
            <w:tcW w:w="1705" w:type="pct"/>
            <w:vAlign w:val="center"/>
          </w:tcPr>
          <w:p w14:paraId="782CE91C">
            <w:pPr>
              <w:adjustRightInd w:val="0"/>
              <w:snapToGrid w:val="0"/>
              <w:spacing w:line="280" w:lineRule="exact"/>
              <w:jc w:val="center"/>
              <w:rPr>
                <w:rFonts w:hint="eastAsia" w:ascii="宋体" w:hAnsi="宋体"/>
                <w:szCs w:val="21"/>
              </w:rPr>
            </w:pPr>
            <w:r>
              <w:rPr>
                <w:rFonts w:hint="eastAsia" w:ascii="宋体" w:hAnsi="宋体"/>
                <w:szCs w:val="21"/>
              </w:rPr>
              <w:t>本项目不属于“高污染、高环境风险产品”项目；位于一般管控单元，不涉及生态红线；废气、噪声均可实现达标排放，废水和固体废物均得到妥善处置，不会突破区域环境质量底线；施工期和运营期会消耗少量的电能和水，工程资源消耗量相对区域资料利用总量较少，符合资源上限要求；符合“三线一单”的要求</w:t>
            </w:r>
          </w:p>
        </w:tc>
        <w:tc>
          <w:tcPr>
            <w:tcW w:w="372" w:type="pct"/>
            <w:vAlign w:val="center"/>
          </w:tcPr>
          <w:p w14:paraId="6DF7C3BE">
            <w:pPr>
              <w:adjustRightInd w:val="0"/>
              <w:snapToGrid w:val="0"/>
              <w:spacing w:line="280" w:lineRule="exact"/>
              <w:jc w:val="center"/>
              <w:rPr>
                <w:rFonts w:hint="eastAsia" w:ascii="宋体" w:hAnsi="宋体"/>
                <w:szCs w:val="21"/>
              </w:rPr>
            </w:pPr>
            <w:r>
              <w:rPr>
                <w:rFonts w:hint="eastAsia" w:ascii="宋体" w:hAnsi="宋体"/>
                <w:szCs w:val="21"/>
              </w:rPr>
              <w:t>符合</w:t>
            </w:r>
          </w:p>
        </w:tc>
      </w:tr>
      <w:tr w14:paraId="0CDF80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5C2B817D">
            <w:pPr>
              <w:adjustRightInd w:val="0"/>
              <w:snapToGrid w:val="0"/>
              <w:spacing w:line="280" w:lineRule="exact"/>
              <w:jc w:val="center"/>
              <w:rPr>
                <w:rFonts w:hint="eastAsia" w:ascii="宋体" w:hAnsi="宋体"/>
                <w:szCs w:val="21"/>
              </w:rPr>
            </w:pPr>
            <w:r>
              <w:rPr>
                <w:rFonts w:hint="eastAsia" w:ascii="宋体" w:hAnsi="宋体"/>
                <w:szCs w:val="21"/>
              </w:rPr>
              <w:t>3</w:t>
            </w:r>
          </w:p>
        </w:tc>
        <w:tc>
          <w:tcPr>
            <w:tcW w:w="2760" w:type="pct"/>
            <w:vAlign w:val="center"/>
          </w:tcPr>
          <w:p w14:paraId="0C1375D9">
            <w:pPr>
              <w:adjustRightInd w:val="0"/>
              <w:snapToGrid w:val="0"/>
              <w:spacing w:line="280" w:lineRule="exact"/>
              <w:jc w:val="center"/>
              <w:rPr>
                <w:rFonts w:hint="eastAsia" w:ascii="宋体" w:hAnsi="宋体"/>
                <w:szCs w:val="21"/>
              </w:rPr>
            </w:pPr>
            <w:r>
              <w:t>积极引导重点产废企业自建危险废物利用设施，支持大型企业集团内部共享危险废物利用处置设施，推进工业废盐、废催化剂、煤焦油、电解铝大修渣等利用处置设施建设，适度发展水泥窑协同处置危险废物，引导推进有害废物处理处置能力建设，引导推进含油污泥处置、废矿物油回收利用能力过剩问题化解和布局优化。坚持兵地统筹、区域协同规划和建设危险废物利用处置设施，实现疆内危险废物处置能力与产废情况总体匹配。深入推进油气田开采历史遗留含油污泥、磺化泥浆、黄金选矿行业氰化尾渣、铜冶炼行业砷渣以及石棉矿选矿废渣等调查和污染治理</w:t>
            </w:r>
          </w:p>
        </w:tc>
        <w:tc>
          <w:tcPr>
            <w:tcW w:w="1705" w:type="pct"/>
            <w:vAlign w:val="center"/>
          </w:tcPr>
          <w:p w14:paraId="619CCCB6">
            <w:pPr>
              <w:adjustRightInd w:val="0"/>
              <w:snapToGrid w:val="0"/>
              <w:spacing w:line="280" w:lineRule="exact"/>
              <w:rPr>
                <w:rFonts w:hint="eastAsia" w:ascii="宋体" w:hAnsi="宋体"/>
                <w:szCs w:val="21"/>
              </w:rPr>
            </w:pPr>
            <w:r>
              <w:rPr>
                <w:rFonts w:hint="eastAsia"/>
              </w:rPr>
              <w:t>运营期危险废物为</w:t>
            </w:r>
            <w:bookmarkStart w:id="130" w:name="OLE_LINK392"/>
            <w:r>
              <w:rPr>
                <w:rFonts w:hint="eastAsia"/>
              </w:rPr>
              <w:t>清罐底泥、废润滑油、废润滑油桶、沾油废防渗材料和废含油抹布、劳保用品，分类收集，集中收集后交由有相应资质的单位处置，废脱硫剂包装物由厂家回收处置。</w:t>
            </w:r>
            <w:bookmarkEnd w:id="130"/>
          </w:p>
        </w:tc>
        <w:tc>
          <w:tcPr>
            <w:tcW w:w="372" w:type="pct"/>
            <w:vAlign w:val="center"/>
          </w:tcPr>
          <w:p w14:paraId="57665BE0">
            <w:pPr>
              <w:adjustRightInd w:val="0"/>
              <w:snapToGrid w:val="0"/>
              <w:spacing w:line="280" w:lineRule="exact"/>
              <w:jc w:val="center"/>
              <w:rPr>
                <w:rFonts w:hint="eastAsia" w:ascii="宋体" w:hAnsi="宋体"/>
                <w:szCs w:val="21"/>
              </w:rPr>
            </w:pPr>
            <w:r>
              <w:rPr>
                <w:rFonts w:hint="eastAsia" w:ascii="宋体" w:hAnsi="宋体"/>
                <w:szCs w:val="21"/>
              </w:rPr>
              <w:t>符合</w:t>
            </w:r>
          </w:p>
        </w:tc>
      </w:tr>
      <w:tr w14:paraId="54E388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7554B6A8">
            <w:pPr>
              <w:adjustRightInd w:val="0"/>
              <w:snapToGrid w:val="0"/>
              <w:spacing w:line="280" w:lineRule="exact"/>
              <w:jc w:val="center"/>
              <w:rPr>
                <w:rFonts w:hint="eastAsia" w:ascii="宋体" w:hAnsi="宋体"/>
                <w:szCs w:val="21"/>
              </w:rPr>
            </w:pPr>
            <w:r>
              <w:rPr>
                <w:rFonts w:hint="eastAsia" w:ascii="宋体" w:hAnsi="宋体"/>
                <w:szCs w:val="21"/>
              </w:rPr>
              <w:t>4</w:t>
            </w:r>
          </w:p>
        </w:tc>
        <w:tc>
          <w:tcPr>
            <w:tcW w:w="2760" w:type="pct"/>
            <w:vAlign w:val="center"/>
          </w:tcPr>
          <w:p w14:paraId="4DF045C3">
            <w:pPr>
              <w:adjustRightInd w:val="0"/>
              <w:snapToGrid w:val="0"/>
              <w:spacing w:line="280" w:lineRule="exact"/>
              <w:jc w:val="center"/>
              <w:rPr>
                <w:rFonts w:hint="eastAsia" w:ascii="宋体" w:hAnsi="宋体"/>
                <w:szCs w:val="21"/>
              </w:rPr>
            </w:pPr>
            <w:r>
              <w:rPr>
                <w:rFonts w:hint="eastAsia" w:ascii="宋体" w:hAnsi="宋体"/>
                <w:szCs w:val="21"/>
              </w:rPr>
              <w:t>强化危险废物全过程环境监管。督促各类危险废物产生单位和经营单位依法申报危险废物产生处置情况，报备管理计划，做好信息公开工作，规范运行危险废物转移联单。</w:t>
            </w:r>
          </w:p>
        </w:tc>
        <w:tc>
          <w:tcPr>
            <w:tcW w:w="1705" w:type="pct"/>
            <w:vAlign w:val="center"/>
          </w:tcPr>
          <w:p w14:paraId="15B13810">
            <w:pPr>
              <w:adjustRightInd w:val="0"/>
              <w:snapToGrid w:val="0"/>
              <w:spacing w:line="280" w:lineRule="exact"/>
              <w:jc w:val="center"/>
              <w:rPr>
                <w:rFonts w:hint="eastAsia" w:ascii="宋体" w:hAnsi="宋体"/>
                <w:szCs w:val="21"/>
              </w:rPr>
            </w:pPr>
            <w:r>
              <w:rPr>
                <w:rFonts w:hint="eastAsia" w:ascii="宋体" w:hAnsi="宋体"/>
                <w:szCs w:val="21"/>
              </w:rPr>
              <w:t>吉庆油田作业区已定期申报危险废物产生处置情况，并制定有危险废物管理计划，危险废物转移时执行危险废物转移联单制度</w:t>
            </w:r>
          </w:p>
        </w:tc>
        <w:tc>
          <w:tcPr>
            <w:tcW w:w="372" w:type="pct"/>
            <w:vAlign w:val="center"/>
          </w:tcPr>
          <w:p w14:paraId="4AC078B5">
            <w:pPr>
              <w:adjustRightInd w:val="0"/>
              <w:snapToGrid w:val="0"/>
              <w:spacing w:line="280" w:lineRule="exact"/>
              <w:jc w:val="center"/>
              <w:rPr>
                <w:rFonts w:hint="eastAsia" w:ascii="宋体" w:hAnsi="宋体"/>
                <w:szCs w:val="21"/>
              </w:rPr>
            </w:pPr>
            <w:r>
              <w:rPr>
                <w:rFonts w:hint="eastAsia" w:ascii="宋体" w:hAnsi="宋体"/>
                <w:szCs w:val="21"/>
              </w:rPr>
              <w:t>符合</w:t>
            </w:r>
          </w:p>
        </w:tc>
      </w:tr>
      <w:tr w14:paraId="412287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38021527">
            <w:pPr>
              <w:adjustRightInd w:val="0"/>
              <w:snapToGrid w:val="0"/>
              <w:spacing w:line="280" w:lineRule="exact"/>
              <w:jc w:val="center"/>
              <w:rPr>
                <w:rFonts w:hint="eastAsia" w:ascii="宋体" w:hAnsi="宋体"/>
                <w:szCs w:val="21"/>
              </w:rPr>
            </w:pPr>
            <w:r>
              <w:rPr>
                <w:rFonts w:hint="eastAsia" w:ascii="宋体" w:hAnsi="宋体"/>
                <w:szCs w:val="21"/>
              </w:rPr>
              <w:t>5</w:t>
            </w:r>
          </w:p>
        </w:tc>
        <w:tc>
          <w:tcPr>
            <w:tcW w:w="2760" w:type="pct"/>
            <w:vAlign w:val="center"/>
          </w:tcPr>
          <w:p w14:paraId="42F2461F">
            <w:pPr>
              <w:adjustRightInd w:val="0"/>
              <w:snapToGrid w:val="0"/>
              <w:spacing w:line="280" w:lineRule="exact"/>
              <w:jc w:val="center"/>
              <w:rPr>
                <w:rFonts w:hint="eastAsia" w:ascii="宋体" w:hAnsi="宋体"/>
                <w:szCs w:val="21"/>
              </w:rPr>
            </w:pPr>
            <w:r>
              <w:rPr>
                <w:rFonts w:hint="eastAsia"/>
              </w:rPr>
              <w:t>严格落实排污许可制度，健全事前事中事后监管体系。加强企业环境治理责任制度建设，指导帮扶企业建立自我检查、自我纠正、自我完善的环境保护工作机制。督促企业严格执行法律法规，严格执行建设项目环境影响评价、环境保护“三同时”、排污许可证申领、自行监测、清洁生产与资源综合利用等环境保护管理制度，履行污染治理与排放控制、水资源节约和保护、生态保护与修复、突发环境事件应急管理等法定义务和社会责任，并主动接受社会监督</w:t>
            </w:r>
          </w:p>
        </w:tc>
        <w:tc>
          <w:tcPr>
            <w:tcW w:w="1705" w:type="pct"/>
            <w:vAlign w:val="center"/>
          </w:tcPr>
          <w:p w14:paraId="6378DBA4">
            <w:pPr>
              <w:adjustRightInd w:val="0"/>
              <w:snapToGrid w:val="0"/>
              <w:spacing w:line="280" w:lineRule="exact"/>
              <w:jc w:val="center"/>
              <w:rPr>
                <w:rFonts w:hint="eastAsia" w:ascii="宋体" w:hAnsi="宋体"/>
                <w:szCs w:val="21"/>
              </w:rPr>
            </w:pPr>
            <w:r>
              <w:rPr>
                <w:rFonts w:hint="eastAsia"/>
              </w:rPr>
              <w:t>根据《固定源排污许可分类管理名录》，本工程不涉及通用工序。环境管理依托其已建立的、完善的环境管理体系，本报告提出了严格落实环境保护“三同时”、运营期监测计划的要求，并依法公开</w:t>
            </w:r>
          </w:p>
        </w:tc>
        <w:tc>
          <w:tcPr>
            <w:tcW w:w="372" w:type="pct"/>
            <w:vAlign w:val="center"/>
          </w:tcPr>
          <w:p w14:paraId="2E8F0E40">
            <w:pPr>
              <w:adjustRightInd w:val="0"/>
              <w:snapToGrid w:val="0"/>
              <w:spacing w:line="280" w:lineRule="exact"/>
              <w:jc w:val="center"/>
              <w:rPr>
                <w:rFonts w:hint="eastAsia" w:ascii="宋体" w:hAnsi="宋体"/>
                <w:szCs w:val="21"/>
              </w:rPr>
            </w:pPr>
          </w:p>
        </w:tc>
      </w:tr>
      <w:tr w14:paraId="39C243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163" w:type="pct"/>
            <w:vAlign w:val="center"/>
          </w:tcPr>
          <w:p w14:paraId="64BF2DDD">
            <w:pPr>
              <w:adjustRightInd w:val="0"/>
              <w:snapToGrid w:val="0"/>
              <w:spacing w:line="280" w:lineRule="exact"/>
              <w:jc w:val="center"/>
              <w:rPr>
                <w:rFonts w:hint="eastAsia" w:ascii="宋体" w:hAnsi="宋体"/>
                <w:szCs w:val="21"/>
              </w:rPr>
            </w:pPr>
            <w:r>
              <w:rPr>
                <w:rFonts w:hint="eastAsia" w:ascii="宋体" w:hAnsi="宋体"/>
                <w:szCs w:val="21"/>
              </w:rPr>
              <w:t>6</w:t>
            </w:r>
          </w:p>
        </w:tc>
        <w:tc>
          <w:tcPr>
            <w:tcW w:w="2760" w:type="pct"/>
            <w:vAlign w:val="center"/>
          </w:tcPr>
          <w:p w14:paraId="154F51F4">
            <w:pPr>
              <w:adjustRightInd w:val="0"/>
              <w:snapToGrid w:val="0"/>
              <w:spacing w:line="280" w:lineRule="exact"/>
              <w:jc w:val="center"/>
              <w:rPr>
                <w:rFonts w:hint="eastAsia" w:ascii="宋体" w:hAnsi="宋体"/>
                <w:szCs w:val="21"/>
              </w:rPr>
            </w:pPr>
            <w:r>
              <w:rPr>
                <w:rFonts w:ascii="宋体" w:hAnsi="宋体"/>
                <w:szCs w:val="21"/>
              </w:rPr>
              <w:t>加强应急监测装备配置，定期开展应急演练，增强实战能力。</w:t>
            </w:r>
          </w:p>
        </w:tc>
        <w:tc>
          <w:tcPr>
            <w:tcW w:w="1705" w:type="pct"/>
            <w:vAlign w:val="center"/>
          </w:tcPr>
          <w:p w14:paraId="1F07A8E0">
            <w:pPr>
              <w:adjustRightInd w:val="0"/>
              <w:snapToGrid w:val="0"/>
              <w:spacing w:line="280" w:lineRule="exact"/>
              <w:jc w:val="center"/>
              <w:rPr>
                <w:rFonts w:hint="eastAsia" w:ascii="FZYaSongS-R-GB" w:hAnsi="FZYaSongS-R-GB"/>
                <w:sz w:val="29"/>
                <w:szCs w:val="29"/>
                <w:shd w:val="clear" w:color="auto" w:fill="FFFFFF"/>
              </w:rPr>
            </w:pPr>
            <w:r>
              <w:rPr>
                <w:rFonts w:hint="eastAsia" w:ascii="宋体" w:hAnsi="宋体"/>
                <w:szCs w:val="21"/>
              </w:rPr>
              <w:t>吉庆油田作业区已编制突发环境事件应急预案并进行备案工作，并定期进行应急演练工作</w:t>
            </w:r>
          </w:p>
        </w:tc>
        <w:tc>
          <w:tcPr>
            <w:tcW w:w="372" w:type="pct"/>
            <w:vAlign w:val="center"/>
          </w:tcPr>
          <w:p w14:paraId="03E66BCD">
            <w:pPr>
              <w:adjustRightInd w:val="0"/>
              <w:snapToGrid w:val="0"/>
              <w:spacing w:line="280" w:lineRule="exact"/>
              <w:jc w:val="center"/>
              <w:rPr>
                <w:rFonts w:hint="eastAsia" w:ascii="FZYaSongS-R-GB" w:hAnsi="FZYaSongS-R-GB"/>
                <w:sz w:val="29"/>
                <w:szCs w:val="29"/>
                <w:shd w:val="clear" w:color="auto" w:fill="FFFFFF"/>
              </w:rPr>
            </w:pPr>
            <w:r>
              <w:rPr>
                <w:rFonts w:hint="eastAsia" w:ascii="宋体" w:hAnsi="宋体"/>
                <w:szCs w:val="21"/>
              </w:rPr>
              <w:t>符合</w:t>
            </w:r>
          </w:p>
        </w:tc>
      </w:tr>
    </w:tbl>
    <w:p w14:paraId="55AC9777">
      <w:pPr>
        <w:pStyle w:val="117"/>
        <w:spacing w:line="480" w:lineRule="exact"/>
        <w:ind w:firstLine="480"/>
        <w:rPr>
          <w:rFonts w:hint="eastAsia"/>
        </w:rPr>
      </w:pPr>
      <w:bookmarkStart w:id="131" w:name="_Toc22211"/>
      <w:bookmarkStart w:id="132" w:name="_Toc389770958"/>
      <w:bookmarkStart w:id="133" w:name="_Toc391973485"/>
      <w:bookmarkStart w:id="134" w:name="_Toc395781417"/>
      <w:bookmarkStart w:id="135" w:name="_Toc387775561"/>
      <w:bookmarkStart w:id="136" w:name="_Toc396754461"/>
      <w:bookmarkStart w:id="137" w:name="_Toc445840394"/>
      <w:bookmarkStart w:id="138" w:name="_Toc445829778"/>
      <w:bookmarkStart w:id="139" w:name="_Toc387184368"/>
      <w:bookmarkStart w:id="140" w:name="_Toc445996340"/>
      <w:bookmarkStart w:id="141" w:name="_Toc395781890"/>
      <w:bookmarkStart w:id="142" w:name="_Toc445842059"/>
      <w:r>
        <w:rPr>
          <w:rFonts w:hint="eastAsia"/>
        </w:rPr>
        <w:t>（5）与</w:t>
      </w:r>
      <w:bookmarkStart w:id="143" w:name="OLE_LINK302"/>
      <w:r>
        <w:rPr>
          <w:rFonts w:hint="eastAsia"/>
        </w:rPr>
        <w:t>《新疆生产建设兵团“十四五”生态环境保护规</w:t>
      </w:r>
      <w:bookmarkEnd w:id="143"/>
      <w:r>
        <w:rPr>
          <w:rFonts w:hint="eastAsia"/>
        </w:rPr>
        <w:t>划》的符合性</w:t>
      </w:r>
    </w:p>
    <w:p w14:paraId="593BA69E">
      <w:pPr>
        <w:pStyle w:val="117"/>
        <w:spacing w:line="480" w:lineRule="exact"/>
        <w:ind w:firstLine="480"/>
        <w:rPr>
          <w:rFonts w:hint="eastAsia"/>
        </w:rPr>
      </w:pPr>
      <w:r>
        <w:rPr>
          <w:rFonts w:hint="eastAsia"/>
        </w:rPr>
        <w:t>《新疆生产建设兵团“十四五”生态环境保护规划》提出，“加强重点行业VOCs治理。实施VOCs排放总量控制，重点推进石油天然气开采、石化、化工、包装印刷、工业涂装、油品储运销等重点行业排放源以及机动车等移动源VOCs污染防治，加强重点行业、重点企业的精细化管控；全面推进使用低VOCs含量涂料、油墨、胶粘剂、清洗剂等；加强汽修行业VOCs综合治理，加大餐饮油烟污染治理力度，持续削减VOCs排放量”。“以保障农产品质量安全和人体健康为目标，坚持预防为主、保护优先、风险管控方针，构建土壤污染防治监管体系，强化各类土壤污染来源监管，加快推进受污染耕地安全利用，开展重点建设用地土壤环境风险管控，保障兵团土壤环境安全。”</w:t>
      </w:r>
    </w:p>
    <w:p w14:paraId="6073D4F0">
      <w:pPr>
        <w:pStyle w:val="117"/>
        <w:spacing w:line="480" w:lineRule="exact"/>
        <w:ind w:firstLine="480"/>
        <w:rPr>
          <w:rFonts w:hint="eastAsia"/>
        </w:rPr>
      </w:pPr>
      <w:r>
        <w:rPr>
          <w:rFonts w:hint="eastAsia"/>
        </w:rPr>
        <w:t>本工程属于页岩油开发项目，整体项目实施后油气采用密闭集输工艺，可有效控制烃类气体的挥发量。项目生产过程中事故状态下落地油均100%进行回收，受污染的土壤收集后交由有相应处置资质单位转运、处置，确保项目在运营过程中不会对区域土壤产生不利影响。因此，项目建设与该规划相符。</w:t>
      </w:r>
    </w:p>
    <w:p w14:paraId="2B0973A3">
      <w:pPr>
        <w:pStyle w:val="117"/>
        <w:spacing w:line="480" w:lineRule="exact"/>
        <w:ind w:firstLine="480"/>
        <w:rPr>
          <w:rFonts w:hint="eastAsia"/>
        </w:rPr>
      </w:pPr>
      <w:bookmarkStart w:id="144" w:name="OLE_LINK127"/>
      <w:r>
        <w:rPr>
          <w:rFonts w:hint="eastAsia"/>
        </w:rPr>
        <w:t>（6）与《新疆生产建设兵团第六师五家渠市国土空间规划（2021-2035年）》（成果）符合性分析</w:t>
      </w:r>
    </w:p>
    <w:p w14:paraId="24A61074">
      <w:pPr>
        <w:pStyle w:val="117"/>
        <w:spacing w:line="480" w:lineRule="exact"/>
        <w:ind w:firstLine="480"/>
        <w:rPr>
          <w:rFonts w:hint="eastAsia"/>
        </w:rPr>
      </w:pPr>
      <w:r>
        <w:rPr>
          <w:rFonts w:hint="eastAsia"/>
        </w:rPr>
        <w:t>项目建设符合</w:t>
      </w:r>
      <w:bookmarkStart w:id="145" w:name="_Hlk173402281"/>
      <w:r>
        <w:rPr>
          <w:rFonts w:hint="eastAsia"/>
        </w:rPr>
        <w:t>《新疆生产建设兵团第六师五家渠市国土空间规划（2021-2035年）》（成果）</w:t>
      </w:r>
      <w:bookmarkEnd w:id="145"/>
      <w:r>
        <w:rPr>
          <w:rFonts w:hint="eastAsia"/>
        </w:rPr>
        <w:t xml:space="preserve">中的相关要求，详见表2.9-2。 </w:t>
      </w:r>
    </w:p>
    <w:p w14:paraId="11D1FC9F">
      <w:pPr>
        <w:pStyle w:val="15"/>
        <w:rPr>
          <w:rFonts w:hint="eastAsia"/>
          <w:snapToGrid w:val="0"/>
          <w:spacing w:val="-26"/>
          <w:kern w:val="0"/>
        </w:rPr>
      </w:pPr>
      <w:r>
        <w:rPr>
          <w:rFonts w:hint="eastAsia"/>
          <w:snapToGrid w:val="0"/>
          <w:spacing w:val="-26"/>
          <w:kern w:val="0"/>
        </w:rPr>
        <w:t>表2.9-2  项目与《新疆生产建设兵团第六师五家渠市国土空间规划（2021-2035年）》符合性分析</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6" w:type="dxa"/>
          <w:bottom w:w="0" w:type="dxa"/>
          <w:right w:w="6" w:type="dxa"/>
        </w:tblCellMar>
      </w:tblPr>
      <w:tblGrid>
        <w:gridCol w:w="568"/>
        <w:gridCol w:w="4542"/>
        <w:gridCol w:w="2981"/>
        <w:gridCol w:w="651"/>
      </w:tblGrid>
      <w:tr w14:paraId="0356AC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325" w:type="pct"/>
            <w:vAlign w:val="center"/>
          </w:tcPr>
          <w:p w14:paraId="3FD5285E">
            <w:pPr>
              <w:adjustRightInd w:val="0"/>
              <w:snapToGrid w:val="0"/>
              <w:spacing w:line="280" w:lineRule="exact"/>
              <w:jc w:val="center"/>
              <w:rPr>
                <w:rFonts w:hint="eastAsia" w:ascii="宋体" w:hAnsi="宋体"/>
                <w:szCs w:val="21"/>
              </w:rPr>
            </w:pPr>
            <w:r>
              <w:rPr>
                <w:rFonts w:hint="eastAsia" w:ascii="宋体" w:hAnsi="宋体"/>
                <w:szCs w:val="21"/>
              </w:rPr>
              <w:t>序号</w:t>
            </w:r>
          </w:p>
        </w:tc>
        <w:tc>
          <w:tcPr>
            <w:tcW w:w="2598" w:type="pct"/>
            <w:vAlign w:val="center"/>
          </w:tcPr>
          <w:p w14:paraId="6F7A785C">
            <w:pPr>
              <w:adjustRightInd w:val="0"/>
              <w:snapToGrid w:val="0"/>
              <w:spacing w:line="280" w:lineRule="exact"/>
              <w:jc w:val="center"/>
              <w:rPr>
                <w:rFonts w:hint="eastAsia" w:ascii="宋体" w:hAnsi="宋体"/>
                <w:szCs w:val="21"/>
              </w:rPr>
            </w:pPr>
            <w:r>
              <w:rPr>
                <w:rFonts w:hint="eastAsia" w:ascii="宋体" w:hAnsi="宋体"/>
                <w:szCs w:val="21"/>
              </w:rPr>
              <w:t>规划中相关要求</w:t>
            </w:r>
          </w:p>
        </w:tc>
        <w:tc>
          <w:tcPr>
            <w:tcW w:w="1705" w:type="pct"/>
            <w:vAlign w:val="center"/>
          </w:tcPr>
          <w:p w14:paraId="486855EF">
            <w:pPr>
              <w:adjustRightInd w:val="0"/>
              <w:snapToGrid w:val="0"/>
              <w:spacing w:line="280" w:lineRule="exact"/>
              <w:jc w:val="center"/>
              <w:rPr>
                <w:rFonts w:hint="eastAsia" w:ascii="宋体" w:hAnsi="宋体"/>
                <w:szCs w:val="21"/>
              </w:rPr>
            </w:pPr>
            <w:r>
              <w:rPr>
                <w:rFonts w:hint="eastAsia" w:ascii="宋体" w:hAnsi="宋体"/>
                <w:szCs w:val="21"/>
              </w:rPr>
              <w:t>本项目拟采取措施</w:t>
            </w:r>
          </w:p>
        </w:tc>
        <w:tc>
          <w:tcPr>
            <w:tcW w:w="372" w:type="pct"/>
            <w:vAlign w:val="center"/>
          </w:tcPr>
          <w:p w14:paraId="65B59D0B">
            <w:pPr>
              <w:adjustRightInd w:val="0"/>
              <w:snapToGrid w:val="0"/>
              <w:spacing w:line="280" w:lineRule="exact"/>
              <w:jc w:val="center"/>
              <w:rPr>
                <w:rFonts w:hint="eastAsia" w:ascii="宋体" w:hAnsi="宋体"/>
                <w:szCs w:val="21"/>
              </w:rPr>
            </w:pPr>
            <w:r>
              <w:rPr>
                <w:rFonts w:hint="eastAsia" w:ascii="宋体" w:hAnsi="宋体"/>
                <w:szCs w:val="21"/>
              </w:rPr>
              <w:t>符合性分析</w:t>
            </w:r>
          </w:p>
        </w:tc>
      </w:tr>
      <w:tr w14:paraId="2E27EF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325" w:type="pct"/>
            <w:vAlign w:val="center"/>
          </w:tcPr>
          <w:p w14:paraId="2F21ADFC">
            <w:pPr>
              <w:adjustRightInd w:val="0"/>
              <w:snapToGrid w:val="0"/>
              <w:spacing w:line="280" w:lineRule="exact"/>
              <w:jc w:val="center"/>
              <w:rPr>
                <w:rFonts w:hint="eastAsia" w:ascii="宋体" w:hAnsi="宋体"/>
                <w:szCs w:val="21"/>
              </w:rPr>
            </w:pPr>
            <w:r>
              <w:rPr>
                <w:rFonts w:hint="eastAsia" w:ascii="宋体" w:hAnsi="宋体"/>
                <w:szCs w:val="21"/>
              </w:rPr>
              <w:t>1</w:t>
            </w:r>
          </w:p>
        </w:tc>
        <w:tc>
          <w:tcPr>
            <w:tcW w:w="2598" w:type="pct"/>
            <w:vAlign w:val="center"/>
          </w:tcPr>
          <w:p w14:paraId="3A1C74F7">
            <w:pPr>
              <w:adjustRightInd w:val="0"/>
              <w:snapToGrid w:val="0"/>
              <w:spacing w:line="280" w:lineRule="exact"/>
              <w:jc w:val="center"/>
              <w:rPr>
                <w:rFonts w:hint="eastAsia" w:ascii="宋体" w:hAnsi="宋体"/>
                <w:szCs w:val="21"/>
              </w:rPr>
            </w:pPr>
            <w:r>
              <w:rPr>
                <w:rFonts w:hint="eastAsia" w:ascii="宋体" w:hAnsi="宋体"/>
                <w:szCs w:val="21"/>
              </w:rPr>
              <w:t>统筹划定落实永久基本农田、生态保护红线、城镇开发边界3三条控制线，将三条控制线作为调整经济结构、规划产业发展、推进城镇化不可逾越的红线。</w:t>
            </w:r>
          </w:p>
        </w:tc>
        <w:tc>
          <w:tcPr>
            <w:tcW w:w="1705" w:type="pct"/>
            <w:vAlign w:val="center"/>
          </w:tcPr>
          <w:p w14:paraId="70BFE817">
            <w:pPr>
              <w:adjustRightInd w:val="0"/>
              <w:snapToGrid w:val="0"/>
              <w:spacing w:line="280" w:lineRule="exact"/>
              <w:jc w:val="center"/>
              <w:rPr>
                <w:rFonts w:hint="eastAsia" w:ascii="宋体" w:hAnsi="宋体"/>
                <w:szCs w:val="21"/>
              </w:rPr>
            </w:pPr>
            <w:r>
              <w:rPr>
                <w:rFonts w:hint="eastAsia"/>
              </w:rPr>
              <w:t>项目占地主要为天然牧草地，不占用基本农田、生态保护红线。</w:t>
            </w:r>
          </w:p>
        </w:tc>
        <w:tc>
          <w:tcPr>
            <w:tcW w:w="372" w:type="pct"/>
            <w:vAlign w:val="center"/>
          </w:tcPr>
          <w:p w14:paraId="0D37BBAF">
            <w:pPr>
              <w:adjustRightInd w:val="0"/>
              <w:snapToGrid w:val="0"/>
              <w:spacing w:line="280" w:lineRule="exact"/>
              <w:jc w:val="center"/>
              <w:rPr>
                <w:rFonts w:hint="eastAsia" w:ascii="宋体" w:hAnsi="宋体"/>
                <w:szCs w:val="21"/>
              </w:rPr>
            </w:pPr>
            <w:r>
              <w:rPr>
                <w:rFonts w:hint="eastAsia"/>
              </w:rPr>
              <w:t>符合</w:t>
            </w:r>
          </w:p>
        </w:tc>
      </w:tr>
      <w:tr w14:paraId="652738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325" w:type="pct"/>
            <w:vAlign w:val="center"/>
          </w:tcPr>
          <w:p w14:paraId="4D288E41">
            <w:pPr>
              <w:adjustRightInd w:val="0"/>
              <w:snapToGrid w:val="0"/>
              <w:spacing w:line="280" w:lineRule="exact"/>
              <w:jc w:val="center"/>
              <w:rPr>
                <w:rFonts w:hint="eastAsia" w:ascii="宋体" w:hAnsi="宋体"/>
                <w:szCs w:val="21"/>
              </w:rPr>
            </w:pPr>
            <w:r>
              <w:rPr>
                <w:rFonts w:hint="eastAsia" w:ascii="宋体" w:hAnsi="宋体"/>
                <w:szCs w:val="21"/>
              </w:rPr>
              <w:t>2</w:t>
            </w:r>
          </w:p>
        </w:tc>
        <w:tc>
          <w:tcPr>
            <w:tcW w:w="2598" w:type="pct"/>
            <w:vAlign w:val="center"/>
          </w:tcPr>
          <w:p w14:paraId="27E61F38">
            <w:pPr>
              <w:adjustRightInd w:val="0"/>
              <w:snapToGrid w:val="0"/>
              <w:spacing w:line="280" w:lineRule="exact"/>
              <w:jc w:val="center"/>
            </w:pPr>
            <w:r>
              <w:rPr>
                <w:rFonts w:hint="eastAsia"/>
              </w:rPr>
              <w:t>优化国土空间规划分区，构建保护环境和节约资源的可持续发展空间格局，科学实施国土空间用途管制，其中矿产资源发展区是为适应国家能源安全与矿业发展的重要陆域采矿区、战略性矿产储量区等区域。</w:t>
            </w:r>
          </w:p>
        </w:tc>
        <w:tc>
          <w:tcPr>
            <w:tcW w:w="1705" w:type="pct"/>
            <w:vAlign w:val="center"/>
          </w:tcPr>
          <w:p w14:paraId="42486562">
            <w:pPr>
              <w:adjustRightInd w:val="0"/>
              <w:snapToGrid w:val="0"/>
              <w:spacing w:line="280" w:lineRule="exact"/>
              <w:jc w:val="center"/>
            </w:pPr>
            <w:r>
              <w:rPr>
                <w:rFonts w:hint="eastAsia"/>
              </w:rPr>
              <w:t>项目属于页岩油开发，位于矿产资源发展区</w:t>
            </w:r>
          </w:p>
        </w:tc>
        <w:tc>
          <w:tcPr>
            <w:tcW w:w="372" w:type="pct"/>
            <w:vAlign w:val="center"/>
          </w:tcPr>
          <w:p w14:paraId="6E6649B9">
            <w:pPr>
              <w:adjustRightInd w:val="0"/>
              <w:snapToGrid w:val="0"/>
              <w:spacing w:line="280" w:lineRule="exact"/>
              <w:jc w:val="center"/>
            </w:pPr>
            <w:r>
              <w:rPr>
                <w:rFonts w:hint="eastAsia"/>
              </w:rPr>
              <w:t>符合</w:t>
            </w:r>
          </w:p>
        </w:tc>
      </w:tr>
      <w:tr w14:paraId="0DCD3B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325" w:type="pct"/>
            <w:vAlign w:val="center"/>
          </w:tcPr>
          <w:p w14:paraId="2CA93E71">
            <w:pPr>
              <w:adjustRightInd w:val="0"/>
              <w:snapToGrid w:val="0"/>
              <w:spacing w:line="280" w:lineRule="exact"/>
              <w:jc w:val="center"/>
              <w:rPr>
                <w:rFonts w:hint="eastAsia" w:ascii="宋体" w:hAnsi="宋体"/>
                <w:szCs w:val="21"/>
              </w:rPr>
            </w:pPr>
            <w:r>
              <w:rPr>
                <w:rFonts w:hint="eastAsia" w:ascii="宋体" w:hAnsi="宋体"/>
                <w:szCs w:val="21"/>
              </w:rPr>
              <w:t>3</w:t>
            </w:r>
          </w:p>
        </w:tc>
        <w:tc>
          <w:tcPr>
            <w:tcW w:w="2598" w:type="pct"/>
            <w:vAlign w:val="center"/>
          </w:tcPr>
          <w:p w14:paraId="73CD50E9">
            <w:pPr>
              <w:adjustRightInd w:val="0"/>
              <w:snapToGrid w:val="0"/>
              <w:spacing w:line="280" w:lineRule="exact"/>
            </w:pPr>
            <w:r>
              <w:rPr>
                <w:rFonts w:hint="eastAsia"/>
              </w:rPr>
              <w:t>科学谋划三生空间，根据生态功能的不同将第六师国土空间由南向北划分为四个结构性生态控制区，包括天山水源涵养保护区、平原绿洲发展区、防风固沙控制区、生物多样性保育区。</w:t>
            </w:r>
          </w:p>
        </w:tc>
        <w:tc>
          <w:tcPr>
            <w:tcW w:w="1705" w:type="pct"/>
            <w:vAlign w:val="center"/>
          </w:tcPr>
          <w:p w14:paraId="26A5EF03">
            <w:pPr>
              <w:adjustRightInd w:val="0"/>
              <w:snapToGrid w:val="0"/>
              <w:spacing w:line="280" w:lineRule="exact"/>
              <w:jc w:val="center"/>
            </w:pPr>
            <w:r>
              <w:rPr>
                <w:rFonts w:hint="eastAsia"/>
              </w:rPr>
              <w:t>项目占地为非沙化土地，对防止土地沙化提出了相应的防治措施</w:t>
            </w:r>
          </w:p>
        </w:tc>
        <w:tc>
          <w:tcPr>
            <w:tcW w:w="372" w:type="pct"/>
            <w:vAlign w:val="center"/>
          </w:tcPr>
          <w:p w14:paraId="46CEFD03">
            <w:pPr>
              <w:adjustRightInd w:val="0"/>
              <w:snapToGrid w:val="0"/>
              <w:spacing w:line="280" w:lineRule="exact"/>
              <w:jc w:val="center"/>
            </w:pPr>
            <w:r>
              <w:rPr>
                <w:rFonts w:hint="eastAsia"/>
              </w:rPr>
              <w:t>符合</w:t>
            </w:r>
          </w:p>
        </w:tc>
      </w:tr>
      <w:tr w14:paraId="12DECA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6" w:type="dxa"/>
            <w:bottom w:w="0" w:type="dxa"/>
            <w:right w:w="6" w:type="dxa"/>
          </w:tblCellMar>
        </w:tblPrEx>
        <w:trPr>
          <w:trHeight w:val="284" w:hRule="atLeast"/>
        </w:trPr>
        <w:tc>
          <w:tcPr>
            <w:tcW w:w="325" w:type="pct"/>
            <w:vAlign w:val="center"/>
          </w:tcPr>
          <w:p w14:paraId="156C93B2">
            <w:pPr>
              <w:adjustRightInd w:val="0"/>
              <w:snapToGrid w:val="0"/>
              <w:spacing w:line="280" w:lineRule="exact"/>
              <w:jc w:val="center"/>
              <w:rPr>
                <w:rFonts w:hint="eastAsia" w:ascii="宋体" w:hAnsi="宋体"/>
                <w:szCs w:val="21"/>
              </w:rPr>
            </w:pPr>
            <w:r>
              <w:rPr>
                <w:rFonts w:hint="eastAsia" w:ascii="宋体" w:hAnsi="宋体"/>
                <w:szCs w:val="21"/>
              </w:rPr>
              <w:t>4</w:t>
            </w:r>
          </w:p>
        </w:tc>
        <w:tc>
          <w:tcPr>
            <w:tcW w:w="2598" w:type="pct"/>
            <w:vAlign w:val="center"/>
          </w:tcPr>
          <w:p w14:paraId="016ACCC3">
            <w:pPr>
              <w:adjustRightInd w:val="0"/>
              <w:snapToGrid w:val="0"/>
              <w:spacing w:line="280" w:lineRule="exact"/>
            </w:pPr>
            <w:r>
              <w:rPr>
                <w:rFonts w:hint="eastAsia"/>
              </w:rPr>
              <w:t>落实最严格的耕地保护制度，确保耕地实至名归，农田就是农田而且必须是良田。严控非农建设占用耕地，非农建设经批准占用耕地要按照“占多少，补多少”、“占优补优、占水田补水田”的原则补充耕地。强化土地流转用途监管，坚决遏制耕地“非农化”，防止耕地“非粮化"。</w:t>
            </w:r>
          </w:p>
        </w:tc>
        <w:tc>
          <w:tcPr>
            <w:tcW w:w="1705" w:type="pct"/>
            <w:vAlign w:val="center"/>
          </w:tcPr>
          <w:p w14:paraId="793E180C">
            <w:pPr>
              <w:adjustRightInd w:val="0"/>
              <w:snapToGrid w:val="0"/>
              <w:spacing w:line="280" w:lineRule="exact"/>
              <w:jc w:val="center"/>
            </w:pPr>
            <w:r>
              <w:rPr>
                <w:rFonts w:hint="eastAsia"/>
              </w:rPr>
              <w:t>项目占地主要为天然牧草地，不占用耕地，报告中对耕地提出了相应的保护措施。</w:t>
            </w:r>
          </w:p>
        </w:tc>
        <w:tc>
          <w:tcPr>
            <w:tcW w:w="372" w:type="pct"/>
            <w:vAlign w:val="center"/>
          </w:tcPr>
          <w:p w14:paraId="5E2D81F0">
            <w:pPr>
              <w:adjustRightInd w:val="0"/>
              <w:snapToGrid w:val="0"/>
              <w:spacing w:line="280" w:lineRule="exact"/>
              <w:jc w:val="center"/>
            </w:pPr>
            <w:r>
              <w:rPr>
                <w:rFonts w:hint="eastAsia"/>
              </w:rPr>
              <w:t>符合</w:t>
            </w:r>
          </w:p>
        </w:tc>
      </w:tr>
      <w:bookmarkEnd w:id="144"/>
    </w:tbl>
    <w:p w14:paraId="1BAC4C94">
      <w:pPr>
        <w:pStyle w:val="4"/>
        <w:rPr>
          <w:rFonts w:hint="eastAsia"/>
          <w:lang w:val="zh-CN"/>
        </w:rPr>
      </w:pPr>
      <w:r>
        <w:rPr>
          <w:rFonts w:hint="eastAsia"/>
        </w:rPr>
        <w:t>环保政策符合性分析</w:t>
      </w:r>
      <w:bookmarkEnd w:id="131"/>
      <w:bookmarkEnd w:id="132"/>
      <w:bookmarkEnd w:id="133"/>
      <w:bookmarkEnd w:id="134"/>
      <w:bookmarkEnd w:id="135"/>
      <w:bookmarkEnd w:id="136"/>
      <w:bookmarkEnd w:id="137"/>
      <w:bookmarkEnd w:id="138"/>
      <w:bookmarkEnd w:id="139"/>
      <w:bookmarkEnd w:id="140"/>
      <w:bookmarkEnd w:id="141"/>
      <w:bookmarkEnd w:id="142"/>
    </w:p>
    <w:p w14:paraId="3C028629">
      <w:pPr>
        <w:pStyle w:val="117"/>
        <w:ind w:firstLine="480"/>
        <w:rPr>
          <w:rFonts w:hint="eastAsia"/>
          <w:lang w:bidi="ar"/>
        </w:rPr>
      </w:pPr>
      <w:bookmarkStart w:id="146" w:name="_Hlk7018936"/>
      <w:r>
        <w:rPr>
          <w:rFonts w:hint="eastAsia"/>
          <w:lang w:bidi="ar"/>
        </w:rPr>
        <w:t>（1）与《石油天然气开采业污染防治技术政策》的符合性分析</w:t>
      </w:r>
    </w:p>
    <w:p w14:paraId="478F6D23">
      <w:pPr>
        <w:pStyle w:val="117"/>
        <w:ind w:firstLine="480"/>
        <w:rPr>
          <w:rFonts w:hint="eastAsia"/>
        </w:rPr>
      </w:pPr>
      <w:r>
        <w:rPr>
          <w:rFonts w:hint="eastAsia"/>
          <w:lang w:bidi="ar"/>
        </w:rPr>
        <w:t>本项目采取的各项环保措施符合《石油天然气开采业污染防治技术政策》中相关要求，详见表</w:t>
      </w:r>
      <w:r>
        <w:rPr>
          <w:lang w:bidi="ar"/>
        </w:rPr>
        <w:t>2.9</w:t>
      </w:r>
      <w:r>
        <w:rPr>
          <w:rFonts w:hint="eastAsia"/>
          <w:lang w:bidi="ar"/>
        </w:rPr>
        <w:t>-3。</w:t>
      </w:r>
    </w:p>
    <w:p w14:paraId="343CE18B">
      <w:pPr>
        <w:pStyle w:val="15"/>
        <w:rPr>
          <w:rFonts w:hint="eastAsia"/>
        </w:rPr>
      </w:pPr>
      <w:r>
        <w:rPr>
          <w:rFonts w:hint="eastAsia"/>
        </w:rPr>
        <w:t>表2</w:t>
      </w:r>
      <w:r>
        <w:t>.9</w:t>
      </w:r>
      <w:r>
        <w:rPr>
          <w:rFonts w:hint="eastAsia"/>
        </w:rPr>
        <w:t>-3  项目与</w:t>
      </w:r>
      <w:bookmarkStart w:id="147" w:name="_Hlk80467726"/>
      <w:r>
        <w:rPr>
          <w:rFonts w:hint="eastAsia"/>
        </w:rPr>
        <w:t>《石油天然气开采业污染防治技术政策》</w:t>
      </w:r>
      <w:bookmarkEnd w:id="147"/>
      <w:r>
        <w:rPr>
          <w:rFonts w:hint="eastAsia"/>
        </w:rPr>
        <w:t>的相符性分析</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
        <w:gridCol w:w="4394"/>
        <w:gridCol w:w="3118"/>
        <w:gridCol w:w="792"/>
      </w:tblGrid>
      <w:tr w14:paraId="7C13F7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426" w:type="dxa"/>
            <w:tcMar>
              <w:left w:w="0" w:type="dxa"/>
              <w:right w:w="0" w:type="dxa"/>
            </w:tcMar>
            <w:vAlign w:val="center"/>
          </w:tcPr>
          <w:p w14:paraId="1EA565F1">
            <w:pPr>
              <w:pStyle w:val="286"/>
              <w:adjustRightInd w:val="0"/>
              <w:snapToGrid w:val="0"/>
              <w:spacing w:line="300" w:lineRule="exact"/>
              <w:rPr>
                <w:rFonts w:hint="eastAsia"/>
                <w:sz w:val="21"/>
              </w:rPr>
            </w:pPr>
            <w:r>
              <w:rPr>
                <w:rFonts w:hint="eastAsia"/>
                <w:sz w:val="21"/>
                <w:lang w:bidi="ar"/>
              </w:rPr>
              <w:t>序号</w:t>
            </w:r>
          </w:p>
        </w:tc>
        <w:tc>
          <w:tcPr>
            <w:tcW w:w="4394" w:type="dxa"/>
            <w:tcMar>
              <w:left w:w="0" w:type="dxa"/>
              <w:right w:w="0" w:type="dxa"/>
            </w:tcMar>
            <w:vAlign w:val="center"/>
          </w:tcPr>
          <w:p w14:paraId="4A449D3A">
            <w:pPr>
              <w:pStyle w:val="286"/>
              <w:adjustRightInd w:val="0"/>
              <w:snapToGrid w:val="0"/>
              <w:spacing w:line="300" w:lineRule="exact"/>
              <w:rPr>
                <w:rFonts w:hint="eastAsia"/>
                <w:sz w:val="21"/>
              </w:rPr>
            </w:pPr>
            <w:r>
              <w:rPr>
                <w:rFonts w:hint="eastAsia"/>
                <w:sz w:val="21"/>
                <w:lang w:bidi="ar"/>
              </w:rPr>
              <w:t>《政策》中相关规定</w:t>
            </w:r>
          </w:p>
        </w:tc>
        <w:tc>
          <w:tcPr>
            <w:tcW w:w="3118" w:type="dxa"/>
            <w:tcMar>
              <w:left w:w="0" w:type="dxa"/>
              <w:right w:w="0" w:type="dxa"/>
            </w:tcMar>
            <w:vAlign w:val="center"/>
          </w:tcPr>
          <w:p w14:paraId="45508945">
            <w:pPr>
              <w:pStyle w:val="286"/>
              <w:adjustRightInd w:val="0"/>
              <w:snapToGrid w:val="0"/>
              <w:spacing w:line="300" w:lineRule="exact"/>
              <w:rPr>
                <w:rFonts w:hint="eastAsia"/>
                <w:sz w:val="21"/>
              </w:rPr>
            </w:pPr>
            <w:r>
              <w:rPr>
                <w:rFonts w:hint="eastAsia"/>
                <w:sz w:val="21"/>
                <w:lang w:bidi="ar"/>
              </w:rPr>
              <w:t>本项目采取的相关措施</w:t>
            </w:r>
          </w:p>
        </w:tc>
        <w:tc>
          <w:tcPr>
            <w:tcW w:w="792" w:type="dxa"/>
            <w:tcMar>
              <w:left w:w="0" w:type="dxa"/>
              <w:right w:w="0" w:type="dxa"/>
            </w:tcMar>
            <w:vAlign w:val="center"/>
          </w:tcPr>
          <w:p w14:paraId="3DAEF5AE">
            <w:pPr>
              <w:pStyle w:val="286"/>
              <w:adjustRightInd w:val="0"/>
              <w:snapToGrid w:val="0"/>
              <w:spacing w:line="300" w:lineRule="exact"/>
              <w:rPr>
                <w:rFonts w:hint="eastAsia"/>
                <w:sz w:val="21"/>
              </w:rPr>
            </w:pPr>
            <w:r>
              <w:rPr>
                <w:rFonts w:hint="eastAsia"/>
                <w:sz w:val="21"/>
                <w:lang w:bidi="ar"/>
              </w:rPr>
              <w:t>相符性分析</w:t>
            </w:r>
          </w:p>
        </w:tc>
      </w:tr>
      <w:tr w14:paraId="1097EB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2504AA5C">
            <w:pPr>
              <w:pStyle w:val="286"/>
              <w:adjustRightInd w:val="0"/>
              <w:snapToGrid w:val="0"/>
              <w:spacing w:line="300" w:lineRule="exact"/>
              <w:rPr>
                <w:rFonts w:hint="eastAsia"/>
                <w:sz w:val="21"/>
              </w:rPr>
            </w:pPr>
            <w:r>
              <w:rPr>
                <w:rFonts w:hint="eastAsia"/>
                <w:sz w:val="21"/>
                <w:lang w:bidi="ar"/>
              </w:rPr>
              <w:t>1</w:t>
            </w:r>
          </w:p>
        </w:tc>
        <w:tc>
          <w:tcPr>
            <w:tcW w:w="4394" w:type="dxa"/>
            <w:tcMar>
              <w:left w:w="0" w:type="dxa"/>
              <w:right w:w="0" w:type="dxa"/>
            </w:tcMar>
            <w:vAlign w:val="center"/>
          </w:tcPr>
          <w:p w14:paraId="3F0858AC">
            <w:pPr>
              <w:pStyle w:val="286"/>
              <w:adjustRightInd w:val="0"/>
              <w:snapToGrid w:val="0"/>
              <w:spacing w:line="300" w:lineRule="exact"/>
              <w:rPr>
                <w:rFonts w:hint="eastAsia"/>
                <w:sz w:val="21"/>
              </w:rPr>
            </w:pPr>
            <w:r>
              <w:rPr>
                <w:rFonts w:hint="eastAsia"/>
                <w:sz w:val="21"/>
                <w:lang w:bidi="ar"/>
              </w:rPr>
              <w:t>在勘探开发过程中，应防止产生落地原油。其中井下作业过程中应配备泄油器、刮油器等。落地原油应及时回收，落地原油回收率应达到100%</w:t>
            </w:r>
          </w:p>
        </w:tc>
        <w:tc>
          <w:tcPr>
            <w:tcW w:w="3118" w:type="dxa"/>
            <w:tcMar>
              <w:left w:w="0" w:type="dxa"/>
              <w:right w:w="0" w:type="dxa"/>
            </w:tcMar>
            <w:vAlign w:val="center"/>
          </w:tcPr>
          <w:p w14:paraId="3E3EA2BD">
            <w:pPr>
              <w:pStyle w:val="286"/>
              <w:adjustRightInd w:val="0"/>
              <w:snapToGrid w:val="0"/>
              <w:spacing w:line="300" w:lineRule="exact"/>
              <w:jc w:val="both"/>
              <w:rPr>
                <w:rFonts w:hint="eastAsia"/>
                <w:sz w:val="21"/>
              </w:rPr>
            </w:pPr>
            <w:r>
              <w:rPr>
                <w:rFonts w:hint="eastAsia"/>
                <w:sz w:val="21"/>
                <w:lang w:bidi="ar"/>
              </w:rPr>
              <w:t>本项目为页岩油开采项目，井下作业时产生的洗井废水和井下作业废液送至压裂返排液处理装置处理，井下作业时下部铺设防渗膜，落地油100%回收。</w:t>
            </w:r>
          </w:p>
        </w:tc>
        <w:tc>
          <w:tcPr>
            <w:tcW w:w="792" w:type="dxa"/>
            <w:tcMar>
              <w:left w:w="0" w:type="dxa"/>
              <w:right w:w="0" w:type="dxa"/>
            </w:tcMar>
            <w:vAlign w:val="center"/>
          </w:tcPr>
          <w:p w14:paraId="03F607DA">
            <w:pPr>
              <w:pStyle w:val="286"/>
              <w:adjustRightInd w:val="0"/>
              <w:snapToGrid w:val="0"/>
              <w:spacing w:line="300" w:lineRule="exact"/>
              <w:rPr>
                <w:rFonts w:hint="eastAsia"/>
                <w:sz w:val="21"/>
              </w:rPr>
            </w:pPr>
            <w:r>
              <w:rPr>
                <w:rFonts w:hint="eastAsia"/>
                <w:sz w:val="21"/>
                <w:lang w:bidi="ar"/>
              </w:rPr>
              <w:t>符合</w:t>
            </w:r>
          </w:p>
        </w:tc>
      </w:tr>
      <w:tr w14:paraId="68C824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2733BA25">
            <w:pPr>
              <w:pStyle w:val="286"/>
              <w:adjustRightInd w:val="0"/>
              <w:snapToGrid w:val="0"/>
              <w:spacing w:line="300" w:lineRule="exact"/>
              <w:rPr>
                <w:rFonts w:hint="eastAsia"/>
                <w:sz w:val="21"/>
                <w:lang w:bidi="ar"/>
              </w:rPr>
            </w:pPr>
            <w:r>
              <w:rPr>
                <w:rFonts w:hint="eastAsia"/>
                <w:sz w:val="21"/>
                <w:lang w:bidi="ar"/>
              </w:rPr>
              <w:t>2</w:t>
            </w:r>
          </w:p>
        </w:tc>
        <w:tc>
          <w:tcPr>
            <w:tcW w:w="4394" w:type="dxa"/>
            <w:tcMar>
              <w:left w:w="0" w:type="dxa"/>
              <w:right w:w="0" w:type="dxa"/>
            </w:tcMar>
            <w:vAlign w:val="center"/>
          </w:tcPr>
          <w:p w14:paraId="0678F2F0">
            <w:pPr>
              <w:pStyle w:val="286"/>
              <w:adjustRightInd w:val="0"/>
              <w:snapToGrid w:val="0"/>
              <w:spacing w:line="300" w:lineRule="exact"/>
              <w:rPr>
                <w:rFonts w:hint="eastAsia"/>
                <w:sz w:val="21"/>
                <w:lang w:bidi="ar"/>
              </w:rPr>
            </w:pPr>
            <w:r>
              <w:rPr>
                <w:rFonts w:hint="eastAsia"/>
                <w:sz w:val="21"/>
                <w:lang w:bidi="ar"/>
              </w:rPr>
              <w:t>在井下作业过程中，酸化液和压裂液宜集中配制，酸化残液、压裂残液和返排液应回收利用或进行无害化处置，压裂放喷返排入罐率应达到100%。酸化、压裂作业和试油(气)过程应采取防喷、地面管线防刺、防漏、防溢等措施。</w:t>
            </w:r>
          </w:p>
        </w:tc>
        <w:tc>
          <w:tcPr>
            <w:tcW w:w="3118" w:type="dxa"/>
            <w:tcMar>
              <w:left w:w="0" w:type="dxa"/>
              <w:right w:w="0" w:type="dxa"/>
            </w:tcMar>
            <w:vAlign w:val="center"/>
          </w:tcPr>
          <w:p w14:paraId="690C9E54">
            <w:pPr>
              <w:pStyle w:val="286"/>
              <w:adjustRightInd w:val="0"/>
              <w:snapToGrid w:val="0"/>
              <w:spacing w:line="300" w:lineRule="exact"/>
              <w:jc w:val="both"/>
              <w:rPr>
                <w:rFonts w:hint="eastAsia"/>
                <w:sz w:val="21"/>
                <w:lang w:bidi="ar"/>
              </w:rPr>
            </w:pPr>
            <w:r>
              <w:rPr>
                <w:rFonts w:hint="eastAsia"/>
                <w:sz w:val="21"/>
                <w:lang w:bidi="ar"/>
              </w:rPr>
              <w:t>井下作业时，洗井液、压裂返排液和酸化返排液配制好，由罐车拉运至井场，井下作业时带罐作业，产生的压裂返排液、酸化返排液和废洗井液由罐车拉运至压裂返排液处理装置处理</w:t>
            </w:r>
          </w:p>
        </w:tc>
        <w:tc>
          <w:tcPr>
            <w:tcW w:w="792" w:type="dxa"/>
            <w:tcMar>
              <w:left w:w="0" w:type="dxa"/>
              <w:right w:w="0" w:type="dxa"/>
            </w:tcMar>
            <w:vAlign w:val="center"/>
          </w:tcPr>
          <w:p w14:paraId="2422DEC0">
            <w:pPr>
              <w:pStyle w:val="286"/>
              <w:adjustRightInd w:val="0"/>
              <w:snapToGrid w:val="0"/>
              <w:spacing w:line="300" w:lineRule="exact"/>
              <w:rPr>
                <w:rFonts w:hint="eastAsia"/>
                <w:sz w:val="21"/>
                <w:lang w:bidi="ar"/>
              </w:rPr>
            </w:pPr>
            <w:r>
              <w:rPr>
                <w:rFonts w:hint="eastAsia"/>
                <w:sz w:val="21"/>
                <w:lang w:bidi="ar"/>
              </w:rPr>
              <w:t>符合</w:t>
            </w:r>
          </w:p>
        </w:tc>
      </w:tr>
      <w:tr w14:paraId="7C172D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2F3F9968">
            <w:pPr>
              <w:pStyle w:val="286"/>
              <w:adjustRightInd w:val="0"/>
              <w:snapToGrid w:val="0"/>
              <w:spacing w:line="300" w:lineRule="exact"/>
              <w:rPr>
                <w:rFonts w:hint="eastAsia"/>
                <w:sz w:val="21"/>
              </w:rPr>
            </w:pPr>
            <w:r>
              <w:rPr>
                <w:rFonts w:hint="eastAsia"/>
                <w:sz w:val="21"/>
              </w:rPr>
              <w:t>3</w:t>
            </w:r>
          </w:p>
        </w:tc>
        <w:tc>
          <w:tcPr>
            <w:tcW w:w="4394" w:type="dxa"/>
            <w:tcMar>
              <w:left w:w="0" w:type="dxa"/>
              <w:right w:w="0" w:type="dxa"/>
            </w:tcMar>
            <w:vAlign w:val="center"/>
          </w:tcPr>
          <w:p w14:paraId="35ECFFC0">
            <w:pPr>
              <w:pStyle w:val="286"/>
              <w:adjustRightInd w:val="0"/>
              <w:snapToGrid w:val="0"/>
              <w:spacing w:line="300" w:lineRule="exact"/>
              <w:rPr>
                <w:rFonts w:hint="eastAsia"/>
                <w:sz w:val="21"/>
                <w:lang w:bidi="ar"/>
              </w:rPr>
            </w:pPr>
            <w:r>
              <w:rPr>
                <w:rFonts w:hint="eastAsia"/>
                <w:sz w:val="21"/>
                <w:lang w:bidi="ar"/>
              </w:rPr>
              <w:t>在开发过程中，适宜注水开采的油气田，应将采出水处理满足标准后回注</w:t>
            </w:r>
          </w:p>
        </w:tc>
        <w:tc>
          <w:tcPr>
            <w:tcW w:w="3118" w:type="dxa"/>
            <w:tcMar>
              <w:left w:w="0" w:type="dxa"/>
              <w:right w:w="0" w:type="dxa"/>
            </w:tcMar>
            <w:vAlign w:val="center"/>
          </w:tcPr>
          <w:p w14:paraId="601C41D7">
            <w:pPr>
              <w:pStyle w:val="286"/>
              <w:adjustRightInd w:val="0"/>
              <w:snapToGrid w:val="0"/>
              <w:spacing w:line="300" w:lineRule="exact"/>
              <w:jc w:val="both"/>
              <w:rPr>
                <w:rFonts w:hint="eastAsia"/>
                <w:sz w:val="21"/>
                <w:lang w:bidi="ar"/>
              </w:rPr>
            </w:pPr>
            <w:r>
              <w:rPr>
                <w:rFonts w:hint="eastAsia"/>
                <w:sz w:val="21"/>
                <w:lang w:bidi="ar"/>
              </w:rPr>
              <w:t>本项目采用天然能量开采，不采用注水开发。</w:t>
            </w:r>
          </w:p>
        </w:tc>
        <w:tc>
          <w:tcPr>
            <w:tcW w:w="792" w:type="dxa"/>
            <w:tcMar>
              <w:left w:w="0" w:type="dxa"/>
              <w:right w:w="0" w:type="dxa"/>
            </w:tcMar>
            <w:vAlign w:val="center"/>
          </w:tcPr>
          <w:p w14:paraId="3716ADD2">
            <w:pPr>
              <w:pStyle w:val="286"/>
              <w:adjustRightInd w:val="0"/>
              <w:snapToGrid w:val="0"/>
              <w:spacing w:line="300" w:lineRule="exact"/>
              <w:rPr>
                <w:rFonts w:hint="eastAsia"/>
                <w:sz w:val="21"/>
                <w:lang w:bidi="ar"/>
              </w:rPr>
            </w:pPr>
            <w:r>
              <w:rPr>
                <w:rFonts w:hint="eastAsia"/>
                <w:sz w:val="21"/>
                <w:lang w:bidi="ar"/>
              </w:rPr>
              <w:t>符合</w:t>
            </w:r>
          </w:p>
        </w:tc>
      </w:tr>
      <w:tr w14:paraId="1B73EA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012625AB">
            <w:pPr>
              <w:pStyle w:val="286"/>
              <w:adjustRightInd w:val="0"/>
              <w:snapToGrid w:val="0"/>
              <w:spacing w:line="300" w:lineRule="exact"/>
              <w:rPr>
                <w:rFonts w:hint="eastAsia"/>
                <w:sz w:val="21"/>
                <w:lang w:bidi="ar"/>
              </w:rPr>
            </w:pPr>
            <w:r>
              <w:rPr>
                <w:rFonts w:hint="eastAsia"/>
                <w:sz w:val="21"/>
                <w:lang w:bidi="ar"/>
              </w:rPr>
              <w:t>4</w:t>
            </w:r>
          </w:p>
        </w:tc>
        <w:tc>
          <w:tcPr>
            <w:tcW w:w="4394" w:type="dxa"/>
            <w:tcMar>
              <w:left w:w="0" w:type="dxa"/>
              <w:right w:w="0" w:type="dxa"/>
            </w:tcMar>
            <w:vAlign w:val="center"/>
          </w:tcPr>
          <w:p w14:paraId="2F7FD203">
            <w:pPr>
              <w:pStyle w:val="286"/>
              <w:adjustRightInd w:val="0"/>
              <w:snapToGrid w:val="0"/>
              <w:spacing w:line="300" w:lineRule="exact"/>
              <w:rPr>
                <w:rFonts w:hint="eastAsia"/>
                <w:sz w:val="21"/>
                <w:lang w:bidi="ar"/>
              </w:rPr>
            </w:pPr>
            <w:r>
              <w:rPr>
                <w:sz w:val="21"/>
                <w:lang w:bidi="ar"/>
              </w:rPr>
              <w:t>在油气集输过程中，应采用密闭流程，减少烃类气体排放。新建3000m</w:t>
            </w:r>
            <w:r>
              <w:rPr>
                <w:sz w:val="21"/>
                <w:vertAlign w:val="superscript"/>
                <w:lang w:bidi="ar"/>
              </w:rPr>
              <w:t>3</w:t>
            </w:r>
            <w:r>
              <w:rPr>
                <w:sz w:val="21"/>
                <w:lang w:bidi="ar"/>
              </w:rPr>
              <w:t>及以上原油储罐应采用浮顶型式，新、改、扩建油气储罐应安装泄漏报警系统。新、改、扩建油气田油气集输损耗率不高于0.5%。</w:t>
            </w:r>
          </w:p>
        </w:tc>
        <w:tc>
          <w:tcPr>
            <w:tcW w:w="3118" w:type="dxa"/>
            <w:tcMar>
              <w:left w:w="0" w:type="dxa"/>
              <w:right w:w="0" w:type="dxa"/>
            </w:tcMar>
            <w:vAlign w:val="center"/>
          </w:tcPr>
          <w:p w14:paraId="55A87C1B">
            <w:pPr>
              <w:pStyle w:val="286"/>
              <w:adjustRightInd w:val="0"/>
              <w:snapToGrid w:val="0"/>
              <w:spacing w:line="300" w:lineRule="exact"/>
              <w:jc w:val="both"/>
              <w:rPr>
                <w:rFonts w:hint="eastAsia"/>
                <w:sz w:val="21"/>
                <w:lang w:bidi="ar"/>
              </w:rPr>
            </w:pPr>
            <w:r>
              <w:rPr>
                <w:rFonts w:hint="eastAsia"/>
                <w:sz w:val="21"/>
                <w:lang w:bidi="ar"/>
              </w:rPr>
              <w:t>油气采用密闭集输工艺，本项目不涉及新建储罐，油气损耗率在0.5%以下。</w:t>
            </w:r>
          </w:p>
        </w:tc>
        <w:tc>
          <w:tcPr>
            <w:tcW w:w="792" w:type="dxa"/>
            <w:tcMar>
              <w:left w:w="0" w:type="dxa"/>
              <w:right w:w="0" w:type="dxa"/>
            </w:tcMar>
            <w:vAlign w:val="center"/>
          </w:tcPr>
          <w:p w14:paraId="3BADF3EF">
            <w:pPr>
              <w:pStyle w:val="286"/>
              <w:adjustRightInd w:val="0"/>
              <w:snapToGrid w:val="0"/>
              <w:spacing w:line="300" w:lineRule="exact"/>
              <w:rPr>
                <w:rFonts w:hint="eastAsia"/>
                <w:sz w:val="21"/>
                <w:lang w:bidi="ar"/>
              </w:rPr>
            </w:pPr>
            <w:r>
              <w:rPr>
                <w:rFonts w:hint="eastAsia"/>
                <w:sz w:val="21"/>
                <w:lang w:bidi="ar"/>
              </w:rPr>
              <w:t>符合</w:t>
            </w:r>
          </w:p>
        </w:tc>
      </w:tr>
      <w:tr w14:paraId="0D3C7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1DAC9615">
            <w:pPr>
              <w:pStyle w:val="286"/>
              <w:adjustRightInd w:val="0"/>
              <w:snapToGrid w:val="0"/>
              <w:spacing w:line="300" w:lineRule="exact"/>
              <w:rPr>
                <w:rFonts w:hint="eastAsia"/>
                <w:sz w:val="21"/>
              </w:rPr>
            </w:pPr>
            <w:r>
              <w:rPr>
                <w:rFonts w:hint="eastAsia"/>
                <w:sz w:val="21"/>
              </w:rPr>
              <w:t>5</w:t>
            </w:r>
          </w:p>
        </w:tc>
        <w:tc>
          <w:tcPr>
            <w:tcW w:w="4394" w:type="dxa"/>
            <w:tcMar>
              <w:left w:w="0" w:type="dxa"/>
              <w:right w:w="0" w:type="dxa"/>
            </w:tcMar>
            <w:vAlign w:val="center"/>
          </w:tcPr>
          <w:p w14:paraId="0106699E">
            <w:pPr>
              <w:pStyle w:val="286"/>
              <w:adjustRightInd w:val="0"/>
              <w:snapToGrid w:val="0"/>
              <w:spacing w:line="300" w:lineRule="exact"/>
              <w:rPr>
                <w:rFonts w:hint="eastAsia" w:cs="宋体"/>
                <w:sz w:val="21"/>
              </w:rPr>
            </w:pPr>
            <w:r>
              <w:rPr>
                <w:rFonts w:hint="eastAsia" w:cs="宋体"/>
                <w:sz w:val="21"/>
                <w:lang w:bidi="ar"/>
              </w:rPr>
              <w:t>在开发过程中，伴生气应回收利用，减少温室气体排放，不具备回收利用条件的，应充分燃烧，伴生气回收利用率应达到80%以上；站场放空天然气应充分燃烧。燃烧放空设施应避开鸟类迁徙通道</w:t>
            </w:r>
          </w:p>
        </w:tc>
        <w:tc>
          <w:tcPr>
            <w:tcW w:w="3118" w:type="dxa"/>
            <w:tcMar>
              <w:left w:w="0" w:type="dxa"/>
              <w:right w:w="0" w:type="dxa"/>
            </w:tcMar>
            <w:vAlign w:val="center"/>
          </w:tcPr>
          <w:p w14:paraId="6E0E7889">
            <w:pPr>
              <w:pStyle w:val="286"/>
              <w:spacing w:line="300" w:lineRule="exact"/>
              <w:jc w:val="both"/>
              <w:rPr>
                <w:rFonts w:hint="eastAsia"/>
                <w:sz w:val="21"/>
                <w:lang w:bidi="ar"/>
              </w:rPr>
            </w:pPr>
            <w:r>
              <w:rPr>
                <w:rFonts w:hint="eastAsia"/>
                <w:sz w:val="21"/>
                <w:lang w:bidi="ar"/>
              </w:rPr>
              <w:t>二期工程实施后伴生气通过单井采油管线、集油干线管输至页岩油联合站伴生气处理装置处理，回收利用率达到99%以上。</w:t>
            </w:r>
          </w:p>
        </w:tc>
        <w:tc>
          <w:tcPr>
            <w:tcW w:w="792" w:type="dxa"/>
            <w:tcMar>
              <w:left w:w="0" w:type="dxa"/>
              <w:right w:w="0" w:type="dxa"/>
            </w:tcMar>
            <w:vAlign w:val="center"/>
          </w:tcPr>
          <w:p w14:paraId="3C330B12">
            <w:pPr>
              <w:pStyle w:val="286"/>
              <w:adjustRightInd w:val="0"/>
              <w:snapToGrid w:val="0"/>
              <w:spacing w:line="300" w:lineRule="exact"/>
              <w:rPr>
                <w:rFonts w:hint="eastAsia"/>
                <w:sz w:val="21"/>
              </w:rPr>
            </w:pPr>
            <w:r>
              <w:rPr>
                <w:rFonts w:hint="eastAsia"/>
                <w:sz w:val="21"/>
                <w:lang w:bidi="ar"/>
              </w:rPr>
              <w:t>符合</w:t>
            </w:r>
          </w:p>
        </w:tc>
      </w:tr>
      <w:tr w14:paraId="1D3B7D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12B98B99">
            <w:pPr>
              <w:pStyle w:val="286"/>
              <w:adjustRightInd w:val="0"/>
              <w:snapToGrid w:val="0"/>
              <w:spacing w:line="300" w:lineRule="exact"/>
              <w:rPr>
                <w:rFonts w:hint="eastAsia"/>
                <w:sz w:val="21"/>
                <w:lang w:bidi="ar"/>
              </w:rPr>
            </w:pPr>
            <w:r>
              <w:rPr>
                <w:rFonts w:hint="eastAsia"/>
                <w:sz w:val="21"/>
                <w:lang w:bidi="ar"/>
              </w:rPr>
              <w:t>6</w:t>
            </w:r>
          </w:p>
        </w:tc>
        <w:tc>
          <w:tcPr>
            <w:tcW w:w="4394" w:type="dxa"/>
            <w:tcMar>
              <w:left w:w="0" w:type="dxa"/>
              <w:right w:w="0" w:type="dxa"/>
            </w:tcMar>
            <w:vAlign w:val="center"/>
          </w:tcPr>
          <w:p w14:paraId="732D36C3">
            <w:pPr>
              <w:pStyle w:val="286"/>
              <w:adjustRightInd w:val="0"/>
              <w:snapToGrid w:val="0"/>
              <w:spacing w:line="300" w:lineRule="exact"/>
              <w:rPr>
                <w:rFonts w:hint="eastAsia" w:cs="宋体"/>
                <w:sz w:val="21"/>
                <w:lang w:bidi="ar"/>
              </w:rPr>
            </w:pPr>
            <w:r>
              <w:rPr>
                <w:rFonts w:hint="eastAsia" w:cs="宋体"/>
                <w:sz w:val="21"/>
                <w:lang w:bidi="ar"/>
              </w:rPr>
              <w:t>在油气开发过程中，应采取措施减轻生态影响并及时用适地植物进行植被恢复。井场周围应设置围堤或井界沟。应设立地下水水质监测井，加强对油气田地下水水质的监控，防止回注过程对地下水造成污染。</w:t>
            </w:r>
          </w:p>
        </w:tc>
        <w:tc>
          <w:tcPr>
            <w:tcW w:w="3118" w:type="dxa"/>
            <w:tcMar>
              <w:left w:w="0" w:type="dxa"/>
              <w:right w:w="0" w:type="dxa"/>
            </w:tcMar>
            <w:vAlign w:val="center"/>
          </w:tcPr>
          <w:p w14:paraId="289AC0F1">
            <w:pPr>
              <w:pStyle w:val="286"/>
              <w:spacing w:line="300" w:lineRule="exact"/>
              <w:jc w:val="both"/>
              <w:rPr>
                <w:rFonts w:hint="eastAsia"/>
                <w:sz w:val="21"/>
                <w:lang w:bidi="ar"/>
              </w:rPr>
            </w:pPr>
            <w:r>
              <w:rPr>
                <w:rFonts w:hint="eastAsia"/>
                <w:sz w:val="21"/>
                <w:lang w:bidi="ar"/>
              </w:rPr>
              <w:t>报告中提出了生态环境保护措施，占地范围内的植被主要靠自然恢复，运营期监测计划章节提出了地下水的监测计划</w:t>
            </w:r>
          </w:p>
        </w:tc>
        <w:tc>
          <w:tcPr>
            <w:tcW w:w="792" w:type="dxa"/>
            <w:tcMar>
              <w:left w:w="0" w:type="dxa"/>
              <w:right w:w="0" w:type="dxa"/>
            </w:tcMar>
            <w:vAlign w:val="center"/>
          </w:tcPr>
          <w:p w14:paraId="53E898D1">
            <w:pPr>
              <w:pStyle w:val="286"/>
              <w:adjustRightInd w:val="0"/>
              <w:snapToGrid w:val="0"/>
              <w:spacing w:line="300" w:lineRule="exact"/>
              <w:rPr>
                <w:rFonts w:hint="eastAsia"/>
                <w:sz w:val="21"/>
                <w:lang w:bidi="ar"/>
              </w:rPr>
            </w:pPr>
            <w:r>
              <w:rPr>
                <w:rFonts w:hint="eastAsia"/>
                <w:sz w:val="21"/>
                <w:lang w:bidi="ar"/>
              </w:rPr>
              <w:t>符合</w:t>
            </w:r>
          </w:p>
        </w:tc>
      </w:tr>
      <w:tr w14:paraId="11A767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11BDB615">
            <w:pPr>
              <w:pStyle w:val="286"/>
              <w:adjustRightInd w:val="0"/>
              <w:snapToGrid w:val="0"/>
              <w:spacing w:line="300" w:lineRule="exact"/>
              <w:rPr>
                <w:rFonts w:hint="eastAsia"/>
                <w:sz w:val="21"/>
                <w:lang w:bidi="ar"/>
              </w:rPr>
            </w:pPr>
            <w:r>
              <w:rPr>
                <w:rFonts w:hint="eastAsia"/>
                <w:sz w:val="21"/>
                <w:lang w:bidi="ar"/>
              </w:rPr>
              <w:t>7</w:t>
            </w:r>
          </w:p>
        </w:tc>
        <w:tc>
          <w:tcPr>
            <w:tcW w:w="4394" w:type="dxa"/>
            <w:tcMar>
              <w:left w:w="0" w:type="dxa"/>
              <w:right w:w="0" w:type="dxa"/>
            </w:tcMar>
            <w:vAlign w:val="center"/>
          </w:tcPr>
          <w:p w14:paraId="35FEF768">
            <w:pPr>
              <w:pStyle w:val="286"/>
              <w:adjustRightInd w:val="0"/>
              <w:snapToGrid w:val="0"/>
              <w:spacing w:line="300" w:lineRule="exact"/>
              <w:rPr>
                <w:rFonts w:hint="eastAsia" w:cs="宋体"/>
                <w:sz w:val="21"/>
                <w:lang w:bidi="ar"/>
              </w:rPr>
            </w:pPr>
            <w:r>
              <w:rPr>
                <w:rFonts w:hint="eastAsia" w:cs="宋体"/>
                <w:sz w:val="21"/>
                <w:lang w:bidi="ar"/>
              </w:rPr>
              <w:t>油气田退役前应进行环境影响后评价，油气田企业应按照后评价要求进行生态恢复。</w:t>
            </w:r>
          </w:p>
        </w:tc>
        <w:tc>
          <w:tcPr>
            <w:tcW w:w="3118" w:type="dxa"/>
            <w:tcMar>
              <w:left w:w="0" w:type="dxa"/>
              <w:right w:w="0" w:type="dxa"/>
            </w:tcMar>
            <w:vAlign w:val="center"/>
          </w:tcPr>
          <w:p w14:paraId="116617F7">
            <w:pPr>
              <w:pStyle w:val="286"/>
              <w:spacing w:line="300" w:lineRule="exact"/>
              <w:jc w:val="both"/>
              <w:rPr>
                <w:rFonts w:hint="eastAsia"/>
                <w:sz w:val="21"/>
                <w:lang w:bidi="ar"/>
              </w:rPr>
            </w:pPr>
            <w:r>
              <w:rPr>
                <w:rFonts w:hint="eastAsia"/>
                <w:sz w:val="21"/>
                <w:lang w:bidi="ar"/>
              </w:rPr>
              <w:t>建设单位应在项目完成竣工环保验收并稳定运行3至5年后、退役前开展后评价工作</w:t>
            </w:r>
          </w:p>
        </w:tc>
        <w:tc>
          <w:tcPr>
            <w:tcW w:w="792" w:type="dxa"/>
            <w:tcMar>
              <w:left w:w="0" w:type="dxa"/>
              <w:right w:w="0" w:type="dxa"/>
            </w:tcMar>
            <w:vAlign w:val="center"/>
          </w:tcPr>
          <w:p w14:paraId="14B227A3">
            <w:pPr>
              <w:pStyle w:val="286"/>
              <w:adjustRightInd w:val="0"/>
              <w:snapToGrid w:val="0"/>
              <w:spacing w:line="300" w:lineRule="exact"/>
              <w:rPr>
                <w:rFonts w:hint="eastAsia"/>
                <w:sz w:val="21"/>
                <w:lang w:bidi="ar"/>
              </w:rPr>
            </w:pPr>
          </w:p>
        </w:tc>
      </w:tr>
      <w:tr w14:paraId="090F4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6357C0F7">
            <w:pPr>
              <w:pStyle w:val="286"/>
              <w:adjustRightInd w:val="0"/>
              <w:snapToGrid w:val="0"/>
              <w:spacing w:line="300" w:lineRule="exact"/>
              <w:rPr>
                <w:rFonts w:hint="eastAsia"/>
                <w:sz w:val="21"/>
              </w:rPr>
            </w:pPr>
            <w:r>
              <w:rPr>
                <w:rFonts w:hint="eastAsia"/>
                <w:sz w:val="21"/>
              </w:rPr>
              <w:t>8</w:t>
            </w:r>
          </w:p>
        </w:tc>
        <w:tc>
          <w:tcPr>
            <w:tcW w:w="4394" w:type="dxa"/>
            <w:tcMar>
              <w:left w:w="0" w:type="dxa"/>
              <w:right w:w="0" w:type="dxa"/>
            </w:tcMar>
            <w:vAlign w:val="center"/>
          </w:tcPr>
          <w:p w14:paraId="3892AE0E">
            <w:pPr>
              <w:pStyle w:val="286"/>
              <w:adjustRightInd w:val="0"/>
              <w:snapToGrid w:val="0"/>
              <w:spacing w:line="300" w:lineRule="exact"/>
              <w:jc w:val="both"/>
              <w:rPr>
                <w:rFonts w:hint="eastAsia"/>
                <w:sz w:val="21"/>
                <w:lang w:bidi="ar"/>
              </w:rPr>
            </w:pPr>
            <w:r>
              <w:rPr>
                <w:rFonts w:hint="eastAsia"/>
                <w:sz w:val="21"/>
                <w:lang w:bidi="ar"/>
              </w:rPr>
              <w:t>在钻井和井下作业过程中，鼓励污油、污水进入生产流程循环利用，未进入生产流程的污油、污水应采用固液分离、废水处理一体化装置等处理后达标外排</w:t>
            </w:r>
          </w:p>
        </w:tc>
        <w:tc>
          <w:tcPr>
            <w:tcW w:w="3118" w:type="dxa"/>
            <w:tcMar>
              <w:left w:w="0" w:type="dxa"/>
              <w:right w:w="0" w:type="dxa"/>
            </w:tcMar>
            <w:vAlign w:val="center"/>
          </w:tcPr>
          <w:p w14:paraId="6E2C1F42">
            <w:pPr>
              <w:pStyle w:val="286"/>
              <w:adjustRightInd w:val="0"/>
              <w:snapToGrid w:val="0"/>
              <w:spacing w:line="300" w:lineRule="exact"/>
              <w:jc w:val="both"/>
              <w:rPr>
                <w:rFonts w:hint="eastAsia"/>
                <w:sz w:val="21"/>
                <w:lang w:bidi="ar"/>
              </w:rPr>
            </w:pPr>
            <w:r>
              <w:rPr>
                <w:rFonts w:hint="eastAsia"/>
                <w:sz w:val="21"/>
                <w:lang w:bidi="ar"/>
              </w:rPr>
              <w:t>钻井期分离出的钻井液循环利用，不外排；井下作业时产生的洗井废水和井下作业废液送至压裂液返排装置处理，出水水质达标后用于压裂液复配。</w:t>
            </w:r>
          </w:p>
        </w:tc>
        <w:tc>
          <w:tcPr>
            <w:tcW w:w="792" w:type="dxa"/>
            <w:tcMar>
              <w:left w:w="0" w:type="dxa"/>
              <w:right w:w="0" w:type="dxa"/>
            </w:tcMar>
            <w:vAlign w:val="center"/>
          </w:tcPr>
          <w:p w14:paraId="2DB80E74">
            <w:pPr>
              <w:pStyle w:val="286"/>
              <w:adjustRightInd w:val="0"/>
              <w:snapToGrid w:val="0"/>
              <w:spacing w:line="300" w:lineRule="exact"/>
              <w:rPr>
                <w:rFonts w:hint="eastAsia"/>
                <w:sz w:val="21"/>
              </w:rPr>
            </w:pPr>
            <w:r>
              <w:rPr>
                <w:rFonts w:hint="eastAsia"/>
                <w:sz w:val="21"/>
                <w:lang w:bidi="ar"/>
              </w:rPr>
              <w:t>符合</w:t>
            </w:r>
          </w:p>
        </w:tc>
      </w:tr>
      <w:tr w14:paraId="6530CB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6" w:type="dxa"/>
            <w:tcMar>
              <w:left w:w="0" w:type="dxa"/>
              <w:right w:w="0" w:type="dxa"/>
            </w:tcMar>
            <w:vAlign w:val="center"/>
          </w:tcPr>
          <w:p w14:paraId="2AE8A5F2">
            <w:pPr>
              <w:pStyle w:val="286"/>
              <w:adjustRightInd w:val="0"/>
              <w:snapToGrid w:val="0"/>
              <w:spacing w:line="300" w:lineRule="exact"/>
              <w:rPr>
                <w:rFonts w:hint="eastAsia" w:cs="宋体"/>
                <w:b/>
                <w:sz w:val="21"/>
              </w:rPr>
            </w:pPr>
            <w:r>
              <w:rPr>
                <w:rFonts w:hint="eastAsia" w:cs="宋体"/>
                <w:b/>
                <w:sz w:val="21"/>
              </w:rPr>
              <w:t>9</w:t>
            </w:r>
          </w:p>
        </w:tc>
        <w:tc>
          <w:tcPr>
            <w:tcW w:w="4394" w:type="dxa"/>
            <w:tcMar>
              <w:left w:w="0" w:type="dxa"/>
              <w:right w:w="0" w:type="dxa"/>
            </w:tcMar>
            <w:vAlign w:val="center"/>
          </w:tcPr>
          <w:p w14:paraId="3A32F67A">
            <w:pPr>
              <w:pStyle w:val="286"/>
              <w:adjustRightInd w:val="0"/>
              <w:snapToGrid w:val="0"/>
              <w:spacing w:line="300" w:lineRule="exact"/>
              <w:rPr>
                <w:rFonts w:hint="eastAsia" w:cs="宋体"/>
                <w:sz w:val="21"/>
              </w:rPr>
            </w:pPr>
            <w:r>
              <w:rPr>
                <w:rFonts w:hint="eastAsia" w:cs="宋体"/>
                <w:sz w:val="21"/>
                <w:lang w:bidi="ar"/>
              </w:rPr>
              <w:t>应回收落地原油，以及原油处理、废水处理产生的油泥（砂）等中的油类物质，含油污泥资源化利用率应达到90%以上，残余固体废物应按照《国家危险废物名录》和危险废物鉴别标准识别</w:t>
            </w:r>
          </w:p>
        </w:tc>
        <w:tc>
          <w:tcPr>
            <w:tcW w:w="3118" w:type="dxa"/>
            <w:tcMar>
              <w:left w:w="0" w:type="dxa"/>
              <w:right w:w="0" w:type="dxa"/>
            </w:tcMar>
            <w:vAlign w:val="center"/>
          </w:tcPr>
          <w:p w14:paraId="50267DB0">
            <w:pPr>
              <w:pStyle w:val="286"/>
              <w:adjustRightInd w:val="0"/>
              <w:snapToGrid w:val="0"/>
              <w:spacing w:line="300" w:lineRule="exact"/>
              <w:jc w:val="both"/>
              <w:rPr>
                <w:rFonts w:hint="eastAsia"/>
                <w:sz w:val="21"/>
              </w:rPr>
            </w:pPr>
            <w:r>
              <w:rPr>
                <w:rFonts w:hint="eastAsia"/>
                <w:sz w:val="21"/>
                <w:lang w:bidi="ar"/>
              </w:rPr>
              <w:t>危险废物主要为清罐底泥、废润滑油、废润滑油桶、沾油废防渗材料和废含油抹布、劳保用品，分类收集，集中收集后交由有相应资质的单位处置。</w:t>
            </w:r>
          </w:p>
        </w:tc>
        <w:tc>
          <w:tcPr>
            <w:tcW w:w="792" w:type="dxa"/>
            <w:tcMar>
              <w:left w:w="0" w:type="dxa"/>
              <w:right w:w="0" w:type="dxa"/>
            </w:tcMar>
            <w:vAlign w:val="center"/>
          </w:tcPr>
          <w:p w14:paraId="6FB09AD5">
            <w:pPr>
              <w:pStyle w:val="286"/>
              <w:adjustRightInd w:val="0"/>
              <w:snapToGrid w:val="0"/>
              <w:spacing w:line="300" w:lineRule="exact"/>
              <w:rPr>
                <w:rFonts w:hint="eastAsia"/>
                <w:sz w:val="21"/>
              </w:rPr>
            </w:pPr>
            <w:r>
              <w:rPr>
                <w:rFonts w:hint="eastAsia"/>
                <w:sz w:val="21"/>
                <w:lang w:bidi="ar"/>
              </w:rPr>
              <w:t>符合</w:t>
            </w:r>
          </w:p>
        </w:tc>
      </w:tr>
      <w:tr w14:paraId="47200D4E">
        <w:tblPrEx>
          <w:tblBorders>
            <w:top w:val="single" w:color="auto" w:sz="12" w:space="0"/>
            <w:left w:val="none" w:color="auto" w:sz="6" w:space="0"/>
            <w:bottom w:val="single" w:color="auto" w:sz="12" w:space="0"/>
            <w:right w:val="non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26" w:type="dxa"/>
            <w:tcBorders>
              <w:top w:val="single" w:color="auto" w:sz="6" w:space="0"/>
              <w:left w:val="nil"/>
              <w:bottom w:val="single" w:color="auto" w:sz="12" w:space="0"/>
              <w:right w:val="single" w:color="auto" w:sz="6" w:space="0"/>
            </w:tcBorders>
            <w:tcMar>
              <w:left w:w="0" w:type="dxa"/>
              <w:right w:w="0" w:type="dxa"/>
            </w:tcMar>
            <w:vAlign w:val="center"/>
          </w:tcPr>
          <w:p w14:paraId="1C026DB6">
            <w:pPr>
              <w:pStyle w:val="286"/>
              <w:adjustRightInd w:val="0"/>
              <w:snapToGrid w:val="0"/>
              <w:spacing w:line="300" w:lineRule="exact"/>
              <w:rPr>
                <w:rFonts w:hint="eastAsia"/>
                <w:sz w:val="21"/>
              </w:rPr>
            </w:pPr>
            <w:r>
              <w:rPr>
                <w:rFonts w:hint="eastAsia"/>
                <w:sz w:val="21"/>
              </w:rPr>
              <w:t>10</w:t>
            </w:r>
          </w:p>
        </w:tc>
        <w:tc>
          <w:tcPr>
            <w:tcW w:w="4394" w:type="dxa"/>
            <w:tcBorders>
              <w:top w:val="single" w:color="auto" w:sz="6" w:space="0"/>
              <w:left w:val="single" w:color="auto" w:sz="6" w:space="0"/>
              <w:bottom w:val="single" w:color="auto" w:sz="12" w:space="0"/>
              <w:right w:val="single" w:color="auto" w:sz="6" w:space="0"/>
            </w:tcBorders>
            <w:tcMar>
              <w:left w:w="0" w:type="dxa"/>
              <w:right w:w="0" w:type="dxa"/>
            </w:tcMar>
            <w:vAlign w:val="center"/>
          </w:tcPr>
          <w:p w14:paraId="2437ABFF">
            <w:pPr>
              <w:pStyle w:val="286"/>
              <w:adjustRightInd w:val="0"/>
              <w:snapToGrid w:val="0"/>
              <w:spacing w:line="300" w:lineRule="exact"/>
              <w:rPr>
                <w:rFonts w:hint="eastAsia"/>
                <w:sz w:val="21"/>
              </w:rPr>
            </w:pPr>
            <w:r>
              <w:rPr>
                <w:rFonts w:hint="eastAsia"/>
                <w:sz w:val="21"/>
              </w:rPr>
              <w:t>1）油气田企业应制定环境保护管理规定，建立并运行健康、安全与环境管理体系；2）加强油气田建设、勘探开发过程的环境监督管理。油气田建设过程应开展工程环境监理；3）在开发过程中，企业应加强油气井套管的检测和维护，防止油气泄漏污染地下水；4）建立环境保护人员培训制度；5）油气田企业应对勘探开发过程进行环境风险因素识别，制定突发环境事件应急预案并定期进行演练。开展特征污染物监测工作，采取环境风险防范和应急措施，防止发生由突发性油气泄漏产生的环境事故</w:t>
            </w:r>
          </w:p>
        </w:tc>
        <w:tc>
          <w:tcPr>
            <w:tcW w:w="3118" w:type="dxa"/>
            <w:tcBorders>
              <w:top w:val="single" w:color="auto" w:sz="6" w:space="0"/>
              <w:left w:val="single" w:color="auto" w:sz="6" w:space="0"/>
              <w:bottom w:val="single" w:color="auto" w:sz="12" w:space="0"/>
              <w:right w:val="single" w:color="auto" w:sz="6" w:space="0"/>
            </w:tcBorders>
            <w:tcMar>
              <w:left w:w="0" w:type="dxa"/>
              <w:right w:w="0" w:type="dxa"/>
            </w:tcMar>
            <w:vAlign w:val="center"/>
          </w:tcPr>
          <w:p w14:paraId="06CE170E">
            <w:pPr>
              <w:pStyle w:val="286"/>
              <w:adjustRightInd w:val="0"/>
              <w:snapToGrid w:val="0"/>
              <w:spacing w:line="300" w:lineRule="exact"/>
              <w:rPr>
                <w:rFonts w:hint="eastAsia" w:cs="宋体"/>
                <w:sz w:val="21"/>
              </w:rPr>
            </w:pPr>
            <w:r>
              <w:rPr>
                <w:rFonts w:hint="eastAsia"/>
                <w:sz w:val="21"/>
              </w:rPr>
              <w:t>运营后建设单位应将本项目纳入吉庆油田作业区已有的HSE管理体系、突发环境污染事件应急预案及污染源日常监控计划。</w:t>
            </w:r>
          </w:p>
        </w:tc>
        <w:tc>
          <w:tcPr>
            <w:tcW w:w="792" w:type="dxa"/>
            <w:tcBorders>
              <w:top w:val="single" w:color="auto" w:sz="6" w:space="0"/>
              <w:left w:val="single" w:color="auto" w:sz="6" w:space="0"/>
              <w:bottom w:val="single" w:color="auto" w:sz="12" w:space="0"/>
              <w:right w:val="nil"/>
            </w:tcBorders>
            <w:tcMar>
              <w:left w:w="0" w:type="dxa"/>
              <w:right w:w="0" w:type="dxa"/>
            </w:tcMar>
            <w:vAlign w:val="center"/>
          </w:tcPr>
          <w:p w14:paraId="2B571727">
            <w:pPr>
              <w:pStyle w:val="286"/>
              <w:adjustRightInd w:val="0"/>
              <w:snapToGrid w:val="0"/>
              <w:spacing w:line="300" w:lineRule="exact"/>
              <w:rPr>
                <w:rFonts w:hint="eastAsia"/>
                <w:sz w:val="21"/>
              </w:rPr>
            </w:pPr>
            <w:r>
              <w:rPr>
                <w:rFonts w:hint="eastAsia"/>
                <w:sz w:val="21"/>
                <w:lang w:bidi="ar"/>
              </w:rPr>
              <w:t>符合</w:t>
            </w:r>
          </w:p>
        </w:tc>
      </w:tr>
      <w:bookmarkEnd w:id="146"/>
    </w:tbl>
    <w:p w14:paraId="33AB56E2">
      <w:pPr>
        <w:pStyle w:val="117"/>
        <w:ind w:firstLine="480"/>
        <w:rPr>
          <w:rFonts w:hint="eastAsia"/>
          <w:lang w:bidi="ar"/>
        </w:rPr>
      </w:pPr>
      <w:r>
        <w:rPr>
          <w:rFonts w:hint="eastAsia"/>
          <w:lang w:bidi="ar"/>
        </w:rPr>
        <w:t>（</w:t>
      </w:r>
      <w:r>
        <w:rPr>
          <w:lang w:bidi="ar"/>
        </w:rPr>
        <w:t>2</w:t>
      </w:r>
      <w:r>
        <w:rPr>
          <w:rFonts w:hint="eastAsia"/>
          <w:lang w:bidi="ar"/>
        </w:rPr>
        <w:t>）与</w:t>
      </w:r>
      <w:bookmarkStart w:id="148" w:name="_Hlk80047840"/>
      <w:r>
        <w:rPr>
          <w:rFonts w:hint="eastAsia"/>
          <w:lang w:bidi="ar"/>
        </w:rPr>
        <w:t>《</w:t>
      </w:r>
      <w:bookmarkStart w:id="149" w:name="_Hlk80039235"/>
      <w:r>
        <w:rPr>
          <w:rFonts w:hint="eastAsia"/>
          <w:lang w:bidi="ar"/>
        </w:rPr>
        <w:t>陆上石油天然气开采业绿色矿山建设规范</w:t>
      </w:r>
      <w:bookmarkEnd w:id="149"/>
      <w:r>
        <w:rPr>
          <w:rFonts w:hint="eastAsia"/>
          <w:lang w:bidi="ar"/>
        </w:rPr>
        <w:t>》</w:t>
      </w:r>
      <w:bookmarkEnd w:id="148"/>
      <w:r>
        <w:rPr>
          <w:rFonts w:hint="eastAsia"/>
          <w:lang w:bidi="ar"/>
        </w:rPr>
        <w:t>要求的相符性分析</w:t>
      </w:r>
    </w:p>
    <w:p w14:paraId="4F30E502">
      <w:pPr>
        <w:pStyle w:val="117"/>
        <w:ind w:firstLine="480"/>
        <w:rPr>
          <w:rFonts w:hint="eastAsia"/>
          <w:lang w:bidi="ar"/>
        </w:rPr>
      </w:pPr>
      <w:r>
        <w:rPr>
          <w:rFonts w:hint="eastAsia"/>
          <w:lang w:bidi="ar"/>
        </w:rPr>
        <w:t>本项目采取的各项环保措施符合《陆上石油天然气开采业绿色矿山建设规范》中相关要求，相符性分析详见表</w:t>
      </w:r>
      <w:r>
        <w:rPr>
          <w:lang w:bidi="ar"/>
        </w:rPr>
        <w:t>2.9</w:t>
      </w:r>
      <w:r>
        <w:rPr>
          <w:rFonts w:hint="eastAsia"/>
          <w:lang w:bidi="ar"/>
        </w:rPr>
        <w:t>-4。</w:t>
      </w:r>
    </w:p>
    <w:p w14:paraId="21CE4D74">
      <w:pPr>
        <w:pStyle w:val="15"/>
        <w:rPr>
          <w:rFonts w:hint="eastAsia"/>
        </w:rPr>
      </w:pPr>
      <w:r>
        <w:rPr>
          <w:rFonts w:hint="eastAsia"/>
        </w:rPr>
        <w:t>表2</w:t>
      </w:r>
      <w:r>
        <w:t>.9</w:t>
      </w:r>
      <w:r>
        <w:rPr>
          <w:rFonts w:hint="eastAsia"/>
        </w:rPr>
        <w:t xml:space="preserve">-4 </w:t>
      </w:r>
      <w:r>
        <w:t xml:space="preserve"> </w:t>
      </w:r>
      <w:r>
        <w:rPr>
          <w:rFonts w:hint="eastAsia"/>
        </w:rPr>
        <w:t>本项目与《陆上石油天然气开采业绿色矿山建设规范》的相符性分析</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7"/>
        <w:gridCol w:w="4253"/>
        <w:gridCol w:w="3117"/>
        <w:gridCol w:w="793"/>
      </w:tblGrid>
      <w:tr w14:paraId="5CC4B2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567" w:type="dxa"/>
            <w:tcMar>
              <w:left w:w="0" w:type="dxa"/>
              <w:right w:w="0" w:type="dxa"/>
            </w:tcMar>
            <w:vAlign w:val="center"/>
          </w:tcPr>
          <w:p w14:paraId="027E18D0">
            <w:pPr>
              <w:pStyle w:val="286"/>
              <w:adjustRightInd w:val="0"/>
              <w:snapToGrid w:val="0"/>
              <w:spacing w:line="300" w:lineRule="exact"/>
              <w:rPr>
                <w:rFonts w:hint="eastAsia"/>
                <w:sz w:val="21"/>
              </w:rPr>
            </w:pPr>
            <w:r>
              <w:rPr>
                <w:rFonts w:hint="eastAsia"/>
                <w:sz w:val="21"/>
                <w:lang w:bidi="ar"/>
              </w:rPr>
              <w:t>序号</w:t>
            </w:r>
          </w:p>
        </w:tc>
        <w:tc>
          <w:tcPr>
            <w:tcW w:w="4253" w:type="dxa"/>
            <w:tcMar>
              <w:left w:w="0" w:type="dxa"/>
              <w:right w:w="0" w:type="dxa"/>
            </w:tcMar>
            <w:vAlign w:val="center"/>
          </w:tcPr>
          <w:p w14:paraId="3A8A837C">
            <w:pPr>
              <w:pStyle w:val="286"/>
              <w:adjustRightInd w:val="0"/>
              <w:snapToGrid w:val="0"/>
              <w:spacing w:line="300" w:lineRule="exact"/>
              <w:rPr>
                <w:rFonts w:hint="eastAsia"/>
                <w:sz w:val="21"/>
              </w:rPr>
            </w:pPr>
            <w:r>
              <w:rPr>
                <w:rFonts w:hint="eastAsia"/>
                <w:sz w:val="21"/>
                <w:lang w:bidi="ar"/>
              </w:rPr>
              <w:t>《</w:t>
            </w:r>
            <w:r>
              <w:rPr>
                <w:rFonts w:hint="eastAsia"/>
                <w:bCs/>
                <w:sz w:val="21"/>
                <w:lang w:bidi="ar"/>
              </w:rPr>
              <w:t>规范</w:t>
            </w:r>
            <w:r>
              <w:rPr>
                <w:rFonts w:hint="eastAsia"/>
                <w:sz w:val="21"/>
                <w:lang w:bidi="ar"/>
              </w:rPr>
              <w:t>》中相关规定</w:t>
            </w:r>
          </w:p>
        </w:tc>
        <w:tc>
          <w:tcPr>
            <w:tcW w:w="3117" w:type="dxa"/>
            <w:tcMar>
              <w:left w:w="0" w:type="dxa"/>
              <w:right w:w="0" w:type="dxa"/>
            </w:tcMar>
            <w:vAlign w:val="center"/>
          </w:tcPr>
          <w:p w14:paraId="6EE2EE0F">
            <w:pPr>
              <w:pStyle w:val="286"/>
              <w:adjustRightInd w:val="0"/>
              <w:snapToGrid w:val="0"/>
              <w:spacing w:line="300" w:lineRule="exact"/>
              <w:rPr>
                <w:rFonts w:hint="eastAsia"/>
                <w:sz w:val="21"/>
              </w:rPr>
            </w:pPr>
            <w:r>
              <w:rPr>
                <w:rFonts w:hint="eastAsia"/>
                <w:sz w:val="21"/>
                <w:lang w:bidi="ar"/>
              </w:rPr>
              <w:t>拟采取的相关措施</w:t>
            </w:r>
          </w:p>
        </w:tc>
        <w:tc>
          <w:tcPr>
            <w:tcW w:w="793" w:type="dxa"/>
            <w:tcMar>
              <w:left w:w="0" w:type="dxa"/>
              <w:right w:w="0" w:type="dxa"/>
            </w:tcMar>
            <w:vAlign w:val="center"/>
          </w:tcPr>
          <w:p w14:paraId="12D3A745">
            <w:pPr>
              <w:pStyle w:val="286"/>
              <w:adjustRightInd w:val="0"/>
              <w:snapToGrid w:val="0"/>
              <w:spacing w:line="300" w:lineRule="exact"/>
              <w:rPr>
                <w:rFonts w:hint="eastAsia"/>
                <w:sz w:val="21"/>
              </w:rPr>
            </w:pPr>
            <w:r>
              <w:rPr>
                <w:rFonts w:hint="eastAsia"/>
                <w:sz w:val="21"/>
                <w:lang w:bidi="ar"/>
              </w:rPr>
              <w:t>相符性分析</w:t>
            </w:r>
          </w:p>
        </w:tc>
      </w:tr>
      <w:tr w14:paraId="7469D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00F6ECDD">
            <w:pPr>
              <w:pStyle w:val="286"/>
              <w:adjustRightInd w:val="0"/>
              <w:snapToGrid w:val="0"/>
              <w:spacing w:line="300" w:lineRule="exact"/>
              <w:rPr>
                <w:rFonts w:hint="eastAsia"/>
                <w:sz w:val="21"/>
              </w:rPr>
            </w:pPr>
            <w:r>
              <w:rPr>
                <w:rFonts w:hint="eastAsia"/>
                <w:sz w:val="21"/>
                <w:lang w:bidi="ar"/>
              </w:rPr>
              <w:t>1</w:t>
            </w:r>
          </w:p>
        </w:tc>
        <w:tc>
          <w:tcPr>
            <w:tcW w:w="4253" w:type="dxa"/>
            <w:tcMar>
              <w:left w:w="0" w:type="dxa"/>
              <w:right w:w="0" w:type="dxa"/>
            </w:tcMar>
            <w:vAlign w:val="center"/>
          </w:tcPr>
          <w:p w14:paraId="1BE982D3">
            <w:pPr>
              <w:pStyle w:val="286"/>
              <w:adjustRightInd w:val="0"/>
              <w:snapToGrid w:val="0"/>
              <w:spacing w:line="300" w:lineRule="exact"/>
              <w:rPr>
                <w:rFonts w:hint="eastAsia"/>
                <w:sz w:val="21"/>
              </w:rPr>
            </w:pPr>
            <w:r>
              <w:rPr>
                <w:rFonts w:hint="eastAsia"/>
                <w:sz w:val="21"/>
              </w:rPr>
              <w:t>资源开发应与环境保护、资源保护、城乡建设相协调，最大限度减少对自然环境的扰动和破坏，选择资源节约型、环境友好型开发方式；因矿制宜选择开采工艺和装备，符合清洁生产要求；应贯彻“边开采、边治理、边恢复”的原则，及时治理恢复矿区地质环境，复垦矿区压占和损毁土地；应遵循矿区油气资源赋存状况、生态环境特征等条件，科学合理确定开发方案，选择与油气藏类型相适应的先进开采技术和工艺，推广使用成熟、先进的技术装备，严禁使用国家明文规定的限制和淘汰的技术工艺及装备；集约节约利用土地资源，土地利用符合用地指标政策。合理确定站址、场址、管网、路网建设占地规模</w:t>
            </w:r>
          </w:p>
        </w:tc>
        <w:tc>
          <w:tcPr>
            <w:tcW w:w="3117" w:type="dxa"/>
            <w:tcMar>
              <w:left w:w="0" w:type="dxa"/>
              <w:right w:w="0" w:type="dxa"/>
            </w:tcMar>
            <w:vAlign w:val="center"/>
          </w:tcPr>
          <w:p w14:paraId="684C9664">
            <w:pPr>
              <w:pStyle w:val="286"/>
              <w:adjustRightInd w:val="0"/>
              <w:snapToGrid w:val="0"/>
              <w:spacing w:line="300" w:lineRule="exact"/>
              <w:rPr>
                <w:rFonts w:hint="eastAsia"/>
                <w:sz w:val="21"/>
              </w:rPr>
            </w:pPr>
            <w:r>
              <w:rPr>
                <w:rFonts w:hint="eastAsia"/>
                <w:sz w:val="21"/>
              </w:rPr>
              <w:t>项目建设符合相关规划，符合区域“三线一单”中空间布局约束、污染物排放管控、环境风险防控、资源利用效率相关要求；吉庆作业区建有完善的H</w:t>
            </w:r>
            <w:r>
              <w:rPr>
                <w:sz w:val="21"/>
              </w:rPr>
              <w:t>SE</w:t>
            </w:r>
            <w:r>
              <w:rPr>
                <w:rFonts w:hint="eastAsia"/>
                <w:sz w:val="21"/>
              </w:rPr>
              <w:t>管理体系；页岩油采用天然能量开采工艺，油气集输密闭集输工艺；严格控制管线施工作业带宽度；按照规定对占地进行补偿，施工结束后临时占地要及时恢复，退役期要及时释放永久占地；植被主要靠自然恢复。</w:t>
            </w:r>
          </w:p>
        </w:tc>
        <w:tc>
          <w:tcPr>
            <w:tcW w:w="793" w:type="dxa"/>
            <w:tcMar>
              <w:left w:w="0" w:type="dxa"/>
              <w:right w:w="0" w:type="dxa"/>
            </w:tcMar>
            <w:vAlign w:val="center"/>
          </w:tcPr>
          <w:p w14:paraId="5D327971">
            <w:pPr>
              <w:pStyle w:val="286"/>
              <w:adjustRightInd w:val="0"/>
              <w:snapToGrid w:val="0"/>
              <w:spacing w:line="300" w:lineRule="exact"/>
              <w:rPr>
                <w:rFonts w:hint="eastAsia"/>
                <w:sz w:val="21"/>
              </w:rPr>
            </w:pPr>
            <w:r>
              <w:rPr>
                <w:rFonts w:hint="eastAsia"/>
                <w:sz w:val="21"/>
                <w:lang w:bidi="ar"/>
              </w:rPr>
              <w:t>符合</w:t>
            </w:r>
          </w:p>
        </w:tc>
      </w:tr>
      <w:tr w14:paraId="00CA0E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1B699A2E">
            <w:pPr>
              <w:pStyle w:val="286"/>
              <w:adjustRightInd w:val="0"/>
              <w:snapToGrid w:val="0"/>
              <w:spacing w:line="300" w:lineRule="exact"/>
              <w:rPr>
                <w:rFonts w:hint="eastAsia"/>
                <w:sz w:val="21"/>
                <w:lang w:bidi="ar"/>
              </w:rPr>
            </w:pPr>
            <w:r>
              <w:rPr>
                <w:rFonts w:hint="eastAsia"/>
                <w:sz w:val="21"/>
                <w:lang w:bidi="ar"/>
              </w:rPr>
              <w:t>2</w:t>
            </w:r>
          </w:p>
        </w:tc>
        <w:tc>
          <w:tcPr>
            <w:tcW w:w="4253" w:type="dxa"/>
            <w:tcMar>
              <w:left w:w="0" w:type="dxa"/>
              <w:right w:w="0" w:type="dxa"/>
            </w:tcMar>
            <w:vAlign w:val="center"/>
          </w:tcPr>
          <w:p w14:paraId="3D4C8A56">
            <w:pPr>
              <w:pStyle w:val="286"/>
              <w:adjustRightInd w:val="0"/>
              <w:snapToGrid w:val="0"/>
              <w:spacing w:line="300" w:lineRule="exact"/>
              <w:rPr>
                <w:rFonts w:hint="eastAsia"/>
                <w:sz w:val="21"/>
              </w:rPr>
            </w:pPr>
            <w:r>
              <w:rPr>
                <w:rFonts w:hint="eastAsia"/>
                <w:sz w:val="21"/>
              </w:rPr>
              <w:t>应实施绿色钻井技术体系，科学选择钻井方式、环境友好型钻井液及井控措施，配备完善的固控系统，及时妥善处置钻井泥浆</w:t>
            </w:r>
          </w:p>
        </w:tc>
        <w:tc>
          <w:tcPr>
            <w:tcW w:w="3117" w:type="dxa"/>
            <w:tcMar>
              <w:left w:w="0" w:type="dxa"/>
              <w:right w:w="0" w:type="dxa"/>
            </w:tcMar>
            <w:vAlign w:val="center"/>
          </w:tcPr>
          <w:p w14:paraId="3C63E4DA">
            <w:pPr>
              <w:pStyle w:val="286"/>
              <w:adjustRightInd w:val="0"/>
              <w:snapToGrid w:val="0"/>
              <w:spacing w:line="300" w:lineRule="exact"/>
              <w:rPr>
                <w:rFonts w:hint="eastAsia"/>
                <w:sz w:val="21"/>
                <w:lang w:bidi="ar"/>
              </w:rPr>
            </w:pPr>
            <w:r>
              <w:rPr>
                <w:rFonts w:hint="eastAsia"/>
                <w:sz w:val="21"/>
                <w:lang w:bidi="ar"/>
              </w:rPr>
              <w:t>本项目一开采用水基钻井液体系、二开采用油基钻井液体系，设有防喷器，钻井岩屑和钻井液进入不落地系统进行处理，分离出的液相回用，分离出的水基钻井岩屑交由岩屑处置单位处理，分离出的油基钻井岩屑属于危险废物，交由有相应危险废物处理资质的单位处置。</w:t>
            </w:r>
          </w:p>
        </w:tc>
        <w:tc>
          <w:tcPr>
            <w:tcW w:w="793" w:type="dxa"/>
            <w:tcMar>
              <w:left w:w="0" w:type="dxa"/>
              <w:right w:w="0" w:type="dxa"/>
            </w:tcMar>
            <w:vAlign w:val="center"/>
          </w:tcPr>
          <w:p w14:paraId="5F4F5057">
            <w:pPr>
              <w:pStyle w:val="286"/>
              <w:adjustRightInd w:val="0"/>
              <w:snapToGrid w:val="0"/>
              <w:spacing w:line="300" w:lineRule="exact"/>
              <w:rPr>
                <w:rFonts w:hint="eastAsia"/>
                <w:sz w:val="21"/>
                <w:lang w:bidi="ar"/>
              </w:rPr>
            </w:pPr>
            <w:r>
              <w:rPr>
                <w:rFonts w:hint="eastAsia"/>
                <w:sz w:val="21"/>
                <w:lang w:bidi="ar"/>
              </w:rPr>
              <w:t>符合</w:t>
            </w:r>
          </w:p>
        </w:tc>
      </w:tr>
      <w:tr w14:paraId="03454F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62AC1E9F">
            <w:pPr>
              <w:pStyle w:val="286"/>
              <w:adjustRightInd w:val="0"/>
              <w:snapToGrid w:val="0"/>
              <w:spacing w:line="300" w:lineRule="exact"/>
              <w:rPr>
                <w:rFonts w:hint="eastAsia"/>
                <w:sz w:val="21"/>
                <w:lang w:bidi="ar"/>
              </w:rPr>
            </w:pPr>
            <w:r>
              <w:rPr>
                <w:rFonts w:hint="eastAsia"/>
                <w:sz w:val="21"/>
                <w:lang w:bidi="ar"/>
              </w:rPr>
              <w:t>3</w:t>
            </w:r>
          </w:p>
        </w:tc>
        <w:tc>
          <w:tcPr>
            <w:tcW w:w="4253" w:type="dxa"/>
            <w:tcMar>
              <w:left w:w="0" w:type="dxa"/>
              <w:right w:w="0" w:type="dxa"/>
            </w:tcMar>
            <w:vAlign w:val="center"/>
          </w:tcPr>
          <w:p w14:paraId="001FA943">
            <w:pPr>
              <w:pStyle w:val="286"/>
              <w:adjustRightInd w:val="0"/>
              <w:snapToGrid w:val="0"/>
              <w:spacing w:line="300" w:lineRule="exact"/>
              <w:rPr>
                <w:rFonts w:hint="eastAsia"/>
                <w:sz w:val="21"/>
              </w:rPr>
            </w:pPr>
            <w:r>
              <w:rPr>
                <w:rFonts w:hint="eastAsia"/>
                <w:sz w:val="21"/>
              </w:rPr>
              <w:t>油气开发全过程应采取措施防止地下水污染，建立动态监测评估、处理及报告机制</w:t>
            </w:r>
          </w:p>
        </w:tc>
        <w:tc>
          <w:tcPr>
            <w:tcW w:w="3117" w:type="dxa"/>
            <w:tcMar>
              <w:left w:w="0" w:type="dxa"/>
              <w:right w:w="0" w:type="dxa"/>
            </w:tcMar>
            <w:vAlign w:val="center"/>
          </w:tcPr>
          <w:p w14:paraId="59AD12B4">
            <w:pPr>
              <w:pStyle w:val="286"/>
              <w:adjustRightInd w:val="0"/>
              <w:snapToGrid w:val="0"/>
              <w:spacing w:line="300" w:lineRule="exact"/>
              <w:rPr>
                <w:rFonts w:hint="eastAsia"/>
                <w:sz w:val="21"/>
                <w:lang w:bidi="ar"/>
              </w:rPr>
            </w:pPr>
            <w:r>
              <w:rPr>
                <w:rFonts w:hint="eastAsia"/>
                <w:sz w:val="21"/>
                <w:lang w:bidi="ar"/>
              </w:rPr>
              <w:t>运营期利用油区已有地下水源井落实地下水监测计划。</w:t>
            </w:r>
          </w:p>
        </w:tc>
        <w:tc>
          <w:tcPr>
            <w:tcW w:w="793" w:type="dxa"/>
            <w:tcMar>
              <w:left w:w="0" w:type="dxa"/>
              <w:right w:w="0" w:type="dxa"/>
            </w:tcMar>
            <w:vAlign w:val="center"/>
          </w:tcPr>
          <w:p w14:paraId="5FB37967">
            <w:pPr>
              <w:pStyle w:val="286"/>
              <w:adjustRightInd w:val="0"/>
              <w:snapToGrid w:val="0"/>
              <w:spacing w:line="300" w:lineRule="exact"/>
              <w:rPr>
                <w:rFonts w:hint="eastAsia"/>
                <w:sz w:val="21"/>
                <w:lang w:bidi="ar"/>
              </w:rPr>
            </w:pPr>
            <w:r>
              <w:rPr>
                <w:rFonts w:hint="eastAsia"/>
                <w:sz w:val="21"/>
                <w:lang w:bidi="ar"/>
              </w:rPr>
              <w:t>符合</w:t>
            </w:r>
          </w:p>
        </w:tc>
      </w:tr>
      <w:tr w14:paraId="056137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1515BD43">
            <w:pPr>
              <w:pStyle w:val="286"/>
              <w:adjustRightInd w:val="0"/>
              <w:snapToGrid w:val="0"/>
              <w:spacing w:line="300" w:lineRule="exact"/>
              <w:rPr>
                <w:rFonts w:hint="eastAsia"/>
                <w:sz w:val="21"/>
                <w:lang w:bidi="ar"/>
              </w:rPr>
            </w:pPr>
            <w:r>
              <w:rPr>
                <w:rFonts w:hint="eastAsia"/>
                <w:sz w:val="21"/>
                <w:lang w:bidi="ar"/>
              </w:rPr>
              <w:t>4</w:t>
            </w:r>
          </w:p>
        </w:tc>
        <w:tc>
          <w:tcPr>
            <w:tcW w:w="4253" w:type="dxa"/>
            <w:tcMar>
              <w:left w:w="0" w:type="dxa"/>
              <w:right w:w="0" w:type="dxa"/>
            </w:tcMar>
            <w:vAlign w:val="center"/>
          </w:tcPr>
          <w:p w14:paraId="7E0A5D00">
            <w:pPr>
              <w:pStyle w:val="286"/>
              <w:adjustRightInd w:val="0"/>
              <w:snapToGrid w:val="0"/>
              <w:spacing w:line="300" w:lineRule="exact"/>
              <w:rPr>
                <w:rFonts w:hint="eastAsia"/>
                <w:sz w:val="21"/>
              </w:rPr>
            </w:pPr>
            <w:r>
              <w:rPr>
                <w:rFonts w:hint="eastAsia"/>
                <w:sz w:val="21"/>
              </w:rPr>
              <w:t>防止油气生产、储存、转运过程中发生渗漏、泄漏，防止对矿区生态环境造成污染和破坏；应制定突发环境事件应急预案，配备相应的应急物资</w:t>
            </w:r>
          </w:p>
        </w:tc>
        <w:tc>
          <w:tcPr>
            <w:tcW w:w="3117" w:type="dxa"/>
            <w:tcMar>
              <w:left w:w="0" w:type="dxa"/>
              <w:right w:w="0" w:type="dxa"/>
            </w:tcMar>
            <w:vAlign w:val="center"/>
          </w:tcPr>
          <w:p w14:paraId="6E9EB98A">
            <w:pPr>
              <w:pStyle w:val="286"/>
              <w:adjustRightInd w:val="0"/>
              <w:snapToGrid w:val="0"/>
              <w:spacing w:line="300" w:lineRule="exact"/>
              <w:rPr>
                <w:rFonts w:hint="eastAsia"/>
                <w:sz w:val="21"/>
                <w:lang w:bidi="ar"/>
              </w:rPr>
            </w:pPr>
            <w:r>
              <w:rPr>
                <w:rFonts w:hint="eastAsia"/>
                <w:sz w:val="21"/>
              </w:rPr>
              <w:t>吉庆油田作业区</w:t>
            </w:r>
            <w:r>
              <w:rPr>
                <w:rFonts w:hint="eastAsia"/>
                <w:sz w:val="21"/>
                <w:lang w:bidi="ar"/>
              </w:rPr>
              <w:t>具备完善的应急管理体系，可依托其应急预案及应急物资。</w:t>
            </w:r>
          </w:p>
        </w:tc>
        <w:tc>
          <w:tcPr>
            <w:tcW w:w="793" w:type="dxa"/>
            <w:tcMar>
              <w:left w:w="0" w:type="dxa"/>
              <w:right w:w="0" w:type="dxa"/>
            </w:tcMar>
            <w:vAlign w:val="center"/>
          </w:tcPr>
          <w:p w14:paraId="5A40DCBD">
            <w:pPr>
              <w:pStyle w:val="286"/>
              <w:adjustRightInd w:val="0"/>
              <w:snapToGrid w:val="0"/>
              <w:spacing w:line="300" w:lineRule="exact"/>
              <w:rPr>
                <w:rFonts w:hint="eastAsia"/>
                <w:sz w:val="21"/>
                <w:lang w:bidi="ar"/>
              </w:rPr>
            </w:pPr>
            <w:r>
              <w:rPr>
                <w:rFonts w:hint="eastAsia"/>
                <w:sz w:val="21"/>
                <w:lang w:bidi="ar"/>
              </w:rPr>
              <w:t>符合</w:t>
            </w:r>
          </w:p>
        </w:tc>
      </w:tr>
      <w:tr w14:paraId="401A9A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7D9602E3">
            <w:pPr>
              <w:pStyle w:val="286"/>
              <w:adjustRightInd w:val="0"/>
              <w:snapToGrid w:val="0"/>
              <w:spacing w:line="300" w:lineRule="exact"/>
              <w:rPr>
                <w:rFonts w:hint="eastAsia"/>
                <w:sz w:val="21"/>
                <w:lang w:bidi="ar"/>
              </w:rPr>
            </w:pPr>
            <w:r>
              <w:rPr>
                <w:rFonts w:hint="eastAsia"/>
                <w:sz w:val="21"/>
                <w:lang w:bidi="ar"/>
              </w:rPr>
              <w:t>5</w:t>
            </w:r>
          </w:p>
        </w:tc>
        <w:tc>
          <w:tcPr>
            <w:tcW w:w="4253" w:type="dxa"/>
            <w:tcMar>
              <w:left w:w="0" w:type="dxa"/>
              <w:right w:w="0" w:type="dxa"/>
            </w:tcMar>
            <w:vAlign w:val="center"/>
          </w:tcPr>
          <w:p w14:paraId="7EF9B453">
            <w:pPr>
              <w:pStyle w:val="286"/>
              <w:adjustRightInd w:val="0"/>
              <w:snapToGrid w:val="0"/>
              <w:spacing w:line="300" w:lineRule="exact"/>
              <w:rPr>
                <w:rFonts w:hint="eastAsia"/>
                <w:sz w:val="21"/>
              </w:rPr>
            </w:pPr>
            <w:r>
              <w:rPr>
                <w:rFonts w:hint="eastAsia"/>
                <w:sz w:val="21"/>
              </w:rPr>
              <w:t>按照减量化、资源化、再利用的原则，综合开发利用油气藏共伴生资源，综合利用固体废弃物、废水等，发展循环经济；气田伴生资源综合利用：与甲烷气伴生的凝析油综合利用率不低于90%；油气生产过程中产生的废液、废气、固体废物应建档分类管理，并清洁化、无害化处置，处置率应达到100%；油气生产过程中的采出水应清洁处理后循环利用；不能循环利用的，应达标排放、回注或采取其它有效利用方式；油气开采过程中产生的落地原油，应及时全部回收</w:t>
            </w:r>
          </w:p>
        </w:tc>
        <w:tc>
          <w:tcPr>
            <w:tcW w:w="3117" w:type="dxa"/>
            <w:tcMar>
              <w:left w:w="0" w:type="dxa"/>
              <w:right w:w="0" w:type="dxa"/>
            </w:tcMar>
            <w:vAlign w:val="center"/>
          </w:tcPr>
          <w:p w14:paraId="4C87C9B7">
            <w:pPr>
              <w:pStyle w:val="286"/>
              <w:adjustRightInd w:val="0"/>
              <w:snapToGrid w:val="0"/>
              <w:spacing w:line="300" w:lineRule="exact"/>
              <w:rPr>
                <w:rFonts w:hint="eastAsia"/>
                <w:sz w:val="21"/>
                <w:lang w:bidi="ar"/>
              </w:rPr>
            </w:pPr>
            <w:r>
              <w:rPr>
                <w:rFonts w:hint="eastAsia"/>
                <w:sz w:val="21"/>
                <w:lang w:bidi="ar"/>
              </w:rPr>
              <w:t>井下作业时产生的洗井废水和井下作业废液送至压裂液返排装置处理，出水水质达标后用于压裂液复配。危险废物主要为清罐底泥、废润滑油、废润滑油桶、沾油废防渗材料和废含油抹布、劳保用品，分类收集，集中收集后交由有相应资质的单位处置。</w:t>
            </w:r>
          </w:p>
        </w:tc>
        <w:tc>
          <w:tcPr>
            <w:tcW w:w="793" w:type="dxa"/>
            <w:tcMar>
              <w:left w:w="0" w:type="dxa"/>
              <w:right w:w="0" w:type="dxa"/>
            </w:tcMar>
            <w:vAlign w:val="center"/>
          </w:tcPr>
          <w:p w14:paraId="10524B2C">
            <w:pPr>
              <w:pStyle w:val="286"/>
              <w:adjustRightInd w:val="0"/>
              <w:snapToGrid w:val="0"/>
              <w:spacing w:line="300" w:lineRule="exact"/>
              <w:rPr>
                <w:rFonts w:hint="eastAsia"/>
                <w:sz w:val="21"/>
                <w:lang w:bidi="ar"/>
              </w:rPr>
            </w:pPr>
            <w:r>
              <w:rPr>
                <w:rFonts w:hint="eastAsia"/>
                <w:sz w:val="21"/>
                <w:lang w:bidi="ar"/>
              </w:rPr>
              <w:t>符合</w:t>
            </w:r>
          </w:p>
        </w:tc>
      </w:tr>
      <w:tr w14:paraId="4354D6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3B21E461">
            <w:pPr>
              <w:pStyle w:val="286"/>
              <w:adjustRightInd w:val="0"/>
              <w:snapToGrid w:val="0"/>
              <w:spacing w:line="300" w:lineRule="exact"/>
              <w:rPr>
                <w:rFonts w:hint="eastAsia"/>
                <w:sz w:val="21"/>
                <w:lang w:bidi="ar"/>
              </w:rPr>
            </w:pPr>
            <w:r>
              <w:rPr>
                <w:rFonts w:hint="eastAsia"/>
                <w:sz w:val="21"/>
                <w:lang w:bidi="ar"/>
              </w:rPr>
              <w:t>6</w:t>
            </w:r>
          </w:p>
        </w:tc>
        <w:tc>
          <w:tcPr>
            <w:tcW w:w="4253" w:type="dxa"/>
            <w:tcMar>
              <w:left w:w="0" w:type="dxa"/>
              <w:right w:w="0" w:type="dxa"/>
            </w:tcMar>
            <w:vAlign w:val="center"/>
          </w:tcPr>
          <w:p w14:paraId="1E4339ED">
            <w:pPr>
              <w:pStyle w:val="286"/>
              <w:adjustRightInd w:val="0"/>
              <w:snapToGrid w:val="0"/>
              <w:spacing w:line="300" w:lineRule="exact"/>
              <w:rPr>
                <w:rFonts w:hint="eastAsia"/>
                <w:sz w:val="21"/>
              </w:rPr>
            </w:pPr>
            <w:r>
              <w:rPr>
                <w:rFonts w:hint="eastAsia"/>
                <w:sz w:val="21"/>
              </w:rPr>
              <w:t>建立油气田生产全过程能耗核算体系，通过采取节能减排措施，控制并减少单位产品能耗、物耗、水耗，减少</w:t>
            </w:r>
            <w:r>
              <w:rPr>
                <w:sz w:val="21"/>
              </w:rPr>
              <w:t>“</w:t>
            </w:r>
            <w:r>
              <w:rPr>
                <w:rFonts w:hint="eastAsia"/>
                <w:sz w:val="21"/>
              </w:rPr>
              <w:t>三废</w:t>
            </w:r>
            <w:r>
              <w:rPr>
                <w:sz w:val="21"/>
              </w:rPr>
              <w:t>”</w:t>
            </w:r>
            <w:r>
              <w:rPr>
                <w:rFonts w:hint="eastAsia"/>
                <w:sz w:val="21"/>
              </w:rPr>
              <w:t>排放；生产主要环节应选用高效节能的新技术、新工艺、新设备和新材料，及时淘汰高能耗、高污染、低效率的工艺和装备</w:t>
            </w:r>
          </w:p>
        </w:tc>
        <w:tc>
          <w:tcPr>
            <w:tcW w:w="3117" w:type="dxa"/>
            <w:tcMar>
              <w:left w:w="0" w:type="dxa"/>
              <w:right w:w="0" w:type="dxa"/>
            </w:tcMar>
            <w:vAlign w:val="center"/>
          </w:tcPr>
          <w:p w14:paraId="14120707">
            <w:pPr>
              <w:pStyle w:val="286"/>
              <w:adjustRightInd w:val="0"/>
              <w:snapToGrid w:val="0"/>
              <w:spacing w:line="300" w:lineRule="exact"/>
              <w:rPr>
                <w:rFonts w:hint="eastAsia"/>
                <w:sz w:val="21"/>
                <w:lang w:bidi="ar"/>
              </w:rPr>
            </w:pPr>
            <w:r>
              <w:rPr>
                <w:rFonts w:hint="eastAsia"/>
                <w:sz w:val="21"/>
                <w:lang w:bidi="ar"/>
              </w:rPr>
              <w:t>吉庆油田作业区按要求开展了清洁生产审核与验收工作，针对节能降耗、新工艺、新设备等的环保效果进行严格把控，确保清洁生产水平保持先进。</w:t>
            </w:r>
          </w:p>
        </w:tc>
        <w:tc>
          <w:tcPr>
            <w:tcW w:w="793" w:type="dxa"/>
            <w:tcMar>
              <w:left w:w="0" w:type="dxa"/>
              <w:right w:w="0" w:type="dxa"/>
            </w:tcMar>
            <w:vAlign w:val="center"/>
          </w:tcPr>
          <w:p w14:paraId="12A4476D">
            <w:pPr>
              <w:pStyle w:val="286"/>
              <w:adjustRightInd w:val="0"/>
              <w:snapToGrid w:val="0"/>
              <w:spacing w:line="300" w:lineRule="exact"/>
              <w:rPr>
                <w:rFonts w:hint="eastAsia"/>
                <w:sz w:val="21"/>
                <w:lang w:bidi="ar"/>
              </w:rPr>
            </w:pPr>
            <w:r>
              <w:rPr>
                <w:rFonts w:hint="eastAsia"/>
                <w:sz w:val="21"/>
                <w:lang w:bidi="ar"/>
              </w:rPr>
              <w:t>符合</w:t>
            </w:r>
          </w:p>
        </w:tc>
      </w:tr>
    </w:tbl>
    <w:p w14:paraId="57AE6679">
      <w:pPr>
        <w:pStyle w:val="117"/>
        <w:ind w:firstLine="480"/>
        <w:rPr>
          <w:rFonts w:hint="eastAsia"/>
        </w:rPr>
      </w:pPr>
      <w:bookmarkStart w:id="150" w:name="_Hlk80611172"/>
      <w:r>
        <w:rPr>
          <w:rFonts w:hint="eastAsia"/>
        </w:rPr>
        <w:t>（3）与《关于进一步加强石油天然气行业环境影响评价管理的通知》的相符性分析</w:t>
      </w:r>
    </w:p>
    <w:p w14:paraId="5D1A3039">
      <w:pPr>
        <w:pStyle w:val="117"/>
        <w:ind w:firstLine="480"/>
        <w:rPr>
          <w:rFonts w:hint="eastAsia"/>
        </w:rPr>
      </w:pPr>
      <w:r>
        <w:rPr>
          <w:rFonts w:hint="eastAsia"/>
        </w:rPr>
        <w:t>本项目的建设</w:t>
      </w:r>
      <w:bookmarkStart w:id="151" w:name="_Hlk80042711"/>
      <w:r>
        <w:rPr>
          <w:rFonts w:hint="eastAsia"/>
        </w:rPr>
        <w:t>符合</w:t>
      </w:r>
      <w:bookmarkStart w:id="152" w:name="_Hlk80047852"/>
      <w:r>
        <w:rPr>
          <w:rFonts w:hint="eastAsia"/>
        </w:rPr>
        <w:t>《关于进一步加强石油天然气行业环境影响评价管理的通知》</w:t>
      </w:r>
      <w:bookmarkEnd w:id="151"/>
      <w:bookmarkEnd w:id="152"/>
      <w:r>
        <w:rPr>
          <w:rFonts w:hint="eastAsia"/>
        </w:rPr>
        <w:t>中的相关要求，具体见表</w:t>
      </w:r>
      <w:r>
        <w:t>2.9</w:t>
      </w:r>
      <w:r>
        <w:rPr>
          <w:rFonts w:hint="eastAsia"/>
        </w:rPr>
        <w:t>-5。</w:t>
      </w:r>
    </w:p>
    <w:p w14:paraId="5BCB621B">
      <w:pPr>
        <w:pStyle w:val="15"/>
        <w:rPr>
          <w:rFonts w:hint="eastAsia"/>
        </w:rPr>
      </w:pPr>
      <w:r>
        <w:rPr>
          <w:rFonts w:hint="eastAsia"/>
        </w:rPr>
        <w:t>表2</w:t>
      </w:r>
      <w:r>
        <w:t>.9</w:t>
      </w:r>
      <w:r>
        <w:rPr>
          <w:rFonts w:hint="eastAsia"/>
        </w:rPr>
        <w:t>-5</w:t>
      </w:r>
      <w:r>
        <w:t xml:space="preserve">  </w:t>
      </w:r>
      <w:r>
        <w:rPr>
          <w:rFonts w:hint="eastAsia"/>
        </w:rPr>
        <w:t>与</w:t>
      </w:r>
      <w:bookmarkStart w:id="153" w:name="_Hlk80467751"/>
      <w:r>
        <w:rPr>
          <w:rFonts w:hint="eastAsia"/>
        </w:rPr>
        <w:t>《关于进一步加强石油天然气行业环境影响评价管理的通知》</w:t>
      </w:r>
      <w:bookmarkEnd w:id="153"/>
      <w:r>
        <w:rPr>
          <w:rFonts w:hint="eastAsia"/>
        </w:rPr>
        <w:t>的符合性分析</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4"/>
        <w:gridCol w:w="4678"/>
        <w:gridCol w:w="2951"/>
        <w:gridCol w:w="817"/>
      </w:tblGrid>
      <w:tr w14:paraId="238A89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284" w:type="dxa"/>
            <w:tcMar>
              <w:left w:w="0" w:type="dxa"/>
              <w:right w:w="0" w:type="dxa"/>
            </w:tcMar>
            <w:vAlign w:val="center"/>
          </w:tcPr>
          <w:p w14:paraId="247F82F2">
            <w:pPr>
              <w:adjustRightInd w:val="0"/>
              <w:snapToGrid w:val="0"/>
              <w:spacing w:line="300" w:lineRule="exact"/>
              <w:jc w:val="center"/>
              <w:rPr>
                <w:rFonts w:hint="eastAsia" w:ascii="宋体" w:hAnsi="宋体"/>
                <w:kern w:val="0"/>
                <w:szCs w:val="21"/>
              </w:rPr>
            </w:pPr>
            <w:r>
              <w:rPr>
                <w:rFonts w:hint="eastAsia" w:ascii="宋体" w:hAnsi="宋体"/>
                <w:kern w:val="0"/>
                <w:szCs w:val="21"/>
                <w:lang w:bidi="ar"/>
              </w:rPr>
              <w:t>序号</w:t>
            </w:r>
          </w:p>
        </w:tc>
        <w:tc>
          <w:tcPr>
            <w:tcW w:w="4678" w:type="dxa"/>
            <w:tcMar>
              <w:left w:w="0" w:type="dxa"/>
              <w:right w:w="0" w:type="dxa"/>
            </w:tcMar>
            <w:vAlign w:val="center"/>
          </w:tcPr>
          <w:p w14:paraId="4ACF4F49">
            <w:pPr>
              <w:adjustRightInd w:val="0"/>
              <w:snapToGrid w:val="0"/>
              <w:spacing w:line="300" w:lineRule="exact"/>
              <w:jc w:val="center"/>
              <w:rPr>
                <w:rFonts w:hint="eastAsia" w:ascii="宋体" w:hAnsi="宋体"/>
                <w:kern w:val="0"/>
                <w:szCs w:val="21"/>
              </w:rPr>
            </w:pPr>
            <w:r>
              <w:rPr>
                <w:rFonts w:hint="eastAsia" w:ascii="宋体" w:hAnsi="宋体"/>
                <w:kern w:val="0"/>
                <w:szCs w:val="21"/>
                <w:lang w:bidi="ar"/>
              </w:rPr>
              <w:t>《</w:t>
            </w:r>
            <w:r>
              <w:rPr>
                <w:rFonts w:hint="eastAsia" w:ascii="宋体" w:hAnsi="宋体"/>
                <w:bCs/>
                <w:kern w:val="0"/>
                <w:szCs w:val="21"/>
                <w:lang w:bidi="ar"/>
              </w:rPr>
              <w:t>关于进一步加强石油天然气行业环境影响评价管理的通知</w:t>
            </w:r>
            <w:r>
              <w:rPr>
                <w:rFonts w:hint="eastAsia" w:ascii="宋体" w:hAnsi="宋体"/>
                <w:kern w:val="0"/>
                <w:szCs w:val="21"/>
                <w:lang w:bidi="ar"/>
              </w:rPr>
              <w:t>》中相关规定</w:t>
            </w:r>
          </w:p>
        </w:tc>
        <w:tc>
          <w:tcPr>
            <w:tcW w:w="2951" w:type="dxa"/>
            <w:tcMar>
              <w:left w:w="0" w:type="dxa"/>
              <w:right w:w="0" w:type="dxa"/>
            </w:tcMar>
            <w:vAlign w:val="center"/>
          </w:tcPr>
          <w:p w14:paraId="0E218767">
            <w:pPr>
              <w:adjustRightInd w:val="0"/>
              <w:snapToGrid w:val="0"/>
              <w:spacing w:line="300" w:lineRule="exact"/>
              <w:jc w:val="center"/>
              <w:rPr>
                <w:rFonts w:hint="eastAsia" w:ascii="宋体" w:hAnsi="宋体"/>
                <w:kern w:val="0"/>
                <w:szCs w:val="21"/>
              </w:rPr>
            </w:pPr>
            <w:r>
              <w:rPr>
                <w:rFonts w:hint="eastAsia" w:ascii="宋体" w:hAnsi="宋体"/>
                <w:kern w:val="0"/>
                <w:szCs w:val="21"/>
                <w:lang w:bidi="ar"/>
              </w:rPr>
              <w:t>本项目采取的相关措施</w:t>
            </w:r>
          </w:p>
        </w:tc>
        <w:tc>
          <w:tcPr>
            <w:tcW w:w="817" w:type="dxa"/>
            <w:tcMar>
              <w:left w:w="0" w:type="dxa"/>
              <w:right w:w="0" w:type="dxa"/>
            </w:tcMar>
            <w:vAlign w:val="center"/>
          </w:tcPr>
          <w:p w14:paraId="375432C4">
            <w:pPr>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相符性</w:t>
            </w:r>
          </w:p>
          <w:p w14:paraId="342C5375">
            <w:pPr>
              <w:adjustRightInd w:val="0"/>
              <w:snapToGrid w:val="0"/>
              <w:spacing w:line="300" w:lineRule="exact"/>
              <w:jc w:val="center"/>
              <w:rPr>
                <w:rFonts w:hint="eastAsia" w:ascii="宋体" w:hAnsi="宋体"/>
                <w:kern w:val="0"/>
                <w:szCs w:val="21"/>
              </w:rPr>
            </w:pPr>
            <w:r>
              <w:rPr>
                <w:rFonts w:hint="eastAsia" w:ascii="宋体" w:hAnsi="宋体"/>
                <w:kern w:val="0"/>
                <w:szCs w:val="21"/>
                <w:lang w:bidi="ar"/>
              </w:rPr>
              <w:t>分析</w:t>
            </w:r>
          </w:p>
        </w:tc>
      </w:tr>
      <w:tr w14:paraId="0C7C8F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14CC6641">
            <w:pPr>
              <w:adjustRightInd w:val="0"/>
              <w:snapToGrid w:val="0"/>
              <w:spacing w:line="300" w:lineRule="exact"/>
              <w:jc w:val="center"/>
              <w:rPr>
                <w:rFonts w:hint="eastAsia" w:ascii="宋体" w:hAnsi="宋体"/>
                <w:bCs/>
                <w:kern w:val="0"/>
                <w:szCs w:val="21"/>
                <w:lang w:bidi="ar"/>
              </w:rPr>
            </w:pPr>
            <w:r>
              <w:rPr>
                <w:rFonts w:hint="eastAsia" w:ascii="宋体" w:hAnsi="宋体"/>
                <w:bCs/>
                <w:kern w:val="0"/>
                <w:szCs w:val="21"/>
                <w:lang w:bidi="ar"/>
              </w:rPr>
              <w:t>1</w:t>
            </w:r>
          </w:p>
        </w:tc>
        <w:tc>
          <w:tcPr>
            <w:tcW w:w="4678" w:type="dxa"/>
            <w:tcMar>
              <w:left w:w="0" w:type="dxa"/>
              <w:right w:w="0" w:type="dxa"/>
            </w:tcMar>
            <w:vAlign w:val="center"/>
          </w:tcPr>
          <w:p w14:paraId="007B98A5">
            <w:pPr>
              <w:adjustRightInd w:val="0"/>
              <w:snapToGrid w:val="0"/>
              <w:spacing w:line="300" w:lineRule="exact"/>
              <w:jc w:val="center"/>
              <w:rPr>
                <w:rFonts w:hint="eastAsia" w:ascii="宋体" w:hAnsi="宋体"/>
                <w:bCs/>
                <w:kern w:val="0"/>
                <w:szCs w:val="21"/>
                <w:lang w:bidi="ar"/>
              </w:rPr>
            </w:pPr>
            <w:r>
              <w:rPr>
                <w:rFonts w:hint="eastAsia" w:ascii="宋体" w:hAnsi="宋体"/>
                <w:bCs/>
                <w:kern w:val="0"/>
                <w:szCs w:val="21"/>
                <w:lang w:bidi="ar"/>
              </w:rPr>
              <w:t>油气企业在编制内部相关油气开发专项规划时，鼓励同步编制规划环境影响报告书，重点就规划实施的累积性、长期性环境影响进行分析，提出预防和减轻不良环境影响的对策措施，自行组织专家论证，相关成果向省级生态环境主管部门通报</w:t>
            </w:r>
          </w:p>
        </w:tc>
        <w:tc>
          <w:tcPr>
            <w:tcW w:w="2951" w:type="dxa"/>
            <w:tcMar>
              <w:left w:w="0" w:type="dxa"/>
              <w:right w:w="0" w:type="dxa"/>
            </w:tcMar>
            <w:vAlign w:val="center"/>
          </w:tcPr>
          <w:p w14:paraId="209B9AEE">
            <w:pPr>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中国石油新疆油田分公司编制了《新疆油田公司“十四五”发展规划》和《新疆油田公司“十四五”发展规划环境影响报告书》，规划环境影响报告书已取得自治区生态环境厅审查意见（新环函〔2</w:t>
            </w:r>
            <w:r>
              <w:rPr>
                <w:rFonts w:ascii="宋体" w:hAnsi="宋体"/>
                <w:kern w:val="0"/>
                <w:szCs w:val="21"/>
                <w:lang w:bidi="ar"/>
              </w:rPr>
              <w:t>022</w:t>
            </w:r>
            <w:r>
              <w:rPr>
                <w:rFonts w:hint="eastAsia" w:ascii="宋体" w:hAnsi="宋体"/>
                <w:kern w:val="0"/>
                <w:szCs w:val="21"/>
                <w:lang w:bidi="ar"/>
              </w:rPr>
              <w:t>〕2</w:t>
            </w:r>
            <w:r>
              <w:rPr>
                <w:rFonts w:ascii="宋体" w:hAnsi="宋体"/>
                <w:kern w:val="0"/>
                <w:szCs w:val="21"/>
                <w:lang w:bidi="ar"/>
              </w:rPr>
              <w:t>52</w:t>
            </w:r>
            <w:r>
              <w:rPr>
                <w:rFonts w:hint="eastAsia" w:ascii="宋体" w:hAnsi="宋体"/>
                <w:kern w:val="0"/>
                <w:szCs w:val="21"/>
                <w:lang w:bidi="ar"/>
              </w:rPr>
              <w:t>号）。</w:t>
            </w:r>
          </w:p>
        </w:tc>
        <w:tc>
          <w:tcPr>
            <w:tcW w:w="817" w:type="dxa"/>
            <w:tcMar>
              <w:left w:w="0" w:type="dxa"/>
              <w:right w:w="0" w:type="dxa"/>
            </w:tcMar>
            <w:vAlign w:val="center"/>
          </w:tcPr>
          <w:p w14:paraId="0C935DA7">
            <w:pPr>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符合</w:t>
            </w:r>
          </w:p>
        </w:tc>
      </w:tr>
      <w:tr w14:paraId="43FDE1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21A16E74">
            <w:pPr>
              <w:adjustRightInd w:val="0"/>
              <w:snapToGrid w:val="0"/>
              <w:spacing w:line="300" w:lineRule="exact"/>
              <w:jc w:val="center"/>
              <w:rPr>
                <w:rFonts w:hint="eastAsia" w:ascii="宋体" w:hAnsi="宋体"/>
                <w:kern w:val="0"/>
                <w:szCs w:val="21"/>
              </w:rPr>
            </w:pPr>
            <w:r>
              <w:rPr>
                <w:rFonts w:hint="eastAsia" w:ascii="宋体" w:hAnsi="宋体"/>
                <w:kern w:val="0"/>
                <w:szCs w:val="21"/>
                <w:lang w:bidi="ar"/>
              </w:rPr>
              <w:t>2</w:t>
            </w:r>
          </w:p>
        </w:tc>
        <w:tc>
          <w:tcPr>
            <w:tcW w:w="4678" w:type="dxa"/>
            <w:tcMar>
              <w:left w:w="0" w:type="dxa"/>
              <w:right w:w="0" w:type="dxa"/>
            </w:tcMar>
            <w:vAlign w:val="center"/>
          </w:tcPr>
          <w:p w14:paraId="49171E9C">
            <w:pPr>
              <w:adjustRightInd w:val="0"/>
              <w:snapToGrid w:val="0"/>
              <w:spacing w:line="300" w:lineRule="exact"/>
              <w:jc w:val="center"/>
              <w:rPr>
                <w:rFonts w:hint="eastAsia" w:ascii="宋体" w:hAnsi="宋体"/>
                <w:kern w:val="0"/>
                <w:szCs w:val="21"/>
              </w:rPr>
            </w:pPr>
            <w:r>
              <w:rPr>
                <w:rFonts w:hint="eastAsia" w:ascii="宋体" w:hAnsi="宋体"/>
                <w:szCs w:val="21"/>
              </w:rPr>
              <w:t>油气开采项目（含新开发和滚动开发项目）原则上应以区块为单位开展环评，一般包括区块内拟建的新井、加密井、调整井、站场、设备、管道和电缆及其更换工程、弃置工程及配套工程等。项目环评应深入评价项目建设、运营带来的环境影响和环境风险，提出有效的生态环境保护和环境风险防范措施。滚动开发区块产能建设项目，还应对现有工程环境影响进行回顾性评价，对相关生态环境问题提出有效防治措施。依托其他防治设施的或者委托第三方处置的，应在环评中论证其可行性和有效性。</w:t>
            </w:r>
          </w:p>
        </w:tc>
        <w:tc>
          <w:tcPr>
            <w:tcW w:w="2951" w:type="dxa"/>
            <w:tcMar>
              <w:left w:w="0" w:type="dxa"/>
              <w:right w:w="0" w:type="dxa"/>
            </w:tcMar>
            <w:vAlign w:val="center"/>
          </w:tcPr>
          <w:p w14:paraId="16FE2D4A">
            <w:pPr>
              <w:adjustRightInd w:val="0"/>
              <w:snapToGrid w:val="0"/>
              <w:spacing w:line="300" w:lineRule="exact"/>
              <w:rPr>
                <w:rFonts w:hint="eastAsia" w:ascii="宋体" w:hAnsi="宋体"/>
                <w:kern w:val="0"/>
                <w:szCs w:val="21"/>
              </w:rPr>
            </w:pPr>
            <w:r>
              <w:rPr>
                <w:rFonts w:hint="eastAsia" w:ascii="宋体" w:hAnsi="宋体"/>
                <w:szCs w:val="21"/>
                <w:lang w:bidi="ar"/>
              </w:rPr>
              <w:t>本项目为页岩油开采，以J10031-吉179区块为单位开展环评，在报告中对</w:t>
            </w:r>
            <w:r>
              <w:rPr>
                <w:rFonts w:hint="eastAsia" w:ascii="宋体" w:hAnsi="宋体"/>
                <w:szCs w:val="21"/>
              </w:rPr>
              <w:t>施工期、运营期环境影响和环境风险进行了分析，并提出有效的环境保护措施、污染防治措施和环境风险防范措施，并分析了依托工程可行性和有效性。</w:t>
            </w:r>
          </w:p>
        </w:tc>
        <w:tc>
          <w:tcPr>
            <w:tcW w:w="817" w:type="dxa"/>
            <w:tcMar>
              <w:left w:w="0" w:type="dxa"/>
              <w:right w:w="0" w:type="dxa"/>
            </w:tcMar>
            <w:vAlign w:val="center"/>
          </w:tcPr>
          <w:p w14:paraId="301C2D2D">
            <w:pPr>
              <w:adjustRightInd w:val="0"/>
              <w:snapToGrid w:val="0"/>
              <w:spacing w:line="300" w:lineRule="exact"/>
              <w:jc w:val="center"/>
              <w:rPr>
                <w:rFonts w:hint="eastAsia" w:ascii="宋体" w:hAnsi="宋体"/>
                <w:kern w:val="0"/>
                <w:szCs w:val="21"/>
              </w:rPr>
            </w:pPr>
            <w:r>
              <w:rPr>
                <w:rFonts w:ascii="宋体" w:hAnsi="宋体"/>
                <w:szCs w:val="21"/>
                <w:lang w:bidi="ar"/>
              </w:rPr>
              <w:t>符合</w:t>
            </w:r>
          </w:p>
        </w:tc>
      </w:tr>
      <w:tr w14:paraId="53FDFA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7DB36BC8">
            <w:pPr>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3</w:t>
            </w:r>
          </w:p>
        </w:tc>
        <w:tc>
          <w:tcPr>
            <w:tcW w:w="4678" w:type="dxa"/>
            <w:tcMar>
              <w:left w:w="0" w:type="dxa"/>
              <w:right w:w="0" w:type="dxa"/>
            </w:tcMar>
            <w:vAlign w:val="center"/>
          </w:tcPr>
          <w:p w14:paraId="673AD6F5">
            <w:pPr>
              <w:widowControl/>
              <w:shd w:val="clear" w:color="auto" w:fill="FFFFFF"/>
              <w:adjustRightInd w:val="0"/>
              <w:snapToGrid w:val="0"/>
              <w:spacing w:line="300" w:lineRule="exact"/>
              <w:jc w:val="left"/>
              <w:rPr>
                <w:rFonts w:hint="eastAsia" w:ascii="宋体" w:hAnsi="宋体"/>
                <w:szCs w:val="21"/>
                <w:lang w:val="en"/>
              </w:rPr>
            </w:pPr>
            <w:r>
              <w:rPr>
                <w:rFonts w:hint="eastAsia" w:ascii="宋体" w:hAnsi="宋体" w:cs="宋体"/>
                <w:kern w:val="0"/>
                <w:szCs w:val="21"/>
                <w:lang w:val="en"/>
              </w:rPr>
              <w:t>涉</w:t>
            </w:r>
            <w:r>
              <w:rPr>
                <w:rFonts w:hint="eastAsia" w:ascii="宋体" w:hAnsi="宋体"/>
                <w:szCs w:val="21"/>
              </w:rPr>
              <w:t>及向地表水体排放污染物的陆地油气开采项目，应当符合国家和地方污染物排放标准，满足重点污染物排放总量控制要求。涉及废水回注的，应当论证回注的环境可行性，采取切实可行的地下水污染防治和监控措施，不得回注与油气开采无关的废水，严禁造成地下水污染。在相关行业污染控制标准发布前，回注的开采废水应当经处理并符合《碎屑岩油藏注水水质推荐指标及分析方法》（SY/T5329）等相关标准要求后回注，同步采取切实可行措施防治污染。回注目的层应当为地质构造封闭地层，一般应当回注到现役油气藏或枯竭废弃油气藏。相关部门及油气企业应当加强采出水等污水回注的研究，重点关注回注井井位合理性、过程控制有效性、风险防控系统性等，提出从源头到末端的全过程生态环境保护及风险防控措施、监控要求。建设项目环评文件中应当包含钻井液、压裂液中重金属等有毒有害物质的相关信息，涉及商业秘密、技术秘密等情形的除外</w:t>
            </w:r>
          </w:p>
        </w:tc>
        <w:tc>
          <w:tcPr>
            <w:tcW w:w="2951" w:type="dxa"/>
            <w:tcMar>
              <w:left w:w="0" w:type="dxa"/>
              <w:right w:w="0" w:type="dxa"/>
            </w:tcMar>
            <w:vAlign w:val="center"/>
          </w:tcPr>
          <w:p w14:paraId="57556638">
            <w:pPr>
              <w:adjustRightInd w:val="0"/>
              <w:snapToGrid w:val="0"/>
              <w:spacing w:line="300" w:lineRule="exact"/>
              <w:jc w:val="center"/>
              <w:rPr>
                <w:lang w:bidi="ar"/>
              </w:rPr>
            </w:pPr>
            <w:r>
              <w:rPr>
                <w:rFonts w:hint="eastAsia" w:ascii="宋体" w:hAnsi="宋体"/>
                <w:szCs w:val="21"/>
                <w:lang w:bidi="ar"/>
              </w:rPr>
              <w:t>本项目采用天然能量开发，不涉及废水回注工程。运营期</w:t>
            </w:r>
            <w:r>
              <w:rPr>
                <w:rFonts w:hint="eastAsia"/>
                <w:lang w:bidi="ar"/>
              </w:rPr>
              <w:t>井下作业时产生的洗井废水和井下作业废液送至压裂液返排装置处理，出水水质达</w:t>
            </w:r>
            <w:r>
              <w:rPr>
                <w:rFonts w:hint="eastAsia" w:ascii="宋体" w:hAnsi="宋体"/>
                <w:szCs w:val="21"/>
                <w:lang w:bidi="ar"/>
              </w:rPr>
              <w:t>标后用于压裂液复配。一开采用水基钻井液（主要成分为坂土、Na</w:t>
            </w:r>
            <w:r>
              <w:rPr>
                <w:rFonts w:hint="eastAsia" w:ascii="宋体" w:hAnsi="宋体"/>
                <w:szCs w:val="21"/>
                <w:vertAlign w:val="subscript"/>
                <w:lang w:bidi="ar"/>
              </w:rPr>
              <w:t>2</w:t>
            </w:r>
            <w:r>
              <w:rPr>
                <w:rFonts w:hint="eastAsia" w:ascii="宋体" w:hAnsi="宋体"/>
                <w:szCs w:val="21"/>
                <w:lang w:bidi="ar"/>
              </w:rPr>
              <w:t>CO</w:t>
            </w:r>
            <w:r>
              <w:rPr>
                <w:rFonts w:hint="eastAsia" w:ascii="宋体" w:hAnsi="宋体"/>
                <w:szCs w:val="21"/>
                <w:vertAlign w:val="subscript"/>
                <w:lang w:bidi="ar"/>
              </w:rPr>
              <w:t>3</w:t>
            </w:r>
            <w:r>
              <w:rPr>
                <w:rFonts w:hint="eastAsia" w:ascii="宋体" w:hAnsi="宋体"/>
                <w:szCs w:val="21"/>
                <w:lang w:bidi="ar"/>
              </w:rPr>
              <w:t>、重晶石、复配铵盐等），二开采用油基钻井液（主要成分为白油、乳化剂、有机土等），具体成分涉及商业秘密，不宜公开</w:t>
            </w:r>
          </w:p>
        </w:tc>
        <w:tc>
          <w:tcPr>
            <w:tcW w:w="817" w:type="dxa"/>
            <w:tcMar>
              <w:left w:w="0" w:type="dxa"/>
              <w:right w:w="0" w:type="dxa"/>
            </w:tcMar>
            <w:vAlign w:val="center"/>
          </w:tcPr>
          <w:p w14:paraId="023F5DCC">
            <w:pPr>
              <w:adjustRightInd w:val="0"/>
              <w:snapToGrid w:val="0"/>
              <w:spacing w:line="300" w:lineRule="exact"/>
              <w:jc w:val="center"/>
              <w:rPr>
                <w:rFonts w:hint="eastAsia" w:ascii="宋体" w:hAnsi="宋体"/>
                <w:szCs w:val="21"/>
                <w:lang w:bidi="ar"/>
              </w:rPr>
            </w:pPr>
            <w:r>
              <w:rPr>
                <w:rFonts w:hint="eastAsia" w:ascii="宋体" w:hAnsi="宋体"/>
                <w:szCs w:val="21"/>
                <w:lang w:bidi="ar"/>
              </w:rPr>
              <w:t>符合</w:t>
            </w:r>
          </w:p>
        </w:tc>
      </w:tr>
      <w:tr w14:paraId="0A69F1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517A4515">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4</w:t>
            </w:r>
          </w:p>
        </w:tc>
        <w:tc>
          <w:tcPr>
            <w:tcW w:w="4678" w:type="dxa"/>
            <w:tcMar>
              <w:left w:w="0" w:type="dxa"/>
              <w:right w:w="0" w:type="dxa"/>
            </w:tcMar>
            <w:vAlign w:val="center"/>
          </w:tcPr>
          <w:p w14:paraId="0C209615">
            <w:pPr>
              <w:adjustRightInd w:val="0"/>
              <w:snapToGrid w:val="0"/>
              <w:spacing w:line="300" w:lineRule="exact"/>
              <w:jc w:val="center"/>
              <w:rPr>
                <w:rFonts w:hint="eastAsia" w:ascii="宋体" w:hAnsi="宋体" w:cs="宋体"/>
                <w:kern w:val="0"/>
                <w:szCs w:val="21"/>
                <w:lang w:bidi="ar"/>
              </w:rPr>
            </w:pPr>
            <w:r>
              <w:rPr>
                <w:rFonts w:hint="eastAsia" w:ascii="宋体" w:hAnsi="宋体"/>
                <w:szCs w:val="21"/>
                <w:lang w:bidi="ar"/>
              </w:rPr>
              <w:t>油气开采产生的废弃油基泥浆、含油钻屑及其他固体废物，应遵循减量化、资源化、无害化原则，按照国家和地方有关固体废物的管理规定进行处置。鼓励企业自建含油污泥集中式综合处理和利用设施，提高废弃油基泥浆和含油钻屑及其处理产物的综合利用率。油气开采项目产生的危险废物，应按照《建设项目危险废物环境影响评价指南》要求评价。相关部门及油气企业应加强固体废物处置的研究，重点关注固体废物产生类型、主要污染因子及潜在环境影响，分别提出减量化源头控制措施、资源化利用路径、无害化处理要求，促进固体废物合理利用和妥善处置</w:t>
            </w:r>
          </w:p>
        </w:tc>
        <w:tc>
          <w:tcPr>
            <w:tcW w:w="2951" w:type="dxa"/>
            <w:tcMar>
              <w:left w:w="0" w:type="dxa"/>
              <w:right w:w="0" w:type="dxa"/>
            </w:tcMar>
            <w:vAlign w:val="center"/>
          </w:tcPr>
          <w:p w14:paraId="592A67F6">
            <w:pPr>
              <w:adjustRightInd w:val="0"/>
              <w:snapToGrid w:val="0"/>
              <w:spacing w:line="300" w:lineRule="exact"/>
              <w:jc w:val="center"/>
              <w:rPr>
                <w:rFonts w:hint="eastAsia" w:ascii="宋体" w:hAnsi="宋体"/>
                <w:kern w:val="0"/>
                <w:szCs w:val="21"/>
                <w:lang w:bidi="ar"/>
              </w:rPr>
            </w:pPr>
            <w:r>
              <w:rPr>
                <w:rFonts w:hint="eastAsia"/>
              </w:rPr>
              <w:t>危险废物主要为清罐底泥、废润滑油、废润滑油桶、沾油废防渗材料和废含油抹布、劳保用品，分类收集，集中收集后交由有相应资质的单位处置</w:t>
            </w:r>
            <w:r>
              <w:rPr>
                <w:rFonts w:hint="eastAsia" w:ascii="宋体" w:hAnsi="宋体"/>
                <w:szCs w:val="21"/>
                <w:lang w:bidi="ar"/>
              </w:rPr>
              <w:t>；废脱硫剂包装物由厂家回收处置，</w:t>
            </w:r>
            <w:r>
              <w:rPr>
                <w:rFonts w:hint="eastAsia" w:cs="宋体"/>
              </w:rPr>
              <w:t>固体废物均得到妥善处置，</w:t>
            </w:r>
            <w:r>
              <w:rPr>
                <w:rFonts w:hint="eastAsia" w:ascii="宋体" w:hAnsi="宋体"/>
                <w:szCs w:val="21"/>
              </w:rPr>
              <w:t>不会对区域环境造成不利影响。</w:t>
            </w:r>
          </w:p>
        </w:tc>
        <w:tc>
          <w:tcPr>
            <w:tcW w:w="817" w:type="dxa"/>
            <w:tcMar>
              <w:left w:w="0" w:type="dxa"/>
              <w:right w:w="0" w:type="dxa"/>
            </w:tcMar>
            <w:vAlign w:val="center"/>
          </w:tcPr>
          <w:p w14:paraId="4AE33B62">
            <w:pPr>
              <w:adjustRightInd w:val="0"/>
              <w:snapToGrid w:val="0"/>
              <w:spacing w:line="300" w:lineRule="exact"/>
              <w:jc w:val="center"/>
              <w:rPr>
                <w:rFonts w:hint="eastAsia" w:ascii="宋体" w:hAnsi="宋体"/>
                <w:kern w:val="0"/>
                <w:szCs w:val="21"/>
                <w:lang w:bidi="ar"/>
              </w:rPr>
            </w:pPr>
            <w:r>
              <w:rPr>
                <w:rFonts w:ascii="宋体" w:hAnsi="宋体"/>
                <w:szCs w:val="21"/>
                <w:lang w:bidi="ar"/>
              </w:rPr>
              <w:t>符合</w:t>
            </w:r>
          </w:p>
        </w:tc>
      </w:tr>
      <w:tr w14:paraId="1491A3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1D6184C1">
            <w:pPr>
              <w:adjustRightInd w:val="0"/>
              <w:snapToGrid w:val="0"/>
              <w:spacing w:line="300" w:lineRule="exact"/>
              <w:jc w:val="center"/>
              <w:rPr>
                <w:rFonts w:hint="eastAsia" w:ascii="宋体" w:hAnsi="宋体"/>
                <w:szCs w:val="21"/>
                <w:lang w:bidi="ar"/>
              </w:rPr>
            </w:pPr>
            <w:r>
              <w:rPr>
                <w:rFonts w:ascii="宋体" w:hAnsi="宋体"/>
                <w:szCs w:val="21"/>
                <w:lang w:bidi="ar"/>
              </w:rPr>
              <w:t>5</w:t>
            </w:r>
          </w:p>
        </w:tc>
        <w:tc>
          <w:tcPr>
            <w:tcW w:w="4678" w:type="dxa"/>
            <w:tcMar>
              <w:left w:w="0" w:type="dxa"/>
              <w:right w:w="0" w:type="dxa"/>
            </w:tcMar>
            <w:vAlign w:val="center"/>
          </w:tcPr>
          <w:p w14:paraId="412E92C4">
            <w:pPr>
              <w:adjustRightInd w:val="0"/>
              <w:snapToGrid w:val="0"/>
              <w:spacing w:line="300" w:lineRule="exact"/>
              <w:jc w:val="center"/>
              <w:rPr>
                <w:rFonts w:hint="eastAsia" w:ascii="宋体" w:hAnsi="宋体"/>
                <w:szCs w:val="21"/>
                <w:lang w:bidi="ar"/>
              </w:rPr>
            </w:pPr>
            <w:r>
              <w:rPr>
                <w:rFonts w:hint="eastAsia" w:ascii="宋体" w:hAnsi="宋体"/>
                <w:szCs w:val="21"/>
                <w:lang w:bidi="ar"/>
              </w:rPr>
              <w:t>陆地油气开采项目的建设单位应当对挥发性有机物液体储存和装载损失、废水液面逸散、设备与管线组件泄漏、非正常工况等挥发性有机物无组织排放源进行有效管控，通过采取设备密闭、废气有效收集及配套高效末端处理设施等措施，有效控制挥发性有机物和恶臭气体无组织排放。涉及高含硫天然气开采的，应当强化钻井、输送、净化等环节环境风险防范措施。含硫气田回注采出水，应当采取有效措施减少废水处理站和回注井场硫化氢的无组织排放。高含硫天然气净化厂应当采用先进高效硫磺回收工艺，减少二氧化硫排放。井场加热炉、锅炉、压缩机等排放大气污染物的设备，应当优先使用清洁燃料，废气排放应当满足国家和地方大气污染物排放标准要求</w:t>
            </w:r>
          </w:p>
        </w:tc>
        <w:tc>
          <w:tcPr>
            <w:tcW w:w="2951" w:type="dxa"/>
            <w:tcMar>
              <w:left w:w="0" w:type="dxa"/>
              <w:right w:w="0" w:type="dxa"/>
            </w:tcMar>
            <w:vAlign w:val="center"/>
          </w:tcPr>
          <w:p w14:paraId="32C13AF3">
            <w:pPr>
              <w:adjustRightInd w:val="0"/>
              <w:snapToGrid w:val="0"/>
              <w:spacing w:line="300" w:lineRule="exact"/>
              <w:jc w:val="center"/>
              <w:rPr>
                <w:rFonts w:hint="eastAsia" w:ascii="宋体" w:hAnsi="宋体"/>
                <w:szCs w:val="21"/>
                <w:lang w:bidi="ar"/>
              </w:rPr>
            </w:pPr>
            <w:r>
              <w:rPr>
                <w:rFonts w:hint="eastAsia"/>
                <w:lang w:bidi="ar"/>
              </w:rPr>
              <w:t>油气通过密闭集输工艺，油气开采过程中的无组织废气通过选用质量可靠的设备和加强检修进行防治</w:t>
            </w:r>
            <w:r>
              <w:rPr>
                <w:rFonts w:hint="eastAsia"/>
                <w:szCs w:val="21"/>
                <w:lang w:bidi="ar"/>
              </w:rPr>
              <w:t>。</w:t>
            </w:r>
          </w:p>
        </w:tc>
        <w:tc>
          <w:tcPr>
            <w:tcW w:w="817" w:type="dxa"/>
            <w:tcMar>
              <w:left w:w="0" w:type="dxa"/>
              <w:right w:w="0" w:type="dxa"/>
            </w:tcMar>
            <w:vAlign w:val="center"/>
          </w:tcPr>
          <w:p w14:paraId="39FF5CA3">
            <w:pPr>
              <w:adjustRightInd w:val="0"/>
              <w:snapToGrid w:val="0"/>
              <w:spacing w:line="300" w:lineRule="exact"/>
              <w:jc w:val="center"/>
              <w:rPr>
                <w:rFonts w:hint="eastAsia" w:ascii="宋体" w:hAnsi="宋体"/>
                <w:szCs w:val="21"/>
                <w:lang w:bidi="ar"/>
              </w:rPr>
            </w:pPr>
            <w:r>
              <w:rPr>
                <w:rFonts w:hint="eastAsia" w:ascii="宋体" w:hAnsi="宋体"/>
                <w:szCs w:val="21"/>
                <w:lang w:bidi="ar"/>
              </w:rPr>
              <w:t>符合</w:t>
            </w:r>
          </w:p>
        </w:tc>
      </w:tr>
      <w:tr w14:paraId="4563DE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32334CEB">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6</w:t>
            </w:r>
          </w:p>
        </w:tc>
        <w:tc>
          <w:tcPr>
            <w:tcW w:w="4678" w:type="dxa"/>
            <w:tcMar>
              <w:left w:w="0" w:type="dxa"/>
              <w:right w:w="0" w:type="dxa"/>
            </w:tcMar>
            <w:vAlign w:val="center"/>
          </w:tcPr>
          <w:p w14:paraId="751A9BD3">
            <w:pPr>
              <w:adjustRightInd w:val="0"/>
              <w:snapToGrid w:val="0"/>
              <w:spacing w:line="300" w:lineRule="exact"/>
              <w:jc w:val="center"/>
              <w:rPr>
                <w:rFonts w:hint="eastAsia" w:ascii="宋体" w:hAnsi="宋体"/>
                <w:szCs w:val="21"/>
                <w:lang w:bidi="ar"/>
              </w:rPr>
            </w:pPr>
            <w:r>
              <w:rPr>
                <w:rFonts w:hint="eastAsia" w:ascii="宋体" w:hAnsi="宋体"/>
                <w:szCs w:val="21"/>
                <w:lang w:bidi="ar"/>
              </w:rPr>
              <w:t>施工期应当尽量减少施工占地、缩短施工时间、选择合理施工方式落实环境敏感区管控要求以及其他生态环境保护措施，降低生态环境影响。钻井和压裂设备应当优先使用网电、高标准清洁燃油，减少废气排放。选用低噪声设备，避免噪声扰民。施工结束后，应当及时落实环评提出的生态保护措施</w:t>
            </w:r>
          </w:p>
        </w:tc>
        <w:tc>
          <w:tcPr>
            <w:tcW w:w="2951" w:type="dxa"/>
            <w:tcMar>
              <w:left w:w="0" w:type="dxa"/>
              <w:right w:w="0" w:type="dxa"/>
            </w:tcMar>
            <w:vAlign w:val="center"/>
          </w:tcPr>
          <w:p w14:paraId="18D8E04C">
            <w:pPr>
              <w:adjustRightInd w:val="0"/>
              <w:snapToGrid w:val="0"/>
              <w:spacing w:line="300" w:lineRule="exact"/>
              <w:jc w:val="center"/>
              <w:rPr>
                <w:rFonts w:hint="eastAsia" w:ascii="宋体" w:hAnsi="宋体"/>
                <w:szCs w:val="21"/>
                <w:lang w:bidi="ar"/>
              </w:rPr>
            </w:pPr>
            <w:r>
              <w:rPr>
                <w:rFonts w:hint="eastAsia" w:ascii="宋体" w:hAnsi="宋体"/>
                <w:szCs w:val="21"/>
                <w:lang w:bidi="ar"/>
              </w:rPr>
              <w:t>施工期严格按照即定方案施工，合理制定施工方案，加强施工管理，严禁施工人员和机械在施工范围外作业；优先选用低噪声设备，高噪声设备采取基础减震措施，评价范围内无声环境敏感目标，不会造成扰民现象；施工结束后应及时对施工区进行平整、清理，恢复临时占地。</w:t>
            </w:r>
          </w:p>
        </w:tc>
        <w:tc>
          <w:tcPr>
            <w:tcW w:w="817" w:type="dxa"/>
            <w:tcMar>
              <w:left w:w="0" w:type="dxa"/>
              <w:right w:w="0" w:type="dxa"/>
            </w:tcMar>
            <w:vAlign w:val="center"/>
          </w:tcPr>
          <w:p w14:paraId="532173CA">
            <w:pPr>
              <w:adjustRightInd w:val="0"/>
              <w:snapToGrid w:val="0"/>
              <w:spacing w:line="300" w:lineRule="exact"/>
              <w:jc w:val="center"/>
              <w:rPr>
                <w:rFonts w:hint="eastAsia" w:ascii="宋体" w:hAnsi="宋体"/>
                <w:szCs w:val="21"/>
                <w:lang w:bidi="ar"/>
              </w:rPr>
            </w:pPr>
            <w:r>
              <w:rPr>
                <w:rFonts w:hint="eastAsia" w:ascii="宋体" w:hAnsi="宋体"/>
                <w:szCs w:val="21"/>
                <w:lang w:bidi="ar"/>
              </w:rPr>
              <w:t>符合</w:t>
            </w:r>
          </w:p>
        </w:tc>
      </w:tr>
      <w:tr w14:paraId="39B682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4" w:type="dxa"/>
            <w:tcMar>
              <w:left w:w="0" w:type="dxa"/>
              <w:right w:w="0" w:type="dxa"/>
            </w:tcMar>
            <w:vAlign w:val="center"/>
          </w:tcPr>
          <w:p w14:paraId="235617F6">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7</w:t>
            </w:r>
          </w:p>
        </w:tc>
        <w:tc>
          <w:tcPr>
            <w:tcW w:w="4678" w:type="dxa"/>
            <w:tcMar>
              <w:left w:w="0" w:type="dxa"/>
              <w:right w:w="0" w:type="dxa"/>
            </w:tcMar>
            <w:vAlign w:val="center"/>
          </w:tcPr>
          <w:p w14:paraId="38E1F61C">
            <w:pPr>
              <w:adjustRightInd w:val="0"/>
              <w:snapToGrid w:val="0"/>
              <w:spacing w:line="300" w:lineRule="exact"/>
              <w:jc w:val="center"/>
              <w:rPr>
                <w:rFonts w:hint="eastAsia" w:ascii="宋体" w:hAnsi="宋体"/>
                <w:szCs w:val="21"/>
                <w:lang w:bidi="ar"/>
              </w:rPr>
            </w:pPr>
            <w:r>
              <w:rPr>
                <w:rFonts w:hint="eastAsia" w:ascii="宋体" w:hAnsi="宋体"/>
                <w:szCs w:val="21"/>
                <w:lang w:bidi="ar"/>
              </w:rPr>
              <w:t>油气企业应当加强风险防控，按规定编制突发环境事件应急预案，报所在地生态环境主管部门备案</w:t>
            </w:r>
          </w:p>
        </w:tc>
        <w:tc>
          <w:tcPr>
            <w:tcW w:w="2951" w:type="dxa"/>
            <w:tcMar>
              <w:left w:w="0" w:type="dxa"/>
              <w:right w:w="0" w:type="dxa"/>
            </w:tcMar>
            <w:vAlign w:val="center"/>
          </w:tcPr>
          <w:p w14:paraId="4FAB5D6C">
            <w:pPr>
              <w:adjustRightInd w:val="0"/>
              <w:snapToGrid w:val="0"/>
              <w:spacing w:line="300" w:lineRule="exact"/>
              <w:jc w:val="center"/>
              <w:rPr>
                <w:rFonts w:hint="eastAsia" w:ascii="宋体" w:hAnsi="宋体"/>
                <w:szCs w:val="21"/>
                <w:lang w:bidi="ar"/>
              </w:rPr>
            </w:pPr>
            <w:r>
              <w:rPr>
                <w:rFonts w:hint="eastAsia" w:ascii="宋体" w:hAnsi="宋体"/>
                <w:szCs w:val="21"/>
                <w:lang w:bidi="ar"/>
              </w:rPr>
              <w:t>吉庆油田作业区具备完善的应急管理体系，可依托其应急预案及应急物资。</w:t>
            </w:r>
          </w:p>
        </w:tc>
        <w:tc>
          <w:tcPr>
            <w:tcW w:w="817" w:type="dxa"/>
            <w:tcMar>
              <w:left w:w="0" w:type="dxa"/>
              <w:right w:w="0" w:type="dxa"/>
            </w:tcMar>
            <w:vAlign w:val="center"/>
          </w:tcPr>
          <w:p w14:paraId="7C2BDC7C">
            <w:pPr>
              <w:adjustRightInd w:val="0"/>
              <w:snapToGrid w:val="0"/>
              <w:spacing w:line="300" w:lineRule="exact"/>
              <w:jc w:val="center"/>
              <w:rPr>
                <w:rFonts w:hint="eastAsia" w:ascii="宋体" w:hAnsi="宋体"/>
                <w:szCs w:val="21"/>
                <w:lang w:bidi="ar"/>
              </w:rPr>
            </w:pPr>
            <w:r>
              <w:rPr>
                <w:rFonts w:hint="eastAsia" w:ascii="宋体" w:hAnsi="宋体"/>
                <w:szCs w:val="21"/>
                <w:lang w:bidi="ar"/>
              </w:rPr>
              <w:t>符合</w:t>
            </w:r>
          </w:p>
        </w:tc>
      </w:tr>
      <w:bookmarkEnd w:id="150"/>
    </w:tbl>
    <w:p w14:paraId="29BD03AC">
      <w:pPr>
        <w:pStyle w:val="117"/>
        <w:ind w:firstLine="480"/>
        <w:rPr>
          <w:rFonts w:hint="eastAsia"/>
          <w:lang w:bidi="ar"/>
        </w:rPr>
      </w:pPr>
      <w:r>
        <w:rPr>
          <w:rFonts w:hint="eastAsia"/>
          <w:lang w:bidi="ar"/>
        </w:rPr>
        <w:t>（</w:t>
      </w:r>
      <w:r>
        <w:rPr>
          <w:lang w:bidi="ar"/>
        </w:rPr>
        <w:t>4</w:t>
      </w:r>
      <w:r>
        <w:rPr>
          <w:rFonts w:hint="eastAsia"/>
          <w:lang w:bidi="ar"/>
        </w:rPr>
        <w:t>）与</w:t>
      </w:r>
      <w:bookmarkStart w:id="154" w:name="_Hlk80467770"/>
      <w:r>
        <w:rPr>
          <w:rFonts w:hint="eastAsia"/>
          <w:lang w:bidi="ar"/>
        </w:rPr>
        <w:t>《新疆维吾尔自治区煤炭石油天然气开发环境保护条例》</w:t>
      </w:r>
      <w:bookmarkEnd w:id="154"/>
      <w:r>
        <w:rPr>
          <w:rFonts w:hint="eastAsia"/>
          <w:lang w:bidi="ar"/>
        </w:rPr>
        <w:t>要求的相符性分析</w:t>
      </w:r>
    </w:p>
    <w:p w14:paraId="53429A07">
      <w:pPr>
        <w:pStyle w:val="117"/>
        <w:ind w:firstLine="480"/>
        <w:rPr>
          <w:rFonts w:hint="eastAsia"/>
          <w:lang w:bidi="ar"/>
        </w:rPr>
      </w:pPr>
      <w:r>
        <w:rPr>
          <w:rFonts w:hint="eastAsia"/>
          <w:lang w:bidi="ar"/>
        </w:rPr>
        <w:t>本项目采取的各项环保措施符合《新疆维吾尔自治区煤炭石油天然气开发环境保护条例》中的要求，详见表2</w:t>
      </w:r>
      <w:r>
        <w:rPr>
          <w:lang w:bidi="ar"/>
        </w:rPr>
        <w:t>.9</w:t>
      </w:r>
      <w:r>
        <w:rPr>
          <w:rFonts w:hint="eastAsia"/>
          <w:lang w:bidi="ar"/>
        </w:rPr>
        <w:t>-6。</w:t>
      </w:r>
    </w:p>
    <w:p w14:paraId="3D1BCF64">
      <w:pPr>
        <w:pStyle w:val="15"/>
        <w:rPr>
          <w:rFonts w:hint="eastAsia"/>
        </w:rPr>
      </w:pPr>
      <w:bookmarkStart w:id="155" w:name="_Hlk80047126"/>
      <w:r>
        <w:rPr>
          <w:rFonts w:hint="eastAsia"/>
        </w:rPr>
        <w:t>表2</w:t>
      </w:r>
      <w:r>
        <w:t>.9</w:t>
      </w:r>
      <w:bookmarkStart w:id="156" w:name="OLE_LINK6"/>
      <w:r>
        <w:rPr>
          <w:rFonts w:hint="eastAsia"/>
        </w:rPr>
        <w:t>-</w:t>
      </w:r>
      <w:bookmarkEnd w:id="156"/>
      <w:r>
        <w:rPr>
          <w:rFonts w:hint="eastAsia"/>
        </w:rPr>
        <w:t xml:space="preserve">6 </w:t>
      </w:r>
      <w:r>
        <w:t xml:space="preserve"> </w:t>
      </w:r>
      <w:r>
        <w:rPr>
          <w:rFonts w:hint="eastAsia"/>
        </w:rPr>
        <w:t>与《新疆维吾尔自治区煤炭石油天然气开发环境保护条例》的相符性分析</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7"/>
        <w:gridCol w:w="3402"/>
        <w:gridCol w:w="3969"/>
        <w:gridCol w:w="792"/>
      </w:tblGrid>
      <w:tr w14:paraId="55FE4C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567" w:type="dxa"/>
            <w:tcMar>
              <w:left w:w="0" w:type="dxa"/>
              <w:right w:w="0" w:type="dxa"/>
            </w:tcMar>
            <w:vAlign w:val="center"/>
          </w:tcPr>
          <w:p w14:paraId="6EF008CA">
            <w:pPr>
              <w:pStyle w:val="286"/>
              <w:adjustRightInd w:val="0"/>
              <w:snapToGrid w:val="0"/>
              <w:spacing w:line="300" w:lineRule="exact"/>
              <w:rPr>
                <w:rFonts w:hint="eastAsia"/>
                <w:sz w:val="21"/>
              </w:rPr>
            </w:pPr>
            <w:r>
              <w:rPr>
                <w:rFonts w:hint="eastAsia"/>
                <w:sz w:val="21"/>
                <w:lang w:bidi="ar"/>
              </w:rPr>
              <w:t>序号</w:t>
            </w:r>
          </w:p>
        </w:tc>
        <w:tc>
          <w:tcPr>
            <w:tcW w:w="3402" w:type="dxa"/>
            <w:tcMar>
              <w:left w:w="0" w:type="dxa"/>
              <w:right w:w="0" w:type="dxa"/>
            </w:tcMar>
            <w:vAlign w:val="center"/>
          </w:tcPr>
          <w:p w14:paraId="098E28F1">
            <w:pPr>
              <w:pStyle w:val="286"/>
              <w:adjustRightInd w:val="0"/>
              <w:snapToGrid w:val="0"/>
              <w:spacing w:line="300" w:lineRule="exact"/>
              <w:rPr>
                <w:rFonts w:hint="eastAsia"/>
                <w:sz w:val="21"/>
              </w:rPr>
            </w:pPr>
            <w:r>
              <w:rPr>
                <w:rFonts w:hint="eastAsia"/>
                <w:sz w:val="21"/>
                <w:lang w:bidi="ar"/>
              </w:rPr>
              <w:t>相关规定</w:t>
            </w:r>
          </w:p>
        </w:tc>
        <w:tc>
          <w:tcPr>
            <w:tcW w:w="3969" w:type="dxa"/>
            <w:tcMar>
              <w:left w:w="0" w:type="dxa"/>
              <w:right w:w="0" w:type="dxa"/>
            </w:tcMar>
            <w:vAlign w:val="center"/>
          </w:tcPr>
          <w:p w14:paraId="2DC56D42">
            <w:pPr>
              <w:pStyle w:val="286"/>
              <w:adjustRightInd w:val="0"/>
              <w:snapToGrid w:val="0"/>
              <w:spacing w:line="300" w:lineRule="exact"/>
              <w:rPr>
                <w:rFonts w:hint="eastAsia"/>
                <w:sz w:val="21"/>
              </w:rPr>
            </w:pPr>
            <w:r>
              <w:rPr>
                <w:rFonts w:hint="eastAsia"/>
                <w:sz w:val="21"/>
                <w:lang w:bidi="ar"/>
              </w:rPr>
              <w:t>拟采取的相关措施</w:t>
            </w:r>
          </w:p>
        </w:tc>
        <w:tc>
          <w:tcPr>
            <w:tcW w:w="792" w:type="dxa"/>
            <w:tcMar>
              <w:left w:w="0" w:type="dxa"/>
              <w:right w:w="0" w:type="dxa"/>
            </w:tcMar>
            <w:vAlign w:val="center"/>
          </w:tcPr>
          <w:p w14:paraId="09FD504D">
            <w:pPr>
              <w:pStyle w:val="286"/>
              <w:adjustRightInd w:val="0"/>
              <w:snapToGrid w:val="0"/>
              <w:spacing w:line="300" w:lineRule="exact"/>
              <w:rPr>
                <w:rFonts w:hint="eastAsia"/>
                <w:sz w:val="21"/>
              </w:rPr>
            </w:pPr>
            <w:r>
              <w:rPr>
                <w:rFonts w:hint="eastAsia"/>
                <w:sz w:val="21"/>
                <w:lang w:bidi="ar"/>
              </w:rPr>
              <w:t>符合性分析</w:t>
            </w:r>
          </w:p>
        </w:tc>
      </w:tr>
      <w:tr w14:paraId="4EA205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17D7077D">
            <w:pPr>
              <w:pStyle w:val="286"/>
              <w:adjustRightInd w:val="0"/>
              <w:snapToGrid w:val="0"/>
              <w:spacing w:line="300" w:lineRule="exact"/>
              <w:rPr>
                <w:rFonts w:hint="eastAsia"/>
                <w:sz w:val="21"/>
              </w:rPr>
            </w:pPr>
            <w:r>
              <w:rPr>
                <w:rFonts w:hint="eastAsia"/>
                <w:sz w:val="21"/>
                <w:lang w:bidi="ar"/>
              </w:rPr>
              <w:t>1</w:t>
            </w:r>
          </w:p>
        </w:tc>
        <w:tc>
          <w:tcPr>
            <w:tcW w:w="3402" w:type="dxa"/>
            <w:tcMar>
              <w:left w:w="0" w:type="dxa"/>
              <w:right w:w="0" w:type="dxa"/>
            </w:tcMar>
            <w:vAlign w:val="center"/>
          </w:tcPr>
          <w:p w14:paraId="2F46F40B">
            <w:pPr>
              <w:pStyle w:val="286"/>
              <w:adjustRightInd w:val="0"/>
              <w:snapToGrid w:val="0"/>
              <w:spacing w:line="300" w:lineRule="exact"/>
              <w:rPr>
                <w:rFonts w:hint="eastAsia"/>
                <w:sz w:val="21"/>
              </w:rPr>
            </w:pPr>
            <w:r>
              <w:rPr>
                <w:rFonts w:hint="eastAsia"/>
                <w:sz w:val="21"/>
              </w:rPr>
              <w:t>禁止在水源涵养区、地下水源、饮用水源、自然保护区、风景名胜区、森林公园、重要湿地及人群密集区等生态敏感区域内进行煤炭、石油、天然气开发</w:t>
            </w:r>
          </w:p>
        </w:tc>
        <w:tc>
          <w:tcPr>
            <w:tcW w:w="3969" w:type="dxa"/>
            <w:tcMar>
              <w:left w:w="0" w:type="dxa"/>
              <w:right w:w="0" w:type="dxa"/>
            </w:tcMar>
            <w:vAlign w:val="center"/>
          </w:tcPr>
          <w:p w14:paraId="500D1539">
            <w:pPr>
              <w:pStyle w:val="286"/>
              <w:adjustRightInd w:val="0"/>
              <w:snapToGrid w:val="0"/>
              <w:spacing w:line="300" w:lineRule="exact"/>
              <w:rPr>
                <w:rFonts w:hint="eastAsia"/>
                <w:sz w:val="21"/>
              </w:rPr>
            </w:pPr>
            <w:r>
              <w:rPr>
                <w:rFonts w:hint="eastAsia"/>
                <w:sz w:val="21"/>
                <w:lang w:bidi="ar"/>
              </w:rPr>
              <w:t>项目周围无水源涵养区、地下水源、饮用水源、自然保护区、风景名胜区、森林公园、重要湿地等生态敏感区。</w:t>
            </w:r>
          </w:p>
        </w:tc>
        <w:tc>
          <w:tcPr>
            <w:tcW w:w="792" w:type="dxa"/>
            <w:tcMar>
              <w:left w:w="0" w:type="dxa"/>
              <w:right w:w="0" w:type="dxa"/>
            </w:tcMar>
            <w:vAlign w:val="center"/>
          </w:tcPr>
          <w:p w14:paraId="20F413A3">
            <w:pPr>
              <w:pStyle w:val="286"/>
              <w:adjustRightInd w:val="0"/>
              <w:snapToGrid w:val="0"/>
              <w:spacing w:line="300" w:lineRule="exact"/>
              <w:rPr>
                <w:rFonts w:hint="eastAsia"/>
                <w:sz w:val="21"/>
              </w:rPr>
            </w:pPr>
            <w:r>
              <w:rPr>
                <w:rFonts w:hint="eastAsia"/>
                <w:sz w:val="21"/>
                <w:lang w:bidi="ar"/>
              </w:rPr>
              <w:t>符合</w:t>
            </w:r>
          </w:p>
        </w:tc>
      </w:tr>
      <w:bookmarkEnd w:id="155"/>
      <w:tr w14:paraId="7D226F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38AF073E">
            <w:pPr>
              <w:pStyle w:val="286"/>
              <w:adjustRightInd w:val="0"/>
              <w:snapToGrid w:val="0"/>
              <w:spacing w:line="300" w:lineRule="exact"/>
              <w:rPr>
                <w:rFonts w:hint="eastAsia"/>
                <w:sz w:val="21"/>
                <w:lang w:bidi="ar"/>
              </w:rPr>
            </w:pPr>
            <w:r>
              <w:rPr>
                <w:sz w:val="21"/>
                <w:lang w:bidi="ar"/>
              </w:rPr>
              <w:t>2</w:t>
            </w:r>
          </w:p>
        </w:tc>
        <w:tc>
          <w:tcPr>
            <w:tcW w:w="3402" w:type="dxa"/>
            <w:tcMar>
              <w:left w:w="0" w:type="dxa"/>
              <w:right w:w="0" w:type="dxa"/>
            </w:tcMar>
            <w:vAlign w:val="center"/>
          </w:tcPr>
          <w:p w14:paraId="2DB59D75">
            <w:pPr>
              <w:pStyle w:val="286"/>
              <w:adjustRightInd w:val="0"/>
              <w:snapToGrid w:val="0"/>
              <w:spacing w:line="300" w:lineRule="exact"/>
              <w:rPr>
                <w:rFonts w:hint="eastAsia"/>
                <w:sz w:val="21"/>
                <w:lang w:bidi="ar"/>
              </w:rPr>
            </w:pPr>
            <w:r>
              <w:rPr>
                <w:rFonts w:hint="eastAsia"/>
                <w:sz w:val="21"/>
                <w:lang w:bidi="ar"/>
              </w:rPr>
              <w:t>开发单位应当对污染物排放及对周围环境的影响进行环境监测，接受环境保护主管部门的指导，并向社会公布监测情况</w:t>
            </w:r>
          </w:p>
        </w:tc>
        <w:tc>
          <w:tcPr>
            <w:tcW w:w="3969" w:type="dxa"/>
            <w:tcMar>
              <w:left w:w="0" w:type="dxa"/>
              <w:right w:w="0" w:type="dxa"/>
            </w:tcMar>
            <w:vAlign w:val="center"/>
          </w:tcPr>
          <w:p w14:paraId="2B66535E">
            <w:pPr>
              <w:pStyle w:val="286"/>
              <w:adjustRightInd w:val="0"/>
              <w:snapToGrid w:val="0"/>
              <w:spacing w:line="300" w:lineRule="exact"/>
              <w:rPr>
                <w:rFonts w:hint="eastAsia"/>
                <w:sz w:val="21"/>
                <w:lang w:bidi="ar"/>
              </w:rPr>
            </w:pPr>
            <w:r>
              <w:rPr>
                <w:rFonts w:hint="eastAsia"/>
                <w:sz w:val="21"/>
                <w:lang w:bidi="ar"/>
              </w:rPr>
              <w:t>针对运营期排放的废气、噪声以及地下水、土壤环境提出了监测计划，建设单位应接受新疆生产建设兵团生态环境局、新疆生产建设兵团第六师五家渠市生态环境局的监督与管理，并按照《企业环境信息依法披露管理办法》等规定，公开运营期监测情况。</w:t>
            </w:r>
          </w:p>
        </w:tc>
        <w:tc>
          <w:tcPr>
            <w:tcW w:w="792" w:type="dxa"/>
            <w:tcMar>
              <w:left w:w="0" w:type="dxa"/>
              <w:right w:w="0" w:type="dxa"/>
            </w:tcMar>
            <w:vAlign w:val="center"/>
          </w:tcPr>
          <w:p w14:paraId="0F990A07">
            <w:pPr>
              <w:pStyle w:val="286"/>
              <w:adjustRightInd w:val="0"/>
              <w:snapToGrid w:val="0"/>
              <w:spacing w:line="300" w:lineRule="exact"/>
              <w:rPr>
                <w:rFonts w:hint="eastAsia"/>
                <w:sz w:val="21"/>
                <w:lang w:bidi="ar"/>
              </w:rPr>
            </w:pPr>
            <w:r>
              <w:rPr>
                <w:rFonts w:hint="eastAsia"/>
                <w:sz w:val="21"/>
                <w:lang w:bidi="ar"/>
              </w:rPr>
              <w:t>符合</w:t>
            </w:r>
          </w:p>
        </w:tc>
      </w:tr>
      <w:tr w14:paraId="74DEFC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D2DD36F">
            <w:pPr>
              <w:pStyle w:val="286"/>
              <w:adjustRightInd w:val="0"/>
              <w:snapToGrid w:val="0"/>
              <w:spacing w:line="300" w:lineRule="exact"/>
              <w:rPr>
                <w:rFonts w:hint="eastAsia"/>
                <w:sz w:val="21"/>
              </w:rPr>
            </w:pPr>
            <w:r>
              <w:rPr>
                <w:rFonts w:hint="eastAsia"/>
                <w:sz w:val="21"/>
              </w:rPr>
              <w:t>3</w:t>
            </w:r>
          </w:p>
        </w:tc>
        <w:tc>
          <w:tcPr>
            <w:tcW w:w="3402" w:type="dxa"/>
            <w:tcMar>
              <w:left w:w="0" w:type="dxa"/>
              <w:right w:w="0" w:type="dxa"/>
            </w:tcMar>
            <w:vAlign w:val="center"/>
          </w:tcPr>
          <w:p w14:paraId="52152376">
            <w:pPr>
              <w:pStyle w:val="286"/>
              <w:adjustRightInd w:val="0"/>
              <w:snapToGrid w:val="0"/>
              <w:spacing w:line="300" w:lineRule="exact"/>
              <w:rPr>
                <w:rFonts w:hint="eastAsia" w:cs="宋体"/>
                <w:sz w:val="21"/>
              </w:rPr>
            </w:pPr>
            <w:r>
              <w:rPr>
                <w:rFonts w:hint="eastAsia" w:cs="宋体"/>
                <w:bCs/>
                <w:iCs/>
                <w:sz w:val="21"/>
              </w:rPr>
              <w:t>石油开发单位应当建设清洁井场，做到场地平整、清洁卫生，在井场内实施无污染作业，并根据需要在井场四周设置符合规定的挡水墙、雨水出口和防洪渠道。散落油和油水混合液等含油污染物应当回收处理，不得掩埋</w:t>
            </w:r>
          </w:p>
        </w:tc>
        <w:tc>
          <w:tcPr>
            <w:tcW w:w="3969" w:type="dxa"/>
            <w:tcMar>
              <w:left w:w="0" w:type="dxa"/>
              <w:right w:w="0" w:type="dxa"/>
            </w:tcMar>
            <w:vAlign w:val="center"/>
          </w:tcPr>
          <w:p w14:paraId="0FFE536A">
            <w:pPr>
              <w:pStyle w:val="286"/>
              <w:adjustRightInd w:val="0"/>
              <w:snapToGrid w:val="0"/>
              <w:spacing w:line="300" w:lineRule="exact"/>
              <w:rPr>
                <w:rFonts w:hint="eastAsia"/>
                <w:sz w:val="21"/>
                <w:lang w:bidi="ar"/>
              </w:rPr>
            </w:pPr>
            <w:r>
              <w:rPr>
                <w:rFonts w:hint="eastAsia"/>
                <w:sz w:val="21"/>
                <w:lang w:bidi="ar"/>
              </w:rPr>
              <w:t>施工结束后，应对施工场地进行清理平整，项目所在地干旱少雨，未设置挡水墙、雨水出口和防洪渠道。危险废物主要为清罐底泥、废润滑油、废润滑油桶、沾油废防渗材料和废含油抹布、劳保用品，分类收集，集中收集后交由有相应资质的单位处置；废脱硫剂包装物由厂家回收处置。</w:t>
            </w:r>
          </w:p>
        </w:tc>
        <w:tc>
          <w:tcPr>
            <w:tcW w:w="792" w:type="dxa"/>
            <w:tcMar>
              <w:left w:w="0" w:type="dxa"/>
              <w:right w:w="0" w:type="dxa"/>
            </w:tcMar>
            <w:vAlign w:val="center"/>
          </w:tcPr>
          <w:p w14:paraId="2AD2D26A">
            <w:pPr>
              <w:pStyle w:val="286"/>
              <w:adjustRightInd w:val="0"/>
              <w:snapToGrid w:val="0"/>
              <w:spacing w:line="300" w:lineRule="exact"/>
              <w:rPr>
                <w:rFonts w:hint="eastAsia"/>
                <w:sz w:val="21"/>
                <w:lang w:bidi="ar"/>
              </w:rPr>
            </w:pPr>
            <w:r>
              <w:rPr>
                <w:rFonts w:hint="eastAsia"/>
                <w:sz w:val="21"/>
                <w:lang w:bidi="ar"/>
              </w:rPr>
              <w:t>符合</w:t>
            </w:r>
          </w:p>
        </w:tc>
      </w:tr>
      <w:tr w14:paraId="175B39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97F4777">
            <w:pPr>
              <w:pStyle w:val="286"/>
              <w:adjustRightInd w:val="0"/>
              <w:snapToGrid w:val="0"/>
              <w:spacing w:line="300" w:lineRule="exact"/>
              <w:rPr>
                <w:rFonts w:hint="eastAsia"/>
                <w:sz w:val="21"/>
              </w:rPr>
            </w:pPr>
            <w:r>
              <w:rPr>
                <w:sz w:val="21"/>
                <w:lang w:bidi="ar"/>
              </w:rPr>
              <w:t>4</w:t>
            </w:r>
          </w:p>
        </w:tc>
        <w:tc>
          <w:tcPr>
            <w:tcW w:w="3402" w:type="dxa"/>
            <w:tcMar>
              <w:left w:w="0" w:type="dxa"/>
              <w:right w:w="0" w:type="dxa"/>
            </w:tcMar>
            <w:vAlign w:val="center"/>
          </w:tcPr>
          <w:p w14:paraId="12E56697">
            <w:pPr>
              <w:pStyle w:val="286"/>
              <w:adjustRightInd w:val="0"/>
              <w:snapToGrid w:val="0"/>
              <w:spacing w:line="300" w:lineRule="exact"/>
              <w:rPr>
                <w:rFonts w:hint="eastAsia" w:cs="宋体"/>
                <w:bCs/>
                <w:iCs/>
                <w:sz w:val="21"/>
              </w:rPr>
            </w:pPr>
            <w:r>
              <w:rPr>
                <w:rFonts w:hint="eastAsia" w:cs="宋体"/>
                <w:bCs/>
                <w:iCs/>
                <w:sz w:val="21"/>
              </w:rPr>
              <w:t>石油、天然气开发单位应当定期对油气输送管线和油气储存设施进行巡查、检测、防护，防止油气管线或者油气储存设施断裂、穿孔，发生渗透、溢流、泄漏，造成环境污染</w:t>
            </w:r>
          </w:p>
        </w:tc>
        <w:tc>
          <w:tcPr>
            <w:tcW w:w="3969" w:type="dxa"/>
            <w:tcMar>
              <w:left w:w="0" w:type="dxa"/>
              <w:right w:w="0" w:type="dxa"/>
            </w:tcMar>
            <w:vAlign w:val="center"/>
          </w:tcPr>
          <w:p w14:paraId="059D77D7">
            <w:pPr>
              <w:pStyle w:val="286"/>
              <w:adjustRightInd w:val="0"/>
              <w:snapToGrid w:val="0"/>
              <w:spacing w:line="300" w:lineRule="exact"/>
              <w:rPr>
                <w:rFonts w:hint="eastAsia"/>
                <w:sz w:val="21"/>
                <w:lang w:bidi="ar"/>
              </w:rPr>
            </w:pPr>
            <w:r>
              <w:rPr>
                <w:sz w:val="21"/>
                <w:lang w:bidi="ar"/>
              </w:rPr>
              <w:t>定期对</w:t>
            </w:r>
            <w:r>
              <w:rPr>
                <w:rFonts w:hint="eastAsia"/>
                <w:sz w:val="21"/>
                <w:lang w:bidi="ar"/>
              </w:rPr>
              <w:t>井场和计量站内的设备、阀门、法兰、管线</w:t>
            </w:r>
            <w:r>
              <w:rPr>
                <w:sz w:val="21"/>
                <w:lang w:bidi="ar"/>
              </w:rPr>
              <w:t>进行检查检修</w:t>
            </w:r>
            <w:r>
              <w:rPr>
                <w:rFonts w:hint="eastAsia"/>
                <w:sz w:val="21"/>
                <w:lang w:bidi="ar"/>
              </w:rPr>
              <w:t>；选用质量可靠的设备、仪表、阀门和管线等。</w:t>
            </w:r>
          </w:p>
        </w:tc>
        <w:tc>
          <w:tcPr>
            <w:tcW w:w="792" w:type="dxa"/>
            <w:tcMar>
              <w:left w:w="0" w:type="dxa"/>
              <w:right w:w="0" w:type="dxa"/>
            </w:tcMar>
            <w:vAlign w:val="center"/>
          </w:tcPr>
          <w:p w14:paraId="050B2370">
            <w:pPr>
              <w:pStyle w:val="286"/>
              <w:adjustRightInd w:val="0"/>
              <w:snapToGrid w:val="0"/>
              <w:spacing w:line="300" w:lineRule="exact"/>
              <w:rPr>
                <w:rFonts w:hint="eastAsia"/>
                <w:sz w:val="21"/>
                <w:lang w:bidi="ar"/>
              </w:rPr>
            </w:pPr>
            <w:r>
              <w:rPr>
                <w:rFonts w:hint="eastAsia"/>
                <w:sz w:val="21"/>
                <w:lang w:bidi="ar"/>
              </w:rPr>
              <w:t>符合</w:t>
            </w:r>
          </w:p>
        </w:tc>
      </w:tr>
      <w:tr w14:paraId="4F4456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1AF7975">
            <w:pPr>
              <w:pStyle w:val="286"/>
              <w:adjustRightInd w:val="0"/>
              <w:snapToGrid w:val="0"/>
              <w:spacing w:line="300" w:lineRule="exact"/>
              <w:rPr>
                <w:rFonts w:hint="eastAsia"/>
                <w:sz w:val="21"/>
                <w:lang w:bidi="ar"/>
              </w:rPr>
            </w:pPr>
            <w:r>
              <w:rPr>
                <w:rFonts w:hint="eastAsia"/>
                <w:sz w:val="21"/>
                <w:lang w:bidi="ar"/>
              </w:rPr>
              <w:t>5</w:t>
            </w:r>
          </w:p>
        </w:tc>
        <w:tc>
          <w:tcPr>
            <w:tcW w:w="3402" w:type="dxa"/>
            <w:tcMar>
              <w:left w:w="0" w:type="dxa"/>
              <w:right w:w="0" w:type="dxa"/>
            </w:tcMar>
            <w:vAlign w:val="center"/>
          </w:tcPr>
          <w:p w14:paraId="63D33BFE">
            <w:pPr>
              <w:pStyle w:val="286"/>
              <w:adjustRightInd w:val="0"/>
              <w:snapToGrid w:val="0"/>
              <w:spacing w:line="300" w:lineRule="exact"/>
              <w:rPr>
                <w:rFonts w:hint="eastAsia" w:cs="宋体"/>
                <w:bCs/>
                <w:iCs/>
                <w:sz w:val="21"/>
              </w:rPr>
            </w:pPr>
            <w:r>
              <w:rPr>
                <w:rFonts w:hint="eastAsia" w:cs="宋体"/>
                <w:bCs/>
                <w:iCs/>
                <w:sz w:val="21"/>
              </w:rPr>
              <w:t>石油、天然气开发单位应当采取保护性措施，防止油井套管破损、气井泄漏，污染地下水体；运输石油、天然气以及酸液、碱液、钻井液和其他有毒有害物品，应当采取防范措施，防止渗漏、泄漏、溢流和散落</w:t>
            </w:r>
          </w:p>
        </w:tc>
        <w:tc>
          <w:tcPr>
            <w:tcW w:w="3969" w:type="dxa"/>
            <w:tcMar>
              <w:left w:w="0" w:type="dxa"/>
              <w:right w:w="0" w:type="dxa"/>
            </w:tcMar>
            <w:vAlign w:val="center"/>
          </w:tcPr>
          <w:p w14:paraId="39B16BD8">
            <w:pPr>
              <w:pStyle w:val="286"/>
              <w:adjustRightInd w:val="0"/>
              <w:snapToGrid w:val="0"/>
              <w:spacing w:line="300" w:lineRule="exact"/>
              <w:rPr>
                <w:rFonts w:hint="eastAsia"/>
                <w:sz w:val="21"/>
                <w:lang w:bidi="ar"/>
              </w:rPr>
            </w:pPr>
            <w:r>
              <w:rPr>
                <w:rFonts w:hint="eastAsia"/>
                <w:sz w:val="21"/>
                <w:lang w:bidi="ar"/>
              </w:rPr>
              <w:t>选用质量可靠的设备、仪表、阀门等；定期对站场内的设备、阀门、法兰、管线等进行检查、检修。</w:t>
            </w:r>
          </w:p>
        </w:tc>
        <w:tc>
          <w:tcPr>
            <w:tcW w:w="792" w:type="dxa"/>
            <w:tcMar>
              <w:left w:w="0" w:type="dxa"/>
              <w:right w:w="0" w:type="dxa"/>
            </w:tcMar>
            <w:vAlign w:val="center"/>
          </w:tcPr>
          <w:p w14:paraId="66831EE0">
            <w:pPr>
              <w:pStyle w:val="286"/>
              <w:adjustRightInd w:val="0"/>
              <w:snapToGrid w:val="0"/>
              <w:spacing w:line="300" w:lineRule="exact"/>
              <w:rPr>
                <w:rFonts w:hint="eastAsia"/>
                <w:sz w:val="21"/>
                <w:lang w:bidi="ar"/>
              </w:rPr>
            </w:pPr>
            <w:r>
              <w:rPr>
                <w:rFonts w:hint="eastAsia"/>
                <w:sz w:val="21"/>
                <w:lang w:bidi="ar"/>
              </w:rPr>
              <w:t>符合</w:t>
            </w:r>
          </w:p>
        </w:tc>
      </w:tr>
      <w:tr w14:paraId="50CB4E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0BAFF3DD">
            <w:pPr>
              <w:pStyle w:val="286"/>
              <w:adjustRightInd w:val="0"/>
              <w:snapToGrid w:val="0"/>
              <w:spacing w:line="300" w:lineRule="exact"/>
              <w:rPr>
                <w:rFonts w:hint="eastAsia"/>
                <w:sz w:val="21"/>
                <w:lang w:bidi="ar"/>
              </w:rPr>
            </w:pPr>
            <w:r>
              <w:rPr>
                <w:rFonts w:hint="eastAsia"/>
                <w:sz w:val="21"/>
                <w:lang w:bidi="ar"/>
              </w:rPr>
              <w:t>6</w:t>
            </w:r>
          </w:p>
        </w:tc>
        <w:tc>
          <w:tcPr>
            <w:tcW w:w="3402" w:type="dxa"/>
            <w:tcMar>
              <w:left w:w="0" w:type="dxa"/>
              <w:right w:w="0" w:type="dxa"/>
            </w:tcMar>
            <w:vAlign w:val="center"/>
          </w:tcPr>
          <w:p w14:paraId="782B0C9F">
            <w:pPr>
              <w:pStyle w:val="286"/>
              <w:adjustRightInd w:val="0"/>
              <w:snapToGrid w:val="0"/>
              <w:spacing w:line="300" w:lineRule="exact"/>
              <w:rPr>
                <w:rFonts w:hint="eastAsia"/>
                <w:sz w:val="21"/>
                <w:lang w:bidi="ar"/>
              </w:rPr>
            </w:pPr>
            <w:r>
              <w:rPr>
                <w:rFonts w:hint="eastAsia"/>
                <w:sz w:val="21"/>
                <w:lang w:bidi="ar"/>
              </w:rPr>
              <w:t>煤炭、石油、天然气开发单位应当加强危险废物的管理。危险废物的收集、贮存、运输、处置，必须符合国家和自治区有关规定；不具备处置、利用条件的，应当送交有资质的单位处置</w:t>
            </w:r>
          </w:p>
        </w:tc>
        <w:tc>
          <w:tcPr>
            <w:tcW w:w="3969" w:type="dxa"/>
            <w:tcMar>
              <w:left w:w="0" w:type="dxa"/>
              <w:right w:w="0" w:type="dxa"/>
            </w:tcMar>
            <w:vAlign w:val="center"/>
          </w:tcPr>
          <w:p w14:paraId="26901777">
            <w:pPr>
              <w:pStyle w:val="286"/>
              <w:adjustRightInd w:val="0"/>
              <w:snapToGrid w:val="0"/>
              <w:spacing w:line="300" w:lineRule="exact"/>
              <w:jc w:val="both"/>
              <w:rPr>
                <w:rFonts w:hint="eastAsia"/>
                <w:sz w:val="21"/>
                <w:lang w:bidi="ar"/>
              </w:rPr>
            </w:pPr>
            <w:r>
              <w:rPr>
                <w:rFonts w:hint="eastAsia"/>
                <w:sz w:val="21"/>
                <w:lang w:bidi="ar"/>
              </w:rPr>
              <w:t>清罐底泥、废润滑油、废润滑油桶、沾油废防渗材料和废含油抹布、劳保用品集中收集后交由有相应资质的单位处置，其贮存期限应符合《中华人民共和国固体废物污染环境防治法》。运输过程中应执行《危险废物收集、贮存、运输技术规范》（</w:t>
            </w:r>
            <w:r>
              <w:rPr>
                <w:sz w:val="21"/>
                <w:lang w:bidi="ar"/>
              </w:rPr>
              <w:t>HJ2025-2012）和《危险废物转移管理办法》要求中有关运输的规定，运输过程中运输车辆应加盖篷布，以免散落，应按规定的行驶路线运输</w:t>
            </w:r>
            <w:r>
              <w:rPr>
                <w:rFonts w:hint="eastAsia"/>
                <w:sz w:val="21"/>
                <w:lang w:bidi="ar"/>
              </w:rPr>
              <w:t>。</w:t>
            </w:r>
          </w:p>
        </w:tc>
        <w:tc>
          <w:tcPr>
            <w:tcW w:w="792" w:type="dxa"/>
            <w:tcMar>
              <w:left w:w="0" w:type="dxa"/>
              <w:right w:w="0" w:type="dxa"/>
            </w:tcMar>
            <w:vAlign w:val="center"/>
          </w:tcPr>
          <w:p w14:paraId="00E0F2B2">
            <w:pPr>
              <w:pStyle w:val="286"/>
              <w:adjustRightInd w:val="0"/>
              <w:snapToGrid w:val="0"/>
              <w:spacing w:line="300" w:lineRule="exact"/>
              <w:rPr>
                <w:rFonts w:hint="eastAsia"/>
                <w:sz w:val="21"/>
                <w:lang w:bidi="ar"/>
              </w:rPr>
            </w:pPr>
            <w:r>
              <w:rPr>
                <w:rFonts w:hint="eastAsia"/>
                <w:sz w:val="21"/>
                <w:lang w:bidi="ar"/>
              </w:rPr>
              <w:t>符合</w:t>
            </w:r>
          </w:p>
        </w:tc>
      </w:tr>
      <w:tr w14:paraId="24A762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291B11F">
            <w:pPr>
              <w:pStyle w:val="286"/>
              <w:adjustRightInd w:val="0"/>
              <w:snapToGrid w:val="0"/>
              <w:spacing w:line="300" w:lineRule="exact"/>
              <w:rPr>
                <w:rFonts w:hint="eastAsia"/>
                <w:sz w:val="21"/>
                <w:lang w:bidi="ar"/>
              </w:rPr>
            </w:pPr>
            <w:r>
              <w:rPr>
                <w:rFonts w:hint="eastAsia"/>
                <w:sz w:val="21"/>
                <w:lang w:bidi="ar"/>
              </w:rPr>
              <w:t>7</w:t>
            </w:r>
          </w:p>
        </w:tc>
        <w:tc>
          <w:tcPr>
            <w:tcW w:w="3402" w:type="dxa"/>
            <w:tcMar>
              <w:left w:w="0" w:type="dxa"/>
              <w:right w:w="0" w:type="dxa"/>
            </w:tcMar>
            <w:vAlign w:val="center"/>
          </w:tcPr>
          <w:p w14:paraId="4A44CA27">
            <w:pPr>
              <w:pStyle w:val="286"/>
              <w:adjustRightInd w:val="0"/>
              <w:snapToGrid w:val="0"/>
              <w:spacing w:line="300" w:lineRule="exact"/>
              <w:rPr>
                <w:rFonts w:hint="eastAsia" w:cs="宋体"/>
                <w:bCs/>
                <w:iCs/>
                <w:sz w:val="21"/>
              </w:rPr>
            </w:pPr>
            <w:r>
              <w:rPr>
                <w:rFonts w:hint="eastAsia" w:cs="宋体"/>
                <w:bCs/>
                <w:iCs/>
                <w:sz w:val="21"/>
              </w:rPr>
              <w:t>煤炭、石油、天然气开发过程中产生的伴生气、有毒有害气体或者可燃性气体应当进行回收利用；不具备回收利用条件的，应当经过充分燃烧或者采取其他防治措施，达到国家或者自治区规定的排放标准后排放</w:t>
            </w:r>
          </w:p>
        </w:tc>
        <w:tc>
          <w:tcPr>
            <w:tcW w:w="3969" w:type="dxa"/>
            <w:tcMar>
              <w:left w:w="0" w:type="dxa"/>
              <w:right w:w="0" w:type="dxa"/>
            </w:tcMar>
            <w:vAlign w:val="center"/>
          </w:tcPr>
          <w:p w14:paraId="4C0C167B">
            <w:pPr>
              <w:pStyle w:val="286"/>
              <w:adjustRightInd w:val="0"/>
              <w:snapToGrid w:val="0"/>
              <w:spacing w:line="300" w:lineRule="exact"/>
              <w:rPr>
                <w:rFonts w:hint="eastAsia"/>
                <w:sz w:val="21"/>
                <w:lang w:bidi="ar"/>
              </w:rPr>
            </w:pPr>
            <w:r>
              <w:rPr>
                <w:rFonts w:hint="eastAsia"/>
                <w:sz w:val="21"/>
                <w:lang w:bidi="ar"/>
              </w:rPr>
              <w:t>整体项目实施后伴生气通过单井采油管线、集油干支线管输至页岩油联合站伴生气处理装置处理，回收利用率达到99%以上。</w:t>
            </w:r>
          </w:p>
        </w:tc>
        <w:tc>
          <w:tcPr>
            <w:tcW w:w="792" w:type="dxa"/>
            <w:tcMar>
              <w:left w:w="0" w:type="dxa"/>
              <w:right w:w="0" w:type="dxa"/>
            </w:tcMar>
            <w:vAlign w:val="center"/>
          </w:tcPr>
          <w:p w14:paraId="06C73E22">
            <w:pPr>
              <w:pStyle w:val="286"/>
              <w:adjustRightInd w:val="0"/>
              <w:snapToGrid w:val="0"/>
              <w:spacing w:line="300" w:lineRule="exact"/>
              <w:rPr>
                <w:rFonts w:hint="eastAsia"/>
                <w:sz w:val="21"/>
                <w:lang w:bidi="ar"/>
              </w:rPr>
            </w:pPr>
            <w:r>
              <w:rPr>
                <w:rFonts w:hint="eastAsia"/>
                <w:sz w:val="21"/>
                <w:lang w:bidi="ar"/>
              </w:rPr>
              <w:t>符合</w:t>
            </w:r>
          </w:p>
        </w:tc>
      </w:tr>
      <w:tr w14:paraId="511FB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44878655">
            <w:pPr>
              <w:pStyle w:val="286"/>
              <w:adjustRightInd w:val="0"/>
              <w:snapToGrid w:val="0"/>
              <w:spacing w:line="300" w:lineRule="exact"/>
              <w:rPr>
                <w:rFonts w:hint="eastAsia"/>
                <w:sz w:val="21"/>
              </w:rPr>
            </w:pPr>
            <w:r>
              <w:rPr>
                <w:rFonts w:hint="eastAsia"/>
                <w:sz w:val="21"/>
              </w:rPr>
              <w:t>9</w:t>
            </w:r>
          </w:p>
        </w:tc>
        <w:tc>
          <w:tcPr>
            <w:tcW w:w="3402" w:type="dxa"/>
            <w:tcMar>
              <w:left w:w="0" w:type="dxa"/>
              <w:right w:w="0" w:type="dxa"/>
            </w:tcMar>
            <w:vAlign w:val="center"/>
          </w:tcPr>
          <w:p w14:paraId="1E393583">
            <w:pPr>
              <w:pStyle w:val="286"/>
              <w:adjustRightInd w:val="0"/>
              <w:snapToGrid w:val="0"/>
              <w:spacing w:line="300" w:lineRule="exact"/>
              <w:rPr>
                <w:rFonts w:hint="eastAsia"/>
                <w:sz w:val="21"/>
              </w:rPr>
            </w:pPr>
            <w:r>
              <w:rPr>
                <w:rFonts w:hint="eastAsia"/>
                <w:sz w:val="21"/>
              </w:rPr>
              <w:t>煤炭、石油、天然气开发单位实施下列活动的，应当恢复地表形态和植被：（1）建设工程临时占地破坏腐殖质层、剥离土石的；（2）震裂、压占等造成土地破坏的；（3）占用土地作为临时道路的；（4）油气井、站、中转站、联合站等地面装置设施关闭或者废弃的</w:t>
            </w:r>
          </w:p>
        </w:tc>
        <w:tc>
          <w:tcPr>
            <w:tcW w:w="3969" w:type="dxa"/>
            <w:tcMar>
              <w:left w:w="0" w:type="dxa"/>
              <w:right w:w="0" w:type="dxa"/>
            </w:tcMar>
            <w:vAlign w:val="center"/>
          </w:tcPr>
          <w:p w14:paraId="13C692C6">
            <w:pPr>
              <w:pStyle w:val="286"/>
              <w:adjustRightInd w:val="0"/>
              <w:snapToGrid w:val="0"/>
              <w:spacing w:line="300" w:lineRule="exact"/>
              <w:rPr>
                <w:rFonts w:hint="eastAsia"/>
                <w:sz w:val="21"/>
                <w:lang w:bidi="ar"/>
              </w:rPr>
            </w:pPr>
            <w:r>
              <w:rPr>
                <w:rFonts w:hint="eastAsia"/>
                <w:sz w:val="21"/>
                <w:lang w:bidi="ar"/>
              </w:rPr>
              <w:t>对临时占地进行场地平整清理，井区植被盖度较低，由于特殊的气候条件，不适宜采取植被复垦的生态保护措施，采用自然恢复。井场、计量治安处采用砾石铺垫或地面硬化，退役期井场、计量站内的砾石铺垫或地面硬化设施被清理，平整后依靠自然恢复。</w:t>
            </w:r>
          </w:p>
        </w:tc>
        <w:tc>
          <w:tcPr>
            <w:tcW w:w="792" w:type="dxa"/>
            <w:tcMar>
              <w:left w:w="0" w:type="dxa"/>
              <w:right w:w="0" w:type="dxa"/>
            </w:tcMar>
            <w:vAlign w:val="center"/>
          </w:tcPr>
          <w:p w14:paraId="43F9618A">
            <w:pPr>
              <w:pStyle w:val="286"/>
              <w:adjustRightInd w:val="0"/>
              <w:snapToGrid w:val="0"/>
              <w:spacing w:line="300" w:lineRule="exact"/>
              <w:rPr>
                <w:rFonts w:hint="eastAsia"/>
                <w:sz w:val="21"/>
                <w:lang w:bidi="ar"/>
              </w:rPr>
            </w:pPr>
            <w:r>
              <w:rPr>
                <w:rFonts w:hint="eastAsia"/>
                <w:sz w:val="21"/>
                <w:lang w:bidi="ar"/>
              </w:rPr>
              <w:t>符合</w:t>
            </w:r>
          </w:p>
        </w:tc>
      </w:tr>
      <w:tr w14:paraId="540BD1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4930A903">
            <w:pPr>
              <w:pStyle w:val="286"/>
              <w:adjustRightInd w:val="0"/>
              <w:snapToGrid w:val="0"/>
              <w:spacing w:line="300" w:lineRule="exact"/>
              <w:rPr>
                <w:rFonts w:hint="eastAsia"/>
                <w:sz w:val="21"/>
                <w:lang w:bidi="ar"/>
              </w:rPr>
            </w:pPr>
            <w:r>
              <w:rPr>
                <w:rFonts w:hint="eastAsia"/>
                <w:sz w:val="21"/>
                <w:lang w:bidi="ar"/>
              </w:rPr>
              <w:t>1</w:t>
            </w:r>
            <w:r>
              <w:rPr>
                <w:sz w:val="21"/>
                <w:lang w:bidi="ar"/>
              </w:rPr>
              <w:t>0</w:t>
            </w:r>
          </w:p>
        </w:tc>
        <w:tc>
          <w:tcPr>
            <w:tcW w:w="3402" w:type="dxa"/>
            <w:tcMar>
              <w:left w:w="0" w:type="dxa"/>
              <w:right w:w="0" w:type="dxa"/>
            </w:tcMar>
            <w:vAlign w:val="center"/>
          </w:tcPr>
          <w:p w14:paraId="6AD0A557">
            <w:pPr>
              <w:pStyle w:val="286"/>
              <w:adjustRightInd w:val="0"/>
              <w:snapToGrid w:val="0"/>
              <w:spacing w:line="300" w:lineRule="exact"/>
              <w:rPr>
                <w:rFonts w:hint="eastAsia" w:cs="宋体"/>
                <w:bCs/>
                <w:iCs/>
                <w:sz w:val="21"/>
              </w:rPr>
            </w:pPr>
            <w:r>
              <w:rPr>
                <w:rFonts w:hint="eastAsia" w:cs="宋体"/>
                <w:bCs/>
                <w:iCs/>
                <w:sz w:val="21"/>
              </w:rPr>
              <w:t>煤炭、石油、天然气开发单位应当制定突发环境事件应急预案，报环境保护主管部门和有关部门备案。发生突发环境事件的，应当立即启动应急预案，采取应急措施，防止环境污染</w:t>
            </w:r>
          </w:p>
          <w:p w14:paraId="6163DEDC">
            <w:pPr>
              <w:pStyle w:val="286"/>
              <w:adjustRightInd w:val="0"/>
              <w:snapToGrid w:val="0"/>
              <w:spacing w:line="300" w:lineRule="exact"/>
              <w:rPr>
                <w:rFonts w:hint="eastAsia" w:cs="宋体"/>
                <w:bCs/>
                <w:iCs/>
                <w:sz w:val="21"/>
              </w:rPr>
            </w:pPr>
            <w:r>
              <w:rPr>
                <w:rFonts w:hint="eastAsia" w:cs="宋体"/>
                <w:bCs/>
                <w:iCs/>
                <w:sz w:val="21"/>
              </w:rPr>
              <w:t>事故发生</w:t>
            </w:r>
          </w:p>
        </w:tc>
        <w:tc>
          <w:tcPr>
            <w:tcW w:w="3969" w:type="dxa"/>
            <w:tcMar>
              <w:left w:w="0" w:type="dxa"/>
              <w:right w:w="0" w:type="dxa"/>
            </w:tcMar>
            <w:vAlign w:val="center"/>
          </w:tcPr>
          <w:p w14:paraId="4F697942">
            <w:pPr>
              <w:pStyle w:val="286"/>
              <w:adjustRightInd w:val="0"/>
              <w:snapToGrid w:val="0"/>
              <w:spacing w:line="300" w:lineRule="exact"/>
              <w:rPr>
                <w:rFonts w:hint="eastAsia"/>
                <w:sz w:val="21"/>
                <w:lang w:bidi="ar"/>
              </w:rPr>
            </w:pPr>
            <w:r>
              <w:rPr>
                <w:rFonts w:hint="eastAsia"/>
                <w:sz w:val="21"/>
                <w:lang w:bidi="ar"/>
              </w:rPr>
              <w:t>实施区域纳入吉庆油田作业区现有应急管理体系，本工程建成后，吉庆油田作业区应对其应急预案进行修编，将本工程纳入其应急预案</w:t>
            </w:r>
            <w:r>
              <w:rPr>
                <w:rFonts w:hint="eastAsia"/>
              </w:rPr>
              <w:t>。</w:t>
            </w:r>
          </w:p>
        </w:tc>
        <w:tc>
          <w:tcPr>
            <w:tcW w:w="792" w:type="dxa"/>
            <w:tcMar>
              <w:left w:w="0" w:type="dxa"/>
              <w:right w:w="0" w:type="dxa"/>
            </w:tcMar>
            <w:vAlign w:val="center"/>
          </w:tcPr>
          <w:p w14:paraId="1C5DC2ED">
            <w:pPr>
              <w:pStyle w:val="286"/>
              <w:adjustRightInd w:val="0"/>
              <w:snapToGrid w:val="0"/>
              <w:spacing w:line="300" w:lineRule="exact"/>
              <w:rPr>
                <w:rFonts w:hint="eastAsia"/>
                <w:sz w:val="21"/>
                <w:lang w:bidi="ar"/>
              </w:rPr>
            </w:pPr>
            <w:r>
              <w:rPr>
                <w:rFonts w:hint="eastAsia"/>
                <w:sz w:val="21"/>
                <w:lang w:bidi="ar"/>
              </w:rPr>
              <w:t>符合</w:t>
            </w:r>
          </w:p>
        </w:tc>
      </w:tr>
    </w:tbl>
    <w:p w14:paraId="1B04C34B">
      <w:pPr>
        <w:pStyle w:val="117"/>
        <w:ind w:firstLine="480"/>
        <w:rPr>
          <w:rFonts w:hint="eastAsia"/>
        </w:rPr>
      </w:pPr>
      <w:bookmarkStart w:id="157" w:name="_Hlk80612761"/>
      <w:r>
        <w:rPr>
          <w:rFonts w:hint="eastAsia"/>
        </w:rPr>
        <w:t>（5）与《新疆维吾尔自治区重点行业生态环境准入条件（2024年）》符合性分析</w:t>
      </w:r>
    </w:p>
    <w:p w14:paraId="20C4DFB3">
      <w:pPr>
        <w:pStyle w:val="117"/>
        <w:ind w:firstLine="480"/>
        <w:rPr>
          <w:rFonts w:hint="eastAsia"/>
        </w:rPr>
      </w:pPr>
      <w:r>
        <w:rPr>
          <w:rFonts w:hint="eastAsia"/>
        </w:rPr>
        <w:t>项目建设符合《新疆维吾尔自治区重点行业生态环境准入条件（2024年）》中的相关要求，详见表2.9-7。</w:t>
      </w:r>
    </w:p>
    <w:p w14:paraId="3BC6AC7F">
      <w:pPr>
        <w:pStyle w:val="117"/>
        <w:ind w:firstLine="0" w:firstLineChars="0"/>
        <w:jc w:val="center"/>
        <w:rPr>
          <w:rFonts w:hint="eastAsia" w:ascii="黑体" w:hAnsi="黑体" w:eastAsia="黑体" w:cs="宋体"/>
          <w:sz w:val="21"/>
          <w:szCs w:val="21"/>
        </w:rPr>
      </w:pPr>
      <w:r>
        <w:rPr>
          <w:rFonts w:hint="eastAsia" w:ascii="黑体" w:hAnsi="黑体" w:eastAsia="黑体" w:cs="宋体"/>
          <w:sz w:val="21"/>
          <w:szCs w:val="21"/>
        </w:rPr>
        <w:t>表2</w:t>
      </w:r>
      <w:r>
        <w:rPr>
          <w:rFonts w:ascii="黑体" w:hAnsi="黑体" w:eastAsia="黑体" w:cs="宋体"/>
          <w:sz w:val="21"/>
          <w:szCs w:val="21"/>
        </w:rPr>
        <w:t>.9</w:t>
      </w:r>
      <w:r>
        <w:rPr>
          <w:rFonts w:hint="eastAsia" w:ascii="黑体" w:hAnsi="黑体" w:eastAsia="黑体" w:cs="宋体"/>
          <w:sz w:val="21"/>
          <w:szCs w:val="21"/>
        </w:rPr>
        <w:t xml:space="preserve">-7 </w:t>
      </w:r>
      <w:r>
        <w:rPr>
          <w:rFonts w:ascii="黑体" w:hAnsi="黑体" w:eastAsia="黑体" w:cs="宋体"/>
          <w:sz w:val="21"/>
          <w:szCs w:val="21"/>
        </w:rPr>
        <w:t xml:space="preserve"> </w:t>
      </w:r>
      <w:r>
        <w:rPr>
          <w:rFonts w:hint="eastAsia" w:ascii="黑体" w:hAnsi="黑体" w:eastAsia="黑体" w:cs="宋体"/>
          <w:sz w:val="21"/>
          <w:szCs w:val="21"/>
        </w:rPr>
        <w:t>项目与《新疆维吾尔自治区重点行业生态环境准入条件（2024年）》符合性分析</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7"/>
        <w:gridCol w:w="538"/>
        <w:gridCol w:w="4140"/>
        <w:gridCol w:w="2693"/>
        <w:gridCol w:w="792"/>
      </w:tblGrid>
      <w:tr w14:paraId="4A5E0A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567" w:type="dxa"/>
            <w:tcMar>
              <w:left w:w="0" w:type="dxa"/>
              <w:right w:w="0" w:type="dxa"/>
            </w:tcMar>
            <w:vAlign w:val="center"/>
          </w:tcPr>
          <w:p w14:paraId="4FD44F24">
            <w:pPr>
              <w:pStyle w:val="286"/>
              <w:adjustRightInd w:val="0"/>
              <w:snapToGrid w:val="0"/>
              <w:spacing w:line="300" w:lineRule="exact"/>
              <w:rPr>
                <w:rFonts w:hint="eastAsia"/>
                <w:sz w:val="21"/>
              </w:rPr>
            </w:pPr>
            <w:r>
              <w:rPr>
                <w:rFonts w:hint="eastAsia"/>
                <w:sz w:val="21"/>
                <w:lang w:bidi="ar"/>
              </w:rPr>
              <w:t>序号</w:t>
            </w:r>
          </w:p>
        </w:tc>
        <w:tc>
          <w:tcPr>
            <w:tcW w:w="4678" w:type="dxa"/>
            <w:gridSpan w:val="2"/>
            <w:tcMar>
              <w:left w:w="0" w:type="dxa"/>
              <w:right w:w="0" w:type="dxa"/>
            </w:tcMar>
            <w:vAlign w:val="center"/>
          </w:tcPr>
          <w:p w14:paraId="1EECEB1A">
            <w:pPr>
              <w:pStyle w:val="286"/>
              <w:adjustRightInd w:val="0"/>
              <w:snapToGrid w:val="0"/>
              <w:spacing w:line="300" w:lineRule="exact"/>
              <w:rPr>
                <w:rFonts w:hint="eastAsia"/>
                <w:sz w:val="21"/>
              </w:rPr>
            </w:pPr>
            <w:r>
              <w:rPr>
                <w:rFonts w:hint="eastAsia"/>
                <w:sz w:val="21"/>
                <w:lang w:bidi="ar"/>
              </w:rPr>
              <w:t>条件规定</w:t>
            </w:r>
          </w:p>
        </w:tc>
        <w:tc>
          <w:tcPr>
            <w:tcW w:w="2693" w:type="dxa"/>
            <w:tcMar>
              <w:left w:w="0" w:type="dxa"/>
              <w:right w:w="0" w:type="dxa"/>
            </w:tcMar>
            <w:vAlign w:val="center"/>
          </w:tcPr>
          <w:p w14:paraId="020401D1">
            <w:pPr>
              <w:pStyle w:val="286"/>
              <w:adjustRightInd w:val="0"/>
              <w:snapToGrid w:val="0"/>
              <w:spacing w:line="300" w:lineRule="exact"/>
              <w:rPr>
                <w:rFonts w:hint="eastAsia"/>
                <w:sz w:val="21"/>
              </w:rPr>
            </w:pPr>
            <w:r>
              <w:rPr>
                <w:rFonts w:hint="eastAsia"/>
                <w:sz w:val="21"/>
                <w:lang w:bidi="ar"/>
              </w:rPr>
              <w:t>拟采取的相关措施</w:t>
            </w:r>
          </w:p>
        </w:tc>
        <w:tc>
          <w:tcPr>
            <w:tcW w:w="792" w:type="dxa"/>
            <w:tcMar>
              <w:left w:w="0" w:type="dxa"/>
              <w:right w:w="0" w:type="dxa"/>
            </w:tcMar>
            <w:vAlign w:val="center"/>
          </w:tcPr>
          <w:p w14:paraId="6EC65955">
            <w:pPr>
              <w:pStyle w:val="286"/>
              <w:adjustRightInd w:val="0"/>
              <w:snapToGrid w:val="0"/>
              <w:spacing w:line="300" w:lineRule="exact"/>
              <w:rPr>
                <w:rFonts w:hint="eastAsia"/>
                <w:sz w:val="21"/>
              </w:rPr>
            </w:pPr>
            <w:r>
              <w:rPr>
                <w:rFonts w:hint="eastAsia"/>
                <w:sz w:val="21"/>
                <w:lang w:bidi="ar"/>
              </w:rPr>
              <w:t>符合性分析</w:t>
            </w:r>
          </w:p>
        </w:tc>
      </w:tr>
      <w:tr w14:paraId="334D89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14CEE4FB">
            <w:pPr>
              <w:pStyle w:val="286"/>
              <w:adjustRightInd w:val="0"/>
              <w:snapToGrid w:val="0"/>
              <w:spacing w:line="300" w:lineRule="exact"/>
              <w:rPr>
                <w:rFonts w:hint="eastAsia"/>
                <w:sz w:val="21"/>
                <w:lang w:bidi="ar"/>
              </w:rPr>
            </w:pPr>
            <w:r>
              <w:rPr>
                <w:sz w:val="21"/>
                <w:lang w:bidi="ar"/>
              </w:rPr>
              <w:t>1</w:t>
            </w:r>
          </w:p>
        </w:tc>
        <w:tc>
          <w:tcPr>
            <w:tcW w:w="538" w:type="dxa"/>
            <w:tcMar>
              <w:left w:w="0" w:type="dxa"/>
              <w:right w:w="0" w:type="dxa"/>
            </w:tcMar>
            <w:vAlign w:val="center"/>
          </w:tcPr>
          <w:p w14:paraId="60332F5F">
            <w:pPr>
              <w:pStyle w:val="286"/>
              <w:adjustRightInd w:val="0"/>
              <w:snapToGrid w:val="0"/>
              <w:spacing w:line="300" w:lineRule="exact"/>
              <w:rPr>
                <w:rFonts w:hint="eastAsia"/>
                <w:sz w:val="21"/>
              </w:rPr>
            </w:pPr>
            <w:r>
              <w:rPr>
                <w:rFonts w:hint="eastAsia"/>
                <w:sz w:val="21"/>
              </w:rPr>
              <w:t>选址与空间布局</w:t>
            </w:r>
          </w:p>
        </w:tc>
        <w:tc>
          <w:tcPr>
            <w:tcW w:w="4140" w:type="dxa"/>
            <w:vAlign w:val="center"/>
          </w:tcPr>
          <w:p w14:paraId="26AD4693">
            <w:pPr>
              <w:pStyle w:val="286"/>
              <w:adjustRightInd w:val="0"/>
              <w:snapToGrid w:val="0"/>
              <w:spacing w:line="300" w:lineRule="exact"/>
              <w:rPr>
                <w:rFonts w:hint="eastAsia"/>
                <w:sz w:val="21"/>
              </w:rPr>
            </w:pPr>
            <w:r>
              <w:rPr>
                <w:rFonts w:hint="eastAsia"/>
                <w:sz w:val="21"/>
              </w:rPr>
              <w:t>1.石油、天然气开发项目的选址与布局应符合自治区或油气企业相关油气开发专项规划及规划环评要求,原则上应当以区块为单位开展环境影响评价工作。</w:t>
            </w:r>
          </w:p>
        </w:tc>
        <w:tc>
          <w:tcPr>
            <w:tcW w:w="2693" w:type="dxa"/>
            <w:tcMar>
              <w:left w:w="0" w:type="dxa"/>
              <w:right w:w="0" w:type="dxa"/>
            </w:tcMar>
            <w:vAlign w:val="center"/>
          </w:tcPr>
          <w:p w14:paraId="607940EE">
            <w:pPr>
              <w:pStyle w:val="286"/>
              <w:adjustRightInd w:val="0"/>
              <w:snapToGrid w:val="0"/>
              <w:spacing w:line="300" w:lineRule="exact"/>
              <w:rPr>
                <w:rFonts w:hint="eastAsia"/>
                <w:sz w:val="21"/>
              </w:rPr>
            </w:pPr>
            <w:r>
              <w:rPr>
                <w:rFonts w:hint="eastAsia"/>
                <w:sz w:val="21"/>
              </w:rPr>
              <w:t>项目建设符合</w:t>
            </w:r>
            <w:r>
              <w:rPr>
                <w:rFonts w:hint="eastAsia"/>
                <w:lang w:bidi="ar"/>
              </w:rPr>
              <w:t>《新疆油田公司“十四五”发展规划》和《新疆油田公司“十四五”发展规划环境影响报告书》的要求。</w:t>
            </w:r>
          </w:p>
        </w:tc>
        <w:tc>
          <w:tcPr>
            <w:tcW w:w="792" w:type="dxa"/>
            <w:tcMar>
              <w:left w:w="0" w:type="dxa"/>
              <w:right w:w="0" w:type="dxa"/>
            </w:tcMar>
            <w:vAlign w:val="center"/>
          </w:tcPr>
          <w:p w14:paraId="26BCC7E6">
            <w:pPr>
              <w:pStyle w:val="286"/>
              <w:adjustRightInd w:val="0"/>
              <w:snapToGrid w:val="0"/>
              <w:spacing w:line="300" w:lineRule="exact"/>
              <w:rPr>
                <w:rFonts w:hint="eastAsia"/>
                <w:sz w:val="21"/>
                <w:lang w:bidi="ar"/>
              </w:rPr>
            </w:pPr>
            <w:r>
              <w:rPr>
                <w:rFonts w:hint="eastAsia"/>
                <w:sz w:val="21"/>
                <w:lang w:bidi="ar"/>
              </w:rPr>
              <w:t>符合</w:t>
            </w:r>
          </w:p>
        </w:tc>
      </w:tr>
      <w:tr w14:paraId="567077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409E6115">
            <w:pPr>
              <w:pStyle w:val="286"/>
              <w:adjustRightInd w:val="0"/>
              <w:snapToGrid w:val="0"/>
              <w:spacing w:line="300" w:lineRule="exact"/>
              <w:rPr>
                <w:rFonts w:hint="eastAsia"/>
                <w:sz w:val="21"/>
                <w:lang w:bidi="ar"/>
              </w:rPr>
            </w:pPr>
            <w:r>
              <w:rPr>
                <w:sz w:val="21"/>
                <w:lang w:bidi="ar"/>
              </w:rPr>
              <w:t>2</w:t>
            </w:r>
          </w:p>
        </w:tc>
        <w:tc>
          <w:tcPr>
            <w:tcW w:w="538" w:type="dxa"/>
            <w:vMerge w:val="restart"/>
            <w:tcMar>
              <w:left w:w="0" w:type="dxa"/>
              <w:right w:w="0" w:type="dxa"/>
            </w:tcMar>
            <w:vAlign w:val="center"/>
          </w:tcPr>
          <w:p w14:paraId="16FF42D7">
            <w:pPr>
              <w:pStyle w:val="286"/>
              <w:adjustRightInd w:val="0"/>
              <w:snapToGrid w:val="0"/>
              <w:spacing w:line="300" w:lineRule="exact"/>
              <w:rPr>
                <w:rFonts w:hint="eastAsia"/>
                <w:sz w:val="21"/>
              </w:rPr>
            </w:pPr>
            <w:r>
              <w:rPr>
                <w:rFonts w:hint="eastAsia"/>
                <w:sz w:val="21"/>
              </w:rPr>
              <w:t>污染防治与环境影响</w:t>
            </w:r>
          </w:p>
        </w:tc>
        <w:tc>
          <w:tcPr>
            <w:tcW w:w="4140" w:type="dxa"/>
            <w:vAlign w:val="center"/>
          </w:tcPr>
          <w:p w14:paraId="59B3EE46">
            <w:pPr>
              <w:pStyle w:val="286"/>
              <w:adjustRightInd w:val="0"/>
              <w:snapToGrid w:val="0"/>
              <w:spacing w:line="300" w:lineRule="exact"/>
              <w:rPr>
                <w:rFonts w:hint="eastAsia"/>
                <w:sz w:val="21"/>
              </w:rPr>
            </w:pPr>
            <w:r>
              <w:rPr>
                <w:rFonts w:hint="eastAsia"/>
                <w:sz w:val="21"/>
              </w:rPr>
              <w:t>施工期应当尽量减少施工占地、严格控制施工作业面积、缩短施工时间、选择合理施工方式、落实环境敏感区管控要求以及其他生态环境保护措施，有效降低生态环境影响。</w:t>
            </w:r>
          </w:p>
        </w:tc>
        <w:tc>
          <w:tcPr>
            <w:tcW w:w="2693" w:type="dxa"/>
            <w:tcMar>
              <w:left w:w="0" w:type="dxa"/>
              <w:right w:w="0" w:type="dxa"/>
            </w:tcMar>
            <w:vAlign w:val="center"/>
          </w:tcPr>
          <w:p w14:paraId="66C8C7CC">
            <w:pPr>
              <w:pStyle w:val="286"/>
              <w:adjustRightInd w:val="0"/>
              <w:snapToGrid w:val="0"/>
              <w:spacing w:line="300" w:lineRule="exact"/>
              <w:jc w:val="both"/>
              <w:rPr>
                <w:rFonts w:hint="eastAsia"/>
                <w:sz w:val="21"/>
              </w:rPr>
            </w:pPr>
            <w:r>
              <w:rPr>
                <w:rFonts w:hint="eastAsia"/>
                <w:sz w:val="21"/>
              </w:rPr>
              <w:t>施工期严格控制施工作业面积，尽量减少施工占地、缩短施工时间，项目区周围无环境敏感区。</w:t>
            </w:r>
          </w:p>
        </w:tc>
        <w:tc>
          <w:tcPr>
            <w:tcW w:w="792" w:type="dxa"/>
            <w:tcMar>
              <w:left w:w="0" w:type="dxa"/>
              <w:right w:w="0" w:type="dxa"/>
            </w:tcMar>
            <w:vAlign w:val="center"/>
          </w:tcPr>
          <w:p w14:paraId="3FA5CB2E">
            <w:pPr>
              <w:pStyle w:val="286"/>
              <w:adjustRightInd w:val="0"/>
              <w:snapToGrid w:val="0"/>
              <w:spacing w:line="300" w:lineRule="exact"/>
              <w:rPr>
                <w:rFonts w:hint="eastAsia"/>
                <w:sz w:val="21"/>
                <w:lang w:bidi="ar"/>
              </w:rPr>
            </w:pPr>
            <w:r>
              <w:rPr>
                <w:rFonts w:hint="eastAsia"/>
                <w:sz w:val="21"/>
                <w:lang w:bidi="ar"/>
              </w:rPr>
              <w:t>符合</w:t>
            </w:r>
          </w:p>
        </w:tc>
      </w:tr>
      <w:tr w14:paraId="45058D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33934726">
            <w:pPr>
              <w:pStyle w:val="286"/>
              <w:adjustRightInd w:val="0"/>
              <w:snapToGrid w:val="0"/>
              <w:spacing w:line="300" w:lineRule="exact"/>
              <w:rPr>
                <w:rFonts w:hint="eastAsia"/>
                <w:sz w:val="21"/>
                <w:lang w:bidi="ar"/>
              </w:rPr>
            </w:pPr>
            <w:r>
              <w:rPr>
                <w:rFonts w:hint="eastAsia"/>
                <w:sz w:val="21"/>
                <w:lang w:bidi="ar"/>
              </w:rPr>
              <w:t>3</w:t>
            </w:r>
          </w:p>
        </w:tc>
        <w:tc>
          <w:tcPr>
            <w:tcW w:w="538" w:type="dxa"/>
            <w:vMerge w:val="continue"/>
            <w:tcMar>
              <w:left w:w="0" w:type="dxa"/>
              <w:right w:w="0" w:type="dxa"/>
            </w:tcMar>
            <w:vAlign w:val="center"/>
          </w:tcPr>
          <w:p w14:paraId="341D3D18">
            <w:pPr>
              <w:pStyle w:val="286"/>
              <w:adjustRightInd w:val="0"/>
              <w:snapToGrid w:val="0"/>
              <w:spacing w:line="300" w:lineRule="exact"/>
              <w:rPr>
                <w:rFonts w:hint="eastAsia"/>
                <w:sz w:val="21"/>
              </w:rPr>
            </w:pPr>
          </w:p>
        </w:tc>
        <w:tc>
          <w:tcPr>
            <w:tcW w:w="4140" w:type="dxa"/>
            <w:vAlign w:val="center"/>
          </w:tcPr>
          <w:p w14:paraId="60BD95B6">
            <w:pPr>
              <w:pStyle w:val="286"/>
              <w:adjustRightInd w:val="0"/>
              <w:snapToGrid w:val="0"/>
              <w:spacing w:line="300" w:lineRule="exact"/>
              <w:jc w:val="both"/>
              <w:rPr>
                <w:rFonts w:hint="eastAsia"/>
                <w:sz w:val="21"/>
              </w:rPr>
            </w:pPr>
            <w:r>
              <w:rPr>
                <w:rFonts w:hint="eastAsia"/>
                <w:sz w:val="21"/>
              </w:rPr>
              <w:t>陆地油气开发项目应当对挥发性有机物液体储存和装载损失、废水集输和处理系统、设备与管线组件泄漏、非正常工况等挥发性有机物无组织排放源进行有效管控，通过采取设备密闭、废气有效收集及配套高效末端处理设施等措施，有效控制挥发性有机物和恶臭气体无组织排放，油气集输损耗率不得高于0.5%；工艺过程控制措施、废气收集处理措施以及站场边界非甲烷总烃排放浓度应满足《陆上石油天然气开采工业大气污染物排放标准》(GB39728)要求。炉、加热炉、压缩机等装置应优先使用清洁燃料或能源，燃煤燃气锅炉、加热炉废气排放应达到《锅炉大气污染物排放标准》(GB13271)要求，有地方标准的按地方标准执行。涉及高含硫天然气开采的,应当强化钻井、输送、净化等环节环境风险防范措施。高含硫气田回注采出水，应当采取有效措施减少废水处理站和回注井场硫化氢的无组织排放。高含硫天然气净化厂应采用先进高效的硫磺回收工艺,减少二氧化硫排放。</w:t>
            </w:r>
          </w:p>
        </w:tc>
        <w:tc>
          <w:tcPr>
            <w:tcW w:w="2693" w:type="dxa"/>
            <w:tcMar>
              <w:left w:w="0" w:type="dxa"/>
              <w:right w:w="0" w:type="dxa"/>
            </w:tcMar>
            <w:vAlign w:val="center"/>
          </w:tcPr>
          <w:p w14:paraId="642558B5">
            <w:pPr>
              <w:pStyle w:val="286"/>
              <w:adjustRightInd w:val="0"/>
              <w:snapToGrid w:val="0"/>
              <w:spacing w:line="300" w:lineRule="exact"/>
              <w:jc w:val="both"/>
              <w:rPr>
                <w:rFonts w:hint="eastAsia"/>
                <w:sz w:val="21"/>
              </w:rPr>
            </w:pPr>
            <w:r>
              <w:rPr>
                <w:rFonts w:hint="eastAsia"/>
                <w:sz w:val="21"/>
              </w:rPr>
              <w:t>一期工程拉油罐采用固定顶罐，装车采用顶部浸没式装载或底部装载；二期工程实施后井口采出物通过管线管输至页岩油联合站处理。选用质量可靠的设备、仪表、阀门等；定期对采油井场、阀门和管线等检查、检修；项目不涉及燃煤、燃气锅炉、加热炉，井口设有脱硫撬，对伴生气中的硫化氢进行脱硫；采取以上措施后井场厂界非甲烷总烃满足《陆上石油天然气开采工业大气污染物排放标准》(GB39728-2020)，</w:t>
            </w:r>
            <w:r>
              <w:rPr>
                <w:rFonts w:hint="eastAsia"/>
              </w:rPr>
              <w:t>硫化氢排放浓度满足《恶臭污染物排放标准》（GB14554-93）表1二级新改扩建浓度</w:t>
            </w:r>
            <w:r>
              <w:rPr>
                <w:rFonts w:hint="eastAsia"/>
                <w:sz w:val="21"/>
              </w:rPr>
              <w:t>中的相关要求。</w:t>
            </w:r>
          </w:p>
        </w:tc>
        <w:tc>
          <w:tcPr>
            <w:tcW w:w="792" w:type="dxa"/>
            <w:tcMar>
              <w:left w:w="0" w:type="dxa"/>
              <w:right w:w="0" w:type="dxa"/>
            </w:tcMar>
            <w:vAlign w:val="center"/>
          </w:tcPr>
          <w:p w14:paraId="07C8FFAF">
            <w:pPr>
              <w:pStyle w:val="286"/>
              <w:adjustRightInd w:val="0"/>
              <w:snapToGrid w:val="0"/>
              <w:spacing w:line="300" w:lineRule="exact"/>
              <w:rPr>
                <w:rFonts w:hint="eastAsia"/>
                <w:sz w:val="21"/>
                <w:lang w:bidi="ar"/>
              </w:rPr>
            </w:pPr>
          </w:p>
        </w:tc>
      </w:tr>
      <w:tr w14:paraId="62B6D2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011538AB">
            <w:pPr>
              <w:pStyle w:val="286"/>
              <w:adjustRightInd w:val="0"/>
              <w:snapToGrid w:val="0"/>
              <w:spacing w:line="300" w:lineRule="exact"/>
              <w:rPr>
                <w:rFonts w:hint="eastAsia"/>
                <w:sz w:val="21"/>
                <w:lang w:bidi="ar"/>
              </w:rPr>
            </w:pPr>
            <w:r>
              <w:rPr>
                <w:rFonts w:hint="eastAsia"/>
                <w:sz w:val="21"/>
                <w:lang w:bidi="ar"/>
              </w:rPr>
              <w:t>4</w:t>
            </w:r>
          </w:p>
        </w:tc>
        <w:tc>
          <w:tcPr>
            <w:tcW w:w="538" w:type="dxa"/>
            <w:vMerge w:val="continue"/>
            <w:tcMar>
              <w:left w:w="0" w:type="dxa"/>
              <w:right w:w="0" w:type="dxa"/>
            </w:tcMar>
            <w:vAlign w:val="center"/>
          </w:tcPr>
          <w:p w14:paraId="262B99B1">
            <w:pPr>
              <w:pStyle w:val="286"/>
              <w:adjustRightInd w:val="0"/>
              <w:snapToGrid w:val="0"/>
              <w:spacing w:line="300" w:lineRule="exact"/>
              <w:rPr>
                <w:rFonts w:hint="eastAsia"/>
                <w:sz w:val="21"/>
              </w:rPr>
            </w:pPr>
          </w:p>
        </w:tc>
        <w:tc>
          <w:tcPr>
            <w:tcW w:w="4140" w:type="dxa"/>
            <w:vAlign w:val="center"/>
          </w:tcPr>
          <w:p w14:paraId="71B3DD29">
            <w:pPr>
              <w:pStyle w:val="286"/>
              <w:adjustRightInd w:val="0"/>
              <w:snapToGrid w:val="0"/>
              <w:spacing w:line="300" w:lineRule="exact"/>
              <w:jc w:val="both"/>
              <w:rPr>
                <w:rFonts w:hint="eastAsia"/>
                <w:sz w:val="21"/>
              </w:rPr>
            </w:pPr>
            <w:r>
              <w:rPr>
                <w:rFonts w:hint="eastAsia"/>
                <w:sz w:val="21"/>
              </w:rPr>
              <w:t>油气开发产生的伴生气应优先回收利用,减少温室气体排放，开发区块伴生气整体回收利用率应达到80%以上；边远井、零散井等产生的伴生气不能回收或难以回收的，应经燃烧后放空。鼓励油气企业将碳捕集、利用与封存(CCUS)技术用于油气开采，提高采收率、减少温室气体排放。</w:t>
            </w:r>
          </w:p>
        </w:tc>
        <w:tc>
          <w:tcPr>
            <w:tcW w:w="2693" w:type="dxa"/>
            <w:tcMar>
              <w:left w:w="0" w:type="dxa"/>
              <w:right w:w="0" w:type="dxa"/>
            </w:tcMar>
            <w:vAlign w:val="center"/>
          </w:tcPr>
          <w:p w14:paraId="1C386CA3">
            <w:pPr>
              <w:pStyle w:val="286"/>
              <w:adjustRightInd w:val="0"/>
              <w:snapToGrid w:val="0"/>
              <w:spacing w:line="300" w:lineRule="exact"/>
              <w:jc w:val="both"/>
              <w:rPr>
                <w:rFonts w:hint="eastAsia"/>
                <w:sz w:val="21"/>
              </w:rPr>
            </w:pPr>
            <w:r>
              <w:rPr>
                <w:rFonts w:hint="eastAsia"/>
                <w:sz w:val="21"/>
              </w:rPr>
              <w:t>一期工程伴生气量比较少，不具备回收条件，分离出的伴生气通过放空火炬燃烧放空，整个页岩油井区伴生气回收利用率达到80%以上；二期工程实施后井口采出物通过管线管输至页岩油联合站处理。采出物中的伴生气送至页岩油联合站伴生气处理系统处理，伴生气可实现100%回收。本项目不涉及碳捕集、利用与封存(CCUS)技术。</w:t>
            </w:r>
          </w:p>
        </w:tc>
        <w:tc>
          <w:tcPr>
            <w:tcW w:w="792" w:type="dxa"/>
            <w:tcMar>
              <w:left w:w="0" w:type="dxa"/>
              <w:right w:w="0" w:type="dxa"/>
            </w:tcMar>
            <w:vAlign w:val="center"/>
          </w:tcPr>
          <w:p w14:paraId="3BAC7950">
            <w:pPr>
              <w:pStyle w:val="286"/>
              <w:adjustRightInd w:val="0"/>
              <w:snapToGrid w:val="0"/>
              <w:spacing w:line="300" w:lineRule="exact"/>
              <w:rPr>
                <w:rFonts w:hint="eastAsia"/>
                <w:sz w:val="21"/>
                <w:lang w:bidi="ar"/>
              </w:rPr>
            </w:pPr>
            <w:r>
              <w:rPr>
                <w:rFonts w:hint="eastAsia"/>
                <w:sz w:val="21"/>
                <w:lang w:bidi="ar"/>
              </w:rPr>
              <w:t>符合</w:t>
            </w:r>
          </w:p>
        </w:tc>
      </w:tr>
      <w:tr w14:paraId="22926F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1AB90315">
            <w:pPr>
              <w:pStyle w:val="286"/>
              <w:adjustRightInd w:val="0"/>
              <w:snapToGrid w:val="0"/>
              <w:spacing w:line="300" w:lineRule="exact"/>
              <w:rPr>
                <w:rFonts w:hint="eastAsia"/>
                <w:sz w:val="21"/>
                <w:lang w:bidi="ar"/>
              </w:rPr>
            </w:pPr>
            <w:r>
              <w:rPr>
                <w:rFonts w:hint="eastAsia"/>
                <w:sz w:val="21"/>
                <w:lang w:bidi="ar"/>
              </w:rPr>
              <w:t>5</w:t>
            </w:r>
          </w:p>
        </w:tc>
        <w:tc>
          <w:tcPr>
            <w:tcW w:w="538" w:type="dxa"/>
            <w:vMerge w:val="continue"/>
            <w:tcMar>
              <w:left w:w="0" w:type="dxa"/>
              <w:right w:w="0" w:type="dxa"/>
            </w:tcMar>
            <w:vAlign w:val="center"/>
          </w:tcPr>
          <w:p w14:paraId="46B80084">
            <w:pPr>
              <w:pStyle w:val="286"/>
              <w:adjustRightInd w:val="0"/>
              <w:snapToGrid w:val="0"/>
              <w:spacing w:line="300" w:lineRule="exact"/>
              <w:rPr>
                <w:rFonts w:hint="eastAsia"/>
                <w:sz w:val="21"/>
              </w:rPr>
            </w:pPr>
          </w:p>
        </w:tc>
        <w:tc>
          <w:tcPr>
            <w:tcW w:w="4140" w:type="dxa"/>
            <w:vAlign w:val="center"/>
          </w:tcPr>
          <w:p w14:paraId="1BF89129">
            <w:pPr>
              <w:pStyle w:val="286"/>
              <w:adjustRightInd w:val="0"/>
              <w:snapToGrid w:val="0"/>
              <w:spacing w:line="300" w:lineRule="exact"/>
              <w:jc w:val="both"/>
              <w:rPr>
                <w:rFonts w:hint="eastAsia"/>
                <w:sz w:val="21"/>
              </w:rPr>
            </w:pPr>
            <w:r>
              <w:rPr>
                <w:rFonts w:hint="eastAsia"/>
                <w:sz w:val="21"/>
              </w:rPr>
              <w:t>陆地油气开发项目产生的废水应经处理后优先回用,无法回用的应满足国家和地方相关污染物排放标准后排放，工业废水回用率应达到90%以上。钻井及储层改造应采用环境友好的油田化学助剂、酸化液、压裂液、钻井液，配备完善的固控设备，钻井液循环率应达到95%以上，压裂废液、酸化废液等井下作业废水应100%返排入罐。</w:t>
            </w:r>
          </w:p>
        </w:tc>
        <w:tc>
          <w:tcPr>
            <w:tcW w:w="2693" w:type="dxa"/>
            <w:tcMar>
              <w:left w:w="0" w:type="dxa"/>
              <w:right w:w="0" w:type="dxa"/>
            </w:tcMar>
            <w:vAlign w:val="center"/>
          </w:tcPr>
          <w:p w14:paraId="29E59721">
            <w:pPr>
              <w:pStyle w:val="286"/>
              <w:adjustRightInd w:val="0"/>
              <w:snapToGrid w:val="0"/>
              <w:spacing w:line="300" w:lineRule="exact"/>
              <w:jc w:val="both"/>
              <w:rPr>
                <w:rFonts w:hint="eastAsia"/>
                <w:sz w:val="21"/>
              </w:rPr>
            </w:pPr>
            <w:r>
              <w:rPr>
                <w:rFonts w:hint="eastAsia"/>
                <w:sz w:val="21"/>
              </w:rPr>
              <w:t>井下作业废液和采出水均送至压裂返排液处理装置处理；钻井采用水基钻井液和油基钻井液；储层改造使用环境友好的酸化液和压裂液。</w:t>
            </w:r>
          </w:p>
        </w:tc>
        <w:tc>
          <w:tcPr>
            <w:tcW w:w="792" w:type="dxa"/>
            <w:tcMar>
              <w:left w:w="0" w:type="dxa"/>
              <w:right w:w="0" w:type="dxa"/>
            </w:tcMar>
            <w:vAlign w:val="center"/>
          </w:tcPr>
          <w:p w14:paraId="67E3A088">
            <w:pPr>
              <w:pStyle w:val="286"/>
              <w:adjustRightInd w:val="0"/>
              <w:snapToGrid w:val="0"/>
              <w:spacing w:line="300" w:lineRule="exact"/>
              <w:rPr>
                <w:rFonts w:hint="eastAsia"/>
                <w:sz w:val="21"/>
                <w:lang w:bidi="ar"/>
              </w:rPr>
            </w:pPr>
            <w:r>
              <w:rPr>
                <w:rFonts w:hint="eastAsia"/>
                <w:sz w:val="21"/>
                <w:lang w:bidi="ar"/>
              </w:rPr>
              <w:t>符合</w:t>
            </w:r>
          </w:p>
        </w:tc>
      </w:tr>
      <w:tr w14:paraId="07EB64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66CE4E82">
            <w:pPr>
              <w:pStyle w:val="286"/>
              <w:adjustRightInd w:val="0"/>
              <w:snapToGrid w:val="0"/>
              <w:spacing w:line="300" w:lineRule="exact"/>
              <w:rPr>
                <w:rFonts w:hint="eastAsia"/>
                <w:sz w:val="21"/>
                <w:lang w:bidi="ar"/>
              </w:rPr>
            </w:pPr>
            <w:r>
              <w:rPr>
                <w:rFonts w:hint="eastAsia"/>
                <w:sz w:val="21"/>
                <w:lang w:bidi="ar"/>
              </w:rPr>
              <w:t>6</w:t>
            </w:r>
          </w:p>
        </w:tc>
        <w:tc>
          <w:tcPr>
            <w:tcW w:w="538" w:type="dxa"/>
            <w:vMerge w:val="continue"/>
            <w:tcMar>
              <w:left w:w="0" w:type="dxa"/>
              <w:right w:w="0" w:type="dxa"/>
            </w:tcMar>
            <w:vAlign w:val="center"/>
          </w:tcPr>
          <w:p w14:paraId="13A6CCB6">
            <w:pPr>
              <w:pStyle w:val="286"/>
              <w:adjustRightInd w:val="0"/>
              <w:snapToGrid w:val="0"/>
              <w:spacing w:line="300" w:lineRule="exact"/>
              <w:rPr>
                <w:rFonts w:hint="eastAsia"/>
                <w:sz w:val="21"/>
              </w:rPr>
            </w:pPr>
          </w:p>
        </w:tc>
        <w:tc>
          <w:tcPr>
            <w:tcW w:w="4140" w:type="dxa"/>
            <w:vAlign w:val="center"/>
          </w:tcPr>
          <w:p w14:paraId="010822C9">
            <w:pPr>
              <w:pStyle w:val="286"/>
              <w:adjustRightInd w:val="0"/>
              <w:snapToGrid w:val="0"/>
              <w:spacing w:line="300" w:lineRule="exact"/>
              <w:rPr>
                <w:rFonts w:hint="eastAsia"/>
                <w:sz w:val="21"/>
              </w:rPr>
            </w:pPr>
            <w:r>
              <w:rPr>
                <w:rFonts w:hint="eastAsia"/>
                <w:sz w:val="21"/>
              </w:rPr>
              <w:t>涉及废水回注的,应采取切实可行的地下水污染防治和监控措施,不得回注与油气开采无关的废水,严禁造成地下水污染;在相关行业污染控制标准发布前，回注水应满足《碎屑岩油藏注水水质指标技术要求及分析方法)》(SY/T5329)《气田水注入技</w:t>
            </w:r>
          </w:p>
          <w:p w14:paraId="302B2321">
            <w:pPr>
              <w:pStyle w:val="286"/>
              <w:adjustRightInd w:val="0"/>
              <w:snapToGrid w:val="0"/>
              <w:spacing w:line="300" w:lineRule="exact"/>
              <w:rPr>
                <w:rFonts w:hint="eastAsia"/>
                <w:sz w:val="21"/>
              </w:rPr>
            </w:pPr>
            <w:r>
              <w:rPr>
                <w:rFonts w:hint="eastAsia"/>
                <w:sz w:val="21"/>
              </w:rPr>
              <w:t>术要求》(SY/T6596)等相关标准要求。对于页岩油、稠油注汽开采，鼓励废水处理后回用于注汽锅炉。</w:t>
            </w:r>
          </w:p>
        </w:tc>
        <w:tc>
          <w:tcPr>
            <w:tcW w:w="2693" w:type="dxa"/>
            <w:tcMar>
              <w:left w:w="0" w:type="dxa"/>
              <w:right w:w="0" w:type="dxa"/>
            </w:tcMar>
            <w:vAlign w:val="center"/>
          </w:tcPr>
          <w:p w14:paraId="01EF85FB">
            <w:pPr>
              <w:pStyle w:val="286"/>
              <w:adjustRightInd w:val="0"/>
              <w:snapToGrid w:val="0"/>
              <w:spacing w:line="300" w:lineRule="exact"/>
              <w:jc w:val="both"/>
              <w:rPr>
                <w:rFonts w:hint="eastAsia"/>
                <w:sz w:val="21"/>
              </w:rPr>
            </w:pPr>
            <w:r>
              <w:rPr>
                <w:rFonts w:hint="eastAsia"/>
                <w:sz w:val="21"/>
              </w:rPr>
              <w:t>本项目不涉及废水回注，井下作业废液和采出水均送至压裂返排液处理装置处理。</w:t>
            </w:r>
          </w:p>
        </w:tc>
        <w:tc>
          <w:tcPr>
            <w:tcW w:w="792" w:type="dxa"/>
            <w:tcMar>
              <w:left w:w="0" w:type="dxa"/>
              <w:right w:w="0" w:type="dxa"/>
            </w:tcMar>
            <w:vAlign w:val="center"/>
          </w:tcPr>
          <w:p w14:paraId="5CF396C1">
            <w:pPr>
              <w:pStyle w:val="286"/>
              <w:adjustRightInd w:val="0"/>
              <w:snapToGrid w:val="0"/>
              <w:spacing w:line="300" w:lineRule="exact"/>
              <w:rPr>
                <w:rFonts w:hint="eastAsia"/>
                <w:sz w:val="21"/>
                <w:lang w:bidi="ar"/>
              </w:rPr>
            </w:pPr>
            <w:r>
              <w:rPr>
                <w:rFonts w:hint="eastAsia"/>
                <w:sz w:val="21"/>
                <w:lang w:bidi="ar"/>
              </w:rPr>
              <w:t>符合</w:t>
            </w:r>
          </w:p>
        </w:tc>
      </w:tr>
      <w:tr w14:paraId="56A239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6C8A2770">
            <w:pPr>
              <w:pStyle w:val="286"/>
              <w:adjustRightInd w:val="0"/>
              <w:snapToGrid w:val="0"/>
              <w:spacing w:line="300" w:lineRule="exact"/>
              <w:rPr>
                <w:rFonts w:hint="eastAsia"/>
                <w:sz w:val="21"/>
                <w:lang w:bidi="ar"/>
              </w:rPr>
            </w:pPr>
            <w:r>
              <w:rPr>
                <w:rFonts w:hint="eastAsia"/>
                <w:sz w:val="21"/>
                <w:lang w:bidi="ar"/>
              </w:rPr>
              <w:t>7</w:t>
            </w:r>
          </w:p>
        </w:tc>
        <w:tc>
          <w:tcPr>
            <w:tcW w:w="538" w:type="dxa"/>
            <w:vMerge w:val="continue"/>
            <w:tcMar>
              <w:left w:w="0" w:type="dxa"/>
              <w:right w:w="0" w:type="dxa"/>
            </w:tcMar>
            <w:vAlign w:val="center"/>
          </w:tcPr>
          <w:p w14:paraId="0B17DEC3">
            <w:pPr>
              <w:pStyle w:val="286"/>
              <w:adjustRightInd w:val="0"/>
              <w:snapToGrid w:val="0"/>
              <w:spacing w:line="300" w:lineRule="exact"/>
              <w:rPr>
                <w:rFonts w:hint="eastAsia"/>
                <w:sz w:val="21"/>
              </w:rPr>
            </w:pPr>
          </w:p>
        </w:tc>
        <w:tc>
          <w:tcPr>
            <w:tcW w:w="4140" w:type="dxa"/>
            <w:vAlign w:val="center"/>
          </w:tcPr>
          <w:p w14:paraId="2DC9A80C">
            <w:pPr>
              <w:pStyle w:val="286"/>
              <w:adjustRightInd w:val="0"/>
              <w:snapToGrid w:val="0"/>
              <w:spacing w:line="300" w:lineRule="exact"/>
              <w:jc w:val="both"/>
              <w:rPr>
                <w:rFonts w:hint="eastAsia"/>
                <w:sz w:val="21"/>
              </w:rPr>
            </w:pPr>
            <w:r>
              <w:rPr>
                <w:rFonts w:hint="eastAsia"/>
                <w:sz w:val="21"/>
              </w:rPr>
              <w:t>废弃钻井泥浆及岩屑应采取“泥浆不落地”工艺，勘探、开发过程产生的落地原油回收率应达到100%。废弃水基钻井泥浆及岩屑经“泥浆不落地”设备处理后，固相优先综合利用，暂时不利用或者不能利用的，应按照《一般工业固体废物贮存和填埋污染控制标准》(GB18599)处置；废弃油基钻井泥浆及岩屑、落地油、清罐底泥、含油污泥、含油清管废渣、油气处理厂过滤吸附介质、废脱汞剂等危险废物，应按照国家有关规定制定危险废物管理计划，建立危险废物管理台账，依法依规自行处置或委托有相应资质的单位无害化处置。固体废物无害化处置率应达到100%。</w:t>
            </w:r>
          </w:p>
        </w:tc>
        <w:tc>
          <w:tcPr>
            <w:tcW w:w="2693" w:type="dxa"/>
            <w:tcMar>
              <w:left w:w="0" w:type="dxa"/>
              <w:right w:w="0" w:type="dxa"/>
            </w:tcMar>
            <w:vAlign w:val="center"/>
          </w:tcPr>
          <w:p w14:paraId="2C409998">
            <w:pPr>
              <w:pStyle w:val="286"/>
              <w:adjustRightInd w:val="0"/>
              <w:snapToGrid w:val="0"/>
              <w:spacing w:line="300" w:lineRule="exact"/>
              <w:jc w:val="both"/>
              <w:rPr>
                <w:rFonts w:hint="eastAsia"/>
                <w:sz w:val="21"/>
              </w:rPr>
            </w:pPr>
            <w:r>
              <w:rPr>
                <w:rFonts w:hint="eastAsia"/>
                <w:sz w:val="21"/>
              </w:rPr>
              <w:t>钻井采用水基钻井液和油基钻井液，钻井液和岩屑经不落地系统处理后，水基钻井岩屑交由岩屑第三方处理，油基钻井岩屑交由有相应危险废物处理资质的单位处置；清罐底泥、废润滑油、废润滑油桶、沾油废防渗材料和</w:t>
            </w:r>
            <w:r>
              <w:rPr>
                <w:rFonts w:hint="eastAsia" w:cs="宋体"/>
                <w:lang w:val="zh-CN"/>
              </w:rPr>
              <w:t>废含油抹布和劳保用品</w:t>
            </w:r>
            <w:r>
              <w:rPr>
                <w:rFonts w:hint="eastAsia"/>
                <w:sz w:val="21"/>
              </w:rPr>
              <w:t>均交由有相应危险废物处理资质的单位回收处理；吉庆油田作业区已制定有危险废物管理计划，建立了危险废物管理台账，固体无害化处置率达到100%。</w:t>
            </w:r>
          </w:p>
        </w:tc>
        <w:tc>
          <w:tcPr>
            <w:tcW w:w="792" w:type="dxa"/>
            <w:tcMar>
              <w:left w:w="0" w:type="dxa"/>
              <w:right w:w="0" w:type="dxa"/>
            </w:tcMar>
            <w:vAlign w:val="center"/>
          </w:tcPr>
          <w:p w14:paraId="45512FC4">
            <w:pPr>
              <w:pStyle w:val="286"/>
              <w:adjustRightInd w:val="0"/>
              <w:snapToGrid w:val="0"/>
              <w:spacing w:line="300" w:lineRule="exact"/>
              <w:rPr>
                <w:rFonts w:hint="eastAsia"/>
                <w:sz w:val="21"/>
                <w:lang w:bidi="ar"/>
              </w:rPr>
            </w:pPr>
            <w:r>
              <w:rPr>
                <w:rFonts w:hint="eastAsia"/>
                <w:sz w:val="21"/>
                <w:lang w:bidi="ar"/>
              </w:rPr>
              <w:t>符合</w:t>
            </w:r>
          </w:p>
        </w:tc>
      </w:tr>
      <w:tr w14:paraId="66A380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89752D6">
            <w:pPr>
              <w:pStyle w:val="286"/>
              <w:adjustRightInd w:val="0"/>
              <w:snapToGrid w:val="0"/>
              <w:spacing w:line="300" w:lineRule="exact"/>
              <w:rPr>
                <w:rFonts w:hint="eastAsia"/>
                <w:sz w:val="21"/>
                <w:lang w:bidi="ar"/>
              </w:rPr>
            </w:pPr>
            <w:r>
              <w:rPr>
                <w:rFonts w:hint="eastAsia"/>
                <w:sz w:val="21"/>
                <w:lang w:bidi="ar"/>
              </w:rPr>
              <w:t>8</w:t>
            </w:r>
          </w:p>
        </w:tc>
        <w:tc>
          <w:tcPr>
            <w:tcW w:w="538" w:type="dxa"/>
            <w:vMerge w:val="continue"/>
            <w:tcMar>
              <w:left w:w="0" w:type="dxa"/>
              <w:right w:w="0" w:type="dxa"/>
            </w:tcMar>
            <w:vAlign w:val="center"/>
          </w:tcPr>
          <w:p w14:paraId="5051B0DC">
            <w:pPr>
              <w:pStyle w:val="286"/>
              <w:adjustRightInd w:val="0"/>
              <w:snapToGrid w:val="0"/>
              <w:spacing w:line="300" w:lineRule="exact"/>
              <w:rPr>
                <w:rFonts w:hint="eastAsia"/>
                <w:sz w:val="21"/>
              </w:rPr>
            </w:pPr>
          </w:p>
        </w:tc>
        <w:tc>
          <w:tcPr>
            <w:tcW w:w="4140" w:type="dxa"/>
            <w:vAlign w:val="center"/>
          </w:tcPr>
          <w:p w14:paraId="68FACEF2">
            <w:pPr>
              <w:pStyle w:val="286"/>
              <w:adjustRightInd w:val="0"/>
              <w:snapToGrid w:val="0"/>
              <w:spacing w:line="300" w:lineRule="exact"/>
              <w:rPr>
                <w:rFonts w:hint="eastAsia"/>
                <w:sz w:val="21"/>
              </w:rPr>
            </w:pPr>
            <w:r>
              <w:rPr>
                <w:rFonts w:hint="eastAsia"/>
                <w:sz w:val="21"/>
              </w:rPr>
              <w:t>噪声排放应达到《工业企业厂界环境噪声排放标准》(GB12348)要求。</w:t>
            </w:r>
          </w:p>
        </w:tc>
        <w:tc>
          <w:tcPr>
            <w:tcW w:w="2693" w:type="dxa"/>
            <w:tcMar>
              <w:left w:w="0" w:type="dxa"/>
              <w:right w:w="0" w:type="dxa"/>
            </w:tcMar>
            <w:vAlign w:val="center"/>
          </w:tcPr>
          <w:p w14:paraId="78E210BF">
            <w:pPr>
              <w:pStyle w:val="286"/>
              <w:adjustRightInd w:val="0"/>
              <w:snapToGrid w:val="0"/>
              <w:spacing w:line="300" w:lineRule="exact"/>
              <w:jc w:val="both"/>
              <w:rPr>
                <w:rFonts w:hint="eastAsia"/>
                <w:sz w:val="21"/>
              </w:rPr>
            </w:pPr>
            <w:r>
              <w:rPr>
                <w:rFonts w:hint="eastAsia"/>
                <w:sz w:val="21"/>
              </w:rPr>
              <w:t>尽量选用低噪声设备，对噪声强度较大的设备进行基础减振等减噪处理；定期给机泵等设备加润滑油和减振垫，对各种机械设备定期保养；合理布局使</w:t>
            </w:r>
            <w:r>
              <w:rPr>
                <w:rFonts w:hint="eastAsia"/>
              </w:rPr>
              <w:t>螺杆泵</w:t>
            </w:r>
            <w:r>
              <w:rPr>
                <w:rFonts w:hint="eastAsia"/>
                <w:sz w:val="21"/>
              </w:rPr>
              <w:t>尽可能位于井场中心；采取以上措施后井场厂界能够满足《工业企业厂界环境噪声排放标准》（GB12348-2008）</w:t>
            </w:r>
            <w:r>
              <w:rPr>
                <w:sz w:val="21"/>
              </w:rPr>
              <w:t>2</w:t>
            </w:r>
            <w:r>
              <w:rPr>
                <w:rFonts w:hint="eastAsia"/>
                <w:sz w:val="21"/>
              </w:rPr>
              <w:t>类声功能区环境噪声限值要求。</w:t>
            </w:r>
          </w:p>
        </w:tc>
        <w:tc>
          <w:tcPr>
            <w:tcW w:w="792" w:type="dxa"/>
            <w:tcMar>
              <w:left w:w="0" w:type="dxa"/>
              <w:right w:w="0" w:type="dxa"/>
            </w:tcMar>
            <w:vAlign w:val="center"/>
          </w:tcPr>
          <w:p w14:paraId="13A972BD">
            <w:pPr>
              <w:pStyle w:val="286"/>
              <w:adjustRightInd w:val="0"/>
              <w:snapToGrid w:val="0"/>
              <w:spacing w:line="300" w:lineRule="exact"/>
              <w:rPr>
                <w:rFonts w:hint="eastAsia"/>
                <w:sz w:val="21"/>
                <w:lang w:bidi="ar"/>
              </w:rPr>
            </w:pPr>
            <w:r>
              <w:rPr>
                <w:rFonts w:hint="eastAsia"/>
                <w:sz w:val="21"/>
                <w:lang w:bidi="ar"/>
              </w:rPr>
              <w:t>符合</w:t>
            </w:r>
          </w:p>
        </w:tc>
      </w:tr>
      <w:tr w14:paraId="066D0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7" w:type="dxa"/>
            <w:tcMar>
              <w:left w:w="0" w:type="dxa"/>
              <w:right w:w="0" w:type="dxa"/>
            </w:tcMar>
            <w:vAlign w:val="center"/>
          </w:tcPr>
          <w:p w14:paraId="2978E4B6">
            <w:pPr>
              <w:pStyle w:val="286"/>
              <w:adjustRightInd w:val="0"/>
              <w:snapToGrid w:val="0"/>
              <w:spacing w:line="300" w:lineRule="exact"/>
              <w:rPr>
                <w:rFonts w:hint="eastAsia"/>
                <w:sz w:val="21"/>
                <w:lang w:bidi="ar"/>
              </w:rPr>
            </w:pPr>
            <w:r>
              <w:rPr>
                <w:rFonts w:hint="eastAsia"/>
                <w:sz w:val="21"/>
                <w:lang w:bidi="ar"/>
              </w:rPr>
              <w:t>9</w:t>
            </w:r>
          </w:p>
        </w:tc>
        <w:tc>
          <w:tcPr>
            <w:tcW w:w="538" w:type="dxa"/>
            <w:vMerge w:val="continue"/>
            <w:tcMar>
              <w:left w:w="0" w:type="dxa"/>
              <w:right w:w="0" w:type="dxa"/>
            </w:tcMar>
            <w:vAlign w:val="center"/>
          </w:tcPr>
          <w:p w14:paraId="1DEAF3F5">
            <w:pPr>
              <w:pStyle w:val="286"/>
              <w:adjustRightInd w:val="0"/>
              <w:snapToGrid w:val="0"/>
              <w:spacing w:line="300" w:lineRule="exact"/>
              <w:rPr>
                <w:rFonts w:hint="eastAsia"/>
                <w:sz w:val="21"/>
              </w:rPr>
            </w:pPr>
          </w:p>
        </w:tc>
        <w:tc>
          <w:tcPr>
            <w:tcW w:w="4140" w:type="dxa"/>
            <w:vAlign w:val="center"/>
          </w:tcPr>
          <w:p w14:paraId="599DCFAD">
            <w:pPr>
              <w:pStyle w:val="286"/>
              <w:adjustRightInd w:val="0"/>
              <w:snapToGrid w:val="0"/>
              <w:spacing w:line="300" w:lineRule="exact"/>
              <w:jc w:val="both"/>
              <w:rPr>
                <w:rFonts w:hint="eastAsia"/>
                <w:sz w:val="21"/>
              </w:rPr>
            </w:pPr>
            <w:r>
              <w:rPr>
                <w:rFonts w:hint="eastAsia"/>
                <w:sz w:val="21"/>
              </w:rPr>
              <w:t>对拟退役的废弃井(站)场、管道、道路等工程设施应进行生态修复，生态修复前应对废弃油(气)井、管道进行封堵或设施拆除，确保无土壤及地下水环境污染遗留问题、废弃物得到妥善处置。生态修复应满足《矿山生态环境保护与恢复治理技术规范(试行)》(HJ651)、《废弃井封井回填技术指南(试行)》、《废弃井及长停井处置指南》(SY/T6646)、《陆上石油天然气开采业绿色矿山建设规范》(DZ/T0317)等相关要求。</w:t>
            </w:r>
          </w:p>
        </w:tc>
        <w:tc>
          <w:tcPr>
            <w:tcW w:w="2693" w:type="dxa"/>
            <w:tcMar>
              <w:left w:w="0" w:type="dxa"/>
              <w:right w:w="0" w:type="dxa"/>
            </w:tcMar>
            <w:vAlign w:val="center"/>
          </w:tcPr>
          <w:p w14:paraId="1634F93D">
            <w:pPr>
              <w:pStyle w:val="286"/>
              <w:adjustRightInd w:val="0"/>
              <w:snapToGrid w:val="0"/>
              <w:spacing w:line="300" w:lineRule="exact"/>
              <w:jc w:val="both"/>
              <w:rPr>
                <w:rFonts w:hint="eastAsia"/>
                <w:sz w:val="21"/>
              </w:rPr>
            </w:pPr>
            <w:r>
              <w:rPr>
                <w:rFonts w:hint="eastAsia"/>
                <w:sz w:val="21"/>
              </w:rPr>
              <w:t>报告对拟退役的废弃井进行封井，拆除井场各类设备设施及管线的拆除、井区废弃管线的封堵等施工活动；根据《矿山生态环境保护与恢复治理技术规范（试行）》（HJ651-2013）、《废弃井封井回填技术指南》（试行）的相关要求，提出了生态修复方案。</w:t>
            </w:r>
          </w:p>
        </w:tc>
        <w:tc>
          <w:tcPr>
            <w:tcW w:w="792" w:type="dxa"/>
            <w:tcMar>
              <w:left w:w="0" w:type="dxa"/>
              <w:right w:w="0" w:type="dxa"/>
            </w:tcMar>
            <w:vAlign w:val="center"/>
          </w:tcPr>
          <w:p w14:paraId="094A6764">
            <w:pPr>
              <w:pStyle w:val="286"/>
              <w:adjustRightInd w:val="0"/>
              <w:snapToGrid w:val="0"/>
              <w:spacing w:line="300" w:lineRule="exact"/>
              <w:rPr>
                <w:rFonts w:hint="eastAsia"/>
                <w:sz w:val="21"/>
              </w:rPr>
            </w:pPr>
            <w:r>
              <w:rPr>
                <w:rFonts w:hint="eastAsia"/>
                <w:sz w:val="21"/>
              </w:rPr>
              <w:t>符合</w:t>
            </w:r>
          </w:p>
        </w:tc>
      </w:tr>
    </w:tbl>
    <w:p w14:paraId="50B66366">
      <w:pPr>
        <w:pStyle w:val="191"/>
        <w:ind w:firstLine="480"/>
        <w:rPr>
          <w:rFonts w:hint="eastAsia"/>
        </w:rPr>
      </w:pPr>
      <w:r>
        <w:rPr>
          <w:rFonts w:hint="eastAsia"/>
        </w:rPr>
        <w:t>（6）与《国家级公益林管理办法》相符性分析</w:t>
      </w:r>
    </w:p>
    <w:p w14:paraId="72C5E79B">
      <w:pPr>
        <w:pStyle w:val="191"/>
        <w:ind w:firstLine="480"/>
        <w:rPr>
          <w:rFonts w:hint="eastAsia"/>
        </w:rPr>
      </w:pPr>
      <w:r>
        <w:rPr>
          <w:rFonts w:hint="eastAsia"/>
        </w:rPr>
        <w:t>《国家级公益林管理办法》中要求：“严格控制勘查、开采矿藏和工程建设使用国家级公益林地，确需使用的，严格按照《建设项目使用林地审核审批管理办法》有关规定办理使用林地手续。涉及林木采伐的，按相关规定依法办理林木采伐手续。经审核审批同意使用的国家级公益林地，可按照本办法第十八条、第十九条的规定实行占补平衡，并按本办法第二十三条的规定报告国家林业局和财政部”。</w:t>
      </w:r>
    </w:p>
    <w:p w14:paraId="10EB9E3C">
      <w:pPr>
        <w:pStyle w:val="191"/>
        <w:ind w:firstLine="480"/>
        <w:rPr>
          <w:rFonts w:hint="eastAsia"/>
        </w:rPr>
      </w:pPr>
      <w:r>
        <w:rPr>
          <w:rFonts w:hint="eastAsia"/>
        </w:rPr>
        <w:t>本项目建设单位已严格按照《建设项目使用林地审核审批管理办法》的有关规定办理建设用地审批手续，手续正在按照流程审批。建设单位按照征地手续对所占用林地进行经济补偿，施工完成后对临时占地进行生态恢复。新疆油田分公司已向建设单位下达项目征地费用（新油计〔</w:t>
      </w:r>
      <w:r>
        <w:t>2022</w:t>
      </w:r>
      <w:r>
        <w:rPr>
          <w:rFonts w:hint="eastAsia"/>
        </w:rPr>
        <w:t>〕</w:t>
      </w:r>
      <w:r>
        <w:t>91</w:t>
      </w:r>
      <w:r>
        <w:rPr>
          <w:rFonts w:hint="eastAsia"/>
        </w:rPr>
        <w:t>号），用于林地恢复补偿。本项目符合该管理办法要求。</w:t>
      </w:r>
    </w:p>
    <w:p w14:paraId="29878A7A">
      <w:pPr>
        <w:pStyle w:val="191"/>
        <w:ind w:firstLine="480"/>
        <w:rPr>
          <w:rFonts w:hint="eastAsia"/>
        </w:rPr>
      </w:pPr>
      <w:r>
        <w:rPr>
          <w:rFonts w:hint="eastAsia"/>
        </w:rPr>
        <w:t>（7）与《新疆维吾尔自治区国家级公益林管护办法》相符性分析</w:t>
      </w:r>
    </w:p>
    <w:p w14:paraId="11182568">
      <w:pPr>
        <w:pStyle w:val="191"/>
        <w:ind w:firstLine="480"/>
        <w:rPr>
          <w:rFonts w:hint="eastAsia"/>
        </w:rPr>
      </w:pPr>
      <w:r>
        <w:rPr>
          <w:rFonts w:hint="eastAsia"/>
        </w:rPr>
        <w:t>《新疆维吾尔自治区国家级公益林管护办法》中要求：“勘查、开采矿藏和修建道路、水利、电力、通讯等工程建设需要占用征收国家级公益林地的，应当依法办理占用征收林地审核审批手续；占用征收国家级公益林地的单位,必须按国家和自治区相关规定缴纳相关费用；森林植被恢复费用于国家级公益林森林植被恢复，确保国家级公益林面积不减少”。</w:t>
      </w:r>
    </w:p>
    <w:p w14:paraId="6C46AF86">
      <w:pPr>
        <w:pStyle w:val="191"/>
        <w:ind w:firstLine="480"/>
        <w:rPr>
          <w:rFonts w:hint="eastAsia"/>
        </w:rPr>
      </w:pPr>
      <w:r>
        <w:rPr>
          <w:rFonts w:hint="eastAsia"/>
        </w:rPr>
        <w:t>本项目属于陆地石油开采项目，项目新建井场、管线部分位于国家二级公益林，建设单位已严格按照《建设项目使用林地审核审批管理办法》的有关规定办理建设用地审批手续，目前手续正在按照审批流程进行中。建设单位按照《关于公布实施自治区征地统一年产值标准的通知》《自治区重点建设项目征地拆迁补偿标准的通知》《关于调整森林植被恢复费征收标准引导节约集约利用林地的通知》和《关于调整兵团森林植被恢复费征收标准等有关问题的通知》中的有关规定，对占用的公益林第进行核算补偿费用。本项目符合该管护办法要求。</w:t>
      </w:r>
    </w:p>
    <w:p w14:paraId="53D7A486">
      <w:pPr>
        <w:pStyle w:val="4"/>
        <w:rPr>
          <w:rFonts w:hint="eastAsia"/>
        </w:rPr>
      </w:pPr>
      <w:r>
        <w:rPr>
          <w:rFonts w:hint="eastAsia"/>
        </w:rPr>
        <w:t>“三线一单”符合性分析</w:t>
      </w:r>
    </w:p>
    <w:bookmarkEnd w:id="157"/>
    <w:p w14:paraId="12CF8F8F">
      <w:pPr>
        <w:pStyle w:val="117"/>
        <w:ind w:firstLine="480"/>
        <w:rPr>
          <w:rFonts w:hint="eastAsia" w:cs="宋体"/>
        </w:rPr>
      </w:pPr>
      <w:r>
        <w:rPr>
          <w:rFonts w:hint="eastAsia" w:cs="宋体"/>
        </w:rPr>
        <w:t>（1）生态保护红线</w:t>
      </w:r>
    </w:p>
    <w:p w14:paraId="7199625C">
      <w:pPr>
        <w:pStyle w:val="191"/>
        <w:ind w:firstLine="480"/>
        <w:rPr>
          <w:rFonts w:hint="eastAsia"/>
        </w:rPr>
      </w:pPr>
      <w:bookmarkStart w:id="158" w:name="_Hlk92216543"/>
      <w:r>
        <w:rPr>
          <w:rFonts w:hint="eastAsia"/>
        </w:rPr>
        <w:t>项目区位于第六师五家渠市红旗农场境内，评价范围内无国家公园、自然保护区、风景名胜区、世界文化和自然遗产地和饮用水水源保护区，也无基本草原、森林公园、地质公园、重要湿地、天然林，重点野生保护动物栖息地，也无重点保护野生植物生长繁殖地。涉及生态环境敏感区为和准噶尔盆地南缘兵团级水土流失重点治理区，</w:t>
      </w:r>
      <w:r>
        <w:rPr>
          <w:rFonts w:hint="eastAsia"/>
          <w:lang w:bidi="ar"/>
        </w:rPr>
        <w:t>根据</w:t>
      </w:r>
      <w:bookmarkStart w:id="159" w:name="OLE_LINK276"/>
      <w:r>
        <w:rPr>
          <w:rFonts w:hint="eastAsia"/>
          <w:lang w:bidi="ar"/>
        </w:rPr>
        <w:t>《第六师五家渠市生态环境分区管控更新成果（</w:t>
      </w:r>
      <w:r>
        <w:rPr>
          <w:lang w:bidi="ar"/>
        </w:rPr>
        <w:t>2023</w:t>
      </w:r>
      <w:r>
        <w:rPr>
          <w:rFonts w:hint="eastAsia"/>
          <w:lang w:bidi="ar"/>
        </w:rPr>
        <w:t>版）》</w:t>
      </w:r>
      <w:bookmarkEnd w:id="159"/>
      <w:r>
        <w:rPr>
          <w:rFonts w:hint="eastAsia"/>
          <w:lang w:bidi="ar"/>
        </w:rPr>
        <w:t>可知，项目区位于红旗农场一般管控单元（环境管控单元编码</w:t>
      </w:r>
      <w:r>
        <w:rPr>
          <w:lang w:bidi="ar"/>
        </w:rPr>
        <w:t>ZH65761230001</w:t>
      </w:r>
      <w:r>
        <w:rPr>
          <w:rFonts w:hint="eastAsia"/>
          <w:lang w:bidi="ar"/>
        </w:rPr>
        <w:t>）</w:t>
      </w:r>
      <w:r>
        <w:rPr>
          <w:rFonts w:hint="eastAsia" w:cs="宋体"/>
        </w:rPr>
        <w:t>，不涉及生态保护红线。</w:t>
      </w:r>
    </w:p>
    <w:bookmarkEnd w:id="158"/>
    <w:p w14:paraId="3C353147">
      <w:pPr>
        <w:pStyle w:val="117"/>
        <w:ind w:firstLine="480"/>
        <w:rPr>
          <w:rFonts w:hint="eastAsia" w:cs="宋体"/>
        </w:rPr>
      </w:pPr>
      <w:r>
        <w:rPr>
          <w:rFonts w:hint="eastAsia" w:cs="宋体"/>
        </w:rPr>
        <w:t>（2）环境质量底线</w:t>
      </w:r>
    </w:p>
    <w:p w14:paraId="05B3C27D">
      <w:pPr>
        <w:pStyle w:val="191"/>
        <w:ind w:firstLine="480"/>
        <w:rPr>
          <w:rFonts w:hint="eastAsia" w:cs="宋体"/>
        </w:rPr>
      </w:pPr>
      <w:r>
        <w:rPr>
          <w:rStyle w:val="190"/>
          <w:rFonts w:hint="eastAsia"/>
        </w:rPr>
        <w:t>废气主要为无组织非甲烷总烃、硫化氢、二氧化硫、氮氧化物和颗粒物，在落实各项环保措施的前提下，</w:t>
      </w:r>
      <w:r>
        <w:t>非甲烷总烃</w:t>
      </w:r>
      <w:r>
        <w:rPr>
          <w:rFonts w:hint="eastAsia"/>
        </w:rPr>
        <w:t>可</w:t>
      </w:r>
      <w:r>
        <w:t>满足</w:t>
      </w:r>
      <w:r>
        <w:rPr>
          <w:rFonts w:hint="eastAsia"/>
        </w:rPr>
        <w:t>《陆上石油天然气开采工业大气污染物排放标准》（GB39728—2020）企业边界污染物控制要求，硫化氢排放浓度满足《恶臭污染物排放标准》（GB14554-93）表1二级新改扩建浓度，放空火炬燃烧烟气中二氧化硫、氮氧化物和颗粒物执行《大气污染物综合排放标准》（GB16297-1996）表2无组织排放监控浓度限值要求</w:t>
      </w:r>
      <w:r>
        <w:rPr>
          <w:rFonts w:hint="eastAsia" w:cs="宋体"/>
          <w:szCs w:val="21"/>
          <w:lang w:bidi="ar"/>
        </w:rPr>
        <w:t>。</w:t>
      </w:r>
      <w:r>
        <w:rPr>
          <w:rFonts w:hint="eastAsia"/>
        </w:rPr>
        <w:t>洗井废水和井下作业废液</w:t>
      </w:r>
      <w:r>
        <w:rPr>
          <w:rFonts w:hint="eastAsia" w:cs="宋体"/>
          <w:lang w:bidi="ar"/>
        </w:rPr>
        <w:t>（压裂返排液、酸化返排液和废洗井液）由罐车拉运至页岩油联合站旁的压裂液返排液处理装置处理，</w:t>
      </w:r>
      <w:r>
        <w:rPr>
          <w:rFonts w:hint="eastAsia"/>
        </w:rPr>
        <w:t>出水水质满足</w:t>
      </w:r>
      <w:r>
        <w:rPr>
          <w:rFonts w:hint="eastAsia"/>
          <w:lang w:val="zh-CN"/>
        </w:rPr>
        <w:t>《压裂酸化返排液处理技术规范》（</w:t>
      </w:r>
      <w:r>
        <w:rPr>
          <w:lang w:val="zh-CN"/>
        </w:rPr>
        <w:t>Q/SY02012-2016</w:t>
      </w:r>
      <w:r>
        <w:rPr>
          <w:rFonts w:hint="eastAsia"/>
          <w:lang w:val="zh-CN"/>
        </w:rPr>
        <w:t>）中的相关要求后用于压裂液复配</w:t>
      </w:r>
      <w:r>
        <w:rPr>
          <w:rFonts w:hint="eastAsia" w:cs="宋体"/>
          <w:lang w:bidi="ar"/>
        </w:rPr>
        <w:t>。</w:t>
      </w:r>
      <w:r>
        <w:rPr>
          <w:rFonts w:hint="eastAsia"/>
        </w:rPr>
        <w:t>噪声源主要为各类机泵，采取相应措施后站场边</w:t>
      </w:r>
      <w:r>
        <w:t>界昼夜噪声满足《工业企业厂界环境噪声排放标准》（GB12348-2008）中的2类区标准</w:t>
      </w:r>
      <w:r>
        <w:rPr>
          <w:rFonts w:hint="eastAsia"/>
        </w:rPr>
        <w:t>要求；固体废物主要为</w:t>
      </w:r>
      <w:r>
        <w:rPr>
          <w:rFonts w:hint="eastAsia" w:cs="宋体"/>
          <w:lang w:val="zh-CN"/>
        </w:rPr>
        <w:t>废脱硫剂包装物、清罐底泥、废润滑油、废润滑油桶、沾油废防渗材料、废含油抹布和劳保用品。清罐底泥、废润滑油、废润滑油桶、沾油废防渗材料属于《国家危险废物名录》（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废矿物油和含矿物油废物，废含油抹布和劳保用品属于《国家危险废物名录》（</w:t>
      </w:r>
      <w:r>
        <w:rPr>
          <w:rFonts w:cs="宋体"/>
          <w:lang w:val="zh-CN"/>
        </w:rPr>
        <w:t>2021</w:t>
      </w:r>
      <w:r>
        <w:rPr>
          <w:rFonts w:hint="eastAsia" w:cs="宋体"/>
          <w:lang w:val="zh-CN"/>
        </w:rPr>
        <w:t>年版）HW49其他废物，收集后交由有相应危险废物处理资质的单位处理。</w:t>
      </w:r>
      <w:r>
        <w:rPr>
          <w:rFonts w:hint="eastAsia" w:cs="宋体"/>
        </w:rPr>
        <w:t>废脱硫剂包装物属于一般工业固体废物，由厂家回收处置。综上所述，废气、噪声均可实现达标排放，废水和固体废物均得到妥善处置，符合环境质量底线的要求。</w:t>
      </w:r>
    </w:p>
    <w:p w14:paraId="5C38EFDA">
      <w:pPr>
        <w:pStyle w:val="117"/>
        <w:ind w:firstLine="480"/>
        <w:rPr>
          <w:rFonts w:hint="eastAsia" w:cs="宋体"/>
        </w:rPr>
      </w:pPr>
      <w:r>
        <w:rPr>
          <w:rFonts w:hint="eastAsia" w:cs="宋体"/>
        </w:rPr>
        <w:t>（3）资源利用上线</w:t>
      </w:r>
    </w:p>
    <w:p w14:paraId="0F56721D">
      <w:pPr>
        <w:pStyle w:val="117"/>
        <w:ind w:firstLine="480"/>
        <w:rPr>
          <w:rFonts w:hint="eastAsia"/>
        </w:rPr>
      </w:pPr>
      <w:r>
        <w:rPr>
          <w:rFonts w:hint="eastAsia"/>
        </w:rPr>
        <w:t>运营期消耗少量的电能和水，用量较少，不会突破区域总量控制指标，符合资源上限要求。</w:t>
      </w:r>
    </w:p>
    <w:p w14:paraId="026475F1">
      <w:pPr>
        <w:pStyle w:val="117"/>
        <w:ind w:firstLine="480"/>
        <w:rPr>
          <w:rFonts w:hint="eastAsia" w:cs="宋体"/>
        </w:rPr>
      </w:pPr>
      <w:bookmarkStart w:id="160" w:name="_Hlk92209691"/>
      <w:r>
        <w:rPr>
          <w:rFonts w:hint="eastAsia" w:cs="宋体"/>
        </w:rPr>
        <w:t>（4）生态环境准入清单</w:t>
      </w:r>
    </w:p>
    <w:p w14:paraId="630D42E4">
      <w:pPr>
        <w:pStyle w:val="191"/>
        <w:ind w:firstLine="480"/>
        <w:rPr>
          <w:rFonts w:hint="eastAsia"/>
          <w:lang w:bidi="ar"/>
        </w:rPr>
      </w:pPr>
      <w:r>
        <w:rPr>
          <w:rFonts w:hint="eastAsia" w:cs="宋体"/>
          <w:lang w:val="zh-CN"/>
        </w:rPr>
        <w:t>①</w:t>
      </w:r>
      <w:r>
        <w:rPr>
          <w:rFonts w:hint="eastAsia"/>
          <w:lang w:bidi="ar"/>
        </w:rPr>
        <w:t>与</w:t>
      </w:r>
      <w:bookmarkStart w:id="161" w:name="_Hlk80047881"/>
      <w:r>
        <w:rPr>
          <w:rFonts w:hint="eastAsia"/>
          <w:lang w:bidi="ar"/>
        </w:rPr>
        <w:t>《新疆维吾尔自治区“三线一单”生态环境分区管控方案》</w:t>
      </w:r>
      <w:bookmarkStart w:id="162" w:name="_Hlk80045814"/>
      <w:r>
        <w:rPr>
          <w:rFonts w:hint="eastAsia"/>
          <w:lang w:bidi="ar"/>
        </w:rPr>
        <w:t>符合性分析</w:t>
      </w:r>
    </w:p>
    <w:bookmarkEnd w:id="161"/>
    <w:bookmarkEnd w:id="162"/>
    <w:p w14:paraId="4B63ACDB">
      <w:pPr>
        <w:pStyle w:val="191"/>
        <w:ind w:firstLine="480"/>
        <w:rPr>
          <w:rFonts w:hint="eastAsia"/>
          <w:lang w:bidi="ar"/>
        </w:rPr>
      </w:pPr>
      <w:r>
        <w:rPr>
          <w:rFonts w:hint="eastAsia"/>
          <w:lang w:bidi="ar"/>
        </w:rPr>
        <w:t>根据《新疆维吾尔自治区“三线一单”生态环境分区管控方案》，本工程涉及“北疆北部片区”，该片区重点突出阿尔泰山、准噶尔西部山地等水源涵养功能和生物多样性功能维护、额尔齐斯河和额敏河环境风险防控。</w:t>
      </w:r>
    </w:p>
    <w:p w14:paraId="49EB26A6">
      <w:pPr>
        <w:pStyle w:val="191"/>
        <w:ind w:firstLine="480"/>
        <w:rPr>
          <w:rFonts w:hint="eastAsia"/>
          <w:lang w:bidi="ar"/>
        </w:rPr>
      </w:pPr>
      <w:r>
        <w:rPr>
          <w:rFonts w:hint="eastAsia"/>
          <w:lang w:bidi="ar"/>
        </w:rPr>
        <w:t>本工程不涉及阿尔泰山、准噶尔西部山地等水源涵养功能和生物多样性功能维护、额尔齐斯河和额敏河。符合自治区“三线一单”的总体管控要求。</w:t>
      </w:r>
    </w:p>
    <w:p w14:paraId="3326B75B">
      <w:pPr>
        <w:pStyle w:val="191"/>
        <w:ind w:firstLine="480"/>
        <w:rPr>
          <w:rFonts w:hint="eastAsia"/>
          <w:lang w:bidi="ar"/>
        </w:rPr>
      </w:pPr>
      <w:bookmarkStart w:id="163" w:name="_Hlk147580998"/>
      <w:r>
        <w:rPr>
          <w:rFonts w:hint="eastAsia"/>
          <w:lang w:bidi="ar"/>
        </w:rPr>
        <w:t>②与</w:t>
      </w:r>
      <w:bookmarkStart w:id="164" w:name="_Hlk91250993"/>
      <w:r>
        <w:rPr>
          <w:rFonts w:hint="eastAsia"/>
          <w:lang w:bidi="ar"/>
        </w:rPr>
        <w:t>《</w:t>
      </w:r>
      <w:bookmarkStart w:id="165" w:name="_Hlk129006125"/>
      <w:r>
        <w:rPr>
          <w:rFonts w:hint="eastAsia"/>
          <w:lang w:bidi="ar"/>
        </w:rPr>
        <w:t>新疆生产建设兵团“三线一单”生态环境分区管控方案</w:t>
      </w:r>
      <w:bookmarkEnd w:id="165"/>
      <w:r>
        <w:rPr>
          <w:rFonts w:hint="eastAsia"/>
          <w:lang w:bidi="ar"/>
        </w:rPr>
        <w:t>》（新兵发〔2021〕</w:t>
      </w:r>
      <w:r>
        <w:rPr>
          <w:lang w:bidi="ar"/>
        </w:rPr>
        <w:t>16</w:t>
      </w:r>
      <w:r>
        <w:rPr>
          <w:rFonts w:hint="eastAsia"/>
          <w:lang w:bidi="ar"/>
        </w:rPr>
        <w:t>号）</w:t>
      </w:r>
      <w:bookmarkEnd w:id="164"/>
      <w:r>
        <w:rPr>
          <w:rFonts w:hint="eastAsia"/>
          <w:lang w:bidi="ar"/>
        </w:rPr>
        <w:t>相关要求的符合性分析</w:t>
      </w:r>
    </w:p>
    <w:p w14:paraId="1F5D323F">
      <w:pPr>
        <w:pStyle w:val="191"/>
        <w:ind w:firstLine="480"/>
        <w:rPr>
          <w:rFonts w:hint="eastAsia" w:cs="宋体"/>
          <w:lang w:val="zh-CN"/>
        </w:rPr>
      </w:pPr>
      <w:r>
        <w:rPr>
          <w:rFonts w:hint="eastAsia"/>
          <w:lang w:bidi="ar"/>
        </w:rPr>
        <w:t>根据《新疆生产建设兵团“三线一单”生态环境分区管控方案》，全兵团共划定8</w:t>
      </w:r>
      <w:r>
        <w:rPr>
          <w:lang w:bidi="ar"/>
        </w:rPr>
        <w:t>62</w:t>
      </w:r>
      <w:r>
        <w:rPr>
          <w:rFonts w:hint="eastAsia"/>
          <w:lang w:bidi="ar"/>
        </w:rPr>
        <w:t>个环境管控单元，分为优先保护单元、重点管控单元和一般管控单元三类，实施分类管控。项目区位于一般管控单元，该区域以经济社会可持续发展为导向，生态环境保护与适度开发相结合，开发建设应落实现行生态环境保护基本要求。</w:t>
      </w:r>
      <w:bookmarkStart w:id="166" w:name="_Hlk159926608"/>
      <w:r>
        <w:rPr>
          <w:rFonts w:hint="eastAsia"/>
          <w:lang w:bidi="ar"/>
        </w:rPr>
        <w:t>报告针对项目施工期、运营期和退役期生态影响和污染影响均提出了有效措施，在严格落实环保措施的前提下，建设及运营过程中污染物均可实现达标排放，不会突破区域环境质量底线，项目建立了完善的风险防范及应急管控措施，在严格落实各项环境保护措施的前提下，不会发生风险事故。</w:t>
      </w:r>
      <w:bookmarkEnd w:id="166"/>
      <w:r>
        <w:rPr>
          <w:rFonts w:hint="eastAsia"/>
          <w:lang w:bidi="ar"/>
        </w:rPr>
        <w:t>符合《新疆生产建设兵团“三线一单”生态环境分区管控方案》的管控要求</w:t>
      </w:r>
      <w:r>
        <w:rPr>
          <w:rFonts w:hint="eastAsia" w:cs="宋体"/>
          <w:lang w:val="zh-CN"/>
        </w:rPr>
        <w:t>。</w:t>
      </w:r>
    </w:p>
    <w:p w14:paraId="6B5D4D26">
      <w:pPr>
        <w:pStyle w:val="191"/>
        <w:ind w:firstLine="480"/>
        <w:rPr>
          <w:rFonts w:hint="eastAsia"/>
          <w:lang w:bidi="ar"/>
        </w:rPr>
      </w:pPr>
      <w:bookmarkStart w:id="167" w:name="OLE_LINK130"/>
      <w:r>
        <w:rPr>
          <w:rFonts w:hint="eastAsia" w:cs="宋体"/>
          <w:lang w:val="zh-CN"/>
        </w:rPr>
        <w:t>③</w:t>
      </w:r>
      <w:r>
        <w:rPr>
          <w:rFonts w:hint="eastAsia"/>
          <w:lang w:bidi="ar"/>
        </w:rPr>
        <w:t>与《第六师五家渠市生态环境分区管控更新成果（2023版）》的符合性分析</w:t>
      </w:r>
    </w:p>
    <w:p w14:paraId="75659A12">
      <w:pPr>
        <w:pStyle w:val="191"/>
        <w:ind w:firstLine="480"/>
        <w:rPr>
          <w:rFonts w:hint="eastAsia"/>
          <w:lang w:bidi="ar"/>
        </w:rPr>
      </w:pPr>
      <w:bookmarkStart w:id="168" w:name="OLE_LINK94"/>
      <w:bookmarkStart w:id="169" w:name="_Hlk91195569"/>
      <w:r>
        <w:rPr>
          <w:rFonts w:hint="eastAsia"/>
          <w:lang w:bidi="ar"/>
        </w:rPr>
        <w:t>根据《第六师五家渠市生态环境分区管控更新成果（2023版）》可知，项目区位于</w:t>
      </w:r>
      <w:bookmarkStart w:id="170" w:name="_Hlk143883309"/>
      <w:r>
        <w:rPr>
          <w:rFonts w:hint="eastAsia"/>
          <w:lang w:bidi="ar"/>
        </w:rPr>
        <w:t>红旗农场一般管控单元（环境管控单元编码ZH65761230001）</w:t>
      </w:r>
      <w:bookmarkEnd w:id="168"/>
      <w:bookmarkEnd w:id="170"/>
      <w:r>
        <w:rPr>
          <w:rFonts w:hint="eastAsia"/>
          <w:lang w:bidi="ar"/>
        </w:rPr>
        <w:t>，结合该单元管控要求，与本工程采取的相关措施对比分析，项目的建设符合第六师五家渠市红旗农场生态环境准入清单的要求，详见表2.9-8。</w:t>
      </w:r>
    </w:p>
    <w:p w14:paraId="55D49AB3">
      <w:pPr>
        <w:pStyle w:val="15"/>
        <w:rPr>
          <w:rFonts w:hint="eastAsia"/>
          <w:szCs w:val="21"/>
          <w:lang w:bidi="ar"/>
        </w:rPr>
      </w:pPr>
      <w:r>
        <w:rPr>
          <w:rFonts w:hint="eastAsia"/>
        </w:rPr>
        <w:t>表2.9-8</w:t>
      </w:r>
      <w:r>
        <w:rPr>
          <w:rFonts w:hint="eastAsia"/>
          <w:szCs w:val="21"/>
          <w:lang w:bidi="ar"/>
        </w:rPr>
        <w:t xml:space="preserve">  本工程与第六师五家渠市红旗农场生态环境准入清单的符合性分析一览表</w:t>
      </w:r>
    </w:p>
    <w:tbl>
      <w:tblPr>
        <w:tblStyle w:val="51"/>
        <w:tblW w:w="5000" w:type="pct"/>
        <w:tblInd w:w="108"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508"/>
        <w:gridCol w:w="3308"/>
        <w:gridCol w:w="2601"/>
        <w:gridCol w:w="523"/>
      </w:tblGrid>
      <w:tr w14:paraId="2DB12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6" w:type="pct"/>
            <w:tcBorders>
              <w:top w:val="single" w:color="auto" w:sz="12" w:space="0"/>
              <w:left w:val="nil"/>
              <w:bottom w:val="single" w:color="auto" w:sz="4" w:space="0"/>
              <w:right w:val="single" w:color="auto" w:sz="4" w:space="0"/>
            </w:tcBorders>
            <w:tcMar>
              <w:top w:w="0" w:type="dxa"/>
              <w:left w:w="0" w:type="dxa"/>
              <w:bottom w:w="0" w:type="dxa"/>
              <w:right w:w="0" w:type="dxa"/>
            </w:tcMar>
            <w:vAlign w:val="center"/>
          </w:tcPr>
          <w:p w14:paraId="583FB019">
            <w:pPr>
              <w:pStyle w:val="278"/>
              <w:adjustRightInd w:val="0"/>
              <w:snapToGrid w:val="0"/>
              <w:spacing w:line="320" w:lineRule="exact"/>
              <w:rPr>
                <w:rFonts w:hint="eastAsia"/>
              </w:rPr>
            </w:pPr>
            <w:r>
              <w:rPr>
                <w:rFonts w:hint="eastAsia"/>
              </w:rPr>
              <w:t>环境管控单元名称及编码</w:t>
            </w:r>
          </w:p>
        </w:tc>
        <w:tc>
          <w:tcPr>
            <w:tcW w:w="2456" w:type="pct"/>
            <w:gridSpan w:val="2"/>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14:paraId="1E539E94">
            <w:pPr>
              <w:pStyle w:val="278"/>
              <w:adjustRightInd w:val="0"/>
              <w:snapToGrid w:val="0"/>
              <w:spacing w:line="320" w:lineRule="exact"/>
              <w:rPr>
                <w:rFonts w:hint="eastAsia"/>
              </w:rPr>
            </w:pPr>
            <w:r>
              <w:rPr>
                <w:rFonts w:hint="eastAsia"/>
              </w:rPr>
              <w:t>“三线一单”要求</w:t>
            </w:r>
          </w:p>
        </w:tc>
        <w:tc>
          <w:tcPr>
            <w:tcW w:w="1624" w:type="pc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14:paraId="08F75209">
            <w:pPr>
              <w:pStyle w:val="278"/>
              <w:adjustRightInd w:val="0"/>
              <w:snapToGrid w:val="0"/>
              <w:spacing w:line="320" w:lineRule="exact"/>
              <w:rPr>
                <w:rFonts w:hint="eastAsia"/>
              </w:rPr>
            </w:pPr>
            <w:r>
              <w:rPr>
                <w:rFonts w:hint="eastAsia"/>
              </w:rPr>
              <w:t>本工程采取的相关措施</w:t>
            </w:r>
          </w:p>
        </w:tc>
        <w:tc>
          <w:tcPr>
            <w:tcW w:w="434" w:type="pct"/>
            <w:tcBorders>
              <w:top w:val="single" w:color="auto" w:sz="12" w:space="0"/>
              <w:left w:val="single" w:color="auto" w:sz="4" w:space="0"/>
              <w:bottom w:val="single" w:color="auto" w:sz="4" w:space="0"/>
              <w:right w:val="nil"/>
            </w:tcBorders>
            <w:tcMar>
              <w:top w:w="0" w:type="dxa"/>
              <w:left w:w="0" w:type="dxa"/>
              <w:bottom w:w="0" w:type="dxa"/>
              <w:right w:w="0" w:type="dxa"/>
            </w:tcMar>
            <w:vAlign w:val="center"/>
          </w:tcPr>
          <w:p w14:paraId="1312D493">
            <w:pPr>
              <w:pStyle w:val="278"/>
              <w:adjustRightInd w:val="0"/>
              <w:snapToGrid w:val="0"/>
              <w:spacing w:line="320" w:lineRule="exact"/>
              <w:rPr>
                <w:rFonts w:hint="eastAsia"/>
              </w:rPr>
            </w:pPr>
            <w:r>
              <w:rPr>
                <w:rFonts w:hint="eastAsia"/>
              </w:rPr>
              <w:t>符合性</w:t>
            </w:r>
          </w:p>
          <w:p w14:paraId="5471D2CF">
            <w:pPr>
              <w:pStyle w:val="278"/>
              <w:adjustRightInd w:val="0"/>
              <w:snapToGrid w:val="0"/>
              <w:spacing w:line="320" w:lineRule="exact"/>
              <w:rPr>
                <w:rFonts w:hint="eastAsia"/>
              </w:rPr>
            </w:pPr>
            <w:r>
              <w:rPr>
                <w:rFonts w:hint="eastAsia"/>
              </w:rPr>
              <w:t>分析</w:t>
            </w:r>
          </w:p>
        </w:tc>
      </w:tr>
      <w:tr w14:paraId="28A385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6" w:type="pct"/>
            <w:vMerge w:val="restart"/>
            <w:tcBorders>
              <w:top w:val="single" w:color="auto" w:sz="4" w:space="0"/>
              <w:left w:val="nil"/>
              <w:bottom w:val="single" w:color="auto" w:sz="12" w:space="0"/>
              <w:right w:val="single" w:color="auto" w:sz="4" w:space="0"/>
            </w:tcBorders>
            <w:tcMar>
              <w:top w:w="0" w:type="dxa"/>
              <w:left w:w="0" w:type="dxa"/>
              <w:bottom w:w="0" w:type="dxa"/>
              <w:right w:w="0" w:type="dxa"/>
            </w:tcMar>
            <w:vAlign w:val="center"/>
          </w:tcPr>
          <w:p w14:paraId="01188F74">
            <w:pPr>
              <w:pStyle w:val="278"/>
              <w:adjustRightInd w:val="0"/>
              <w:snapToGrid w:val="0"/>
              <w:spacing w:line="320" w:lineRule="exact"/>
              <w:rPr>
                <w:rFonts w:hint="eastAsia"/>
              </w:rPr>
            </w:pPr>
            <w:r>
              <w:rPr>
                <w:rFonts w:hint="eastAsia"/>
              </w:rPr>
              <w:t>红旗农场一般管控单元（ZH65761230001）</w:t>
            </w:r>
          </w:p>
        </w:tc>
        <w:tc>
          <w:tcPr>
            <w:tcW w:w="42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264413EF">
            <w:pPr>
              <w:pStyle w:val="278"/>
              <w:adjustRightInd w:val="0"/>
              <w:snapToGrid w:val="0"/>
              <w:spacing w:line="320" w:lineRule="exact"/>
              <w:rPr>
                <w:rFonts w:hint="eastAsia"/>
              </w:rPr>
            </w:pPr>
            <w:r>
              <w:rPr>
                <w:rFonts w:hint="eastAsia"/>
              </w:rPr>
              <w:t>空间布局约束</w:t>
            </w:r>
          </w:p>
        </w:tc>
        <w:tc>
          <w:tcPr>
            <w:tcW w:w="2030"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1CBD738C">
            <w:pPr>
              <w:pStyle w:val="278"/>
              <w:adjustRightInd w:val="0"/>
              <w:snapToGrid w:val="0"/>
              <w:spacing w:line="320" w:lineRule="exact"/>
              <w:jc w:val="left"/>
              <w:rPr>
                <w:rFonts w:hint="eastAsia"/>
              </w:rPr>
            </w:pPr>
            <w:r>
              <w:rPr>
                <w:rFonts w:hint="eastAsia"/>
              </w:rPr>
              <w:t>（1）执行一般生态空间-生物多样性/防风固沙相关要求。</w:t>
            </w:r>
          </w:p>
          <w:p w14:paraId="2B0677EC">
            <w:pPr>
              <w:pStyle w:val="278"/>
              <w:adjustRightInd w:val="0"/>
              <w:snapToGrid w:val="0"/>
              <w:spacing w:line="320" w:lineRule="exact"/>
              <w:jc w:val="left"/>
              <w:rPr>
                <w:rFonts w:hint="eastAsia"/>
              </w:rPr>
            </w:pPr>
            <w:r>
              <w:rPr>
                <w:rFonts w:hint="eastAsia"/>
              </w:rPr>
              <w:t>（2）将保护现有荒漠植被作为防沙治沙的首要任务，持续开展防沙治沙工作，保护绿洲边缘荒漠林，避免营造高耗水的人工速生林。</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32336174">
            <w:pPr>
              <w:autoSpaceDE w:val="0"/>
              <w:autoSpaceDN w:val="0"/>
              <w:adjustRightInd w:val="0"/>
              <w:jc w:val="left"/>
            </w:pPr>
            <w:r>
              <w:rPr>
                <w:rFonts w:hint="eastAsia" w:ascii="宋体" w:cs="宋体"/>
                <w:kern w:val="0"/>
                <w:szCs w:val="21"/>
              </w:rPr>
              <w:t>项目建设会造成占地范围内植被生物量损失，通过采取本环评提出的生态恢复措施后，临时占地内植被在完工</w:t>
            </w:r>
            <w:r>
              <w:rPr>
                <w:rFonts w:hint="eastAsia" w:ascii="宋体" w:hAnsi="宋体" w:cs="宋体"/>
                <w:kern w:val="0"/>
                <w:szCs w:val="21"/>
              </w:rPr>
              <w:t>后</w:t>
            </w:r>
            <w:r>
              <w:rPr>
                <w:rFonts w:hint="eastAsia" w:ascii="宋体" w:hAnsi="宋体" w:cs="TimesNewRomanPSMT"/>
                <w:kern w:val="0"/>
                <w:szCs w:val="21"/>
              </w:rPr>
              <w:t>3～5</w:t>
            </w:r>
            <w:r>
              <w:rPr>
                <w:rFonts w:hint="eastAsia" w:ascii="宋体" w:hAnsi="宋体" w:cs="宋体"/>
                <w:kern w:val="0"/>
                <w:szCs w:val="21"/>
              </w:rPr>
              <w:t>年</w:t>
            </w:r>
            <w:r>
              <w:rPr>
                <w:rFonts w:hint="eastAsia" w:ascii="宋体" w:cs="宋体"/>
                <w:kern w:val="0"/>
                <w:szCs w:val="21"/>
              </w:rPr>
              <w:t>内可恢复原貌，不会对生物多样性、防风固沙治沙工作产生影响。本项目符合空间布局约束要求。</w:t>
            </w:r>
          </w:p>
        </w:tc>
        <w:tc>
          <w:tcPr>
            <w:tcW w:w="434"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782E709F">
            <w:pPr>
              <w:pStyle w:val="278"/>
              <w:adjustRightInd w:val="0"/>
              <w:snapToGrid w:val="0"/>
              <w:spacing w:line="320" w:lineRule="exact"/>
              <w:rPr>
                <w:rFonts w:hint="eastAsia"/>
              </w:rPr>
            </w:pPr>
            <w:r>
              <w:rPr>
                <w:rFonts w:hint="eastAsia"/>
              </w:rPr>
              <w:t>符合</w:t>
            </w:r>
          </w:p>
        </w:tc>
      </w:tr>
      <w:tr w14:paraId="38DB22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243CBA41">
            <w:pPr>
              <w:widowControl/>
              <w:jc w:val="left"/>
              <w:rPr>
                <w:rFonts w:hint="eastAsia" w:ascii="宋体" w:hAnsi="宋体"/>
                <w:kern w:val="0"/>
                <w:szCs w:val="21"/>
              </w:rPr>
            </w:pPr>
          </w:p>
        </w:tc>
        <w:tc>
          <w:tcPr>
            <w:tcW w:w="42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48C211B3">
            <w:pPr>
              <w:pStyle w:val="278"/>
              <w:adjustRightInd w:val="0"/>
              <w:snapToGrid w:val="0"/>
              <w:spacing w:line="320" w:lineRule="exact"/>
              <w:rPr>
                <w:rFonts w:hint="eastAsia"/>
              </w:rPr>
            </w:pPr>
            <w:r>
              <w:rPr>
                <w:rFonts w:hint="eastAsia"/>
              </w:rPr>
              <w:t>污染物排放管控</w:t>
            </w:r>
          </w:p>
        </w:tc>
        <w:tc>
          <w:tcPr>
            <w:tcW w:w="2030"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582DE1CF">
            <w:pPr>
              <w:pStyle w:val="278"/>
              <w:adjustRightInd w:val="0"/>
              <w:snapToGrid w:val="0"/>
              <w:spacing w:line="320" w:lineRule="exact"/>
              <w:jc w:val="left"/>
              <w:rPr>
                <w:rFonts w:hint="eastAsia"/>
              </w:rPr>
            </w:pPr>
            <w:r>
              <w:rPr>
                <w:rFonts w:hint="eastAsia"/>
              </w:rPr>
              <w:t>（1）合理使用化肥农药，鼓励使用配方肥。加强废弃农膜回收利用，提高农膜质量，严厉打击违法生产和销售不合格农膜的行为。</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33C9D9C">
            <w:pPr>
              <w:pStyle w:val="278"/>
              <w:adjustRightInd w:val="0"/>
              <w:snapToGrid w:val="0"/>
              <w:spacing w:line="320" w:lineRule="exact"/>
              <w:rPr>
                <w:rFonts w:hint="eastAsia"/>
              </w:rPr>
            </w:pPr>
            <w:r>
              <w:rPr>
                <w:rFonts w:hint="eastAsia"/>
              </w:rPr>
              <w:t>项目不使用农药化肥，不产生废弃农膜。</w:t>
            </w:r>
          </w:p>
        </w:tc>
        <w:tc>
          <w:tcPr>
            <w:tcW w:w="434"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77775A96">
            <w:pPr>
              <w:pStyle w:val="278"/>
              <w:adjustRightInd w:val="0"/>
              <w:snapToGrid w:val="0"/>
              <w:spacing w:line="320" w:lineRule="exact"/>
              <w:rPr>
                <w:rFonts w:hint="eastAsia"/>
              </w:rPr>
            </w:pPr>
            <w:r>
              <w:rPr>
                <w:rFonts w:hint="eastAsia"/>
              </w:rPr>
              <w:t>符合</w:t>
            </w:r>
          </w:p>
        </w:tc>
      </w:tr>
      <w:tr w14:paraId="436533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49C78C00">
            <w:pPr>
              <w:widowControl/>
              <w:jc w:val="left"/>
              <w:rPr>
                <w:rFonts w:hint="eastAsia" w:ascii="宋体" w:hAnsi="宋体"/>
                <w:kern w:val="0"/>
                <w:szCs w:val="21"/>
              </w:rPr>
            </w:pPr>
          </w:p>
        </w:tc>
        <w:tc>
          <w:tcPr>
            <w:tcW w:w="42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0752AD60">
            <w:pPr>
              <w:pStyle w:val="278"/>
              <w:adjustRightInd w:val="0"/>
              <w:snapToGrid w:val="0"/>
              <w:spacing w:line="320" w:lineRule="exact"/>
              <w:rPr>
                <w:rFonts w:hint="eastAsia"/>
              </w:rPr>
            </w:pPr>
            <w:r>
              <w:rPr>
                <w:rFonts w:hint="eastAsia"/>
              </w:rPr>
              <w:t>环境风险防控</w:t>
            </w:r>
          </w:p>
        </w:tc>
        <w:tc>
          <w:tcPr>
            <w:tcW w:w="2030"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09D1F965">
            <w:pPr>
              <w:pStyle w:val="278"/>
              <w:adjustRightInd w:val="0"/>
              <w:snapToGrid w:val="0"/>
              <w:spacing w:line="320" w:lineRule="exact"/>
              <w:jc w:val="left"/>
              <w:rPr>
                <w:rFonts w:hint="eastAsia"/>
              </w:rPr>
            </w:pPr>
            <w:r>
              <w:rPr>
                <w:rFonts w:hint="eastAsia"/>
              </w:rPr>
              <w:t>（1）对耕地面积减少或土壤环境质量下降的团场要进行预警提醒。</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57595009">
            <w:pPr>
              <w:pStyle w:val="278"/>
              <w:adjustRightInd w:val="0"/>
              <w:snapToGrid w:val="0"/>
              <w:spacing w:line="320" w:lineRule="exact"/>
              <w:rPr>
                <w:rFonts w:hint="eastAsia"/>
              </w:rPr>
            </w:pPr>
            <w:r>
              <w:rPr>
                <w:rFonts w:hint="eastAsia"/>
              </w:rPr>
              <w:t>本项目不占用耕地，土壤评价范围内涉及耕地，采取源头控制、分区防渗和跟踪监测等土壤环境保护措施后，不会使土壤环境质量下降。</w:t>
            </w:r>
          </w:p>
        </w:tc>
        <w:tc>
          <w:tcPr>
            <w:tcW w:w="434"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186059E4">
            <w:pPr>
              <w:pStyle w:val="278"/>
              <w:adjustRightInd w:val="0"/>
              <w:snapToGrid w:val="0"/>
              <w:spacing w:line="320" w:lineRule="exact"/>
              <w:rPr>
                <w:rFonts w:hint="eastAsia"/>
              </w:rPr>
            </w:pPr>
            <w:r>
              <w:rPr>
                <w:rFonts w:hint="eastAsia"/>
              </w:rPr>
              <w:t>符合</w:t>
            </w:r>
          </w:p>
        </w:tc>
      </w:tr>
      <w:tr w14:paraId="3B28A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1C76A89F">
            <w:pPr>
              <w:widowControl/>
              <w:jc w:val="left"/>
              <w:rPr>
                <w:rFonts w:hint="eastAsia" w:ascii="宋体" w:hAnsi="宋体"/>
                <w:kern w:val="0"/>
                <w:szCs w:val="21"/>
              </w:rPr>
            </w:pPr>
          </w:p>
        </w:tc>
        <w:tc>
          <w:tcPr>
            <w:tcW w:w="426" w:type="pct"/>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14:paraId="0F2FA8CB">
            <w:pPr>
              <w:pStyle w:val="278"/>
              <w:adjustRightInd w:val="0"/>
              <w:snapToGrid w:val="0"/>
              <w:spacing w:line="320" w:lineRule="exact"/>
              <w:rPr>
                <w:rFonts w:hint="eastAsia"/>
              </w:rPr>
            </w:pPr>
            <w:r>
              <w:rPr>
                <w:rFonts w:hint="eastAsia"/>
              </w:rPr>
              <w:t>资源利用效率</w:t>
            </w:r>
          </w:p>
        </w:tc>
        <w:tc>
          <w:tcPr>
            <w:tcW w:w="2030" w:type="pct"/>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14:paraId="326B1CBC">
            <w:pPr>
              <w:pStyle w:val="278"/>
              <w:adjustRightInd w:val="0"/>
              <w:snapToGrid w:val="0"/>
              <w:spacing w:line="320" w:lineRule="exact"/>
              <w:jc w:val="left"/>
              <w:rPr>
                <w:rFonts w:hint="eastAsia"/>
              </w:rPr>
            </w:pPr>
            <w:r>
              <w:rPr>
                <w:rFonts w:hint="eastAsia"/>
              </w:rPr>
              <w:t>（1）推行秸秆还田、增施有机肥、少耕免耕、粮豆轮作、化肥农药减量、农膜减量与回收利用等措施，切实保护耕地土壤环境质量。</w:t>
            </w:r>
          </w:p>
        </w:tc>
        <w:tc>
          <w:tcPr>
            <w:tcW w:w="1624" w:type="pct"/>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14:paraId="523A197C">
            <w:pPr>
              <w:pStyle w:val="278"/>
              <w:adjustRightInd w:val="0"/>
              <w:snapToGrid w:val="0"/>
              <w:spacing w:line="320" w:lineRule="exact"/>
              <w:rPr>
                <w:rFonts w:hint="eastAsia"/>
              </w:rPr>
            </w:pPr>
            <w:r>
              <w:rPr>
                <w:rFonts w:hint="eastAsia"/>
              </w:rPr>
              <w:t>不涉及该款要求。</w:t>
            </w:r>
          </w:p>
        </w:tc>
        <w:tc>
          <w:tcPr>
            <w:tcW w:w="434" w:type="pct"/>
            <w:tcBorders>
              <w:top w:val="single" w:color="auto" w:sz="4" w:space="0"/>
              <w:left w:val="single" w:color="auto" w:sz="4" w:space="0"/>
              <w:bottom w:val="single" w:color="auto" w:sz="12" w:space="0"/>
              <w:right w:val="nil"/>
            </w:tcBorders>
            <w:tcMar>
              <w:top w:w="0" w:type="dxa"/>
              <w:left w:w="0" w:type="dxa"/>
              <w:bottom w:w="0" w:type="dxa"/>
              <w:right w:w="0" w:type="dxa"/>
            </w:tcMar>
            <w:vAlign w:val="center"/>
          </w:tcPr>
          <w:p w14:paraId="19F084F0">
            <w:pPr>
              <w:pStyle w:val="278"/>
              <w:adjustRightInd w:val="0"/>
              <w:snapToGrid w:val="0"/>
              <w:spacing w:line="320" w:lineRule="exact"/>
              <w:rPr>
                <w:rFonts w:hint="eastAsia"/>
              </w:rPr>
            </w:pPr>
            <w:r>
              <w:rPr>
                <w:rFonts w:hint="eastAsia"/>
              </w:rPr>
              <w:t>符合</w:t>
            </w:r>
          </w:p>
        </w:tc>
      </w:tr>
      <w:bookmarkEnd w:id="167"/>
      <w:bookmarkEnd w:id="169"/>
    </w:tbl>
    <w:p w14:paraId="3D2E0CBB">
      <w:pPr>
        <w:pStyle w:val="191"/>
        <w:ind w:firstLine="480"/>
        <w:rPr>
          <w:rFonts w:hint="eastAsia" w:cs="宋体"/>
          <w:lang w:val="zh-CN"/>
        </w:rPr>
      </w:pPr>
    </w:p>
    <w:p w14:paraId="53134D92">
      <w:pPr>
        <w:pStyle w:val="191"/>
        <w:ind w:firstLine="480"/>
        <w:rPr>
          <w:rFonts w:hint="eastAsia"/>
          <w:lang w:bidi="ar"/>
        </w:rPr>
        <w:sectPr>
          <w:pgSz w:w="11906" w:h="16838"/>
          <w:pgMar w:top="1418" w:right="1588" w:bottom="1418" w:left="1588" w:header="1020" w:footer="1020" w:gutter="0"/>
          <w:cols w:space="720" w:num="1"/>
          <w:docGrid w:type="lines" w:linePitch="312" w:charSpace="0"/>
        </w:sectPr>
      </w:pPr>
    </w:p>
    <w:bookmarkEnd w:id="163"/>
    <w:p w14:paraId="68B28648">
      <w:pPr>
        <w:pStyle w:val="117"/>
        <w:spacing w:line="360" w:lineRule="auto"/>
        <w:ind w:firstLine="0" w:firstLineChars="0"/>
        <w:jc w:val="center"/>
        <w:rPr>
          <w:rFonts w:hint="eastAsia" w:cs="宋体"/>
          <w:lang w:val="zh-CN"/>
        </w:rPr>
      </w:pPr>
      <w:r>
        <w:rPr>
          <w:rFonts w:cs="宋体"/>
          <w:lang w:val="zh-CN"/>
        </w:rPr>
        <w:drawing>
          <wp:anchor distT="0" distB="0" distL="114300" distR="114300" simplePos="0" relativeHeight="251679744" behindDoc="0" locked="0" layoutInCell="1" allowOverlap="1">
            <wp:simplePos x="0" y="0"/>
            <wp:positionH relativeFrom="column">
              <wp:posOffset>808355</wp:posOffset>
            </wp:positionH>
            <wp:positionV relativeFrom="paragraph">
              <wp:posOffset>-6350</wp:posOffset>
            </wp:positionV>
            <wp:extent cx="7243445" cy="5123815"/>
            <wp:effectExtent l="0" t="0" r="0" b="635"/>
            <wp:wrapNone/>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7243445" cy="5123815"/>
                    </a:xfrm>
                    <a:prstGeom prst="rect">
                      <a:avLst/>
                    </a:prstGeom>
                    <a:noFill/>
                    <a:ln>
                      <a:noFill/>
                    </a:ln>
                  </pic:spPr>
                </pic:pic>
              </a:graphicData>
            </a:graphic>
          </wp:anchor>
        </w:drawing>
      </w:r>
    </w:p>
    <w:p w14:paraId="72089ECE">
      <w:pPr>
        <w:pStyle w:val="117"/>
        <w:spacing w:line="360" w:lineRule="auto"/>
        <w:ind w:firstLine="0" w:firstLineChars="0"/>
        <w:jc w:val="center"/>
        <w:rPr>
          <w:rFonts w:hint="eastAsia" w:cs="宋体"/>
          <w:lang w:val="zh-CN"/>
        </w:rPr>
      </w:pPr>
    </w:p>
    <w:p w14:paraId="407790F0">
      <w:pPr>
        <w:pStyle w:val="117"/>
        <w:spacing w:line="360" w:lineRule="auto"/>
        <w:ind w:firstLine="0" w:firstLineChars="0"/>
        <w:jc w:val="center"/>
        <w:rPr>
          <w:rFonts w:hint="eastAsia" w:cs="宋体"/>
          <w:lang w:val="zh-CN"/>
        </w:rPr>
      </w:pPr>
    </w:p>
    <w:p w14:paraId="0D1705B2">
      <w:pPr>
        <w:pStyle w:val="117"/>
        <w:spacing w:line="360" w:lineRule="auto"/>
        <w:ind w:firstLine="0" w:firstLineChars="0"/>
        <w:jc w:val="center"/>
        <w:rPr>
          <w:rFonts w:hint="eastAsia" w:cs="宋体"/>
          <w:lang w:val="zh-CN"/>
        </w:rPr>
      </w:pPr>
    </w:p>
    <w:p w14:paraId="4F9AF850">
      <w:pPr>
        <w:pStyle w:val="117"/>
        <w:spacing w:line="360" w:lineRule="auto"/>
        <w:ind w:firstLine="0" w:firstLineChars="0"/>
        <w:jc w:val="center"/>
        <w:rPr>
          <w:rFonts w:hint="eastAsia" w:cs="宋体"/>
          <w:lang w:val="zh-CN"/>
        </w:rPr>
      </w:pPr>
    </w:p>
    <w:p w14:paraId="15228111">
      <w:pPr>
        <w:pStyle w:val="117"/>
        <w:spacing w:line="360" w:lineRule="auto"/>
        <w:ind w:firstLine="0" w:firstLineChars="0"/>
        <w:jc w:val="center"/>
        <w:rPr>
          <w:rFonts w:hint="eastAsia" w:cs="宋体"/>
          <w:lang w:val="zh-CN"/>
        </w:rPr>
      </w:pPr>
    </w:p>
    <w:p w14:paraId="04AE5536">
      <w:pPr>
        <w:pStyle w:val="117"/>
        <w:spacing w:line="360" w:lineRule="auto"/>
        <w:ind w:firstLine="0" w:firstLineChars="0"/>
        <w:jc w:val="center"/>
        <w:rPr>
          <w:rFonts w:hint="eastAsia" w:cs="宋体"/>
          <w:lang w:val="zh-CN"/>
        </w:rPr>
      </w:pPr>
    </w:p>
    <w:p w14:paraId="7BB1B8A9">
      <w:pPr>
        <w:pStyle w:val="117"/>
        <w:spacing w:line="360" w:lineRule="auto"/>
        <w:ind w:firstLine="0" w:firstLineChars="0"/>
        <w:jc w:val="center"/>
        <w:rPr>
          <w:rFonts w:hint="eastAsia" w:cs="宋体"/>
          <w:lang w:val="zh-CN"/>
        </w:rPr>
      </w:pPr>
    </w:p>
    <w:p w14:paraId="713BE902">
      <w:pPr>
        <w:pStyle w:val="117"/>
        <w:spacing w:line="360" w:lineRule="auto"/>
        <w:ind w:firstLine="0" w:firstLineChars="0"/>
        <w:jc w:val="center"/>
        <w:rPr>
          <w:rFonts w:hint="eastAsia" w:cs="宋体"/>
          <w:lang w:val="zh-CN"/>
        </w:rPr>
      </w:pPr>
      <w:r>
        <w:rPr>
          <w:rFonts w:ascii="黑体" w:hAnsi="黑体" w:eastAsia="黑体" w:cstheme="minorBidi"/>
          <w:sz w:val="21"/>
          <w:szCs w:val="21"/>
          <w:lang w:bidi="ar"/>
          <w14:ligatures w14:val="standardContextual"/>
        </w:rPr>
        <mc:AlternateContent>
          <mc:Choice Requires="wps">
            <w:drawing>
              <wp:anchor distT="0" distB="0" distL="114300" distR="114300" simplePos="0" relativeHeight="251681792" behindDoc="0" locked="0" layoutInCell="1" allowOverlap="1">
                <wp:simplePos x="0" y="0"/>
                <wp:positionH relativeFrom="column">
                  <wp:posOffset>4124325</wp:posOffset>
                </wp:positionH>
                <wp:positionV relativeFrom="paragraph">
                  <wp:posOffset>195580</wp:posOffset>
                </wp:positionV>
                <wp:extent cx="941705" cy="296545"/>
                <wp:effectExtent l="0" t="0" r="10795" b="236855"/>
                <wp:wrapNone/>
                <wp:docPr id="928" name="对话气泡: 矩形 928"/>
                <wp:cNvGraphicFramePr/>
                <a:graphic xmlns:a="http://schemas.openxmlformats.org/drawingml/2006/main">
                  <a:graphicData uri="http://schemas.microsoft.com/office/word/2010/wordprocessingShape">
                    <wps:wsp>
                      <wps:cNvSpPr/>
                      <wps:spPr>
                        <a:xfrm>
                          <a:off x="0" y="0"/>
                          <a:ext cx="941705" cy="296545"/>
                        </a:xfrm>
                        <a:prstGeom prst="wedgeRectCallout">
                          <a:avLst>
                            <a:gd name="adj1" fmla="val -29198"/>
                            <a:gd name="adj2" fmla="val 114306"/>
                          </a:avLst>
                        </a:prstGeom>
                        <a:solidFill>
                          <a:srgbClr val="00FFFF"/>
                        </a:solidFill>
                        <a:ln w="12700" cap="flat" cmpd="sng" algn="ctr">
                          <a:solidFill>
                            <a:srgbClr val="0000FF"/>
                          </a:solidFill>
                          <a:prstDash val="solid"/>
                          <a:miter lim="800000"/>
                        </a:ln>
                        <a:effectLst/>
                      </wps:spPr>
                      <wps:txbx>
                        <w:txbxContent>
                          <w:p w14:paraId="6E646102">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矩形 928" o:spid="_x0000_s1026" o:spt="61" type="#_x0000_t61" style="position:absolute;left:0pt;margin-left:324.75pt;margin-top:15.4pt;height:23.35pt;width:74.15pt;z-index:251681792;v-text-anchor:middle;mso-width-relative:page;mso-height-relative:page;" fillcolor="#00FFFF" filled="t" stroked="t" coordsize="21600,21600" o:gfxdata="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CLCksF1gAAAAkBAAAPAAAA&#10;AAAAAAEAIAAAACIAAABkcnMvZG93bnJldi54bWxQSwECFAAUAAAACACHTuJAy5cU7cICAAB9BQAA&#10;DgAAAAAAAAABACAAAAAlAQAAZHJzL2Uyb0RvYy54bWxQSwUGAAAAAAYABgBZAQAAWQYAAAAA&#10;" adj="4493,35490">
                <v:fill on="t" focussize="0,0"/>
                <v:stroke weight="1pt" color="#0000FF" miterlimit="8" joinstyle="miter"/>
                <v:imagedata o:title=""/>
                <o:lock v:ext="edit" aspectratio="f"/>
                <v:textbox>
                  <w:txbxContent>
                    <w:p w14:paraId="6E646102">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项目区位置</w:t>
                      </w:r>
                    </w:p>
                  </w:txbxContent>
                </v:textbox>
              </v:shape>
            </w:pict>
          </mc:Fallback>
        </mc:AlternateContent>
      </w:r>
    </w:p>
    <w:p w14:paraId="5E5137C3">
      <w:pPr>
        <w:pStyle w:val="117"/>
        <w:spacing w:line="360" w:lineRule="auto"/>
        <w:ind w:firstLine="0" w:firstLineChars="0"/>
        <w:jc w:val="center"/>
        <w:rPr>
          <w:rFonts w:hint="eastAsia" w:cs="宋体"/>
          <w:lang w:val="zh-CN"/>
        </w:rPr>
      </w:pPr>
    </w:p>
    <w:p w14:paraId="56CBEA96">
      <w:pPr>
        <w:pStyle w:val="117"/>
        <w:spacing w:line="360" w:lineRule="auto"/>
        <w:ind w:firstLine="0" w:firstLineChars="0"/>
        <w:jc w:val="center"/>
        <w:rPr>
          <w:rFonts w:hint="eastAsia" w:cs="宋体"/>
          <w:lang w:val="zh-CN"/>
        </w:rPr>
      </w:pPr>
      <w:r>
        <w:rPr>
          <w:rFonts w:ascii="黑体" w:hAnsi="黑体" w:eastAsia="黑体" w:cstheme="minorBidi"/>
          <w:sz w:val="21"/>
          <w:szCs w:val="21"/>
          <w:lang w:bidi="ar"/>
          <w14:ligatures w14:val="standardContextual"/>
        </w:rPr>
        <mc:AlternateContent>
          <mc:Choice Requires="wps">
            <w:drawing>
              <wp:anchor distT="0" distB="0" distL="114300" distR="114300" simplePos="0" relativeHeight="251680768" behindDoc="0" locked="0" layoutInCell="1" allowOverlap="1">
                <wp:simplePos x="0" y="0"/>
                <wp:positionH relativeFrom="column">
                  <wp:posOffset>4279265</wp:posOffset>
                </wp:positionH>
                <wp:positionV relativeFrom="paragraph">
                  <wp:posOffset>64770</wp:posOffset>
                </wp:positionV>
                <wp:extent cx="85090" cy="81280"/>
                <wp:effectExtent l="19050" t="38100" r="29210" b="33020"/>
                <wp:wrapNone/>
                <wp:docPr id="927" name="星形: 五角 927"/>
                <wp:cNvGraphicFramePr/>
                <a:graphic xmlns:a="http://schemas.openxmlformats.org/drawingml/2006/main">
                  <a:graphicData uri="http://schemas.microsoft.com/office/word/2010/wordprocessingShape">
                    <wps:wsp>
                      <wps:cNvSpPr/>
                      <wps:spPr>
                        <a:xfrm>
                          <a:off x="0" y="0"/>
                          <a:ext cx="85090" cy="81280"/>
                        </a:xfrm>
                        <a:prstGeom prst="star5">
                          <a:avLst/>
                        </a:prstGeom>
                        <a:solidFill>
                          <a:srgbClr val="0000FF"/>
                        </a:solidFill>
                        <a:ln w="12700" cap="flat" cmpd="sng" algn="ctr">
                          <a:solidFill>
                            <a:srgbClr val="0000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星形: 五角 927" o:spid="_x0000_s1026" style="position:absolute;left:0pt;margin-left:336.95pt;margin-top:5.1pt;height:6.4pt;width:6.7pt;z-index:251680768;v-text-anchor:middle;mso-width-relative:page;mso-height-relative:page;" fillcolor="#0000FF" filled="t" stroked="t" coordsize="85090,81280" o:gfxdata="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1RS9E2QAAAAkBAAAPAAAAAAAAAAEA&#10;IAAAACIAAABkcnMvZG93bnJldi54bWxQSwECFAAUAAAACACHTuJArfFjo4ACAAAMBQAADgAAAAAA&#10;AAABACAAAAAoAQAAZHJzL2Uyb0RvYy54bWxQSwUGAAAAAAYABgBZAQAAGgYAAAAA&#10;" path="m0,31046l32501,31046,42545,0,52588,31046,85089,31046,58795,50233,68839,81279,42545,62091,16250,81279,26294,50233xe">
                <v:path o:connectlocs="42545,0;0,31046;16250,81279;68839,81279;85089,31046" o:connectangles="247,164,82,82,0"/>
                <v:fill on="t" focussize="0,0"/>
                <v:stroke weight="1pt" color="#0000FF" miterlimit="8" joinstyle="miter"/>
                <v:imagedata o:title=""/>
                <o:lock v:ext="edit" aspectratio="f"/>
              </v:shape>
            </w:pict>
          </mc:Fallback>
        </mc:AlternateContent>
      </w:r>
    </w:p>
    <w:p w14:paraId="7CA5B3A9">
      <w:pPr>
        <w:pStyle w:val="117"/>
        <w:spacing w:line="360" w:lineRule="auto"/>
        <w:ind w:firstLine="0" w:firstLineChars="0"/>
        <w:jc w:val="center"/>
        <w:rPr>
          <w:rFonts w:hint="eastAsia" w:cs="宋体"/>
          <w:lang w:val="zh-CN"/>
        </w:rPr>
      </w:pPr>
    </w:p>
    <w:p w14:paraId="680A1842">
      <w:pPr>
        <w:pStyle w:val="117"/>
        <w:spacing w:line="360" w:lineRule="auto"/>
        <w:ind w:firstLine="0" w:firstLineChars="0"/>
        <w:jc w:val="center"/>
        <w:rPr>
          <w:rFonts w:hint="eastAsia" w:cs="宋体"/>
          <w:lang w:val="zh-CN"/>
        </w:rPr>
      </w:pPr>
    </w:p>
    <w:p w14:paraId="5E66A17E">
      <w:pPr>
        <w:pStyle w:val="117"/>
        <w:spacing w:line="360" w:lineRule="auto"/>
        <w:ind w:firstLine="0" w:firstLineChars="0"/>
        <w:jc w:val="center"/>
        <w:rPr>
          <w:rFonts w:hint="eastAsia" w:cs="宋体"/>
          <w:lang w:val="zh-CN"/>
        </w:rPr>
      </w:pPr>
    </w:p>
    <w:p w14:paraId="303A558D">
      <w:pPr>
        <w:pStyle w:val="117"/>
        <w:spacing w:line="360" w:lineRule="auto"/>
        <w:ind w:firstLine="0" w:firstLineChars="0"/>
        <w:jc w:val="center"/>
        <w:rPr>
          <w:rFonts w:hint="eastAsia" w:cs="宋体"/>
          <w:lang w:val="zh-CN"/>
        </w:rPr>
      </w:pPr>
    </w:p>
    <w:p w14:paraId="57EFC93F">
      <w:pPr>
        <w:pStyle w:val="117"/>
        <w:spacing w:line="360" w:lineRule="auto"/>
        <w:ind w:firstLine="0" w:firstLineChars="0"/>
        <w:jc w:val="center"/>
        <w:rPr>
          <w:rFonts w:hint="eastAsia" w:cs="宋体"/>
          <w:lang w:val="zh-CN"/>
        </w:rPr>
      </w:pPr>
    </w:p>
    <w:p w14:paraId="4CF28CB4">
      <w:pPr>
        <w:pStyle w:val="117"/>
        <w:spacing w:line="360" w:lineRule="auto"/>
        <w:ind w:firstLine="0" w:firstLineChars="0"/>
        <w:jc w:val="center"/>
        <w:rPr>
          <w:rFonts w:hint="eastAsia" w:cs="宋体"/>
          <w:lang w:val="zh-CN"/>
        </w:rPr>
      </w:pPr>
    </w:p>
    <w:p w14:paraId="47384999">
      <w:pPr>
        <w:pStyle w:val="117"/>
        <w:spacing w:line="360" w:lineRule="auto"/>
        <w:ind w:firstLine="0" w:firstLineChars="0"/>
        <w:jc w:val="center"/>
        <w:rPr>
          <w:rFonts w:hint="eastAsia" w:ascii="黑体" w:hAnsi="黑体" w:eastAsia="黑体"/>
          <w:sz w:val="21"/>
          <w:szCs w:val="21"/>
          <w:lang w:bidi="ar"/>
        </w:rPr>
      </w:pPr>
      <w:r>
        <w:rPr>
          <w:rFonts w:ascii="黑体" w:hAnsi="黑体" w:eastAsia="黑体"/>
          <w:sz w:val="21"/>
          <w:szCs w:val="21"/>
          <w:lang w:bidi="ar"/>
        </w:rPr>
        <mc:AlternateContent>
          <mc:Choice Requires="wps">
            <w:drawing>
              <wp:anchor distT="0" distB="0" distL="114300" distR="114300" simplePos="0" relativeHeight="251672576" behindDoc="0" locked="0" layoutInCell="1" allowOverlap="1">
                <wp:simplePos x="0" y="0"/>
                <wp:positionH relativeFrom="column">
                  <wp:posOffset>4267835</wp:posOffset>
                </wp:positionH>
                <wp:positionV relativeFrom="paragraph">
                  <wp:posOffset>2486025</wp:posOffset>
                </wp:positionV>
                <wp:extent cx="941705" cy="296545"/>
                <wp:effectExtent l="0" t="0" r="10795" b="294005"/>
                <wp:wrapNone/>
                <wp:docPr id="5" name="对话气泡: 矩形 5"/>
                <wp:cNvGraphicFramePr/>
                <a:graphic xmlns:a="http://schemas.openxmlformats.org/drawingml/2006/main">
                  <a:graphicData uri="http://schemas.microsoft.com/office/word/2010/wordprocessingShape">
                    <wps:wsp>
                      <wps:cNvSpPr/>
                      <wps:spPr>
                        <a:xfrm>
                          <a:off x="0" y="0"/>
                          <a:ext cx="941705" cy="296545"/>
                        </a:xfrm>
                        <a:prstGeom prst="wedgeRectCallout">
                          <a:avLst>
                            <a:gd name="adj1" fmla="val -16410"/>
                            <a:gd name="adj2" fmla="val 130520"/>
                          </a:avLst>
                        </a:prstGeom>
                        <a:solidFill>
                          <a:srgbClr val="00FFFF"/>
                        </a:solidFill>
                        <a:ln w="12700" cap="flat" cmpd="sng" algn="ctr">
                          <a:solidFill>
                            <a:srgbClr val="0000FF"/>
                          </a:solidFill>
                          <a:prstDash val="solid"/>
                          <a:miter lim="800000"/>
                        </a:ln>
                        <a:effectLst/>
                      </wps:spPr>
                      <wps:txbx>
                        <w:txbxContent>
                          <w:p w14:paraId="511D5C4C">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矩形 5" o:spid="_x0000_s1026" o:spt="61" type="#_x0000_t61" style="position:absolute;left:0pt;margin-left:336.05pt;margin-top:195.75pt;height:23.35pt;width:74.15pt;z-index:251672576;v-text-anchor:middle;mso-width-relative:page;mso-height-relative:page;" fillcolor="#00FFFF" filled="t" stroked="t" coordsize="21600,21600" o:gfxdata="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xVHINwAAAALAQAA&#10;DwAAAAAAAAABACAAAAAiAAAAZHJzL2Rvd25yZXYueG1sUEsBAhQAFAAAAAgAh07iQPiXEE7AAgAA&#10;eQUAAA4AAAAAAAAAAQAgAAAAKwEAAGRycy9lMm9Eb2MueG1sUEsFBgAAAAAGAAYAWQEAAF0GAAAA&#10;AA==&#10;" adj="7255,38992">
                <v:fill on="t" focussize="0,0"/>
                <v:stroke weight="1pt" color="#0000FF" miterlimit="8" joinstyle="miter"/>
                <v:imagedata o:title=""/>
                <o:lock v:ext="edit" aspectratio="f"/>
                <v:textbox>
                  <w:txbxContent>
                    <w:p w14:paraId="511D5C4C">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项目区位置</w:t>
                      </w:r>
                    </w:p>
                  </w:txbxContent>
                </v:textbox>
              </v:shape>
            </w:pict>
          </mc:Fallback>
        </mc:AlternateContent>
      </w:r>
      <w:r>
        <w:rPr>
          <w:rFonts w:ascii="黑体" w:hAnsi="黑体" w:eastAsia="黑体"/>
          <w:sz w:val="21"/>
          <w:szCs w:val="21"/>
          <w:lang w:bidi="ar"/>
        </w:rPr>
        <mc:AlternateContent>
          <mc:Choice Requires="wps">
            <w:drawing>
              <wp:anchor distT="0" distB="0" distL="114300" distR="114300" simplePos="0" relativeHeight="251671552" behindDoc="0" locked="0" layoutInCell="1" allowOverlap="1">
                <wp:simplePos x="0" y="0"/>
                <wp:positionH relativeFrom="margin">
                  <wp:posOffset>4525010</wp:posOffset>
                </wp:positionH>
                <wp:positionV relativeFrom="paragraph">
                  <wp:posOffset>2990850</wp:posOffset>
                </wp:positionV>
                <wp:extent cx="85090" cy="81280"/>
                <wp:effectExtent l="19050" t="38100" r="29210" b="33020"/>
                <wp:wrapNone/>
                <wp:docPr id="4" name="星形: 五角 4"/>
                <wp:cNvGraphicFramePr/>
                <a:graphic xmlns:a="http://schemas.openxmlformats.org/drawingml/2006/main">
                  <a:graphicData uri="http://schemas.microsoft.com/office/word/2010/wordprocessingShape">
                    <wps:wsp>
                      <wps:cNvSpPr/>
                      <wps:spPr>
                        <a:xfrm>
                          <a:off x="0" y="0"/>
                          <a:ext cx="85090" cy="81280"/>
                        </a:xfrm>
                        <a:prstGeom prst="star5">
                          <a:avLst/>
                        </a:prstGeom>
                        <a:solidFill>
                          <a:srgbClr val="0000FF"/>
                        </a:solidFill>
                        <a:ln w="12700" cap="flat" cmpd="sng" algn="ctr">
                          <a:solidFill>
                            <a:srgbClr val="0000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星形: 五角 4" o:spid="_x0000_s1026" style="position:absolute;left:0pt;margin-left:356.3pt;margin-top:235.5pt;height:6.4pt;width:6.7pt;mso-position-horizontal-relative:margin;z-index:251671552;v-text-anchor:middle;mso-width-relative:page;mso-height-relative:page;" fillcolor="#0000FF" filled="t" stroked="t" coordsize="85090,81280" o:gfxdata="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WkL9S2wAAAAsBAAAPAAAAAAAAAAEA&#10;IAAAACIAAABkcnMvZG93bnJldi54bWxQSwECFAAUAAAACACHTuJAEynmS34CAAAIBQAADgAAAAAA&#10;AAABACAAAAAqAQAAZHJzL2Uyb0RvYy54bWxQSwUGAAAAAAYABgBZAQAAGgYAAAAA&#10;" path="m0,31046l32501,31046,42545,0,52588,31046,85089,31046,58795,50233,68839,81279,42545,62091,16250,81279,26294,50233xe">
                <v:path o:connectlocs="42545,0;0,31046;16250,81279;68839,81279;85089,31046" o:connectangles="247,164,82,82,0"/>
                <v:fill on="t" focussize="0,0"/>
                <v:stroke weight="1pt" color="#0000FF" miterlimit="8" joinstyle="miter"/>
                <v:imagedata o:title=""/>
                <o:lock v:ext="edit" aspectratio="f"/>
              </v:shape>
            </w:pict>
          </mc:Fallback>
        </mc:AlternateContent>
      </w:r>
      <w:r>
        <w:rPr>
          <w:rFonts w:hint="eastAsia" w:cs="宋体"/>
          <w:lang w:val="zh-CN"/>
        </w:rPr>
        <w:t>图</w:t>
      </w:r>
      <w:r>
        <w:rPr>
          <w:rFonts w:hint="eastAsia" w:ascii="黑体" w:hAnsi="黑体" w:eastAsia="黑体"/>
          <w:sz w:val="21"/>
          <w:szCs w:val="21"/>
          <w:lang w:bidi="ar"/>
        </w:rPr>
        <w:t>2.9-1  项目在第六师五家渠市环境管控单元图中的位置示意图</w:t>
      </w:r>
    </w:p>
    <w:p w14:paraId="40909423">
      <w:pPr>
        <w:pStyle w:val="117"/>
        <w:spacing w:line="360" w:lineRule="auto"/>
        <w:ind w:firstLine="0" w:firstLineChars="0"/>
        <w:jc w:val="center"/>
        <w:rPr>
          <w:rFonts w:hint="eastAsia" w:cs="宋体"/>
          <w:lang w:val="zh-CN"/>
        </w:rPr>
        <w:sectPr>
          <w:pgSz w:w="16838" w:h="11906" w:orient="landscape"/>
          <w:pgMar w:top="1588" w:right="1418" w:bottom="1588" w:left="1418" w:header="1020" w:footer="1020" w:gutter="0"/>
          <w:cols w:space="720" w:num="1"/>
          <w:docGrid w:type="lines" w:linePitch="312" w:charSpace="0"/>
        </w:sectPr>
      </w:pPr>
    </w:p>
    <w:bookmarkEnd w:id="160"/>
    <w:p w14:paraId="63007353">
      <w:pPr>
        <w:pStyle w:val="3"/>
        <w:spacing w:line="480" w:lineRule="exact"/>
        <w:rPr>
          <w:rFonts w:hint="eastAsia"/>
        </w:rPr>
      </w:pPr>
      <w:bookmarkStart w:id="171" w:name="_Toc160381871"/>
      <w:r>
        <w:rPr>
          <w:rFonts w:hint="eastAsia"/>
        </w:rPr>
        <w:t>建设项目工程分析</w:t>
      </w:r>
      <w:bookmarkEnd w:id="171"/>
    </w:p>
    <w:p w14:paraId="23552406">
      <w:pPr>
        <w:pStyle w:val="2"/>
        <w:rPr>
          <w:rFonts w:hint="eastAsia"/>
        </w:rPr>
      </w:pPr>
      <w:bookmarkStart w:id="172" w:name="_Toc160381872"/>
      <w:r>
        <w:rPr>
          <w:rFonts w:hint="eastAsia"/>
        </w:rPr>
        <w:t>现有工程概况及环境影响回顾</w:t>
      </w:r>
      <w:bookmarkEnd w:id="172"/>
    </w:p>
    <w:p w14:paraId="1453D119">
      <w:pPr>
        <w:pStyle w:val="4"/>
        <w:rPr>
          <w:rFonts w:hint="eastAsia"/>
          <w:spacing w:val="4"/>
        </w:rPr>
      </w:pPr>
      <w:r>
        <w:rPr>
          <w:rFonts w:hint="eastAsia"/>
          <w:spacing w:val="4"/>
        </w:rPr>
        <w:t>区域位置</w:t>
      </w:r>
    </w:p>
    <w:p w14:paraId="60090FA0">
      <w:pPr>
        <w:pStyle w:val="117"/>
        <w:ind w:firstLine="480"/>
        <w:rPr>
          <w:rFonts w:hint="eastAsia" w:cs="宋体"/>
        </w:rPr>
      </w:pPr>
      <w:r>
        <w:rPr>
          <w:rFonts w:hint="eastAsia" w:cs="宋体"/>
        </w:rPr>
        <w:t>吉木萨尔凹陷页岩油层富集区位于新疆准噶尔盆地东部，距离乌鲁木齐市东北方向150km，距离吉木萨尔县西北方向23km，距离已开发的吉7井区西北方向15km。本项目行政隶属新疆维吾尔自治区吉木萨尔县管辖。油区有多条公路穿过，交通较为便利。区域油气藏分布示意图见图3.1-1。</w:t>
      </w:r>
    </w:p>
    <w:p w14:paraId="133B02CA">
      <w:pPr>
        <w:jc w:val="center"/>
        <w:rPr>
          <w:rFonts w:hint="eastAsia" w:ascii="黑体" w:hAnsi="黑体" w:eastAsia="黑体"/>
          <w:spacing w:val="-4"/>
          <w:szCs w:val="21"/>
        </w:rPr>
      </w:pPr>
      <w:bookmarkStart w:id="173" w:name="_Hlk86625794"/>
    </w:p>
    <w:p w14:paraId="59E6CCA2">
      <w:pPr>
        <w:jc w:val="center"/>
        <w:rPr>
          <w:rFonts w:hint="eastAsia" w:ascii="黑体" w:hAnsi="黑体" w:eastAsia="黑体"/>
          <w:spacing w:val="-4"/>
          <w:szCs w:val="21"/>
        </w:rPr>
      </w:pPr>
    </w:p>
    <w:p w14:paraId="0645471C">
      <w:pPr>
        <w:jc w:val="center"/>
        <w:rPr>
          <w:rFonts w:hint="eastAsia" w:ascii="黑体" w:hAnsi="黑体" w:eastAsia="黑体"/>
          <w:spacing w:val="-4"/>
          <w:szCs w:val="21"/>
        </w:rPr>
      </w:pPr>
    </w:p>
    <w:p w14:paraId="2AC5B1FF">
      <w:pPr>
        <w:jc w:val="center"/>
        <w:rPr>
          <w:rFonts w:hint="eastAsia" w:ascii="黑体" w:hAnsi="黑体" w:eastAsia="黑体"/>
          <w:spacing w:val="-4"/>
          <w:szCs w:val="21"/>
        </w:rPr>
      </w:pPr>
    </w:p>
    <w:p w14:paraId="7D4A5FA5">
      <w:pPr>
        <w:jc w:val="center"/>
        <w:rPr>
          <w:rFonts w:hint="eastAsia" w:ascii="黑体" w:hAnsi="黑体" w:eastAsia="黑体"/>
          <w:spacing w:val="-4"/>
          <w:szCs w:val="21"/>
        </w:rPr>
      </w:pPr>
    </w:p>
    <w:p w14:paraId="29443F3E">
      <w:pPr>
        <w:jc w:val="center"/>
        <w:rPr>
          <w:rFonts w:hint="eastAsia" w:ascii="黑体" w:hAnsi="黑体" w:eastAsia="黑体"/>
          <w:spacing w:val="-4"/>
          <w:szCs w:val="21"/>
        </w:rPr>
      </w:pPr>
    </w:p>
    <w:p w14:paraId="3A3B0291">
      <w:pPr>
        <w:jc w:val="center"/>
        <w:rPr>
          <w:rFonts w:hint="eastAsia" w:ascii="黑体" w:hAnsi="黑体" w:eastAsia="黑体"/>
          <w:spacing w:val="-4"/>
          <w:szCs w:val="21"/>
        </w:rPr>
      </w:pPr>
    </w:p>
    <w:p w14:paraId="04DE54BD">
      <w:pPr>
        <w:jc w:val="center"/>
        <w:rPr>
          <w:rFonts w:hint="eastAsia" w:ascii="黑体" w:hAnsi="黑体" w:eastAsia="黑体"/>
          <w:spacing w:val="-4"/>
          <w:szCs w:val="21"/>
        </w:rPr>
      </w:pPr>
      <w:r>
        <w:drawing>
          <wp:anchor distT="0" distB="0" distL="114300" distR="114300" simplePos="0" relativeHeight="251673600" behindDoc="0" locked="0" layoutInCell="1" allowOverlap="1">
            <wp:simplePos x="0" y="0"/>
            <wp:positionH relativeFrom="column">
              <wp:posOffset>-71120</wp:posOffset>
            </wp:positionH>
            <wp:positionV relativeFrom="paragraph">
              <wp:posOffset>-1417320</wp:posOffset>
            </wp:positionV>
            <wp:extent cx="5543550" cy="3978910"/>
            <wp:effectExtent l="0" t="0" r="0" b="2540"/>
            <wp:wrapNone/>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9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543550" cy="3978910"/>
                    </a:xfrm>
                    <a:prstGeom prst="rect">
                      <a:avLst/>
                    </a:prstGeom>
                    <a:noFill/>
                    <a:ln>
                      <a:noFill/>
                    </a:ln>
                    <a:effectLst/>
                  </pic:spPr>
                </pic:pic>
              </a:graphicData>
            </a:graphic>
          </wp:anchor>
        </w:drawing>
      </w:r>
    </w:p>
    <w:p w14:paraId="606584E4">
      <w:pPr>
        <w:jc w:val="center"/>
        <w:rPr>
          <w:rFonts w:hint="eastAsia" w:ascii="黑体" w:hAnsi="黑体" w:eastAsia="黑体"/>
          <w:spacing w:val="-4"/>
          <w:szCs w:val="21"/>
        </w:rPr>
      </w:pPr>
    </w:p>
    <w:p w14:paraId="31A7FB71">
      <w:pPr>
        <w:jc w:val="center"/>
        <w:rPr>
          <w:rFonts w:hint="eastAsia" w:ascii="黑体" w:hAnsi="黑体" w:eastAsia="黑体"/>
          <w:spacing w:val="-4"/>
          <w:szCs w:val="21"/>
        </w:rPr>
      </w:pPr>
    </w:p>
    <w:p w14:paraId="1465E503">
      <w:pPr>
        <w:jc w:val="center"/>
        <w:rPr>
          <w:rFonts w:hint="eastAsia" w:ascii="黑体" w:hAnsi="黑体" w:eastAsia="黑体"/>
          <w:spacing w:val="-4"/>
          <w:szCs w:val="21"/>
        </w:rPr>
      </w:pPr>
    </w:p>
    <w:p w14:paraId="240F5818">
      <w:pPr>
        <w:jc w:val="center"/>
        <w:rPr>
          <w:rFonts w:hint="eastAsia" w:ascii="黑体" w:hAnsi="黑体" w:eastAsia="黑体"/>
          <w:spacing w:val="-4"/>
          <w:szCs w:val="21"/>
        </w:rPr>
      </w:pPr>
    </w:p>
    <w:p w14:paraId="7BB34670">
      <w:pPr>
        <w:jc w:val="center"/>
        <w:rPr>
          <w:rFonts w:hint="eastAsia" w:ascii="黑体" w:hAnsi="黑体" w:eastAsia="黑体"/>
          <w:spacing w:val="-4"/>
          <w:szCs w:val="21"/>
        </w:rPr>
      </w:pPr>
    </w:p>
    <w:p w14:paraId="27A23FF5">
      <w:pPr>
        <w:jc w:val="center"/>
        <w:rPr>
          <w:rFonts w:hint="eastAsia" w:ascii="黑体" w:hAnsi="黑体" w:eastAsia="黑体"/>
          <w:spacing w:val="-4"/>
          <w:szCs w:val="21"/>
        </w:rPr>
      </w:pPr>
    </w:p>
    <w:p w14:paraId="167C6ADB">
      <w:pPr>
        <w:jc w:val="center"/>
        <w:rPr>
          <w:rFonts w:hint="eastAsia" w:ascii="黑体" w:hAnsi="黑体" w:eastAsia="黑体"/>
          <w:spacing w:val="-4"/>
          <w:szCs w:val="21"/>
        </w:rPr>
      </w:pPr>
    </w:p>
    <w:p w14:paraId="3E1C06A9">
      <w:pPr>
        <w:jc w:val="center"/>
        <w:rPr>
          <w:rFonts w:hint="eastAsia" w:ascii="黑体" w:hAnsi="黑体" w:eastAsia="黑体"/>
          <w:spacing w:val="-4"/>
          <w:szCs w:val="21"/>
        </w:rPr>
      </w:pPr>
    </w:p>
    <w:p w14:paraId="54385696">
      <w:pPr>
        <w:jc w:val="center"/>
        <w:rPr>
          <w:rFonts w:hint="eastAsia" w:ascii="黑体" w:hAnsi="黑体" w:eastAsia="黑体"/>
          <w:spacing w:val="-4"/>
          <w:szCs w:val="21"/>
        </w:rPr>
      </w:pPr>
    </w:p>
    <w:p w14:paraId="105EA67D">
      <w:pPr>
        <w:jc w:val="center"/>
        <w:rPr>
          <w:rFonts w:hint="eastAsia" w:ascii="黑体" w:hAnsi="黑体" w:eastAsia="黑体"/>
          <w:spacing w:val="-4"/>
          <w:szCs w:val="21"/>
        </w:rPr>
      </w:pPr>
    </w:p>
    <w:p w14:paraId="1A25D5C4">
      <w:pPr>
        <w:jc w:val="center"/>
        <w:rPr>
          <w:rFonts w:hint="eastAsia" w:ascii="黑体" w:hAnsi="黑体" w:eastAsia="黑体"/>
          <w:spacing w:val="-4"/>
          <w:szCs w:val="21"/>
        </w:rPr>
      </w:pPr>
    </w:p>
    <w:p w14:paraId="38867734">
      <w:pPr>
        <w:jc w:val="center"/>
        <w:rPr>
          <w:rFonts w:hint="eastAsia" w:ascii="黑体" w:hAnsi="黑体" w:eastAsia="黑体"/>
          <w:spacing w:val="-4"/>
          <w:szCs w:val="21"/>
        </w:rPr>
      </w:pPr>
    </w:p>
    <w:p w14:paraId="6E8C475A">
      <w:pPr>
        <w:jc w:val="center"/>
        <w:rPr>
          <w:rFonts w:hint="eastAsia" w:ascii="黑体" w:hAnsi="黑体" w:eastAsia="黑体"/>
          <w:spacing w:val="-4"/>
          <w:szCs w:val="21"/>
        </w:rPr>
      </w:pPr>
      <w:r>
        <w:rPr>
          <w:rFonts w:hint="eastAsia" w:ascii="黑体" w:hAnsi="黑体" w:eastAsia="黑体"/>
          <w:spacing w:val="-4"/>
          <w:szCs w:val="21"/>
        </w:rPr>
        <w:t>图3.1-1</w:t>
      </w:r>
      <w:r>
        <w:rPr>
          <w:rFonts w:ascii="黑体" w:hAnsi="黑体" w:eastAsia="黑体"/>
          <w:spacing w:val="-4"/>
          <w:szCs w:val="21"/>
        </w:rPr>
        <w:t xml:space="preserve">  </w:t>
      </w:r>
      <w:r>
        <w:rPr>
          <w:rFonts w:hint="eastAsia" w:ascii="黑体" w:hAnsi="黑体" w:eastAsia="黑体"/>
          <w:spacing w:val="-4"/>
          <w:szCs w:val="21"/>
        </w:rPr>
        <w:t>区域油气藏分布示意图</w:t>
      </w:r>
      <w:bookmarkEnd w:id="173"/>
    </w:p>
    <w:p w14:paraId="01EA91E5">
      <w:pPr>
        <w:spacing w:line="500" w:lineRule="exact"/>
        <w:ind w:firstLine="480" w:firstLineChars="200"/>
        <w:rPr>
          <w:rFonts w:hint="eastAsia" w:ascii="宋体" w:hAnsi="宋体"/>
          <w:kern w:val="0"/>
          <w:sz w:val="24"/>
          <w:szCs w:val="24"/>
        </w:rPr>
      </w:pPr>
      <w:r>
        <w:rPr>
          <w:rFonts w:hint="eastAsia" w:ascii="宋体" w:hAnsi="宋体"/>
          <w:kern w:val="0"/>
          <w:sz w:val="24"/>
          <w:szCs w:val="24"/>
        </w:rPr>
        <w:t>吉庆油田作业区探矿权拐点坐标见表3.1-1。</w:t>
      </w:r>
    </w:p>
    <w:p w14:paraId="1EEBBAE3">
      <w:pPr>
        <w:spacing w:line="500" w:lineRule="exact"/>
        <w:jc w:val="center"/>
        <w:rPr>
          <w:rFonts w:hint="eastAsia" w:ascii="黑体" w:hAnsi="黑体" w:eastAsia="黑体"/>
          <w:szCs w:val="20"/>
        </w:rPr>
      </w:pPr>
      <w:r>
        <w:rPr>
          <w:rFonts w:ascii="黑体" w:hAnsi="黑体" w:eastAsia="黑体"/>
          <w:szCs w:val="20"/>
        </w:rPr>
        <w:t>表</w:t>
      </w:r>
      <w:r>
        <w:rPr>
          <w:rFonts w:hint="eastAsia" w:ascii="黑体" w:hAnsi="黑体" w:eastAsia="黑体"/>
          <w:szCs w:val="20"/>
        </w:rPr>
        <w:t>3</w:t>
      </w:r>
      <w:r>
        <w:rPr>
          <w:rFonts w:ascii="黑体" w:hAnsi="黑体" w:eastAsia="黑体"/>
          <w:szCs w:val="20"/>
        </w:rPr>
        <w:t>.1-1  区块拐点坐标一览表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78"/>
        <w:gridCol w:w="2118"/>
        <w:gridCol w:w="1945"/>
        <w:gridCol w:w="734"/>
        <w:gridCol w:w="1857"/>
        <w:gridCol w:w="1714"/>
      </w:tblGrid>
      <w:tr w14:paraId="33D49F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Merge w:val="restart"/>
            <w:vAlign w:val="center"/>
          </w:tcPr>
          <w:p w14:paraId="007842B2">
            <w:pPr>
              <w:adjustRightInd w:val="0"/>
              <w:snapToGrid w:val="0"/>
              <w:spacing w:line="300" w:lineRule="exact"/>
              <w:jc w:val="center"/>
              <w:rPr>
                <w:rFonts w:hint="eastAsia" w:ascii="宋体" w:hAnsi="宋体" w:cs="宋体"/>
                <w:szCs w:val="21"/>
              </w:rPr>
            </w:pPr>
            <w:r>
              <w:rPr>
                <w:rFonts w:hint="eastAsia" w:ascii="宋体" w:hAnsi="宋体" w:cs="宋体"/>
                <w:szCs w:val="21"/>
              </w:rPr>
              <w:t>序号</w:t>
            </w:r>
          </w:p>
        </w:tc>
        <w:tc>
          <w:tcPr>
            <w:tcW w:w="4677" w:type="pct"/>
            <w:gridSpan w:val="5"/>
            <w:vAlign w:val="center"/>
          </w:tcPr>
          <w:p w14:paraId="5C013758">
            <w:pPr>
              <w:adjustRightInd w:val="0"/>
              <w:snapToGrid w:val="0"/>
              <w:spacing w:line="300" w:lineRule="exact"/>
              <w:jc w:val="center"/>
              <w:rPr>
                <w:rFonts w:hint="eastAsia" w:ascii="宋体" w:hAnsi="宋体" w:cs="宋体"/>
                <w:szCs w:val="21"/>
              </w:rPr>
            </w:pPr>
            <w:r>
              <w:rPr>
                <w:rFonts w:hint="eastAsia" w:ascii="宋体" w:hAnsi="宋体" w:cs="宋体"/>
                <w:szCs w:val="21"/>
              </w:rPr>
              <w:t>经纬度坐标</w:t>
            </w:r>
          </w:p>
        </w:tc>
      </w:tr>
      <w:tr w14:paraId="0B8CFD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Merge w:val="continue"/>
            <w:vAlign w:val="center"/>
          </w:tcPr>
          <w:p w14:paraId="5A9D275F">
            <w:pPr>
              <w:adjustRightInd w:val="0"/>
              <w:snapToGrid w:val="0"/>
              <w:spacing w:line="300" w:lineRule="exact"/>
              <w:jc w:val="center"/>
              <w:rPr>
                <w:rFonts w:hint="eastAsia" w:ascii="宋体" w:hAnsi="宋体" w:cs="宋体"/>
                <w:szCs w:val="21"/>
              </w:rPr>
            </w:pPr>
          </w:p>
        </w:tc>
        <w:tc>
          <w:tcPr>
            <w:tcW w:w="1184" w:type="pct"/>
            <w:vAlign w:val="center"/>
          </w:tcPr>
          <w:p w14:paraId="59FC5595">
            <w:pPr>
              <w:adjustRightInd w:val="0"/>
              <w:snapToGrid w:val="0"/>
              <w:spacing w:line="300" w:lineRule="exact"/>
              <w:jc w:val="center"/>
              <w:rPr>
                <w:rFonts w:hint="eastAsia" w:ascii="宋体" w:hAnsi="宋体" w:cs="宋体"/>
                <w:szCs w:val="21"/>
              </w:rPr>
            </w:pPr>
            <w:r>
              <w:rPr>
                <w:rFonts w:hint="eastAsia" w:ascii="宋体" w:hAnsi="宋体" w:cs="宋体"/>
                <w:szCs w:val="21"/>
              </w:rPr>
              <w:t>经度</w:t>
            </w:r>
          </w:p>
        </w:tc>
        <w:tc>
          <w:tcPr>
            <w:tcW w:w="1087" w:type="pct"/>
            <w:vAlign w:val="center"/>
          </w:tcPr>
          <w:p w14:paraId="406C0873">
            <w:pPr>
              <w:adjustRightInd w:val="0"/>
              <w:snapToGrid w:val="0"/>
              <w:spacing w:line="300" w:lineRule="exact"/>
              <w:jc w:val="center"/>
              <w:rPr>
                <w:rFonts w:hint="eastAsia" w:ascii="宋体" w:hAnsi="宋体" w:cs="宋体"/>
                <w:szCs w:val="21"/>
              </w:rPr>
            </w:pPr>
            <w:r>
              <w:rPr>
                <w:rFonts w:hint="eastAsia" w:ascii="宋体" w:hAnsi="宋体" w:cs="宋体"/>
                <w:szCs w:val="21"/>
              </w:rPr>
              <w:t>纬度</w:t>
            </w:r>
          </w:p>
        </w:tc>
        <w:tc>
          <w:tcPr>
            <w:tcW w:w="410" w:type="pct"/>
          </w:tcPr>
          <w:p w14:paraId="67EE10ED">
            <w:pPr>
              <w:adjustRightInd w:val="0"/>
              <w:snapToGrid w:val="0"/>
              <w:spacing w:line="300" w:lineRule="exact"/>
              <w:jc w:val="center"/>
              <w:rPr>
                <w:rFonts w:hint="eastAsia" w:ascii="宋体" w:hAnsi="宋体" w:cs="宋体"/>
                <w:szCs w:val="21"/>
              </w:rPr>
            </w:pPr>
            <w:r>
              <w:rPr>
                <w:rFonts w:hint="eastAsia" w:ascii="宋体" w:hAnsi="宋体" w:cs="宋体"/>
                <w:szCs w:val="21"/>
              </w:rPr>
              <w:t>序号</w:t>
            </w:r>
          </w:p>
        </w:tc>
        <w:tc>
          <w:tcPr>
            <w:tcW w:w="1038" w:type="pct"/>
            <w:vAlign w:val="center"/>
          </w:tcPr>
          <w:p w14:paraId="330C4996">
            <w:pPr>
              <w:adjustRightInd w:val="0"/>
              <w:snapToGrid w:val="0"/>
              <w:spacing w:line="300" w:lineRule="exact"/>
              <w:jc w:val="center"/>
              <w:rPr>
                <w:rFonts w:hint="eastAsia" w:ascii="宋体" w:hAnsi="宋体" w:cs="宋体"/>
                <w:szCs w:val="21"/>
              </w:rPr>
            </w:pPr>
            <w:r>
              <w:rPr>
                <w:rFonts w:hint="eastAsia" w:ascii="宋体" w:hAnsi="宋体" w:cs="宋体"/>
                <w:szCs w:val="21"/>
              </w:rPr>
              <w:t>经度</w:t>
            </w:r>
          </w:p>
        </w:tc>
        <w:tc>
          <w:tcPr>
            <w:tcW w:w="958" w:type="pct"/>
            <w:vAlign w:val="center"/>
          </w:tcPr>
          <w:p w14:paraId="012F3534">
            <w:pPr>
              <w:adjustRightInd w:val="0"/>
              <w:snapToGrid w:val="0"/>
              <w:spacing w:line="300" w:lineRule="exact"/>
              <w:jc w:val="center"/>
              <w:rPr>
                <w:rFonts w:hint="eastAsia" w:ascii="宋体" w:hAnsi="宋体" w:cs="宋体"/>
                <w:szCs w:val="21"/>
              </w:rPr>
            </w:pPr>
            <w:r>
              <w:rPr>
                <w:rFonts w:hint="eastAsia" w:ascii="宋体" w:hAnsi="宋体" w:cs="宋体"/>
                <w:szCs w:val="21"/>
              </w:rPr>
              <w:t>纬度</w:t>
            </w:r>
          </w:p>
        </w:tc>
      </w:tr>
      <w:tr w14:paraId="5554B1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5B7404CD">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c>
          <w:tcPr>
            <w:tcW w:w="1184" w:type="pct"/>
            <w:vAlign w:val="center"/>
          </w:tcPr>
          <w:p w14:paraId="0CE91E11">
            <w:pPr>
              <w:adjustRightInd w:val="0"/>
              <w:snapToGrid w:val="0"/>
              <w:spacing w:line="300" w:lineRule="exact"/>
              <w:jc w:val="center"/>
              <w:rPr>
                <w:rFonts w:hint="eastAsia" w:ascii="宋体" w:hAnsi="宋体" w:cs="宋体"/>
                <w:szCs w:val="21"/>
              </w:rPr>
            </w:pPr>
            <w:r>
              <w:rPr>
                <w:rFonts w:hint="eastAsia" w:ascii="宋体" w:hAnsi="宋体" w:cs="宋体"/>
                <w:szCs w:val="21"/>
              </w:rPr>
              <w:t>88°59'40.00"</w:t>
            </w:r>
          </w:p>
        </w:tc>
        <w:tc>
          <w:tcPr>
            <w:tcW w:w="1087" w:type="pct"/>
            <w:vAlign w:val="center"/>
          </w:tcPr>
          <w:p w14:paraId="663333BC">
            <w:pPr>
              <w:adjustRightInd w:val="0"/>
              <w:snapToGrid w:val="0"/>
              <w:spacing w:line="300" w:lineRule="exact"/>
              <w:jc w:val="center"/>
              <w:rPr>
                <w:rFonts w:hint="eastAsia" w:ascii="宋体" w:hAnsi="宋体" w:cs="宋体"/>
                <w:szCs w:val="21"/>
              </w:rPr>
            </w:pPr>
            <w:r>
              <w:rPr>
                <w:rFonts w:hint="eastAsia" w:ascii="宋体" w:hAnsi="宋体" w:cs="宋体"/>
                <w:szCs w:val="21"/>
              </w:rPr>
              <w:t>44°14'50.00"</w:t>
            </w:r>
          </w:p>
        </w:tc>
        <w:tc>
          <w:tcPr>
            <w:tcW w:w="410" w:type="pct"/>
            <w:vAlign w:val="center"/>
          </w:tcPr>
          <w:p w14:paraId="51DD6FF7">
            <w:pPr>
              <w:adjustRightInd w:val="0"/>
              <w:snapToGrid w:val="0"/>
              <w:spacing w:line="300" w:lineRule="exact"/>
              <w:jc w:val="center"/>
              <w:rPr>
                <w:rFonts w:hint="eastAsia" w:ascii="宋体" w:hAnsi="宋体" w:cs="宋体"/>
                <w:szCs w:val="21"/>
              </w:rPr>
            </w:pPr>
            <w:r>
              <w:rPr>
                <w:rFonts w:hint="eastAsia" w:ascii="宋体" w:hAnsi="宋体" w:cs="宋体"/>
                <w:szCs w:val="21"/>
              </w:rPr>
              <w:t>12</w:t>
            </w:r>
          </w:p>
        </w:tc>
        <w:tc>
          <w:tcPr>
            <w:tcW w:w="1038" w:type="pct"/>
            <w:vAlign w:val="center"/>
          </w:tcPr>
          <w:p w14:paraId="371D3C42">
            <w:pPr>
              <w:adjustRightInd w:val="0"/>
              <w:snapToGrid w:val="0"/>
              <w:spacing w:line="300" w:lineRule="exact"/>
              <w:jc w:val="center"/>
              <w:rPr>
                <w:rFonts w:hint="eastAsia" w:ascii="宋体" w:hAnsi="宋体" w:cs="宋体"/>
                <w:szCs w:val="21"/>
              </w:rPr>
            </w:pPr>
            <w:r>
              <w:rPr>
                <w:rFonts w:hint="eastAsia" w:ascii="宋体" w:hAnsi="宋体" w:cs="宋体"/>
                <w:szCs w:val="21"/>
              </w:rPr>
              <w:t>89°15'0.00"</w:t>
            </w:r>
          </w:p>
        </w:tc>
        <w:tc>
          <w:tcPr>
            <w:tcW w:w="958" w:type="pct"/>
            <w:vAlign w:val="center"/>
          </w:tcPr>
          <w:p w14:paraId="51CB0FCB">
            <w:pPr>
              <w:adjustRightInd w:val="0"/>
              <w:snapToGrid w:val="0"/>
              <w:spacing w:line="300" w:lineRule="exact"/>
              <w:jc w:val="center"/>
              <w:rPr>
                <w:rFonts w:hint="eastAsia" w:ascii="宋体" w:hAnsi="宋体" w:cs="宋体"/>
                <w:szCs w:val="21"/>
              </w:rPr>
            </w:pPr>
            <w:r>
              <w:rPr>
                <w:rFonts w:hint="eastAsia" w:ascii="宋体" w:hAnsi="宋体" w:cs="宋体"/>
                <w:szCs w:val="21"/>
              </w:rPr>
              <w:t>44°14'15.00"</w:t>
            </w:r>
          </w:p>
        </w:tc>
      </w:tr>
      <w:tr w14:paraId="3C6982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134755FC">
            <w:pPr>
              <w:adjustRightInd w:val="0"/>
              <w:snapToGrid w:val="0"/>
              <w:spacing w:line="300" w:lineRule="exact"/>
              <w:jc w:val="center"/>
              <w:rPr>
                <w:rFonts w:hint="eastAsia" w:ascii="宋体" w:hAnsi="宋体" w:cs="宋体"/>
                <w:szCs w:val="21"/>
              </w:rPr>
            </w:pPr>
            <w:r>
              <w:rPr>
                <w:rFonts w:hint="eastAsia" w:ascii="宋体" w:hAnsi="宋体" w:cs="宋体"/>
                <w:szCs w:val="21"/>
              </w:rPr>
              <w:t>2</w:t>
            </w:r>
          </w:p>
        </w:tc>
        <w:tc>
          <w:tcPr>
            <w:tcW w:w="1184" w:type="pct"/>
            <w:vAlign w:val="center"/>
          </w:tcPr>
          <w:p w14:paraId="32BA6669">
            <w:pPr>
              <w:adjustRightInd w:val="0"/>
              <w:snapToGrid w:val="0"/>
              <w:spacing w:line="300" w:lineRule="exact"/>
              <w:jc w:val="center"/>
              <w:rPr>
                <w:rFonts w:hint="eastAsia" w:ascii="宋体" w:hAnsi="宋体" w:cs="宋体"/>
                <w:szCs w:val="21"/>
              </w:rPr>
            </w:pPr>
            <w:r>
              <w:rPr>
                <w:rFonts w:hint="eastAsia" w:ascii="宋体" w:hAnsi="宋体" w:cs="宋体"/>
                <w:szCs w:val="21"/>
              </w:rPr>
              <w:t>89°4'15.00"</w:t>
            </w:r>
          </w:p>
        </w:tc>
        <w:tc>
          <w:tcPr>
            <w:tcW w:w="1087" w:type="pct"/>
            <w:vAlign w:val="center"/>
          </w:tcPr>
          <w:p w14:paraId="33F79706">
            <w:pPr>
              <w:adjustRightInd w:val="0"/>
              <w:snapToGrid w:val="0"/>
              <w:spacing w:line="300" w:lineRule="exact"/>
              <w:jc w:val="center"/>
              <w:rPr>
                <w:rFonts w:hint="eastAsia" w:ascii="宋体" w:hAnsi="宋体" w:cs="宋体"/>
                <w:szCs w:val="21"/>
              </w:rPr>
            </w:pPr>
            <w:r>
              <w:rPr>
                <w:rFonts w:hint="eastAsia" w:ascii="宋体" w:hAnsi="宋体" w:cs="宋体"/>
                <w:szCs w:val="21"/>
              </w:rPr>
              <w:t>44°14'50.00"</w:t>
            </w:r>
          </w:p>
        </w:tc>
        <w:tc>
          <w:tcPr>
            <w:tcW w:w="410" w:type="pct"/>
            <w:vAlign w:val="center"/>
          </w:tcPr>
          <w:p w14:paraId="72720073">
            <w:pPr>
              <w:adjustRightInd w:val="0"/>
              <w:snapToGrid w:val="0"/>
              <w:spacing w:line="300" w:lineRule="exact"/>
              <w:jc w:val="center"/>
              <w:rPr>
                <w:rFonts w:hint="eastAsia" w:ascii="宋体" w:hAnsi="宋体" w:cs="宋体"/>
                <w:szCs w:val="21"/>
              </w:rPr>
            </w:pPr>
            <w:r>
              <w:rPr>
                <w:rFonts w:hint="eastAsia" w:ascii="宋体" w:hAnsi="宋体" w:cs="宋体"/>
                <w:szCs w:val="21"/>
              </w:rPr>
              <w:t>13</w:t>
            </w:r>
          </w:p>
        </w:tc>
        <w:tc>
          <w:tcPr>
            <w:tcW w:w="1038" w:type="pct"/>
            <w:vAlign w:val="center"/>
          </w:tcPr>
          <w:p w14:paraId="1A881E29">
            <w:pPr>
              <w:adjustRightInd w:val="0"/>
              <w:snapToGrid w:val="0"/>
              <w:spacing w:line="300" w:lineRule="exact"/>
              <w:jc w:val="center"/>
              <w:rPr>
                <w:rFonts w:hint="eastAsia" w:ascii="宋体" w:hAnsi="宋体" w:cs="宋体"/>
                <w:szCs w:val="21"/>
              </w:rPr>
            </w:pPr>
            <w:r>
              <w:rPr>
                <w:rFonts w:hint="eastAsia" w:ascii="宋体" w:hAnsi="宋体" w:cs="宋体"/>
                <w:szCs w:val="21"/>
              </w:rPr>
              <w:t>89°15'0.00"</w:t>
            </w:r>
          </w:p>
        </w:tc>
        <w:tc>
          <w:tcPr>
            <w:tcW w:w="958" w:type="pct"/>
            <w:vAlign w:val="center"/>
          </w:tcPr>
          <w:p w14:paraId="38AB1EED">
            <w:pPr>
              <w:adjustRightInd w:val="0"/>
              <w:snapToGrid w:val="0"/>
              <w:spacing w:line="300" w:lineRule="exact"/>
              <w:jc w:val="center"/>
              <w:rPr>
                <w:rFonts w:hint="eastAsia" w:ascii="宋体" w:hAnsi="宋体" w:cs="宋体"/>
                <w:szCs w:val="21"/>
              </w:rPr>
            </w:pPr>
            <w:r>
              <w:rPr>
                <w:rFonts w:hint="eastAsia" w:ascii="宋体" w:hAnsi="宋体" w:cs="宋体"/>
                <w:szCs w:val="21"/>
              </w:rPr>
              <w:t>44°9'45.00"</w:t>
            </w:r>
          </w:p>
        </w:tc>
      </w:tr>
      <w:tr w14:paraId="4924F1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10421C72">
            <w:pPr>
              <w:adjustRightInd w:val="0"/>
              <w:snapToGrid w:val="0"/>
              <w:spacing w:line="300" w:lineRule="exact"/>
              <w:jc w:val="center"/>
              <w:rPr>
                <w:rFonts w:hint="eastAsia" w:ascii="宋体" w:hAnsi="宋体" w:cs="宋体"/>
                <w:szCs w:val="21"/>
              </w:rPr>
            </w:pPr>
            <w:r>
              <w:rPr>
                <w:rFonts w:hint="eastAsia" w:ascii="宋体" w:hAnsi="宋体" w:cs="宋体"/>
                <w:szCs w:val="21"/>
              </w:rPr>
              <w:t>3</w:t>
            </w:r>
          </w:p>
        </w:tc>
        <w:tc>
          <w:tcPr>
            <w:tcW w:w="1184" w:type="pct"/>
            <w:vAlign w:val="center"/>
          </w:tcPr>
          <w:p w14:paraId="534A0898">
            <w:pPr>
              <w:adjustRightInd w:val="0"/>
              <w:snapToGrid w:val="0"/>
              <w:spacing w:line="300" w:lineRule="exact"/>
              <w:jc w:val="center"/>
              <w:rPr>
                <w:rFonts w:hint="eastAsia" w:ascii="宋体" w:hAnsi="宋体" w:cs="宋体"/>
                <w:szCs w:val="21"/>
              </w:rPr>
            </w:pPr>
            <w:r>
              <w:rPr>
                <w:rFonts w:hint="eastAsia" w:ascii="宋体" w:hAnsi="宋体" w:cs="宋体"/>
                <w:szCs w:val="21"/>
              </w:rPr>
              <w:t>89°4'15.00"</w:t>
            </w:r>
          </w:p>
        </w:tc>
        <w:tc>
          <w:tcPr>
            <w:tcW w:w="1087" w:type="pct"/>
            <w:vAlign w:val="center"/>
          </w:tcPr>
          <w:p w14:paraId="5A389E7C">
            <w:pPr>
              <w:adjustRightInd w:val="0"/>
              <w:snapToGrid w:val="0"/>
              <w:spacing w:line="300" w:lineRule="exact"/>
              <w:jc w:val="center"/>
              <w:rPr>
                <w:rFonts w:hint="eastAsia" w:ascii="宋体" w:hAnsi="宋体" w:cs="宋体"/>
                <w:szCs w:val="21"/>
              </w:rPr>
            </w:pPr>
            <w:r>
              <w:rPr>
                <w:rFonts w:hint="eastAsia" w:ascii="宋体" w:hAnsi="宋体" w:cs="宋体"/>
                <w:szCs w:val="21"/>
              </w:rPr>
              <w:t>44°13'60.00"</w:t>
            </w:r>
          </w:p>
        </w:tc>
        <w:tc>
          <w:tcPr>
            <w:tcW w:w="410" w:type="pct"/>
            <w:vAlign w:val="center"/>
          </w:tcPr>
          <w:p w14:paraId="74E33355">
            <w:pPr>
              <w:adjustRightInd w:val="0"/>
              <w:snapToGrid w:val="0"/>
              <w:spacing w:line="300" w:lineRule="exact"/>
              <w:jc w:val="center"/>
              <w:rPr>
                <w:rFonts w:hint="eastAsia" w:ascii="宋体" w:hAnsi="宋体" w:cs="宋体"/>
                <w:szCs w:val="21"/>
              </w:rPr>
            </w:pPr>
            <w:r>
              <w:rPr>
                <w:rFonts w:hint="eastAsia" w:ascii="宋体" w:hAnsi="宋体" w:cs="宋体"/>
                <w:szCs w:val="21"/>
              </w:rPr>
              <w:t>14</w:t>
            </w:r>
          </w:p>
        </w:tc>
        <w:tc>
          <w:tcPr>
            <w:tcW w:w="1038" w:type="pct"/>
            <w:vAlign w:val="center"/>
          </w:tcPr>
          <w:p w14:paraId="4B3538B1">
            <w:pPr>
              <w:adjustRightInd w:val="0"/>
              <w:snapToGrid w:val="0"/>
              <w:spacing w:line="300" w:lineRule="exact"/>
              <w:jc w:val="center"/>
              <w:rPr>
                <w:rFonts w:hint="eastAsia" w:ascii="宋体" w:hAnsi="宋体" w:cs="宋体"/>
                <w:szCs w:val="21"/>
              </w:rPr>
            </w:pPr>
            <w:r>
              <w:rPr>
                <w:rFonts w:hint="eastAsia" w:ascii="宋体" w:hAnsi="宋体" w:cs="宋体"/>
                <w:szCs w:val="21"/>
              </w:rPr>
              <w:t>89°15'45.00"</w:t>
            </w:r>
          </w:p>
        </w:tc>
        <w:tc>
          <w:tcPr>
            <w:tcW w:w="958" w:type="pct"/>
            <w:vAlign w:val="center"/>
          </w:tcPr>
          <w:p w14:paraId="5E4DA8A7">
            <w:pPr>
              <w:adjustRightInd w:val="0"/>
              <w:snapToGrid w:val="0"/>
              <w:spacing w:line="300" w:lineRule="exact"/>
              <w:jc w:val="center"/>
              <w:rPr>
                <w:rFonts w:hint="eastAsia" w:ascii="宋体" w:hAnsi="宋体" w:cs="宋体"/>
                <w:szCs w:val="21"/>
              </w:rPr>
            </w:pPr>
            <w:r>
              <w:rPr>
                <w:rFonts w:hint="eastAsia" w:ascii="宋体" w:hAnsi="宋体" w:cs="宋体"/>
                <w:szCs w:val="21"/>
              </w:rPr>
              <w:t>44°9'45.00"</w:t>
            </w:r>
          </w:p>
        </w:tc>
      </w:tr>
      <w:tr w14:paraId="14AE46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1EFA3AE3">
            <w:pPr>
              <w:adjustRightInd w:val="0"/>
              <w:snapToGrid w:val="0"/>
              <w:spacing w:line="300" w:lineRule="exact"/>
              <w:jc w:val="center"/>
              <w:rPr>
                <w:rFonts w:hint="eastAsia" w:ascii="宋体" w:hAnsi="宋体" w:cs="宋体"/>
                <w:szCs w:val="21"/>
              </w:rPr>
            </w:pPr>
            <w:r>
              <w:rPr>
                <w:rFonts w:hint="eastAsia" w:ascii="宋体" w:hAnsi="宋体" w:cs="宋体"/>
                <w:szCs w:val="21"/>
              </w:rPr>
              <w:t>4</w:t>
            </w:r>
          </w:p>
        </w:tc>
        <w:tc>
          <w:tcPr>
            <w:tcW w:w="1184" w:type="pct"/>
            <w:vAlign w:val="center"/>
          </w:tcPr>
          <w:p w14:paraId="00B1D87B">
            <w:pPr>
              <w:adjustRightInd w:val="0"/>
              <w:snapToGrid w:val="0"/>
              <w:spacing w:line="300" w:lineRule="exact"/>
              <w:jc w:val="center"/>
              <w:rPr>
                <w:rFonts w:hint="eastAsia" w:ascii="宋体" w:hAnsi="宋体" w:cs="宋体"/>
                <w:szCs w:val="21"/>
              </w:rPr>
            </w:pPr>
            <w:r>
              <w:rPr>
                <w:rFonts w:hint="eastAsia" w:ascii="宋体" w:hAnsi="宋体" w:cs="宋体"/>
                <w:szCs w:val="21"/>
              </w:rPr>
              <w:t>89°6'45.00"</w:t>
            </w:r>
          </w:p>
        </w:tc>
        <w:tc>
          <w:tcPr>
            <w:tcW w:w="1087" w:type="pct"/>
            <w:vAlign w:val="center"/>
          </w:tcPr>
          <w:p w14:paraId="41CA9B22">
            <w:pPr>
              <w:adjustRightInd w:val="0"/>
              <w:snapToGrid w:val="0"/>
              <w:spacing w:line="300" w:lineRule="exact"/>
              <w:jc w:val="center"/>
              <w:rPr>
                <w:rFonts w:hint="eastAsia" w:ascii="宋体" w:hAnsi="宋体" w:cs="宋体"/>
                <w:szCs w:val="21"/>
              </w:rPr>
            </w:pPr>
            <w:r>
              <w:rPr>
                <w:rFonts w:hint="eastAsia" w:ascii="宋体" w:hAnsi="宋体" w:cs="宋体"/>
                <w:szCs w:val="21"/>
              </w:rPr>
              <w:t>44°14'15.00"</w:t>
            </w:r>
          </w:p>
        </w:tc>
        <w:tc>
          <w:tcPr>
            <w:tcW w:w="410" w:type="pct"/>
            <w:vAlign w:val="center"/>
          </w:tcPr>
          <w:p w14:paraId="70C982D9">
            <w:pPr>
              <w:adjustRightInd w:val="0"/>
              <w:snapToGrid w:val="0"/>
              <w:spacing w:line="300" w:lineRule="exact"/>
              <w:jc w:val="center"/>
              <w:rPr>
                <w:rFonts w:hint="eastAsia" w:ascii="宋体" w:hAnsi="宋体" w:cs="宋体"/>
                <w:szCs w:val="21"/>
              </w:rPr>
            </w:pPr>
            <w:r>
              <w:rPr>
                <w:rFonts w:hint="eastAsia" w:ascii="宋体" w:hAnsi="宋体" w:cs="宋体"/>
                <w:szCs w:val="21"/>
              </w:rPr>
              <w:t>15</w:t>
            </w:r>
          </w:p>
        </w:tc>
        <w:tc>
          <w:tcPr>
            <w:tcW w:w="1038" w:type="pct"/>
            <w:vAlign w:val="center"/>
          </w:tcPr>
          <w:p w14:paraId="7DADC314">
            <w:pPr>
              <w:adjustRightInd w:val="0"/>
              <w:snapToGrid w:val="0"/>
              <w:spacing w:line="300" w:lineRule="exact"/>
              <w:jc w:val="center"/>
              <w:rPr>
                <w:rFonts w:hint="eastAsia" w:ascii="宋体" w:hAnsi="宋体" w:cs="宋体"/>
                <w:szCs w:val="21"/>
              </w:rPr>
            </w:pPr>
            <w:r>
              <w:rPr>
                <w:rFonts w:hint="eastAsia" w:ascii="宋体" w:hAnsi="宋体" w:cs="宋体"/>
                <w:szCs w:val="21"/>
              </w:rPr>
              <w:t>89°15'45.00"</w:t>
            </w:r>
          </w:p>
        </w:tc>
        <w:tc>
          <w:tcPr>
            <w:tcW w:w="958" w:type="pct"/>
            <w:vAlign w:val="center"/>
          </w:tcPr>
          <w:p w14:paraId="50D2C180">
            <w:pPr>
              <w:adjustRightInd w:val="0"/>
              <w:snapToGrid w:val="0"/>
              <w:spacing w:line="300" w:lineRule="exact"/>
              <w:jc w:val="center"/>
              <w:rPr>
                <w:rFonts w:hint="eastAsia" w:ascii="宋体" w:hAnsi="宋体" w:cs="宋体"/>
                <w:szCs w:val="21"/>
              </w:rPr>
            </w:pPr>
            <w:r>
              <w:rPr>
                <w:rFonts w:hint="eastAsia" w:ascii="宋体" w:hAnsi="宋体" w:cs="宋体"/>
                <w:szCs w:val="21"/>
              </w:rPr>
              <w:t>44°8'16.26"</w:t>
            </w:r>
          </w:p>
        </w:tc>
      </w:tr>
      <w:tr w14:paraId="0BE5B3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0FF52541">
            <w:pPr>
              <w:adjustRightInd w:val="0"/>
              <w:snapToGrid w:val="0"/>
              <w:spacing w:line="300" w:lineRule="exact"/>
              <w:jc w:val="center"/>
              <w:rPr>
                <w:rFonts w:hint="eastAsia" w:ascii="宋体" w:hAnsi="宋体" w:cs="宋体"/>
                <w:szCs w:val="21"/>
              </w:rPr>
            </w:pPr>
            <w:r>
              <w:rPr>
                <w:rFonts w:hint="eastAsia" w:ascii="宋体" w:hAnsi="宋体" w:cs="宋体"/>
                <w:szCs w:val="21"/>
              </w:rPr>
              <w:t>5</w:t>
            </w:r>
          </w:p>
        </w:tc>
        <w:tc>
          <w:tcPr>
            <w:tcW w:w="1184" w:type="pct"/>
            <w:vAlign w:val="center"/>
          </w:tcPr>
          <w:p w14:paraId="4AA2E263">
            <w:pPr>
              <w:adjustRightInd w:val="0"/>
              <w:snapToGrid w:val="0"/>
              <w:spacing w:line="300" w:lineRule="exact"/>
              <w:jc w:val="center"/>
              <w:rPr>
                <w:rFonts w:hint="eastAsia" w:ascii="宋体" w:hAnsi="宋体" w:cs="宋体"/>
                <w:szCs w:val="21"/>
              </w:rPr>
            </w:pPr>
            <w:r>
              <w:rPr>
                <w:rFonts w:hint="eastAsia" w:ascii="宋体" w:hAnsi="宋体" w:cs="宋体"/>
                <w:szCs w:val="21"/>
              </w:rPr>
              <w:t>89°6'45.00"</w:t>
            </w:r>
          </w:p>
        </w:tc>
        <w:tc>
          <w:tcPr>
            <w:tcW w:w="1087" w:type="pct"/>
            <w:vAlign w:val="center"/>
          </w:tcPr>
          <w:p w14:paraId="65D3DD82">
            <w:pPr>
              <w:adjustRightInd w:val="0"/>
              <w:snapToGrid w:val="0"/>
              <w:spacing w:line="300" w:lineRule="exact"/>
              <w:jc w:val="center"/>
              <w:rPr>
                <w:rFonts w:hint="eastAsia" w:ascii="宋体" w:hAnsi="宋体" w:cs="宋体"/>
                <w:szCs w:val="21"/>
              </w:rPr>
            </w:pPr>
            <w:r>
              <w:rPr>
                <w:rFonts w:hint="eastAsia" w:ascii="宋体" w:hAnsi="宋体" w:cs="宋体"/>
                <w:szCs w:val="21"/>
              </w:rPr>
              <w:t>44°13'60.00"</w:t>
            </w:r>
          </w:p>
        </w:tc>
        <w:tc>
          <w:tcPr>
            <w:tcW w:w="410" w:type="pct"/>
            <w:vAlign w:val="center"/>
          </w:tcPr>
          <w:p w14:paraId="40DD65FB">
            <w:pPr>
              <w:adjustRightInd w:val="0"/>
              <w:snapToGrid w:val="0"/>
              <w:spacing w:line="300" w:lineRule="exact"/>
              <w:jc w:val="center"/>
              <w:rPr>
                <w:rFonts w:hint="eastAsia" w:ascii="宋体" w:hAnsi="宋体" w:cs="宋体"/>
                <w:szCs w:val="21"/>
              </w:rPr>
            </w:pPr>
            <w:r>
              <w:rPr>
                <w:rFonts w:hint="eastAsia" w:ascii="宋体" w:hAnsi="宋体" w:cs="宋体"/>
                <w:szCs w:val="21"/>
              </w:rPr>
              <w:t>16</w:t>
            </w:r>
          </w:p>
        </w:tc>
        <w:tc>
          <w:tcPr>
            <w:tcW w:w="1038" w:type="pct"/>
            <w:vAlign w:val="center"/>
          </w:tcPr>
          <w:p w14:paraId="089E337E">
            <w:pPr>
              <w:adjustRightInd w:val="0"/>
              <w:snapToGrid w:val="0"/>
              <w:spacing w:line="300" w:lineRule="exact"/>
              <w:jc w:val="center"/>
              <w:rPr>
                <w:rFonts w:hint="eastAsia" w:ascii="宋体" w:hAnsi="宋体" w:cs="宋体"/>
                <w:szCs w:val="21"/>
              </w:rPr>
            </w:pPr>
            <w:r>
              <w:rPr>
                <w:rFonts w:hint="eastAsia" w:ascii="宋体" w:hAnsi="宋体" w:cs="宋体"/>
                <w:szCs w:val="21"/>
              </w:rPr>
              <w:t>89°14'34.31"</w:t>
            </w:r>
          </w:p>
        </w:tc>
        <w:tc>
          <w:tcPr>
            <w:tcW w:w="958" w:type="pct"/>
            <w:vAlign w:val="center"/>
          </w:tcPr>
          <w:p w14:paraId="432B548E">
            <w:pPr>
              <w:adjustRightInd w:val="0"/>
              <w:snapToGrid w:val="0"/>
              <w:spacing w:line="300" w:lineRule="exact"/>
              <w:jc w:val="center"/>
              <w:rPr>
                <w:rFonts w:hint="eastAsia" w:ascii="宋体" w:hAnsi="宋体" w:cs="宋体"/>
                <w:szCs w:val="21"/>
              </w:rPr>
            </w:pPr>
            <w:r>
              <w:rPr>
                <w:rFonts w:hint="eastAsia" w:ascii="宋体" w:hAnsi="宋体" w:cs="宋体"/>
                <w:szCs w:val="21"/>
              </w:rPr>
              <w:t>44°8'16.26"</w:t>
            </w:r>
          </w:p>
        </w:tc>
      </w:tr>
      <w:tr w14:paraId="23D085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292981F4">
            <w:pPr>
              <w:adjustRightInd w:val="0"/>
              <w:snapToGrid w:val="0"/>
              <w:spacing w:line="300" w:lineRule="exact"/>
              <w:jc w:val="center"/>
              <w:rPr>
                <w:rFonts w:hint="eastAsia" w:ascii="宋体" w:hAnsi="宋体" w:cs="宋体"/>
                <w:szCs w:val="21"/>
              </w:rPr>
            </w:pPr>
            <w:r>
              <w:rPr>
                <w:rFonts w:hint="eastAsia" w:ascii="宋体" w:hAnsi="宋体" w:cs="宋体"/>
                <w:szCs w:val="21"/>
              </w:rPr>
              <w:t>6</w:t>
            </w:r>
          </w:p>
        </w:tc>
        <w:tc>
          <w:tcPr>
            <w:tcW w:w="1184" w:type="pct"/>
            <w:vAlign w:val="center"/>
          </w:tcPr>
          <w:p w14:paraId="386B33ED">
            <w:pPr>
              <w:adjustRightInd w:val="0"/>
              <w:snapToGrid w:val="0"/>
              <w:spacing w:line="300" w:lineRule="exact"/>
              <w:jc w:val="center"/>
              <w:rPr>
                <w:rFonts w:hint="eastAsia" w:ascii="宋体" w:hAnsi="宋体" w:cs="宋体"/>
                <w:szCs w:val="21"/>
              </w:rPr>
            </w:pPr>
            <w:r>
              <w:rPr>
                <w:rFonts w:hint="eastAsia" w:ascii="宋体" w:hAnsi="宋体" w:cs="宋体"/>
                <w:szCs w:val="21"/>
              </w:rPr>
              <w:t>89°7'34.31"</w:t>
            </w:r>
          </w:p>
        </w:tc>
        <w:tc>
          <w:tcPr>
            <w:tcW w:w="1087" w:type="pct"/>
            <w:vAlign w:val="center"/>
          </w:tcPr>
          <w:p w14:paraId="03B3CD1D">
            <w:pPr>
              <w:adjustRightInd w:val="0"/>
              <w:snapToGrid w:val="0"/>
              <w:spacing w:line="300" w:lineRule="exact"/>
              <w:jc w:val="center"/>
              <w:rPr>
                <w:rFonts w:hint="eastAsia" w:ascii="宋体" w:hAnsi="宋体" w:cs="宋体"/>
                <w:szCs w:val="21"/>
              </w:rPr>
            </w:pPr>
            <w:r>
              <w:rPr>
                <w:rFonts w:hint="eastAsia" w:ascii="宋体" w:hAnsi="宋体" w:cs="宋体"/>
                <w:szCs w:val="21"/>
              </w:rPr>
              <w:t>44°14'1.27"</w:t>
            </w:r>
          </w:p>
        </w:tc>
        <w:tc>
          <w:tcPr>
            <w:tcW w:w="410" w:type="pct"/>
            <w:vAlign w:val="center"/>
          </w:tcPr>
          <w:p w14:paraId="401DB0DB">
            <w:pPr>
              <w:adjustRightInd w:val="0"/>
              <w:snapToGrid w:val="0"/>
              <w:spacing w:line="300" w:lineRule="exact"/>
              <w:jc w:val="center"/>
              <w:rPr>
                <w:rFonts w:hint="eastAsia" w:ascii="宋体" w:hAnsi="宋体" w:cs="宋体"/>
                <w:szCs w:val="21"/>
              </w:rPr>
            </w:pPr>
            <w:r>
              <w:rPr>
                <w:rFonts w:hint="eastAsia" w:ascii="宋体" w:hAnsi="宋体" w:cs="宋体"/>
                <w:szCs w:val="21"/>
              </w:rPr>
              <w:t>17</w:t>
            </w:r>
          </w:p>
        </w:tc>
        <w:tc>
          <w:tcPr>
            <w:tcW w:w="1038" w:type="pct"/>
            <w:vAlign w:val="center"/>
          </w:tcPr>
          <w:p w14:paraId="4E16A2BD">
            <w:pPr>
              <w:adjustRightInd w:val="0"/>
              <w:snapToGrid w:val="0"/>
              <w:spacing w:line="300" w:lineRule="exact"/>
              <w:jc w:val="center"/>
              <w:rPr>
                <w:rFonts w:hint="eastAsia" w:ascii="宋体" w:hAnsi="宋体" w:cs="宋体"/>
                <w:szCs w:val="21"/>
              </w:rPr>
            </w:pPr>
            <w:r>
              <w:rPr>
                <w:rFonts w:hint="eastAsia" w:ascii="宋体" w:hAnsi="宋体" w:cs="宋体"/>
                <w:szCs w:val="21"/>
              </w:rPr>
              <w:t>89°7'34.30"</w:t>
            </w:r>
          </w:p>
        </w:tc>
        <w:tc>
          <w:tcPr>
            <w:tcW w:w="958" w:type="pct"/>
            <w:vAlign w:val="center"/>
          </w:tcPr>
          <w:p w14:paraId="6CA8E152">
            <w:pPr>
              <w:adjustRightInd w:val="0"/>
              <w:snapToGrid w:val="0"/>
              <w:spacing w:line="300" w:lineRule="exact"/>
              <w:jc w:val="center"/>
              <w:rPr>
                <w:rFonts w:hint="eastAsia" w:ascii="宋体" w:hAnsi="宋体" w:cs="宋体"/>
                <w:szCs w:val="21"/>
              </w:rPr>
            </w:pPr>
            <w:r>
              <w:rPr>
                <w:rFonts w:hint="eastAsia" w:ascii="宋体" w:hAnsi="宋体" w:cs="宋体"/>
                <w:szCs w:val="21"/>
              </w:rPr>
              <w:t>44°7'15.00"</w:t>
            </w:r>
          </w:p>
        </w:tc>
      </w:tr>
      <w:tr w14:paraId="7F50B2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4C9093CF">
            <w:pPr>
              <w:adjustRightInd w:val="0"/>
              <w:snapToGrid w:val="0"/>
              <w:spacing w:line="300" w:lineRule="exact"/>
              <w:jc w:val="center"/>
              <w:rPr>
                <w:rFonts w:hint="eastAsia" w:ascii="宋体" w:hAnsi="宋体" w:cs="宋体"/>
                <w:szCs w:val="21"/>
              </w:rPr>
            </w:pPr>
            <w:r>
              <w:rPr>
                <w:rFonts w:hint="eastAsia" w:ascii="宋体" w:hAnsi="宋体" w:cs="宋体"/>
                <w:szCs w:val="21"/>
              </w:rPr>
              <w:t>7</w:t>
            </w:r>
          </w:p>
        </w:tc>
        <w:tc>
          <w:tcPr>
            <w:tcW w:w="1184" w:type="pct"/>
            <w:vAlign w:val="center"/>
          </w:tcPr>
          <w:p w14:paraId="61833F4B">
            <w:pPr>
              <w:adjustRightInd w:val="0"/>
              <w:snapToGrid w:val="0"/>
              <w:spacing w:line="300" w:lineRule="exact"/>
              <w:jc w:val="center"/>
              <w:rPr>
                <w:rFonts w:hint="eastAsia" w:ascii="宋体" w:hAnsi="宋体" w:cs="宋体"/>
                <w:szCs w:val="21"/>
              </w:rPr>
            </w:pPr>
            <w:r>
              <w:rPr>
                <w:rFonts w:hint="eastAsia" w:ascii="宋体" w:hAnsi="宋体" w:cs="宋体"/>
                <w:szCs w:val="21"/>
              </w:rPr>
              <w:t>89°10'45.00"</w:t>
            </w:r>
          </w:p>
        </w:tc>
        <w:tc>
          <w:tcPr>
            <w:tcW w:w="1087" w:type="pct"/>
            <w:vAlign w:val="center"/>
          </w:tcPr>
          <w:p w14:paraId="03200AF3">
            <w:pPr>
              <w:adjustRightInd w:val="0"/>
              <w:snapToGrid w:val="0"/>
              <w:spacing w:line="300" w:lineRule="exact"/>
              <w:jc w:val="center"/>
              <w:rPr>
                <w:rFonts w:hint="eastAsia" w:ascii="宋体" w:hAnsi="宋体" w:cs="宋体"/>
                <w:szCs w:val="21"/>
              </w:rPr>
            </w:pPr>
            <w:r>
              <w:rPr>
                <w:rFonts w:hint="eastAsia" w:ascii="宋体" w:hAnsi="宋体" w:cs="宋体"/>
                <w:szCs w:val="21"/>
              </w:rPr>
              <w:t>44°15'15.00"</w:t>
            </w:r>
          </w:p>
        </w:tc>
        <w:tc>
          <w:tcPr>
            <w:tcW w:w="410" w:type="pct"/>
            <w:vAlign w:val="center"/>
          </w:tcPr>
          <w:p w14:paraId="7C5D673E">
            <w:pPr>
              <w:adjustRightInd w:val="0"/>
              <w:snapToGrid w:val="0"/>
              <w:spacing w:line="300" w:lineRule="exact"/>
              <w:jc w:val="center"/>
              <w:rPr>
                <w:rFonts w:hint="eastAsia" w:ascii="宋体" w:hAnsi="宋体" w:cs="宋体"/>
                <w:szCs w:val="21"/>
              </w:rPr>
            </w:pPr>
            <w:r>
              <w:rPr>
                <w:rFonts w:hint="eastAsia" w:ascii="宋体" w:hAnsi="宋体" w:cs="宋体"/>
                <w:szCs w:val="21"/>
              </w:rPr>
              <w:t>18</w:t>
            </w:r>
          </w:p>
        </w:tc>
        <w:tc>
          <w:tcPr>
            <w:tcW w:w="1038" w:type="pct"/>
            <w:vAlign w:val="center"/>
          </w:tcPr>
          <w:p w14:paraId="264EA877">
            <w:pPr>
              <w:adjustRightInd w:val="0"/>
              <w:snapToGrid w:val="0"/>
              <w:spacing w:line="300" w:lineRule="exact"/>
              <w:jc w:val="center"/>
              <w:rPr>
                <w:rFonts w:hint="eastAsia" w:ascii="宋体" w:hAnsi="宋体" w:cs="宋体"/>
                <w:szCs w:val="21"/>
              </w:rPr>
            </w:pPr>
            <w:r>
              <w:rPr>
                <w:rFonts w:hint="eastAsia" w:ascii="宋体" w:hAnsi="宋体" w:cs="宋体"/>
                <w:szCs w:val="21"/>
              </w:rPr>
              <w:t>89°2'60.00"</w:t>
            </w:r>
          </w:p>
        </w:tc>
        <w:tc>
          <w:tcPr>
            <w:tcW w:w="958" w:type="pct"/>
            <w:vAlign w:val="center"/>
          </w:tcPr>
          <w:p w14:paraId="0F19B09D">
            <w:pPr>
              <w:adjustRightInd w:val="0"/>
              <w:snapToGrid w:val="0"/>
              <w:spacing w:line="300" w:lineRule="exact"/>
              <w:jc w:val="center"/>
              <w:rPr>
                <w:rFonts w:hint="eastAsia" w:ascii="宋体" w:hAnsi="宋体" w:cs="宋体"/>
                <w:szCs w:val="21"/>
              </w:rPr>
            </w:pPr>
            <w:r>
              <w:rPr>
                <w:rFonts w:hint="eastAsia" w:ascii="宋体" w:hAnsi="宋体" w:cs="宋体"/>
                <w:szCs w:val="21"/>
              </w:rPr>
              <w:t>44°7'15.00"</w:t>
            </w:r>
          </w:p>
        </w:tc>
      </w:tr>
      <w:tr w14:paraId="0F9FB5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6F62E2BA">
            <w:pPr>
              <w:adjustRightInd w:val="0"/>
              <w:snapToGrid w:val="0"/>
              <w:spacing w:line="300" w:lineRule="exact"/>
              <w:jc w:val="center"/>
              <w:rPr>
                <w:rFonts w:hint="eastAsia" w:ascii="宋体" w:hAnsi="宋体" w:cs="宋体"/>
                <w:szCs w:val="21"/>
              </w:rPr>
            </w:pPr>
            <w:r>
              <w:rPr>
                <w:rFonts w:hint="eastAsia" w:ascii="宋体" w:hAnsi="宋体" w:cs="宋体"/>
                <w:szCs w:val="21"/>
              </w:rPr>
              <w:t>8</w:t>
            </w:r>
          </w:p>
        </w:tc>
        <w:tc>
          <w:tcPr>
            <w:tcW w:w="1184" w:type="pct"/>
            <w:vAlign w:val="center"/>
          </w:tcPr>
          <w:p w14:paraId="3FA0F6DA">
            <w:pPr>
              <w:adjustRightInd w:val="0"/>
              <w:snapToGrid w:val="0"/>
              <w:spacing w:line="300" w:lineRule="exact"/>
              <w:jc w:val="center"/>
              <w:rPr>
                <w:rFonts w:hint="eastAsia" w:ascii="宋体" w:hAnsi="宋体" w:cs="宋体"/>
                <w:szCs w:val="21"/>
              </w:rPr>
            </w:pPr>
            <w:r>
              <w:rPr>
                <w:rFonts w:hint="eastAsia" w:ascii="宋体" w:hAnsi="宋体" w:cs="宋体"/>
                <w:szCs w:val="21"/>
              </w:rPr>
              <w:t>89°10'45.00"</w:t>
            </w:r>
          </w:p>
        </w:tc>
        <w:tc>
          <w:tcPr>
            <w:tcW w:w="1087" w:type="pct"/>
            <w:vAlign w:val="center"/>
          </w:tcPr>
          <w:p w14:paraId="1D2AD7A6">
            <w:pPr>
              <w:adjustRightInd w:val="0"/>
              <w:snapToGrid w:val="0"/>
              <w:spacing w:line="300" w:lineRule="exact"/>
              <w:jc w:val="center"/>
              <w:rPr>
                <w:rFonts w:hint="eastAsia" w:ascii="宋体" w:hAnsi="宋体" w:cs="宋体"/>
                <w:szCs w:val="21"/>
              </w:rPr>
            </w:pPr>
            <w:r>
              <w:rPr>
                <w:rFonts w:hint="eastAsia" w:ascii="宋体" w:hAnsi="宋体" w:cs="宋体"/>
                <w:szCs w:val="21"/>
              </w:rPr>
              <w:t>44°14'15.00"</w:t>
            </w:r>
          </w:p>
        </w:tc>
        <w:tc>
          <w:tcPr>
            <w:tcW w:w="410" w:type="pct"/>
            <w:vAlign w:val="center"/>
          </w:tcPr>
          <w:p w14:paraId="7EE81701">
            <w:pPr>
              <w:adjustRightInd w:val="0"/>
              <w:snapToGrid w:val="0"/>
              <w:spacing w:line="300" w:lineRule="exact"/>
              <w:jc w:val="center"/>
              <w:rPr>
                <w:rFonts w:hint="eastAsia" w:ascii="宋体" w:hAnsi="宋体" w:cs="宋体"/>
                <w:szCs w:val="21"/>
              </w:rPr>
            </w:pPr>
            <w:r>
              <w:rPr>
                <w:rFonts w:hint="eastAsia" w:ascii="宋体" w:hAnsi="宋体" w:cs="宋体"/>
                <w:szCs w:val="21"/>
              </w:rPr>
              <w:t>19</w:t>
            </w:r>
          </w:p>
        </w:tc>
        <w:tc>
          <w:tcPr>
            <w:tcW w:w="1038" w:type="pct"/>
            <w:vAlign w:val="center"/>
          </w:tcPr>
          <w:p w14:paraId="28C77820">
            <w:pPr>
              <w:adjustRightInd w:val="0"/>
              <w:snapToGrid w:val="0"/>
              <w:spacing w:line="300" w:lineRule="exact"/>
              <w:jc w:val="center"/>
              <w:rPr>
                <w:rFonts w:hint="eastAsia" w:ascii="宋体" w:hAnsi="宋体" w:cs="宋体"/>
                <w:szCs w:val="21"/>
              </w:rPr>
            </w:pPr>
            <w:r>
              <w:rPr>
                <w:rFonts w:hint="eastAsia" w:ascii="宋体" w:hAnsi="宋体" w:cs="宋体"/>
                <w:szCs w:val="21"/>
              </w:rPr>
              <w:t>89°2'60.00"</w:t>
            </w:r>
          </w:p>
        </w:tc>
        <w:tc>
          <w:tcPr>
            <w:tcW w:w="958" w:type="pct"/>
            <w:vAlign w:val="center"/>
          </w:tcPr>
          <w:p w14:paraId="7B62455A">
            <w:pPr>
              <w:adjustRightInd w:val="0"/>
              <w:snapToGrid w:val="0"/>
              <w:spacing w:line="300" w:lineRule="exact"/>
              <w:jc w:val="center"/>
              <w:rPr>
                <w:rFonts w:hint="eastAsia" w:ascii="宋体" w:hAnsi="宋体" w:cs="宋体"/>
                <w:szCs w:val="21"/>
              </w:rPr>
            </w:pPr>
            <w:r>
              <w:rPr>
                <w:rFonts w:hint="eastAsia" w:ascii="宋体" w:hAnsi="宋体" w:cs="宋体"/>
                <w:szCs w:val="21"/>
              </w:rPr>
              <w:t>44°7'60.00"</w:t>
            </w:r>
          </w:p>
        </w:tc>
      </w:tr>
      <w:tr w14:paraId="68D578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007E13F6">
            <w:pPr>
              <w:adjustRightInd w:val="0"/>
              <w:snapToGrid w:val="0"/>
              <w:spacing w:line="300" w:lineRule="exact"/>
              <w:jc w:val="center"/>
              <w:rPr>
                <w:rFonts w:hint="eastAsia" w:ascii="宋体" w:hAnsi="宋体" w:cs="宋体"/>
                <w:szCs w:val="21"/>
              </w:rPr>
            </w:pPr>
            <w:r>
              <w:rPr>
                <w:rFonts w:hint="eastAsia" w:ascii="宋体" w:hAnsi="宋体" w:cs="宋体"/>
                <w:szCs w:val="21"/>
              </w:rPr>
              <w:t>9</w:t>
            </w:r>
          </w:p>
        </w:tc>
        <w:tc>
          <w:tcPr>
            <w:tcW w:w="1184" w:type="pct"/>
            <w:vAlign w:val="center"/>
          </w:tcPr>
          <w:p w14:paraId="7FD067F4">
            <w:pPr>
              <w:adjustRightInd w:val="0"/>
              <w:snapToGrid w:val="0"/>
              <w:spacing w:line="300" w:lineRule="exact"/>
              <w:jc w:val="center"/>
              <w:rPr>
                <w:rFonts w:hint="eastAsia" w:ascii="宋体" w:hAnsi="宋体" w:cs="宋体"/>
                <w:szCs w:val="21"/>
              </w:rPr>
            </w:pPr>
            <w:r>
              <w:rPr>
                <w:rFonts w:hint="eastAsia" w:ascii="宋体" w:hAnsi="宋体" w:cs="宋体"/>
                <w:szCs w:val="21"/>
              </w:rPr>
              <w:t>89°11'30.00"</w:t>
            </w:r>
          </w:p>
        </w:tc>
        <w:tc>
          <w:tcPr>
            <w:tcW w:w="1087" w:type="pct"/>
            <w:vAlign w:val="center"/>
          </w:tcPr>
          <w:p w14:paraId="7931068E">
            <w:pPr>
              <w:adjustRightInd w:val="0"/>
              <w:snapToGrid w:val="0"/>
              <w:spacing w:line="300" w:lineRule="exact"/>
              <w:jc w:val="center"/>
              <w:rPr>
                <w:rFonts w:hint="eastAsia" w:ascii="宋体" w:hAnsi="宋体" w:cs="宋体"/>
                <w:szCs w:val="21"/>
              </w:rPr>
            </w:pPr>
            <w:r>
              <w:rPr>
                <w:rFonts w:hint="eastAsia" w:ascii="宋体" w:hAnsi="宋体" w:cs="宋体"/>
                <w:szCs w:val="21"/>
              </w:rPr>
              <w:t>44°14'15.00"</w:t>
            </w:r>
          </w:p>
        </w:tc>
        <w:tc>
          <w:tcPr>
            <w:tcW w:w="410" w:type="pct"/>
            <w:vAlign w:val="center"/>
          </w:tcPr>
          <w:p w14:paraId="5EAB165E">
            <w:pPr>
              <w:adjustRightInd w:val="0"/>
              <w:snapToGrid w:val="0"/>
              <w:spacing w:line="300" w:lineRule="exact"/>
              <w:jc w:val="center"/>
              <w:rPr>
                <w:rFonts w:hint="eastAsia" w:ascii="宋体" w:hAnsi="宋体" w:cs="宋体"/>
                <w:szCs w:val="21"/>
              </w:rPr>
            </w:pPr>
            <w:r>
              <w:rPr>
                <w:rFonts w:hint="eastAsia" w:ascii="宋体" w:hAnsi="宋体" w:cs="宋体"/>
                <w:szCs w:val="21"/>
              </w:rPr>
              <w:t>20</w:t>
            </w:r>
          </w:p>
        </w:tc>
        <w:tc>
          <w:tcPr>
            <w:tcW w:w="1038" w:type="pct"/>
            <w:vAlign w:val="center"/>
          </w:tcPr>
          <w:p w14:paraId="6485FBC6">
            <w:pPr>
              <w:adjustRightInd w:val="0"/>
              <w:snapToGrid w:val="0"/>
              <w:spacing w:line="300" w:lineRule="exact"/>
              <w:jc w:val="center"/>
              <w:rPr>
                <w:rFonts w:hint="eastAsia" w:ascii="宋体" w:hAnsi="宋体" w:cs="宋体"/>
                <w:szCs w:val="21"/>
              </w:rPr>
            </w:pPr>
            <w:r>
              <w:rPr>
                <w:rFonts w:hint="eastAsia" w:ascii="宋体" w:hAnsi="宋体" w:cs="宋体"/>
                <w:szCs w:val="21"/>
              </w:rPr>
              <w:t>88°56'12.00"</w:t>
            </w:r>
          </w:p>
        </w:tc>
        <w:tc>
          <w:tcPr>
            <w:tcW w:w="958" w:type="pct"/>
            <w:vAlign w:val="center"/>
          </w:tcPr>
          <w:p w14:paraId="4904F119">
            <w:pPr>
              <w:adjustRightInd w:val="0"/>
              <w:snapToGrid w:val="0"/>
              <w:spacing w:line="300" w:lineRule="exact"/>
              <w:jc w:val="center"/>
              <w:rPr>
                <w:rFonts w:hint="eastAsia" w:ascii="宋体" w:hAnsi="宋体" w:cs="宋体"/>
                <w:szCs w:val="21"/>
              </w:rPr>
            </w:pPr>
            <w:r>
              <w:rPr>
                <w:rFonts w:hint="eastAsia" w:ascii="宋体" w:hAnsi="宋体" w:cs="宋体"/>
                <w:szCs w:val="21"/>
              </w:rPr>
              <w:t>44°7'60.00"</w:t>
            </w:r>
          </w:p>
        </w:tc>
      </w:tr>
      <w:tr w14:paraId="1A2F8D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59EA46D9">
            <w:pPr>
              <w:adjustRightInd w:val="0"/>
              <w:snapToGrid w:val="0"/>
              <w:spacing w:line="300" w:lineRule="exact"/>
              <w:jc w:val="center"/>
              <w:rPr>
                <w:rFonts w:hint="eastAsia" w:ascii="宋体" w:hAnsi="宋体" w:cs="宋体"/>
                <w:szCs w:val="21"/>
              </w:rPr>
            </w:pPr>
            <w:r>
              <w:rPr>
                <w:rFonts w:hint="eastAsia" w:ascii="宋体" w:hAnsi="宋体" w:cs="宋体"/>
                <w:szCs w:val="21"/>
              </w:rPr>
              <w:t>10</w:t>
            </w:r>
          </w:p>
        </w:tc>
        <w:tc>
          <w:tcPr>
            <w:tcW w:w="1184" w:type="pct"/>
            <w:vAlign w:val="center"/>
          </w:tcPr>
          <w:p w14:paraId="0BACC8EE">
            <w:pPr>
              <w:adjustRightInd w:val="0"/>
              <w:snapToGrid w:val="0"/>
              <w:spacing w:line="300" w:lineRule="exact"/>
              <w:jc w:val="center"/>
              <w:rPr>
                <w:rFonts w:hint="eastAsia" w:ascii="宋体" w:hAnsi="宋体" w:cs="宋体"/>
                <w:szCs w:val="21"/>
              </w:rPr>
            </w:pPr>
            <w:r>
              <w:rPr>
                <w:rFonts w:hint="eastAsia" w:ascii="宋体" w:hAnsi="宋体" w:cs="宋体"/>
                <w:szCs w:val="21"/>
              </w:rPr>
              <w:t>89°11'30.00"</w:t>
            </w:r>
          </w:p>
        </w:tc>
        <w:tc>
          <w:tcPr>
            <w:tcW w:w="1087" w:type="pct"/>
            <w:vAlign w:val="center"/>
          </w:tcPr>
          <w:p w14:paraId="7EA4FA9E">
            <w:pPr>
              <w:adjustRightInd w:val="0"/>
              <w:snapToGrid w:val="0"/>
              <w:spacing w:line="300" w:lineRule="exact"/>
              <w:jc w:val="center"/>
              <w:rPr>
                <w:rFonts w:hint="eastAsia" w:ascii="宋体" w:hAnsi="宋体" w:cs="宋体"/>
                <w:szCs w:val="21"/>
              </w:rPr>
            </w:pPr>
            <w:r>
              <w:rPr>
                <w:rFonts w:hint="eastAsia" w:ascii="宋体" w:hAnsi="宋体" w:cs="宋体"/>
                <w:szCs w:val="21"/>
              </w:rPr>
              <w:t>44°15'15.00"</w:t>
            </w:r>
          </w:p>
        </w:tc>
        <w:tc>
          <w:tcPr>
            <w:tcW w:w="410" w:type="pct"/>
            <w:vAlign w:val="center"/>
          </w:tcPr>
          <w:p w14:paraId="670F4D66">
            <w:pPr>
              <w:adjustRightInd w:val="0"/>
              <w:snapToGrid w:val="0"/>
              <w:spacing w:line="300" w:lineRule="exact"/>
              <w:jc w:val="center"/>
              <w:rPr>
                <w:rFonts w:hint="eastAsia" w:ascii="宋体" w:hAnsi="宋体" w:cs="宋体"/>
                <w:szCs w:val="21"/>
              </w:rPr>
            </w:pPr>
            <w:r>
              <w:rPr>
                <w:rFonts w:hint="eastAsia" w:ascii="宋体" w:hAnsi="宋体" w:cs="宋体"/>
                <w:szCs w:val="21"/>
              </w:rPr>
              <w:t>21</w:t>
            </w:r>
          </w:p>
        </w:tc>
        <w:tc>
          <w:tcPr>
            <w:tcW w:w="1038" w:type="pct"/>
            <w:vAlign w:val="center"/>
          </w:tcPr>
          <w:p w14:paraId="51192EDA">
            <w:pPr>
              <w:adjustRightInd w:val="0"/>
              <w:snapToGrid w:val="0"/>
              <w:spacing w:line="300" w:lineRule="exact"/>
              <w:jc w:val="center"/>
              <w:rPr>
                <w:rFonts w:hint="eastAsia" w:ascii="宋体" w:hAnsi="宋体" w:cs="宋体"/>
                <w:szCs w:val="21"/>
              </w:rPr>
            </w:pPr>
            <w:r>
              <w:rPr>
                <w:rFonts w:hint="eastAsia" w:ascii="宋体" w:hAnsi="宋体" w:cs="宋体"/>
                <w:szCs w:val="21"/>
              </w:rPr>
              <w:t>88°56'12.00"</w:t>
            </w:r>
          </w:p>
        </w:tc>
        <w:tc>
          <w:tcPr>
            <w:tcW w:w="958" w:type="pct"/>
            <w:vAlign w:val="center"/>
          </w:tcPr>
          <w:p w14:paraId="328CA9C6">
            <w:pPr>
              <w:adjustRightInd w:val="0"/>
              <w:snapToGrid w:val="0"/>
              <w:spacing w:line="300" w:lineRule="exact"/>
              <w:jc w:val="center"/>
              <w:rPr>
                <w:rFonts w:hint="eastAsia" w:ascii="宋体" w:hAnsi="宋体" w:cs="宋体"/>
                <w:szCs w:val="21"/>
              </w:rPr>
            </w:pPr>
            <w:r>
              <w:rPr>
                <w:rFonts w:hint="eastAsia" w:ascii="宋体" w:hAnsi="宋体" w:cs="宋体"/>
                <w:szCs w:val="21"/>
              </w:rPr>
              <w:t>44°10'42.00"</w:t>
            </w:r>
          </w:p>
        </w:tc>
      </w:tr>
      <w:tr w14:paraId="61D9FC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vAlign w:val="center"/>
          </w:tcPr>
          <w:p w14:paraId="6ED96A8A">
            <w:pPr>
              <w:adjustRightInd w:val="0"/>
              <w:snapToGrid w:val="0"/>
              <w:spacing w:line="300" w:lineRule="exact"/>
              <w:jc w:val="center"/>
              <w:rPr>
                <w:rFonts w:hint="eastAsia" w:ascii="宋体" w:hAnsi="宋体" w:cs="宋体"/>
                <w:szCs w:val="21"/>
              </w:rPr>
            </w:pPr>
            <w:r>
              <w:rPr>
                <w:rFonts w:hint="eastAsia" w:ascii="宋体" w:hAnsi="宋体" w:cs="宋体"/>
                <w:szCs w:val="21"/>
              </w:rPr>
              <w:t>11</w:t>
            </w:r>
          </w:p>
        </w:tc>
        <w:tc>
          <w:tcPr>
            <w:tcW w:w="1184" w:type="pct"/>
            <w:vAlign w:val="center"/>
          </w:tcPr>
          <w:p w14:paraId="25D918CF">
            <w:pPr>
              <w:adjustRightInd w:val="0"/>
              <w:snapToGrid w:val="0"/>
              <w:spacing w:line="300" w:lineRule="exact"/>
              <w:jc w:val="center"/>
              <w:rPr>
                <w:rFonts w:hint="eastAsia" w:ascii="宋体" w:hAnsi="宋体" w:cs="宋体"/>
                <w:szCs w:val="21"/>
              </w:rPr>
            </w:pPr>
            <w:r>
              <w:rPr>
                <w:rFonts w:hint="eastAsia" w:ascii="宋体" w:hAnsi="宋体" w:cs="宋体"/>
                <w:szCs w:val="21"/>
              </w:rPr>
              <w:t>89°14'34.32"</w:t>
            </w:r>
          </w:p>
        </w:tc>
        <w:tc>
          <w:tcPr>
            <w:tcW w:w="1087" w:type="pct"/>
            <w:vAlign w:val="center"/>
          </w:tcPr>
          <w:p w14:paraId="14998D9A">
            <w:pPr>
              <w:adjustRightInd w:val="0"/>
              <w:snapToGrid w:val="0"/>
              <w:spacing w:line="300" w:lineRule="exact"/>
              <w:jc w:val="center"/>
              <w:rPr>
                <w:rFonts w:hint="eastAsia" w:ascii="宋体" w:hAnsi="宋体" w:cs="宋体"/>
                <w:szCs w:val="21"/>
              </w:rPr>
            </w:pPr>
            <w:r>
              <w:rPr>
                <w:rFonts w:hint="eastAsia" w:ascii="宋体" w:hAnsi="宋体" w:cs="宋体"/>
                <w:szCs w:val="21"/>
              </w:rPr>
              <w:t>44°14'1.26"</w:t>
            </w:r>
          </w:p>
        </w:tc>
        <w:tc>
          <w:tcPr>
            <w:tcW w:w="410" w:type="pct"/>
            <w:vAlign w:val="center"/>
          </w:tcPr>
          <w:p w14:paraId="5407A34F">
            <w:pPr>
              <w:adjustRightInd w:val="0"/>
              <w:snapToGrid w:val="0"/>
              <w:spacing w:line="300" w:lineRule="exact"/>
              <w:jc w:val="center"/>
              <w:rPr>
                <w:rFonts w:hint="eastAsia" w:ascii="宋体" w:hAnsi="宋体" w:cs="宋体"/>
                <w:szCs w:val="21"/>
              </w:rPr>
            </w:pPr>
            <w:r>
              <w:rPr>
                <w:rFonts w:hint="eastAsia" w:ascii="宋体" w:hAnsi="宋体" w:cs="宋体"/>
                <w:szCs w:val="21"/>
              </w:rPr>
              <w:t>22</w:t>
            </w:r>
          </w:p>
        </w:tc>
        <w:tc>
          <w:tcPr>
            <w:tcW w:w="1038" w:type="pct"/>
            <w:vAlign w:val="center"/>
          </w:tcPr>
          <w:p w14:paraId="4410EECE">
            <w:pPr>
              <w:adjustRightInd w:val="0"/>
              <w:snapToGrid w:val="0"/>
              <w:spacing w:line="300" w:lineRule="exact"/>
              <w:jc w:val="center"/>
              <w:rPr>
                <w:rFonts w:hint="eastAsia" w:ascii="宋体" w:hAnsi="宋体" w:cs="宋体"/>
                <w:szCs w:val="21"/>
              </w:rPr>
            </w:pPr>
            <w:r>
              <w:rPr>
                <w:rFonts w:hint="eastAsia" w:ascii="宋体" w:hAnsi="宋体" w:cs="宋体"/>
                <w:szCs w:val="21"/>
              </w:rPr>
              <w:t>88°59'40.00"</w:t>
            </w:r>
          </w:p>
        </w:tc>
        <w:tc>
          <w:tcPr>
            <w:tcW w:w="958" w:type="pct"/>
            <w:vAlign w:val="center"/>
          </w:tcPr>
          <w:p w14:paraId="6AA72CB1">
            <w:pPr>
              <w:adjustRightInd w:val="0"/>
              <w:snapToGrid w:val="0"/>
              <w:spacing w:line="300" w:lineRule="exact"/>
              <w:jc w:val="center"/>
              <w:rPr>
                <w:rFonts w:hint="eastAsia" w:ascii="宋体" w:hAnsi="宋体" w:cs="宋体"/>
                <w:szCs w:val="21"/>
              </w:rPr>
            </w:pPr>
            <w:r>
              <w:rPr>
                <w:rFonts w:hint="eastAsia" w:ascii="宋体" w:hAnsi="宋体" w:cs="宋体"/>
                <w:szCs w:val="21"/>
              </w:rPr>
              <w:t>44°10'42.00"</w:t>
            </w:r>
          </w:p>
        </w:tc>
      </w:tr>
    </w:tbl>
    <w:p w14:paraId="315A25B2">
      <w:pPr>
        <w:pStyle w:val="4"/>
        <w:rPr>
          <w:rFonts w:hint="eastAsia"/>
          <w:spacing w:val="4"/>
        </w:rPr>
      </w:pPr>
      <w:r>
        <w:rPr>
          <w:rFonts w:hint="eastAsia"/>
          <w:spacing w:val="4"/>
        </w:rPr>
        <w:t>区块开发简况</w:t>
      </w:r>
    </w:p>
    <w:p w14:paraId="1C1C2040">
      <w:pPr>
        <w:pStyle w:val="117"/>
        <w:ind w:firstLine="480"/>
        <w:rPr>
          <w:rFonts w:hint="eastAsia" w:cs="宋体"/>
        </w:rPr>
      </w:pPr>
      <w:r>
        <w:rPr>
          <w:rFonts w:hint="eastAsia" w:cs="宋体"/>
        </w:rPr>
        <w:t>吉木萨尔页岩油油藏从发现到开发历程曲折，</w:t>
      </w:r>
      <w:r>
        <w:rPr>
          <w:rFonts w:cs="宋体"/>
        </w:rPr>
        <w:t>2010</w:t>
      </w:r>
      <w:r>
        <w:rPr>
          <w:rFonts w:hint="eastAsia" w:cs="宋体"/>
        </w:rPr>
        <w:t>年吉</w:t>
      </w:r>
      <w:r>
        <w:rPr>
          <w:rFonts w:cs="宋体"/>
        </w:rPr>
        <w:t>171</w:t>
      </w:r>
      <w:r>
        <w:rPr>
          <w:rFonts w:hint="eastAsia" w:cs="宋体"/>
        </w:rPr>
        <w:t>井压裂投产的成功，推动了芦草沟组油藏从兼探层变为主要目的层，并相继在该层斜坡区布控</w:t>
      </w:r>
      <w:r>
        <w:rPr>
          <w:rFonts w:cs="宋体"/>
        </w:rPr>
        <w:t>7</w:t>
      </w:r>
      <w:r>
        <w:rPr>
          <w:rFonts w:hint="eastAsia" w:cs="宋体"/>
        </w:rPr>
        <w:t>口探井，其中，吉</w:t>
      </w:r>
      <w:r>
        <w:rPr>
          <w:rFonts w:cs="宋体"/>
        </w:rPr>
        <w:t>23</w:t>
      </w:r>
      <w:r>
        <w:rPr>
          <w:rFonts w:hint="eastAsia" w:cs="宋体"/>
        </w:rPr>
        <w:t>井第一次获得了二叠系芦草沟组工业油流，随后，在吉</w:t>
      </w:r>
      <w:r>
        <w:rPr>
          <w:rFonts w:cs="宋体"/>
        </w:rPr>
        <w:t xml:space="preserve">25 </w:t>
      </w:r>
      <w:r>
        <w:rPr>
          <w:rFonts w:hint="eastAsia" w:cs="宋体"/>
        </w:rPr>
        <w:t>井取芯普遍见原油外渗，大段气测异常明显，整体表现为源储一体的特征，具有甜点体特征，初步断定吉木萨尔凹陷东斜坡芦草沟组油藏为页岩油油藏，随后陆续探明了两套甜点体超</w:t>
      </w:r>
      <w:r>
        <w:rPr>
          <w:rFonts w:cs="宋体"/>
        </w:rPr>
        <w:t>10</w:t>
      </w:r>
      <w:r>
        <w:rPr>
          <w:rFonts w:hint="eastAsia" w:cs="宋体"/>
        </w:rPr>
        <w:t>亿吨井控储量，</w:t>
      </w:r>
      <w:r>
        <w:rPr>
          <w:rFonts w:cs="宋体"/>
        </w:rPr>
        <w:t>2019</w:t>
      </w:r>
      <w:r>
        <w:rPr>
          <w:rFonts w:hint="eastAsia" w:cs="宋体"/>
        </w:rPr>
        <w:t>年，中国石油进行准噶尔盆地东部内部矿权流转，部分矿权划转给吉林油田、吐哈油田，形成三家共谋页岩油开发的局面，新疆油田吉木萨尔页岩油部分矿权面积</w:t>
      </w:r>
      <w:r>
        <w:rPr>
          <w:rFonts w:cs="宋体"/>
        </w:rPr>
        <w:t>366km</w:t>
      </w:r>
      <w:r>
        <w:rPr>
          <w:rFonts w:cs="宋体"/>
          <w:vertAlign w:val="superscript"/>
        </w:rPr>
        <w:t>2</w:t>
      </w:r>
      <w:r>
        <w:rPr>
          <w:rFonts w:hint="eastAsia" w:cs="宋体"/>
        </w:rPr>
        <w:t>，估算资源量</w:t>
      </w:r>
      <w:r>
        <w:rPr>
          <w:rFonts w:cs="宋体"/>
        </w:rPr>
        <w:t>7.8</w:t>
      </w:r>
      <w:r>
        <w:rPr>
          <w:rFonts w:hint="eastAsia" w:cs="宋体"/>
        </w:rPr>
        <w:t>亿吨。</w:t>
      </w:r>
    </w:p>
    <w:p w14:paraId="12EABDA2">
      <w:pPr>
        <w:pStyle w:val="4"/>
        <w:rPr>
          <w:rFonts w:hint="eastAsia"/>
          <w:spacing w:val="4"/>
        </w:rPr>
      </w:pPr>
      <w:r>
        <w:rPr>
          <w:rFonts w:hint="eastAsia"/>
          <w:spacing w:val="4"/>
        </w:rPr>
        <w:t>现有工程概况</w:t>
      </w:r>
    </w:p>
    <w:p w14:paraId="6A71AB71">
      <w:pPr>
        <w:pStyle w:val="117"/>
        <w:ind w:firstLine="480"/>
        <w:rPr>
          <w:rFonts w:hint="eastAsia" w:cs="宋体"/>
        </w:rPr>
      </w:pPr>
      <w:r>
        <w:rPr>
          <w:rFonts w:hint="eastAsia" w:cs="宋体"/>
        </w:rPr>
        <w:t>（1）工程组成</w:t>
      </w:r>
    </w:p>
    <w:p w14:paraId="266A0CF9">
      <w:pPr>
        <w:pStyle w:val="117"/>
        <w:ind w:firstLine="480"/>
        <w:rPr>
          <w:rFonts w:hint="eastAsia" w:ascii="黑体" w:hAnsi="黑体" w:eastAsia="黑体"/>
          <w:sz w:val="21"/>
          <w:szCs w:val="21"/>
        </w:rPr>
      </w:pPr>
      <w:r>
        <w:rPr>
          <w:rFonts w:hint="eastAsia" w:cs="宋体"/>
        </w:rPr>
        <w:t>页岩油井区已建有采油井</w:t>
      </w:r>
      <w:r>
        <w:rPr>
          <w:rFonts w:cs="宋体"/>
        </w:rPr>
        <w:t>207</w:t>
      </w:r>
      <w:r>
        <w:rPr>
          <w:rFonts w:hint="eastAsia" w:cs="宋体"/>
        </w:rPr>
        <w:t>口、页岩油联合站</w:t>
      </w:r>
      <w:r>
        <w:rPr>
          <w:rFonts w:cs="宋体"/>
        </w:rPr>
        <w:t>1</w:t>
      </w:r>
      <w:r>
        <w:rPr>
          <w:rFonts w:hint="eastAsia" w:cs="宋体"/>
        </w:rPr>
        <w:t>座、混输站</w:t>
      </w:r>
      <w:r>
        <w:rPr>
          <w:rFonts w:cs="宋体"/>
        </w:rPr>
        <w:t>1</w:t>
      </w:r>
      <w:r>
        <w:rPr>
          <w:rFonts w:hint="eastAsia" w:cs="宋体"/>
        </w:rPr>
        <w:t>座，并配套建设有单井采油管线、集油干支线、道路等工程，油区和页岩油联合站的采出水处理装置均依托页岩油联合站外的压裂返排液处理系统处理。目前日产液量为</w:t>
      </w:r>
      <w:r>
        <w:rPr>
          <w:rFonts w:cs="宋体"/>
        </w:rPr>
        <w:t>4348t/d</w:t>
      </w:r>
      <w:r>
        <w:rPr>
          <w:rFonts w:hint="eastAsia" w:cs="宋体"/>
        </w:rPr>
        <w:t>，日产油量为</w:t>
      </w:r>
      <w:r>
        <w:rPr>
          <w:rFonts w:cs="宋体"/>
        </w:rPr>
        <w:t>1957t/d</w:t>
      </w:r>
      <w:r>
        <w:rPr>
          <w:rFonts w:hint="eastAsia" w:cs="宋体"/>
        </w:rPr>
        <w:t>，日产气量为</w:t>
      </w:r>
      <w:r>
        <w:rPr>
          <w:rFonts w:cs="宋体"/>
        </w:rPr>
        <w:t>2.24</w:t>
      </w:r>
      <w:r>
        <w:rPr>
          <w:rFonts w:hint="eastAsia" w:cs="宋体"/>
        </w:rPr>
        <w:t>×</w:t>
      </w:r>
      <w:r>
        <w:rPr>
          <w:rFonts w:cs="宋体"/>
        </w:rPr>
        <w:t>10</w:t>
      </w:r>
      <w:r>
        <w:rPr>
          <w:rFonts w:cs="宋体"/>
          <w:vertAlign w:val="superscript"/>
        </w:rPr>
        <w:t>4</w:t>
      </w:r>
      <w:r>
        <w:rPr>
          <w:rFonts w:cs="宋体"/>
        </w:rPr>
        <w:t>m</w:t>
      </w:r>
      <w:r>
        <w:rPr>
          <w:rFonts w:cs="宋体"/>
          <w:vertAlign w:val="superscript"/>
        </w:rPr>
        <w:t>3</w:t>
      </w:r>
      <w:r>
        <w:rPr>
          <w:rFonts w:cs="宋体"/>
        </w:rPr>
        <w:t>/d</w:t>
      </w:r>
      <w:r>
        <w:rPr>
          <w:rFonts w:hint="eastAsia" w:cs="宋体"/>
        </w:rPr>
        <w:t>。现有工程组成包括主体工程、公用工程和环保工程，详见表3.1-2。</w:t>
      </w:r>
    </w:p>
    <w:p w14:paraId="27C74D21">
      <w:pPr>
        <w:pStyle w:val="117"/>
        <w:spacing w:line="240" w:lineRule="auto"/>
        <w:ind w:firstLine="0" w:firstLineChars="0"/>
        <w:jc w:val="center"/>
        <w:rPr>
          <w:rFonts w:hint="eastAsia" w:ascii="黑体" w:hAnsi="黑体" w:eastAsia="黑体"/>
          <w:sz w:val="21"/>
          <w:szCs w:val="21"/>
        </w:rPr>
      </w:pPr>
      <w:r>
        <w:rPr>
          <w:rFonts w:hint="eastAsia" w:ascii="黑体" w:hAnsi="黑体" w:eastAsia="黑体"/>
          <w:sz w:val="21"/>
          <w:szCs w:val="21"/>
        </w:rPr>
        <w:t>表3.1-2  工程组成情况一览表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679"/>
        <w:gridCol w:w="1034"/>
        <w:gridCol w:w="712"/>
        <w:gridCol w:w="6361"/>
      </w:tblGrid>
      <w:tr w14:paraId="618BED0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blHeader/>
          <w:jc w:val="center"/>
        </w:trPr>
        <w:tc>
          <w:tcPr>
            <w:tcW w:w="387" w:type="pct"/>
            <w:vAlign w:val="center"/>
          </w:tcPr>
          <w:p w14:paraId="293D8265">
            <w:pPr>
              <w:widowControl/>
              <w:overflowPunct w:val="0"/>
              <w:adjustRightInd w:val="0"/>
              <w:snapToGrid w:val="0"/>
              <w:spacing w:line="300" w:lineRule="exact"/>
              <w:jc w:val="center"/>
              <w:rPr>
                <w:rFonts w:hint="eastAsia" w:ascii="宋体" w:hAnsi="宋体"/>
                <w:snapToGrid w:val="0"/>
                <w:kern w:val="0"/>
                <w:szCs w:val="21"/>
              </w:rPr>
            </w:pPr>
            <w:r>
              <w:rPr>
                <w:rFonts w:ascii="宋体" w:hAnsi="宋体"/>
                <w:snapToGrid w:val="0"/>
                <w:kern w:val="0"/>
                <w:szCs w:val="21"/>
              </w:rPr>
              <w:t>类别</w:t>
            </w:r>
          </w:p>
        </w:tc>
        <w:tc>
          <w:tcPr>
            <w:tcW w:w="4613" w:type="pct"/>
            <w:gridSpan w:val="3"/>
            <w:vAlign w:val="center"/>
          </w:tcPr>
          <w:p w14:paraId="37C02659">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具体内容</w:t>
            </w:r>
          </w:p>
        </w:tc>
      </w:tr>
      <w:tr w14:paraId="744EB7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restart"/>
            <w:vAlign w:val="center"/>
          </w:tcPr>
          <w:p w14:paraId="50106D45">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主体</w:t>
            </w:r>
          </w:p>
          <w:p w14:paraId="213CE076">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588" w:type="pct"/>
            <w:tcBorders>
              <w:right w:val="single" w:color="auto" w:sz="4" w:space="0"/>
            </w:tcBorders>
            <w:vAlign w:val="center"/>
          </w:tcPr>
          <w:p w14:paraId="377BD407">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采油井</w:t>
            </w:r>
          </w:p>
        </w:tc>
        <w:tc>
          <w:tcPr>
            <w:tcW w:w="405" w:type="pct"/>
            <w:tcBorders>
              <w:left w:val="single" w:color="auto" w:sz="4" w:space="0"/>
            </w:tcBorders>
            <w:vAlign w:val="center"/>
          </w:tcPr>
          <w:p w14:paraId="2481DD1F">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207口</w:t>
            </w:r>
          </w:p>
        </w:tc>
        <w:tc>
          <w:tcPr>
            <w:tcW w:w="3620" w:type="pct"/>
            <w:vAlign w:val="center"/>
          </w:tcPr>
          <w:p w14:paraId="250CBA2B">
            <w:pPr>
              <w:adjustRightInd w:val="0"/>
              <w:snapToGrid w:val="0"/>
              <w:spacing w:line="300" w:lineRule="exact"/>
              <w:rPr>
                <w:rFonts w:cs="宋体"/>
                <w:snapToGrid w:val="0"/>
                <w:kern w:val="0"/>
                <w:szCs w:val="21"/>
              </w:rPr>
            </w:pPr>
            <w:r>
              <w:rPr>
                <w:rFonts w:hint="eastAsia" w:ascii="宋体" w:hAnsi="宋体"/>
                <w:snapToGrid w:val="0"/>
                <w:kern w:val="0"/>
                <w:szCs w:val="21"/>
              </w:rPr>
              <w:t>其中报废井</w:t>
            </w:r>
            <w:r>
              <w:rPr>
                <w:rFonts w:ascii="宋体" w:hAnsi="宋体"/>
                <w:snapToGrid w:val="0"/>
                <w:kern w:val="0"/>
                <w:szCs w:val="21"/>
              </w:rPr>
              <w:t>1</w:t>
            </w:r>
            <w:r>
              <w:rPr>
                <w:rFonts w:hint="eastAsia" w:ascii="宋体" w:hAnsi="宋体"/>
                <w:snapToGrid w:val="0"/>
                <w:kern w:val="0"/>
                <w:szCs w:val="21"/>
              </w:rPr>
              <w:t>口，关停井</w:t>
            </w:r>
            <w:r>
              <w:rPr>
                <w:rFonts w:ascii="宋体" w:hAnsi="宋体"/>
                <w:snapToGrid w:val="0"/>
                <w:kern w:val="0"/>
                <w:szCs w:val="21"/>
              </w:rPr>
              <w:t>16</w:t>
            </w:r>
            <w:r>
              <w:rPr>
                <w:rFonts w:hint="eastAsia" w:ascii="宋体" w:hAnsi="宋体"/>
                <w:snapToGrid w:val="0"/>
                <w:kern w:val="0"/>
                <w:szCs w:val="21"/>
              </w:rPr>
              <w:t>口，生产井</w:t>
            </w:r>
            <w:r>
              <w:rPr>
                <w:rFonts w:ascii="宋体" w:hAnsi="宋体"/>
                <w:snapToGrid w:val="0"/>
                <w:kern w:val="0"/>
                <w:szCs w:val="21"/>
              </w:rPr>
              <w:t>190</w:t>
            </w:r>
            <w:r>
              <w:rPr>
                <w:rFonts w:hint="eastAsia" w:ascii="宋体" w:hAnsi="宋体"/>
                <w:snapToGrid w:val="0"/>
                <w:kern w:val="0"/>
                <w:szCs w:val="21"/>
              </w:rPr>
              <w:t>口。</w:t>
            </w:r>
          </w:p>
        </w:tc>
      </w:tr>
      <w:tr w14:paraId="1D4210F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4F98D6B1">
            <w:pPr>
              <w:widowControl/>
              <w:overflowPunct w:val="0"/>
              <w:adjustRightInd w:val="0"/>
              <w:snapToGrid w:val="0"/>
              <w:spacing w:line="300" w:lineRule="exact"/>
              <w:jc w:val="center"/>
              <w:rPr>
                <w:rFonts w:hint="eastAsia" w:ascii="宋体" w:hAnsi="宋体"/>
                <w:snapToGrid w:val="0"/>
                <w:kern w:val="0"/>
                <w:szCs w:val="21"/>
              </w:rPr>
            </w:pPr>
          </w:p>
        </w:tc>
        <w:tc>
          <w:tcPr>
            <w:tcW w:w="588" w:type="pct"/>
            <w:tcBorders>
              <w:right w:val="single" w:color="auto" w:sz="4" w:space="0"/>
            </w:tcBorders>
            <w:vAlign w:val="center"/>
          </w:tcPr>
          <w:p w14:paraId="35711FA4">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集输管线</w:t>
            </w:r>
          </w:p>
        </w:tc>
        <w:tc>
          <w:tcPr>
            <w:tcW w:w="405" w:type="pct"/>
            <w:tcBorders>
              <w:left w:val="single" w:color="auto" w:sz="4" w:space="0"/>
            </w:tcBorders>
            <w:vAlign w:val="center"/>
          </w:tcPr>
          <w:p w14:paraId="6935F7BD">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62.16km</w:t>
            </w:r>
          </w:p>
        </w:tc>
        <w:tc>
          <w:tcPr>
            <w:tcW w:w="3620" w:type="pct"/>
            <w:vAlign w:val="center"/>
          </w:tcPr>
          <w:p w14:paraId="4FD79A2A">
            <w:pPr>
              <w:adjustRightInd w:val="0"/>
              <w:snapToGrid w:val="0"/>
              <w:spacing w:line="300" w:lineRule="exact"/>
              <w:rPr>
                <w:snapToGrid w:val="0"/>
                <w:szCs w:val="21"/>
              </w:rPr>
            </w:pPr>
            <w:r>
              <w:rPr>
                <w:rFonts w:hint="eastAsia" w:ascii="宋体" w:hAnsi="宋体"/>
                <w:snapToGrid w:val="0"/>
                <w:kern w:val="0"/>
                <w:szCs w:val="21"/>
              </w:rPr>
              <w:t>主要包括集油干线（采用</w:t>
            </w:r>
            <w:r>
              <w:rPr>
                <w:rFonts w:ascii="宋体" w:hAnsi="宋体"/>
                <w:snapToGrid w:val="0"/>
                <w:kern w:val="0"/>
                <w:szCs w:val="21"/>
              </w:rPr>
              <w:t>3.5MPa</w:t>
            </w:r>
            <w:r>
              <w:rPr>
                <w:rFonts w:hint="eastAsia" w:ascii="宋体" w:hAnsi="宋体"/>
                <w:snapToGrid w:val="0"/>
                <w:kern w:val="0"/>
                <w:szCs w:val="21"/>
              </w:rPr>
              <w:t>玻璃钢管道，规格为</w:t>
            </w:r>
            <w:r>
              <w:rPr>
                <w:rFonts w:ascii="宋体" w:hAnsi="宋体"/>
                <w:snapToGrid w:val="0"/>
                <w:kern w:val="0"/>
                <w:szCs w:val="21"/>
              </w:rPr>
              <w:t>DN300</w:t>
            </w:r>
            <w:r>
              <w:rPr>
                <w:rFonts w:hint="eastAsia" w:ascii="宋体" w:hAnsi="宋体"/>
                <w:snapToGrid w:val="0"/>
                <w:kern w:val="0"/>
                <w:szCs w:val="21"/>
              </w:rPr>
              <w:t>、</w:t>
            </w:r>
            <w:r>
              <w:rPr>
                <w:rFonts w:ascii="宋体" w:hAnsi="宋体"/>
                <w:snapToGrid w:val="0"/>
                <w:kern w:val="0"/>
                <w:szCs w:val="21"/>
              </w:rPr>
              <w:t>DN250</w:t>
            </w:r>
            <w:r>
              <w:rPr>
                <w:rFonts w:hint="eastAsia" w:ascii="宋体" w:hAnsi="宋体"/>
                <w:snapToGrid w:val="0"/>
                <w:kern w:val="0"/>
                <w:szCs w:val="21"/>
              </w:rPr>
              <w:t>）、集油支线（采用</w:t>
            </w:r>
            <w:r>
              <w:rPr>
                <w:rFonts w:ascii="宋体" w:hAnsi="宋体"/>
                <w:snapToGrid w:val="0"/>
                <w:kern w:val="0"/>
                <w:szCs w:val="21"/>
              </w:rPr>
              <w:t>3.5MPa</w:t>
            </w:r>
            <w:r>
              <w:rPr>
                <w:rFonts w:hint="eastAsia" w:ascii="宋体" w:hAnsi="宋体"/>
                <w:snapToGrid w:val="0"/>
                <w:kern w:val="0"/>
                <w:szCs w:val="21"/>
              </w:rPr>
              <w:t>玻璃钢管道，规格为</w:t>
            </w:r>
            <w:r>
              <w:rPr>
                <w:rFonts w:ascii="宋体" w:hAnsi="宋体"/>
                <w:snapToGrid w:val="0"/>
                <w:kern w:val="0"/>
                <w:szCs w:val="21"/>
              </w:rPr>
              <w:t>DN200</w:t>
            </w:r>
            <w:r>
              <w:rPr>
                <w:rFonts w:hint="eastAsia" w:ascii="宋体" w:hAnsi="宋体"/>
                <w:snapToGrid w:val="0"/>
                <w:kern w:val="0"/>
                <w:szCs w:val="21"/>
              </w:rPr>
              <w:t>、</w:t>
            </w:r>
            <w:r>
              <w:rPr>
                <w:rFonts w:ascii="宋体" w:hAnsi="宋体"/>
                <w:snapToGrid w:val="0"/>
                <w:kern w:val="0"/>
                <w:szCs w:val="21"/>
              </w:rPr>
              <w:t>DN150</w:t>
            </w:r>
            <w:r>
              <w:rPr>
                <w:rFonts w:hint="eastAsia" w:ascii="宋体" w:hAnsi="宋体"/>
                <w:snapToGrid w:val="0"/>
                <w:kern w:val="0"/>
                <w:szCs w:val="21"/>
              </w:rPr>
              <w:t>、</w:t>
            </w:r>
            <w:r>
              <w:rPr>
                <w:rFonts w:ascii="宋体" w:hAnsi="宋体"/>
                <w:snapToGrid w:val="0"/>
                <w:kern w:val="0"/>
                <w:szCs w:val="21"/>
              </w:rPr>
              <w:t>DN100</w:t>
            </w:r>
            <w:r>
              <w:rPr>
                <w:rFonts w:hint="eastAsia" w:ascii="宋体" w:hAnsi="宋体"/>
                <w:snapToGrid w:val="0"/>
                <w:kern w:val="0"/>
                <w:szCs w:val="21"/>
              </w:rPr>
              <w:t>）、单井采油管线（采用</w:t>
            </w:r>
            <w:r>
              <w:rPr>
                <w:rFonts w:ascii="宋体" w:hAnsi="宋体"/>
                <w:snapToGrid w:val="0"/>
                <w:kern w:val="0"/>
                <w:szCs w:val="21"/>
              </w:rPr>
              <w:t>DN65 2.5MPa</w:t>
            </w:r>
            <w:r>
              <w:rPr>
                <w:rFonts w:hint="eastAsia" w:ascii="宋体" w:hAnsi="宋体"/>
                <w:snapToGrid w:val="0"/>
                <w:kern w:val="0"/>
                <w:szCs w:val="21"/>
              </w:rPr>
              <w:t>柔性复合管）。</w:t>
            </w:r>
          </w:p>
        </w:tc>
      </w:tr>
      <w:tr w14:paraId="1CEFC4B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1D99A975">
            <w:pPr>
              <w:widowControl/>
              <w:overflowPunct w:val="0"/>
              <w:adjustRightInd w:val="0"/>
              <w:snapToGrid w:val="0"/>
              <w:spacing w:line="300" w:lineRule="exact"/>
              <w:jc w:val="center"/>
              <w:rPr>
                <w:rFonts w:hint="eastAsia" w:ascii="宋体" w:hAnsi="宋体"/>
                <w:snapToGrid w:val="0"/>
                <w:kern w:val="0"/>
                <w:szCs w:val="21"/>
              </w:rPr>
            </w:pPr>
          </w:p>
        </w:tc>
        <w:tc>
          <w:tcPr>
            <w:tcW w:w="588" w:type="pct"/>
            <w:vMerge w:val="restart"/>
            <w:tcBorders>
              <w:right w:val="single" w:color="auto" w:sz="4" w:space="0"/>
            </w:tcBorders>
            <w:vAlign w:val="center"/>
          </w:tcPr>
          <w:p w14:paraId="2B06B151">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联合站</w:t>
            </w:r>
          </w:p>
        </w:tc>
        <w:tc>
          <w:tcPr>
            <w:tcW w:w="405" w:type="pct"/>
            <w:vMerge w:val="restart"/>
            <w:tcBorders>
              <w:left w:val="single" w:color="auto" w:sz="4" w:space="0"/>
            </w:tcBorders>
            <w:vAlign w:val="center"/>
          </w:tcPr>
          <w:p w14:paraId="3ACD32AA">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1座</w:t>
            </w:r>
          </w:p>
        </w:tc>
        <w:tc>
          <w:tcPr>
            <w:tcW w:w="3620" w:type="pct"/>
            <w:vAlign w:val="center"/>
          </w:tcPr>
          <w:p w14:paraId="6D1D6D1C">
            <w:pPr>
              <w:pStyle w:val="342"/>
              <w:overflowPunct w:val="0"/>
              <w:snapToGrid w:val="0"/>
              <w:spacing w:line="300" w:lineRule="exact"/>
              <w:jc w:val="both"/>
              <w:rPr>
                <w:snapToGrid w:val="0"/>
                <w:sz w:val="21"/>
                <w:szCs w:val="21"/>
              </w:rPr>
            </w:pPr>
            <w:r>
              <w:rPr>
                <w:rFonts w:hint="eastAsia"/>
                <w:snapToGrid w:val="0"/>
                <w:sz w:val="21"/>
                <w:szCs w:val="21"/>
              </w:rPr>
              <w:t>站内现有</w:t>
            </w:r>
            <w:r>
              <w:rPr>
                <w:rFonts w:hint="eastAsia"/>
                <w:kern w:val="2"/>
                <w:sz w:val="21"/>
                <w:szCs w:val="21"/>
              </w:rPr>
              <w:t>2列5</w:t>
            </w:r>
            <w:r>
              <w:rPr>
                <w:kern w:val="2"/>
                <w:sz w:val="21"/>
                <w:szCs w:val="21"/>
              </w:rPr>
              <w:t>0</w:t>
            </w:r>
            <w:r>
              <w:rPr>
                <w:rFonts w:hint="eastAsia"/>
                <w:kern w:val="2"/>
                <w:sz w:val="21"/>
                <w:szCs w:val="21"/>
              </w:rPr>
              <w:t>×</w:t>
            </w:r>
            <w:r>
              <w:rPr>
                <w:kern w:val="2"/>
                <w:sz w:val="21"/>
                <w:szCs w:val="21"/>
              </w:rPr>
              <w:t>10</w:t>
            </w:r>
            <w:r>
              <w:rPr>
                <w:kern w:val="2"/>
                <w:sz w:val="21"/>
                <w:szCs w:val="21"/>
                <w:vertAlign w:val="superscript"/>
              </w:rPr>
              <w:t>4</w:t>
            </w:r>
            <w:r>
              <w:rPr>
                <w:rFonts w:hint="eastAsia"/>
                <w:kern w:val="2"/>
                <w:sz w:val="21"/>
                <w:szCs w:val="21"/>
              </w:rPr>
              <w:t>t</w:t>
            </w:r>
            <w:r>
              <w:rPr>
                <w:kern w:val="2"/>
                <w:sz w:val="21"/>
                <w:szCs w:val="21"/>
              </w:rPr>
              <w:t>/a</w:t>
            </w:r>
            <w:r>
              <w:rPr>
                <w:rFonts w:hint="eastAsia"/>
                <w:kern w:val="2"/>
                <w:sz w:val="21"/>
                <w:szCs w:val="21"/>
              </w:rPr>
              <w:t>的原油处理系统，总设计处理能力100×</w:t>
            </w:r>
            <w:r>
              <w:rPr>
                <w:kern w:val="2"/>
                <w:sz w:val="21"/>
                <w:szCs w:val="21"/>
              </w:rPr>
              <w:t>10</w:t>
            </w:r>
            <w:r>
              <w:rPr>
                <w:kern w:val="2"/>
                <w:sz w:val="21"/>
                <w:szCs w:val="21"/>
                <w:vertAlign w:val="superscript"/>
              </w:rPr>
              <w:t>4</w:t>
            </w:r>
            <w:r>
              <w:rPr>
                <w:rFonts w:hint="eastAsia"/>
                <w:kern w:val="2"/>
                <w:sz w:val="21"/>
                <w:szCs w:val="21"/>
              </w:rPr>
              <w:t>t</w:t>
            </w:r>
            <w:r>
              <w:rPr>
                <w:kern w:val="2"/>
                <w:sz w:val="21"/>
                <w:szCs w:val="21"/>
              </w:rPr>
              <w:t>/a</w:t>
            </w:r>
            <w:r>
              <w:rPr>
                <w:rFonts w:hint="eastAsia"/>
                <w:kern w:val="2"/>
                <w:sz w:val="21"/>
                <w:szCs w:val="21"/>
              </w:rPr>
              <w:t>，实际处理量为71×</w:t>
            </w:r>
            <w:r>
              <w:rPr>
                <w:kern w:val="2"/>
                <w:sz w:val="21"/>
                <w:szCs w:val="21"/>
              </w:rPr>
              <w:t>10</w:t>
            </w:r>
            <w:r>
              <w:rPr>
                <w:kern w:val="2"/>
                <w:sz w:val="21"/>
                <w:szCs w:val="21"/>
                <w:vertAlign w:val="superscript"/>
              </w:rPr>
              <w:t>4</w:t>
            </w:r>
            <w:r>
              <w:rPr>
                <w:rFonts w:hint="eastAsia"/>
                <w:kern w:val="2"/>
                <w:sz w:val="21"/>
                <w:szCs w:val="21"/>
              </w:rPr>
              <w:t>t</w:t>
            </w:r>
            <w:r>
              <w:rPr>
                <w:kern w:val="2"/>
                <w:sz w:val="21"/>
                <w:szCs w:val="21"/>
              </w:rPr>
              <w:t>/a</w:t>
            </w:r>
            <w:r>
              <w:rPr>
                <w:rFonts w:hint="eastAsia"/>
                <w:kern w:val="2"/>
                <w:sz w:val="21"/>
                <w:szCs w:val="21"/>
              </w:rPr>
              <w:t>，处理工艺选用“油气分离及原油脱水采用密闭流程，脱水工艺选择热化学沉降脱水和电化学处理组合脱水工艺”，配套建设4座4</w:t>
            </w:r>
            <w:r>
              <w:rPr>
                <w:kern w:val="2"/>
                <w:sz w:val="21"/>
                <w:szCs w:val="21"/>
              </w:rPr>
              <w:t>000</w:t>
            </w:r>
            <w:r>
              <w:rPr>
                <w:rFonts w:hint="eastAsia"/>
                <w:kern w:val="2"/>
                <w:sz w:val="21"/>
                <w:szCs w:val="21"/>
              </w:rPr>
              <w:t>m</w:t>
            </w:r>
            <w:r>
              <w:rPr>
                <w:kern w:val="2"/>
                <w:sz w:val="21"/>
                <w:szCs w:val="21"/>
                <w:vertAlign w:val="superscript"/>
              </w:rPr>
              <w:t>3</w:t>
            </w:r>
            <w:r>
              <w:rPr>
                <w:rFonts w:hint="eastAsia"/>
                <w:kern w:val="2"/>
                <w:sz w:val="21"/>
                <w:szCs w:val="21"/>
              </w:rPr>
              <w:t>的事故罐、2座1000m</w:t>
            </w:r>
            <w:r>
              <w:rPr>
                <w:rFonts w:hint="eastAsia"/>
                <w:kern w:val="2"/>
                <w:sz w:val="21"/>
                <w:szCs w:val="21"/>
                <w:vertAlign w:val="superscript"/>
              </w:rPr>
              <w:t>3</w:t>
            </w:r>
            <w:r>
              <w:rPr>
                <w:rFonts w:hint="eastAsia"/>
                <w:kern w:val="2"/>
                <w:sz w:val="21"/>
                <w:szCs w:val="21"/>
              </w:rPr>
              <w:t>的卸油缓冲罐、2座60m</w:t>
            </w:r>
            <w:r>
              <w:rPr>
                <w:rFonts w:hint="eastAsia"/>
                <w:kern w:val="2"/>
                <w:sz w:val="21"/>
                <w:szCs w:val="21"/>
                <w:vertAlign w:val="superscript"/>
              </w:rPr>
              <w:t>3</w:t>
            </w:r>
            <w:r>
              <w:rPr>
                <w:rFonts w:hint="eastAsia"/>
                <w:kern w:val="2"/>
                <w:sz w:val="21"/>
                <w:szCs w:val="21"/>
              </w:rPr>
              <w:t>卸油罐；原油加热采用锅炉系统，燃料为天然气。</w:t>
            </w:r>
          </w:p>
        </w:tc>
      </w:tr>
      <w:tr w14:paraId="41A8807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45B77AC4">
            <w:pPr>
              <w:widowControl/>
              <w:overflowPunct w:val="0"/>
              <w:adjustRightInd w:val="0"/>
              <w:snapToGrid w:val="0"/>
              <w:spacing w:line="300" w:lineRule="exact"/>
              <w:jc w:val="center"/>
              <w:rPr>
                <w:rFonts w:hint="eastAsia" w:ascii="宋体" w:hAnsi="宋体"/>
                <w:snapToGrid w:val="0"/>
                <w:kern w:val="0"/>
                <w:szCs w:val="21"/>
              </w:rPr>
            </w:pPr>
          </w:p>
        </w:tc>
        <w:tc>
          <w:tcPr>
            <w:tcW w:w="588" w:type="pct"/>
            <w:vMerge w:val="continue"/>
            <w:tcBorders>
              <w:right w:val="single" w:color="auto" w:sz="4" w:space="0"/>
            </w:tcBorders>
            <w:vAlign w:val="center"/>
          </w:tcPr>
          <w:p w14:paraId="2AED98E8">
            <w:pPr>
              <w:adjustRightInd w:val="0"/>
              <w:snapToGrid w:val="0"/>
              <w:spacing w:line="300" w:lineRule="exact"/>
              <w:jc w:val="center"/>
              <w:rPr>
                <w:rFonts w:hint="eastAsia" w:ascii="宋体" w:hAnsi="宋体"/>
                <w:snapToGrid w:val="0"/>
                <w:kern w:val="0"/>
                <w:szCs w:val="21"/>
              </w:rPr>
            </w:pPr>
          </w:p>
        </w:tc>
        <w:tc>
          <w:tcPr>
            <w:tcW w:w="405" w:type="pct"/>
            <w:vMerge w:val="continue"/>
            <w:tcBorders>
              <w:left w:val="single" w:color="auto" w:sz="4" w:space="0"/>
            </w:tcBorders>
            <w:vAlign w:val="center"/>
          </w:tcPr>
          <w:p w14:paraId="780FBEBD">
            <w:pPr>
              <w:adjustRightInd w:val="0"/>
              <w:snapToGrid w:val="0"/>
              <w:spacing w:line="300" w:lineRule="exact"/>
              <w:jc w:val="center"/>
              <w:rPr>
                <w:rFonts w:hint="eastAsia" w:ascii="宋体" w:hAnsi="宋体"/>
                <w:snapToGrid w:val="0"/>
                <w:kern w:val="0"/>
                <w:szCs w:val="21"/>
              </w:rPr>
            </w:pPr>
          </w:p>
        </w:tc>
        <w:tc>
          <w:tcPr>
            <w:tcW w:w="3620" w:type="pct"/>
            <w:vAlign w:val="center"/>
          </w:tcPr>
          <w:p w14:paraId="0F155D49">
            <w:pPr>
              <w:pStyle w:val="342"/>
              <w:overflowPunct w:val="0"/>
              <w:snapToGrid w:val="0"/>
              <w:spacing w:line="300" w:lineRule="exact"/>
              <w:jc w:val="both"/>
              <w:rPr>
                <w:snapToGrid w:val="0"/>
                <w:sz w:val="21"/>
                <w:szCs w:val="21"/>
              </w:rPr>
            </w:pPr>
            <w:r>
              <w:rPr>
                <w:rFonts w:hint="eastAsia"/>
                <w:kern w:val="2"/>
                <w:sz w:val="21"/>
                <w:szCs w:val="21"/>
              </w:rPr>
              <w:t>天然气处理规模3×10</w:t>
            </w:r>
            <w:r>
              <w:rPr>
                <w:rFonts w:hint="eastAsia"/>
                <w:kern w:val="2"/>
                <w:sz w:val="21"/>
                <w:szCs w:val="21"/>
                <w:vertAlign w:val="superscript"/>
              </w:rPr>
              <w:t>4</w:t>
            </w:r>
            <w:r>
              <w:rPr>
                <w:rFonts w:hint="eastAsia"/>
                <w:kern w:val="2"/>
                <w:sz w:val="21"/>
                <w:szCs w:val="21"/>
              </w:rPr>
              <w:t>m</w:t>
            </w:r>
            <w:r>
              <w:rPr>
                <w:rFonts w:hint="eastAsia"/>
                <w:kern w:val="2"/>
                <w:sz w:val="21"/>
                <w:szCs w:val="21"/>
                <w:vertAlign w:val="superscript"/>
              </w:rPr>
              <w:t>3</w:t>
            </w:r>
            <w:r>
              <w:rPr>
                <w:rFonts w:hint="eastAsia"/>
                <w:kern w:val="2"/>
                <w:sz w:val="21"/>
                <w:szCs w:val="21"/>
              </w:rPr>
              <w:t>/d，实际处理规模为2.24×10</w:t>
            </w:r>
            <w:r>
              <w:rPr>
                <w:rFonts w:hint="eastAsia"/>
                <w:kern w:val="2"/>
                <w:sz w:val="21"/>
                <w:szCs w:val="21"/>
                <w:vertAlign w:val="superscript"/>
              </w:rPr>
              <w:t>4</w:t>
            </w:r>
            <w:r>
              <w:rPr>
                <w:rFonts w:hint="eastAsia"/>
                <w:kern w:val="2"/>
                <w:sz w:val="21"/>
                <w:szCs w:val="21"/>
              </w:rPr>
              <w:t>m</w:t>
            </w:r>
            <w:r>
              <w:rPr>
                <w:rFonts w:hint="eastAsia"/>
                <w:kern w:val="2"/>
                <w:sz w:val="21"/>
                <w:szCs w:val="21"/>
                <w:vertAlign w:val="superscript"/>
              </w:rPr>
              <w:t>3</w:t>
            </w:r>
            <w:r>
              <w:rPr>
                <w:rFonts w:hint="eastAsia"/>
                <w:kern w:val="2"/>
                <w:sz w:val="21"/>
                <w:szCs w:val="21"/>
              </w:rPr>
              <w:t>/d，采用“分子筛脱水</w:t>
            </w:r>
            <w:r>
              <w:rPr>
                <w:kern w:val="2"/>
                <w:sz w:val="21"/>
                <w:szCs w:val="21"/>
              </w:rPr>
              <w:t>+</w:t>
            </w:r>
            <w:r>
              <w:rPr>
                <w:rFonts w:hint="eastAsia"/>
                <w:kern w:val="2"/>
                <w:sz w:val="21"/>
                <w:szCs w:val="21"/>
              </w:rPr>
              <w:t>丙烷外冷”工艺，主要处理装置包括脱硫橇、进站分离橇、往复压缩机橇、分子筛脱水橇、外冷橇、低温分离轻烃回收橇、混烃装车橇、干气调压橇。</w:t>
            </w:r>
          </w:p>
        </w:tc>
      </w:tr>
      <w:tr w14:paraId="5DB938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03122A6E">
            <w:pPr>
              <w:widowControl/>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70055DBC">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外输系统</w:t>
            </w:r>
          </w:p>
        </w:tc>
        <w:tc>
          <w:tcPr>
            <w:tcW w:w="3620" w:type="pct"/>
            <w:vAlign w:val="center"/>
          </w:tcPr>
          <w:p w14:paraId="18E9D5BB">
            <w:pPr>
              <w:pStyle w:val="342"/>
              <w:overflowPunct w:val="0"/>
              <w:snapToGrid w:val="0"/>
              <w:spacing w:line="300" w:lineRule="exact"/>
              <w:jc w:val="both"/>
              <w:rPr>
                <w:kern w:val="2"/>
                <w:sz w:val="21"/>
                <w:szCs w:val="21"/>
              </w:rPr>
            </w:pPr>
            <w:r>
              <w:rPr>
                <w:rFonts w:hint="eastAsia"/>
                <w:kern w:val="2"/>
                <w:sz w:val="21"/>
                <w:szCs w:val="21"/>
              </w:rPr>
              <w:t>净化油外输系统设计规模为260×10</w:t>
            </w:r>
            <w:r>
              <w:rPr>
                <w:rFonts w:hint="eastAsia"/>
                <w:kern w:val="2"/>
                <w:sz w:val="21"/>
                <w:szCs w:val="21"/>
                <w:vertAlign w:val="superscript"/>
              </w:rPr>
              <w:t>4</w:t>
            </w:r>
            <w:r>
              <w:rPr>
                <w:rFonts w:hint="eastAsia"/>
                <w:kern w:val="2"/>
                <w:sz w:val="21"/>
                <w:szCs w:val="21"/>
              </w:rPr>
              <w:t>t/a，实际外输规模为107×</w:t>
            </w:r>
            <w:r>
              <w:rPr>
                <w:kern w:val="2"/>
                <w:sz w:val="21"/>
                <w:szCs w:val="21"/>
              </w:rPr>
              <w:t>10</w:t>
            </w:r>
            <w:r>
              <w:rPr>
                <w:kern w:val="2"/>
                <w:sz w:val="21"/>
                <w:szCs w:val="21"/>
                <w:vertAlign w:val="superscript"/>
              </w:rPr>
              <w:t>4</w:t>
            </w:r>
            <w:r>
              <w:rPr>
                <w:rFonts w:hint="eastAsia"/>
                <w:kern w:val="2"/>
                <w:sz w:val="21"/>
                <w:szCs w:val="21"/>
              </w:rPr>
              <w:t>t</w:t>
            </w:r>
            <w:r>
              <w:rPr>
                <w:kern w:val="2"/>
                <w:sz w:val="21"/>
                <w:szCs w:val="21"/>
              </w:rPr>
              <w:t>/a</w:t>
            </w:r>
            <w:r>
              <w:rPr>
                <w:rFonts w:hint="eastAsia"/>
                <w:kern w:val="2"/>
                <w:sz w:val="21"/>
                <w:szCs w:val="21"/>
              </w:rPr>
              <w:t>（包括页岩油联合站和吉祥联合站的净化油量），外输至北三台油库，外输管道规格为D273×7.1/L450M，长度为35km。</w:t>
            </w:r>
          </w:p>
        </w:tc>
      </w:tr>
      <w:tr w14:paraId="7FD8FCA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1BB447AB">
            <w:pPr>
              <w:widowControl/>
              <w:overflowPunct w:val="0"/>
              <w:adjustRightInd w:val="0"/>
              <w:snapToGrid w:val="0"/>
              <w:spacing w:line="300" w:lineRule="exact"/>
              <w:jc w:val="center"/>
              <w:rPr>
                <w:rFonts w:hint="eastAsia" w:ascii="宋体" w:hAnsi="宋体"/>
                <w:snapToGrid w:val="0"/>
                <w:kern w:val="0"/>
                <w:szCs w:val="21"/>
              </w:rPr>
            </w:pPr>
          </w:p>
        </w:tc>
        <w:tc>
          <w:tcPr>
            <w:tcW w:w="588" w:type="pct"/>
            <w:tcBorders>
              <w:right w:val="single" w:color="auto" w:sz="4" w:space="0"/>
            </w:tcBorders>
            <w:vAlign w:val="center"/>
          </w:tcPr>
          <w:p w14:paraId="6E2E3C31">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混输泵站</w:t>
            </w:r>
          </w:p>
        </w:tc>
        <w:tc>
          <w:tcPr>
            <w:tcW w:w="405" w:type="pct"/>
            <w:tcBorders>
              <w:left w:val="single" w:color="auto" w:sz="4" w:space="0"/>
            </w:tcBorders>
            <w:vAlign w:val="center"/>
          </w:tcPr>
          <w:p w14:paraId="7EC8122B">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1座</w:t>
            </w:r>
          </w:p>
        </w:tc>
        <w:tc>
          <w:tcPr>
            <w:tcW w:w="3620" w:type="pct"/>
            <w:vAlign w:val="center"/>
          </w:tcPr>
          <w:p w14:paraId="5C6DEAE3">
            <w:pPr>
              <w:pStyle w:val="342"/>
              <w:overflowPunct w:val="0"/>
              <w:snapToGrid w:val="0"/>
              <w:spacing w:line="300" w:lineRule="exact"/>
              <w:jc w:val="both"/>
              <w:rPr>
                <w:kern w:val="2"/>
                <w:sz w:val="21"/>
                <w:szCs w:val="21"/>
              </w:rPr>
            </w:pPr>
            <w:r>
              <w:rPr>
                <w:rFonts w:hint="eastAsia"/>
                <w:kern w:val="2"/>
                <w:sz w:val="21"/>
                <w:szCs w:val="21"/>
              </w:rPr>
              <w:t>负责将页岩油井区东南部采油井来液混输至页岩油联合站，设计转液规模为</w:t>
            </w:r>
            <w:r>
              <w:rPr>
                <w:kern w:val="2"/>
                <w:sz w:val="21"/>
                <w:szCs w:val="21"/>
              </w:rPr>
              <w:t>100</w:t>
            </w:r>
            <w:r>
              <w:rPr>
                <w:rFonts w:hint="eastAsia"/>
                <w:kern w:val="2"/>
                <w:sz w:val="21"/>
                <w:szCs w:val="21"/>
              </w:rPr>
              <w:t>×</w:t>
            </w:r>
            <w:r>
              <w:rPr>
                <w:kern w:val="2"/>
                <w:sz w:val="21"/>
                <w:szCs w:val="21"/>
              </w:rPr>
              <w:t>10</w:t>
            </w:r>
            <w:r>
              <w:rPr>
                <w:kern w:val="2"/>
                <w:sz w:val="21"/>
                <w:szCs w:val="21"/>
                <w:vertAlign w:val="superscript"/>
              </w:rPr>
              <w:t>4</w:t>
            </w:r>
            <w:r>
              <w:rPr>
                <w:kern w:val="2"/>
                <w:sz w:val="21"/>
                <w:szCs w:val="21"/>
              </w:rPr>
              <w:t>t/a</w:t>
            </w:r>
            <w:r>
              <w:rPr>
                <w:rFonts w:hint="eastAsia"/>
                <w:kern w:val="2"/>
                <w:sz w:val="21"/>
                <w:szCs w:val="21"/>
              </w:rPr>
              <w:t>，实际转液规模21.6×1</w:t>
            </w:r>
            <w:r>
              <w:rPr>
                <w:kern w:val="2"/>
                <w:sz w:val="21"/>
                <w:szCs w:val="21"/>
              </w:rPr>
              <w:t>0</w:t>
            </w:r>
            <w:r>
              <w:rPr>
                <w:kern w:val="2"/>
                <w:sz w:val="21"/>
                <w:szCs w:val="21"/>
                <w:vertAlign w:val="superscript"/>
              </w:rPr>
              <w:t>4</w:t>
            </w:r>
            <w:r>
              <w:rPr>
                <w:rFonts w:hint="eastAsia"/>
                <w:kern w:val="2"/>
                <w:sz w:val="21"/>
                <w:szCs w:val="21"/>
              </w:rPr>
              <w:t>t</w:t>
            </w:r>
            <w:r>
              <w:rPr>
                <w:kern w:val="2"/>
                <w:sz w:val="21"/>
                <w:szCs w:val="21"/>
              </w:rPr>
              <w:t>/a</w:t>
            </w:r>
            <w:r>
              <w:rPr>
                <w:rFonts w:hint="eastAsia"/>
                <w:kern w:val="2"/>
                <w:sz w:val="21"/>
                <w:szCs w:val="21"/>
              </w:rPr>
              <w:t>（591t/d）</w:t>
            </w:r>
            <w:r>
              <w:rPr>
                <w:kern w:val="2"/>
                <w:sz w:val="21"/>
                <w:szCs w:val="21"/>
              </w:rPr>
              <w:t>。</w:t>
            </w:r>
          </w:p>
        </w:tc>
      </w:tr>
      <w:tr w14:paraId="2B527AB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restart"/>
            <w:vAlign w:val="center"/>
          </w:tcPr>
          <w:p w14:paraId="57C40490">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公用</w:t>
            </w:r>
          </w:p>
          <w:p w14:paraId="15EFE0CE">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993" w:type="pct"/>
            <w:gridSpan w:val="2"/>
            <w:vMerge w:val="restart"/>
            <w:vAlign w:val="center"/>
          </w:tcPr>
          <w:p w14:paraId="2E90062B">
            <w:pPr>
              <w:adjustRightInd w:val="0"/>
              <w:snapToGrid w:val="0"/>
              <w:spacing w:line="300" w:lineRule="exact"/>
              <w:jc w:val="center"/>
              <w:rPr>
                <w:rFonts w:hint="eastAsia" w:ascii="宋体" w:hAnsi="宋体"/>
                <w:snapToGrid w:val="0"/>
                <w:kern w:val="0"/>
                <w:szCs w:val="21"/>
              </w:rPr>
            </w:pPr>
            <w:r>
              <w:rPr>
                <w:rFonts w:hint="eastAsia" w:ascii="宋体" w:hAnsi="宋体" w:cs="宋体"/>
                <w:snapToGrid w:val="0"/>
                <w:kern w:val="0"/>
                <w:szCs w:val="21"/>
              </w:rPr>
              <w:t>供配电</w:t>
            </w:r>
          </w:p>
        </w:tc>
        <w:tc>
          <w:tcPr>
            <w:tcW w:w="3620" w:type="pct"/>
            <w:vAlign w:val="center"/>
          </w:tcPr>
          <w:p w14:paraId="66497676">
            <w:pPr>
              <w:pStyle w:val="342"/>
              <w:overflowPunct w:val="0"/>
              <w:snapToGrid w:val="0"/>
              <w:spacing w:line="300" w:lineRule="exact"/>
              <w:jc w:val="both"/>
              <w:rPr>
                <w:kern w:val="2"/>
                <w:sz w:val="21"/>
                <w:szCs w:val="21"/>
              </w:rPr>
            </w:pPr>
            <w:r>
              <w:rPr>
                <w:rFonts w:hint="eastAsia"/>
                <w:kern w:val="2"/>
                <w:sz w:val="21"/>
                <w:szCs w:val="21"/>
              </w:rPr>
              <w:t>页岩油井区内已建变电站4座，分别为</w:t>
            </w:r>
            <w:r>
              <w:rPr>
                <w:kern w:val="2"/>
                <w:sz w:val="21"/>
                <w:szCs w:val="21"/>
              </w:rPr>
              <w:t>110kV</w:t>
            </w:r>
            <w:r>
              <w:rPr>
                <w:rFonts w:hint="eastAsia"/>
                <w:kern w:val="2"/>
                <w:sz w:val="21"/>
                <w:szCs w:val="21"/>
              </w:rPr>
              <w:t>团场变、</w:t>
            </w:r>
            <w:r>
              <w:rPr>
                <w:kern w:val="2"/>
                <w:sz w:val="21"/>
                <w:szCs w:val="21"/>
              </w:rPr>
              <w:t>35kV</w:t>
            </w:r>
            <w:r>
              <w:rPr>
                <w:rFonts w:hint="eastAsia"/>
                <w:kern w:val="2"/>
                <w:sz w:val="21"/>
                <w:szCs w:val="21"/>
              </w:rPr>
              <w:t>工业园变、</w:t>
            </w:r>
            <w:r>
              <w:rPr>
                <w:kern w:val="2"/>
                <w:sz w:val="21"/>
                <w:szCs w:val="21"/>
              </w:rPr>
              <w:t>35kV</w:t>
            </w:r>
            <w:r>
              <w:rPr>
                <w:rFonts w:hint="eastAsia"/>
                <w:kern w:val="2"/>
                <w:sz w:val="21"/>
                <w:szCs w:val="21"/>
              </w:rPr>
              <w:t>红旗中心变和</w:t>
            </w:r>
            <w:r>
              <w:rPr>
                <w:kern w:val="2"/>
                <w:sz w:val="21"/>
                <w:szCs w:val="21"/>
              </w:rPr>
              <w:t>110kV</w:t>
            </w:r>
            <w:r>
              <w:rPr>
                <w:rFonts w:hint="eastAsia"/>
                <w:kern w:val="2"/>
                <w:sz w:val="21"/>
                <w:szCs w:val="21"/>
              </w:rPr>
              <w:t>孚远变；</w:t>
            </w:r>
            <w:r>
              <w:rPr>
                <w:kern w:val="2"/>
                <w:sz w:val="21"/>
                <w:szCs w:val="21"/>
              </w:rPr>
              <w:t>35kV</w:t>
            </w:r>
            <w:r>
              <w:rPr>
                <w:rFonts w:hint="eastAsia"/>
                <w:kern w:val="2"/>
                <w:sz w:val="21"/>
                <w:szCs w:val="21"/>
              </w:rPr>
              <w:t>红旗中心变电站位于页岩油区块西北方约</w:t>
            </w:r>
            <w:r>
              <w:rPr>
                <w:kern w:val="2"/>
                <w:sz w:val="21"/>
                <w:szCs w:val="21"/>
              </w:rPr>
              <w:t>3km</w:t>
            </w:r>
            <w:r>
              <w:rPr>
                <w:rFonts w:hint="eastAsia"/>
                <w:kern w:val="2"/>
                <w:sz w:val="21"/>
                <w:szCs w:val="21"/>
              </w:rPr>
              <w:t>处，电压等级</w:t>
            </w:r>
            <w:r>
              <w:rPr>
                <w:kern w:val="2"/>
                <w:sz w:val="21"/>
                <w:szCs w:val="21"/>
              </w:rPr>
              <w:t>35/10kV</w:t>
            </w:r>
            <w:r>
              <w:rPr>
                <w:rFonts w:hint="eastAsia"/>
                <w:kern w:val="2"/>
                <w:sz w:val="21"/>
                <w:szCs w:val="21"/>
              </w:rPr>
              <w:t>，建设规模为主变容量为</w:t>
            </w:r>
            <w:r>
              <w:rPr>
                <w:kern w:val="2"/>
                <w:sz w:val="21"/>
                <w:szCs w:val="21"/>
              </w:rPr>
              <w:t>2</w:t>
            </w:r>
            <w:r>
              <w:rPr>
                <w:rFonts w:hint="eastAsia"/>
                <w:kern w:val="2"/>
                <w:sz w:val="21"/>
                <w:szCs w:val="21"/>
              </w:rPr>
              <w:t>×</w:t>
            </w:r>
            <w:r>
              <w:rPr>
                <w:kern w:val="2"/>
                <w:sz w:val="21"/>
                <w:szCs w:val="21"/>
              </w:rPr>
              <w:t>10MVA</w:t>
            </w:r>
            <w:r>
              <w:rPr>
                <w:rFonts w:hint="eastAsia"/>
                <w:kern w:val="2"/>
                <w:sz w:val="21"/>
                <w:szCs w:val="21"/>
              </w:rPr>
              <w:t>，最大供电能力约</w:t>
            </w:r>
            <w:r>
              <w:rPr>
                <w:kern w:val="2"/>
                <w:sz w:val="21"/>
                <w:szCs w:val="21"/>
              </w:rPr>
              <w:t>18MW</w:t>
            </w:r>
            <w:r>
              <w:rPr>
                <w:rFonts w:hint="eastAsia"/>
                <w:kern w:val="2"/>
                <w:sz w:val="21"/>
                <w:szCs w:val="21"/>
              </w:rPr>
              <w:t>；</w:t>
            </w:r>
            <w:r>
              <w:rPr>
                <w:kern w:val="2"/>
                <w:sz w:val="21"/>
                <w:szCs w:val="21"/>
              </w:rPr>
              <w:t>110kV</w:t>
            </w:r>
            <w:r>
              <w:rPr>
                <w:rFonts w:hint="eastAsia"/>
                <w:kern w:val="2"/>
                <w:sz w:val="21"/>
                <w:szCs w:val="21"/>
              </w:rPr>
              <w:t>孚远变电站位于页岩油联合站正南方向</w:t>
            </w:r>
            <w:r>
              <w:rPr>
                <w:kern w:val="2"/>
                <w:sz w:val="21"/>
                <w:szCs w:val="21"/>
              </w:rPr>
              <w:t>300m</w:t>
            </w:r>
            <w:r>
              <w:rPr>
                <w:rFonts w:hint="eastAsia"/>
                <w:kern w:val="2"/>
                <w:sz w:val="21"/>
                <w:szCs w:val="21"/>
              </w:rPr>
              <w:t>处，电压等级</w:t>
            </w:r>
            <w:r>
              <w:rPr>
                <w:kern w:val="2"/>
                <w:sz w:val="21"/>
                <w:szCs w:val="21"/>
              </w:rPr>
              <w:t>110/35/10kV</w:t>
            </w:r>
            <w:r>
              <w:rPr>
                <w:rFonts w:hint="eastAsia"/>
                <w:kern w:val="2"/>
                <w:sz w:val="21"/>
                <w:szCs w:val="21"/>
              </w:rPr>
              <w:t>，建设规模为主变容量为</w:t>
            </w:r>
            <w:r>
              <w:rPr>
                <w:kern w:val="2"/>
                <w:sz w:val="21"/>
                <w:szCs w:val="21"/>
              </w:rPr>
              <w:t>2</w:t>
            </w:r>
            <w:r>
              <w:rPr>
                <w:rFonts w:hint="eastAsia"/>
                <w:kern w:val="2"/>
                <w:sz w:val="21"/>
                <w:szCs w:val="21"/>
              </w:rPr>
              <w:t>×</w:t>
            </w:r>
            <w:r>
              <w:rPr>
                <w:kern w:val="2"/>
                <w:sz w:val="21"/>
                <w:szCs w:val="21"/>
              </w:rPr>
              <w:t>50MVA</w:t>
            </w:r>
            <w:r>
              <w:rPr>
                <w:rFonts w:hint="eastAsia"/>
                <w:kern w:val="2"/>
                <w:sz w:val="21"/>
                <w:szCs w:val="21"/>
              </w:rPr>
              <w:t>，最大供电能力约</w:t>
            </w:r>
            <w:r>
              <w:rPr>
                <w:kern w:val="2"/>
                <w:sz w:val="21"/>
                <w:szCs w:val="21"/>
              </w:rPr>
              <w:t>90MW</w:t>
            </w:r>
            <w:r>
              <w:rPr>
                <w:rFonts w:hint="eastAsia"/>
                <w:kern w:val="2"/>
                <w:sz w:val="21"/>
                <w:szCs w:val="21"/>
              </w:rPr>
              <w:t>。</w:t>
            </w:r>
          </w:p>
        </w:tc>
      </w:tr>
      <w:tr w14:paraId="2507728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6B735273">
            <w:pPr>
              <w:overflowPunct w:val="0"/>
              <w:adjustRightInd w:val="0"/>
              <w:snapToGrid w:val="0"/>
              <w:spacing w:line="300" w:lineRule="exact"/>
              <w:jc w:val="center"/>
              <w:rPr>
                <w:rFonts w:hint="eastAsia" w:ascii="宋体" w:hAnsi="宋体"/>
                <w:snapToGrid w:val="0"/>
                <w:kern w:val="0"/>
                <w:szCs w:val="21"/>
              </w:rPr>
            </w:pPr>
          </w:p>
        </w:tc>
        <w:tc>
          <w:tcPr>
            <w:tcW w:w="993" w:type="pct"/>
            <w:gridSpan w:val="2"/>
            <w:vMerge w:val="continue"/>
            <w:vAlign w:val="center"/>
          </w:tcPr>
          <w:p w14:paraId="422EECCE">
            <w:pPr>
              <w:adjustRightInd w:val="0"/>
              <w:snapToGrid w:val="0"/>
              <w:spacing w:line="300" w:lineRule="exact"/>
              <w:jc w:val="center"/>
              <w:rPr>
                <w:rFonts w:hint="eastAsia" w:ascii="宋体" w:hAnsi="宋体" w:cs="宋体"/>
                <w:snapToGrid w:val="0"/>
                <w:kern w:val="0"/>
                <w:szCs w:val="21"/>
              </w:rPr>
            </w:pPr>
          </w:p>
        </w:tc>
        <w:tc>
          <w:tcPr>
            <w:tcW w:w="3620" w:type="pct"/>
            <w:vAlign w:val="center"/>
          </w:tcPr>
          <w:p w14:paraId="1D3F6B63">
            <w:pPr>
              <w:pStyle w:val="342"/>
              <w:overflowPunct w:val="0"/>
              <w:snapToGrid w:val="0"/>
              <w:spacing w:line="300" w:lineRule="exact"/>
              <w:jc w:val="both"/>
              <w:rPr>
                <w:kern w:val="2"/>
                <w:sz w:val="21"/>
                <w:szCs w:val="21"/>
              </w:rPr>
            </w:pPr>
            <w:r>
              <w:rPr>
                <w:rFonts w:hint="eastAsia"/>
                <w:kern w:val="2"/>
                <w:sz w:val="21"/>
                <w:szCs w:val="21"/>
              </w:rPr>
              <w:t>页岩油联合站属于110孚远变的供电范围,站内建有中心变配电室</w:t>
            </w:r>
            <w:r>
              <w:rPr>
                <w:kern w:val="2"/>
                <w:sz w:val="21"/>
                <w:szCs w:val="21"/>
              </w:rPr>
              <w:t>1</w:t>
            </w:r>
            <w:r>
              <w:rPr>
                <w:rFonts w:hint="eastAsia"/>
                <w:kern w:val="2"/>
                <w:sz w:val="21"/>
                <w:szCs w:val="21"/>
              </w:rPr>
              <w:t>座，内设</w:t>
            </w:r>
            <w:r>
              <w:rPr>
                <w:kern w:val="2"/>
                <w:sz w:val="21"/>
                <w:szCs w:val="21"/>
              </w:rPr>
              <w:t>10kV</w:t>
            </w:r>
            <w:r>
              <w:rPr>
                <w:rFonts w:hint="eastAsia"/>
                <w:kern w:val="2"/>
                <w:sz w:val="21"/>
                <w:szCs w:val="21"/>
              </w:rPr>
              <w:t>配电室</w:t>
            </w:r>
            <w:r>
              <w:rPr>
                <w:kern w:val="2"/>
                <w:sz w:val="21"/>
                <w:szCs w:val="21"/>
              </w:rPr>
              <w:t>1</w:t>
            </w:r>
            <w:r>
              <w:rPr>
                <w:rFonts w:hint="eastAsia"/>
                <w:kern w:val="2"/>
                <w:sz w:val="21"/>
                <w:szCs w:val="21"/>
              </w:rPr>
              <w:t>间、变压器室</w:t>
            </w:r>
            <w:r>
              <w:rPr>
                <w:kern w:val="2"/>
                <w:sz w:val="21"/>
                <w:szCs w:val="21"/>
              </w:rPr>
              <w:t>3</w:t>
            </w:r>
            <w:r>
              <w:rPr>
                <w:rFonts w:hint="eastAsia"/>
                <w:kern w:val="2"/>
                <w:sz w:val="21"/>
                <w:szCs w:val="21"/>
              </w:rPr>
              <w:t>间、低压配电室</w:t>
            </w:r>
            <w:r>
              <w:rPr>
                <w:kern w:val="2"/>
                <w:sz w:val="21"/>
                <w:szCs w:val="21"/>
              </w:rPr>
              <w:t>1</w:t>
            </w:r>
            <w:r>
              <w:rPr>
                <w:rFonts w:hint="eastAsia"/>
                <w:kern w:val="2"/>
                <w:sz w:val="21"/>
                <w:szCs w:val="21"/>
              </w:rPr>
              <w:t>间及直流室</w:t>
            </w:r>
            <w:r>
              <w:rPr>
                <w:kern w:val="2"/>
                <w:sz w:val="21"/>
                <w:szCs w:val="21"/>
              </w:rPr>
              <w:t>1</w:t>
            </w:r>
            <w:r>
              <w:rPr>
                <w:rFonts w:hint="eastAsia"/>
                <w:kern w:val="2"/>
                <w:sz w:val="21"/>
                <w:szCs w:val="21"/>
              </w:rPr>
              <w:t>间。</w:t>
            </w:r>
          </w:p>
        </w:tc>
      </w:tr>
      <w:tr w14:paraId="72A709E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1CA3873F">
            <w:pPr>
              <w:overflowPunct w:val="0"/>
              <w:adjustRightInd w:val="0"/>
              <w:snapToGrid w:val="0"/>
              <w:spacing w:line="300" w:lineRule="exact"/>
              <w:jc w:val="center"/>
              <w:rPr>
                <w:rFonts w:hint="eastAsia" w:ascii="宋体" w:hAnsi="宋体"/>
                <w:snapToGrid w:val="0"/>
                <w:kern w:val="0"/>
                <w:szCs w:val="21"/>
              </w:rPr>
            </w:pPr>
          </w:p>
        </w:tc>
        <w:tc>
          <w:tcPr>
            <w:tcW w:w="993" w:type="pct"/>
            <w:gridSpan w:val="2"/>
            <w:vMerge w:val="restart"/>
            <w:vAlign w:val="center"/>
          </w:tcPr>
          <w:p w14:paraId="488846AA">
            <w:pPr>
              <w:pStyle w:val="342"/>
              <w:overflowPunct w:val="0"/>
              <w:snapToGrid w:val="0"/>
              <w:spacing w:line="300" w:lineRule="exact"/>
              <w:rPr>
                <w:kern w:val="2"/>
                <w:sz w:val="21"/>
                <w:szCs w:val="21"/>
              </w:rPr>
            </w:pPr>
            <w:r>
              <w:rPr>
                <w:rFonts w:hint="eastAsia"/>
                <w:kern w:val="2"/>
                <w:sz w:val="21"/>
                <w:szCs w:val="21"/>
              </w:rPr>
              <w:t>仪表自动化</w:t>
            </w:r>
          </w:p>
        </w:tc>
        <w:tc>
          <w:tcPr>
            <w:tcW w:w="3620" w:type="pct"/>
            <w:vAlign w:val="center"/>
          </w:tcPr>
          <w:p w14:paraId="2F0BCC3D">
            <w:pPr>
              <w:pStyle w:val="342"/>
              <w:overflowPunct w:val="0"/>
              <w:snapToGrid w:val="0"/>
              <w:spacing w:line="300" w:lineRule="exact"/>
              <w:jc w:val="both"/>
              <w:rPr>
                <w:kern w:val="2"/>
                <w:sz w:val="21"/>
                <w:szCs w:val="21"/>
              </w:rPr>
            </w:pPr>
            <w:r>
              <w:rPr>
                <w:rFonts w:hint="eastAsia"/>
                <w:kern w:val="2"/>
                <w:sz w:val="21"/>
                <w:szCs w:val="21"/>
              </w:rPr>
              <w:t>页岩油井区采油井已建自动化，井口配置“</w:t>
            </w:r>
            <w:r>
              <w:rPr>
                <w:kern w:val="2"/>
                <w:sz w:val="21"/>
                <w:szCs w:val="21"/>
              </w:rPr>
              <w:t>LoRa+</w:t>
            </w:r>
            <w:r>
              <w:rPr>
                <w:rFonts w:hint="eastAsia"/>
                <w:kern w:val="2"/>
                <w:sz w:val="21"/>
                <w:szCs w:val="21"/>
              </w:rPr>
              <w:t>”无线网关，采油平台无线仪表数据经无线网关汇聚后再通过</w:t>
            </w:r>
            <w:r>
              <w:rPr>
                <w:kern w:val="2"/>
                <w:sz w:val="21"/>
                <w:szCs w:val="21"/>
              </w:rPr>
              <w:t>5.8GHz</w:t>
            </w:r>
            <w:r>
              <w:rPr>
                <w:rFonts w:hint="eastAsia"/>
                <w:kern w:val="2"/>
                <w:sz w:val="21"/>
                <w:szCs w:val="21"/>
              </w:rPr>
              <w:t>无线网桥上传至页岩油联合站生产监控系统；页岩油井区已建</w:t>
            </w:r>
            <w:r>
              <w:rPr>
                <w:kern w:val="2"/>
                <w:sz w:val="21"/>
                <w:szCs w:val="21"/>
              </w:rPr>
              <w:t>9</w:t>
            </w:r>
            <w:r>
              <w:rPr>
                <w:rFonts w:hint="eastAsia"/>
                <w:kern w:val="2"/>
                <w:sz w:val="21"/>
                <w:szCs w:val="21"/>
              </w:rPr>
              <w:t>套“</w:t>
            </w:r>
            <w:r>
              <w:rPr>
                <w:kern w:val="2"/>
                <w:sz w:val="21"/>
                <w:szCs w:val="21"/>
              </w:rPr>
              <w:t>LoRa+</w:t>
            </w:r>
            <w:r>
              <w:rPr>
                <w:rFonts w:hint="eastAsia"/>
                <w:kern w:val="2"/>
                <w:sz w:val="21"/>
                <w:szCs w:val="21"/>
              </w:rPr>
              <w:t>”无线网关。</w:t>
            </w:r>
          </w:p>
        </w:tc>
      </w:tr>
      <w:tr w14:paraId="49AA04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42F048A6">
            <w:pPr>
              <w:overflowPunct w:val="0"/>
              <w:adjustRightInd w:val="0"/>
              <w:snapToGrid w:val="0"/>
              <w:spacing w:line="300" w:lineRule="exact"/>
              <w:jc w:val="center"/>
              <w:rPr>
                <w:rFonts w:hint="eastAsia" w:ascii="宋体" w:hAnsi="宋体"/>
                <w:snapToGrid w:val="0"/>
                <w:kern w:val="0"/>
                <w:szCs w:val="21"/>
              </w:rPr>
            </w:pPr>
          </w:p>
        </w:tc>
        <w:tc>
          <w:tcPr>
            <w:tcW w:w="993" w:type="pct"/>
            <w:gridSpan w:val="2"/>
            <w:vMerge w:val="continue"/>
            <w:vAlign w:val="center"/>
          </w:tcPr>
          <w:p w14:paraId="171FCF6A">
            <w:pPr>
              <w:adjustRightInd w:val="0"/>
              <w:snapToGrid w:val="0"/>
              <w:spacing w:line="300" w:lineRule="exact"/>
              <w:jc w:val="center"/>
              <w:rPr>
                <w:rFonts w:hint="eastAsia" w:ascii="宋体" w:hAnsi="宋体" w:cs="宋体"/>
                <w:snapToGrid w:val="0"/>
                <w:kern w:val="0"/>
                <w:szCs w:val="21"/>
              </w:rPr>
            </w:pPr>
          </w:p>
        </w:tc>
        <w:tc>
          <w:tcPr>
            <w:tcW w:w="3620" w:type="pct"/>
            <w:vAlign w:val="center"/>
          </w:tcPr>
          <w:p w14:paraId="3A64D772">
            <w:pPr>
              <w:pStyle w:val="342"/>
              <w:overflowPunct w:val="0"/>
              <w:snapToGrid w:val="0"/>
              <w:spacing w:line="300" w:lineRule="exact"/>
              <w:jc w:val="both"/>
              <w:rPr>
                <w:snapToGrid w:val="0"/>
                <w:sz w:val="21"/>
                <w:szCs w:val="21"/>
              </w:rPr>
            </w:pPr>
            <w:r>
              <w:rPr>
                <w:rFonts w:hint="eastAsia"/>
                <w:kern w:val="2"/>
                <w:sz w:val="21"/>
                <w:szCs w:val="21"/>
              </w:rPr>
              <w:t>页岩油联合站</w:t>
            </w:r>
            <w:r>
              <w:rPr>
                <w:kern w:val="2"/>
                <w:sz w:val="21"/>
                <w:szCs w:val="21"/>
              </w:rPr>
              <w:t>2019</w:t>
            </w:r>
            <w:r>
              <w:rPr>
                <w:rFonts w:hint="eastAsia"/>
                <w:kern w:val="2"/>
                <w:sz w:val="21"/>
                <w:szCs w:val="21"/>
              </w:rPr>
              <w:t>年已建</w:t>
            </w:r>
            <w:r>
              <w:rPr>
                <w:kern w:val="2"/>
                <w:sz w:val="21"/>
                <w:szCs w:val="21"/>
              </w:rPr>
              <w:t>45m</w:t>
            </w:r>
            <w:r>
              <w:rPr>
                <w:rFonts w:hint="eastAsia"/>
                <w:kern w:val="2"/>
                <w:sz w:val="21"/>
                <w:szCs w:val="21"/>
              </w:rPr>
              <w:t>通信塔</w:t>
            </w:r>
            <w:r>
              <w:rPr>
                <w:kern w:val="2"/>
                <w:sz w:val="21"/>
                <w:szCs w:val="21"/>
              </w:rPr>
              <w:t>1</w:t>
            </w:r>
            <w:r>
              <w:rPr>
                <w:rFonts w:hint="eastAsia"/>
                <w:kern w:val="2"/>
                <w:sz w:val="21"/>
                <w:szCs w:val="21"/>
              </w:rPr>
              <w:t>座，塔上已设置</w:t>
            </w:r>
            <w:r>
              <w:rPr>
                <w:kern w:val="2"/>
                <w:sz w:val="21"/>
                <w:szCs w:val="21"/>
              </w:rPr>
              <w:t>3</w:t>
            </w:r>
            <w:r>
              <w:rPr>
                <w:rFonts w:hint="eastAsia"/>
                <w:kern w:val="2"/>
                <w:sz w:val="21"/>
                <w:szCs w:val="21"/>
              </w:rPr>
              <w:t>套</w:t>
            </w:r>
            <w:r>
              <w:rPr>
                <w:kern w:val="2"/>
                <w:sz w:val="21"/>
                <w:szCs w:val="21"/>
              </w:rPr>
              <w:t>5.8GHz</w:t>
            </w:r>
            <w:r>
              <w:rPr>
                <w:rFonts w:hint="eastAsia"/>
                <w:kern w:val="2"/>
                <w:sz w:val="21"/>
                <w:szCs w:val="21"/>
              </w:rPr>
              <w:t>无线网桥</w:t>
            </w:r>
            <w:r>
              <w:rPr>
                <w:kern w:val="2"/>
                <w:sz w:val="21"/>
                <w:szCs w:val="21"/>
              </w:rPr>
              <w:t>AP</w:t>
            </w:r>
            <w:r>
              <w:rPr>
                <w:rFonts w:hint="eastAsia"/>
                <w:kern w:val="2"/>
                <w:sz w:val="21"/>
                <w:szCs w:val="21"/>
              </w:rPr>
              <w:t>，实现了联合站周边约</w:t>
            </w:r>
            <w:r>
              <w:rPr>
                <w:kern w:val="2"/>
                <w:sz w:val="21"/>
                <w:szCs w:val="21"/>
              </w:rPr>
              <w:t>5km</w:t>
            </w:r>
            <w:r>
              <w:rPr>
                <w:rFonts w:hint="eastAsia"/>
                <w:kern w:val="2"/>
                <w:sz w:val="21"/>
                <w:szCs w:val="21"/>
              </w:rPr>
              <w:t>～</w:t>
            </w:r>
            <w:r>
              <w:rPr>
                <w:kern w:val="2"/>
                <w:sz w:val="21"/>
                <w:szCs w:val="21"/>
              </w:rPr>
              <w:t>8km</w:t>
            </w:r>
            <w:r>
              <w:rPr>
                <w:rFonts w:hint="eastAsia"/>
                <w:kern w:val="2"/>
                <w:sz w:val="21"/>
                <w:szCs w:val="21"/>
              </w:rPr>
              <w:t>范围内井站的覆盖。</w:t>
            </w:r>
          </w:p>
        </w:tc>
      </w:tr>
      <w:tr w14:paraId="6AA6AFE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4EDC0D93">
            <w:pPr>
              <w:overflowPunct w:val="0"/>
              <w:adjustRightInd w:val="0"/>
              <w:snapToGrid w:val="0"/>
              <w:spacing w:line="300" w:lineRule="exact"/>
              <w:jc w:val="center"/>
              <w:rPr>
                <w:rFonts w:hint="eastAsia" w:ascii="宋体" w:hAnsi="宋体"/>
                <w:snapToGrid w:val="0"/>
                <w:kern w:val="0"/>
                <w:szCs w:val="21"/>
              </w:rPr>
            </w:pPr>
          </w:p>
        </w:tc>
        <w:tc>
          <w:tcPr>
            <w:tcW w:w="588" w:type="pct"/>
            <w:vMerge w:val="restart"/>
            <w:tcBorders>
              <w:right w:val="single" w:color="auto" w:sz="4" w:space="0"/>
            </w:tcBorders>
            <w:vAlign w:val="center"/>
          </w:tcPr>
          <w:p w14:paraId="6B01A242">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通信</w:t>
            </w:r>
          </w:p>
        </w:tc>
        <w:tc>
          <w:tcPr>
            <w:tcW w:w="405" w:type="pct"/>
            <w:tcBorders>
              <w:left w:val="single" w:color="auto" w:sz="4" w:space="0"/>
            </w:tcBorders>
            <w:vAlign w:val="center"/>
          </w:tcPr>
          <w:p w14:paraId="3CE7C236">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油区</w:t>
            </w:r>
          </w:p>
        </w:tc>
        <w:tc>
          <w:tcPr>
            <w:tcW w:w="3620" w:type="pct"/>
            <w:vAlign w:val="center"/>
          </w:tcPr>
          <w:p w14:paraId="38BAA05C">
            <w:pPr>
              <w:pStyle w:val="342"/>
              <w:overflowPunct w:val="0"/>
              <w:snapToGrid w:val="0"/>
              <w:spacing w:line="300" w:lineRule="exact"/>
              <w:jc w:val="both"/>
              <w:rPr>
                <w:kern w:val="2"/>
                <w:sz w:val="21"/>
                <w:szCs w:val="21"/>
              </w:rPr>
            </w:pPr>
            <w:r>
              <w:rPr>
                <w:rFonts w:hint="eastAsia"/>
                <w:kern w:val="2"/>
                <w:sz w:val="21"/>
                <w:szCs w:val="21"/>
              </w:rPr>
              <w:t>页岩油作业区已建有</w:t>
            </w:r>
            <w:r>
              <w:rPr>
                <w:kern w:val="2"/>
                <w:sz w:val="21"/>
                <w:szCs w:val="21"/>
              </w:rPr>
              <w:t xml:space="preserve">48 </w:t>
            </w:r>
            <w:r>
              <w:rPr>
                <w:rFonts w:hint="eastAsia"/>
                <w:kern w:val="2"/>
                <w:sz w:val="21"/>
                <w:szCs w:val="21"/>
              </w:rPr>
              <w:t>芯主干光缆，光缆路由吉祥联合站</w:t>
            </w:r>
            <w:r>
              <w:rPr>
                <w:kern w:val="2"/>
                <w:sz w:val="21"/>
                <w:szCs w:val="21"/>
              </w:rPr>
              <w:t>-</w:t>
            </w:r>
            <w:r>
              <w:rPr>
                <w:rFonts w:hint="eastAsia"/>
                <w:kern w:val="2"/>
                <w:sz w:val="21"/>
                <w:szCs w:val="21"/>
              </w:rPr>
              <w:t>页岩油联合站</w:t>
            </w:r>
            <w:r>
              <w:rPr>
                <w:kern w:val="2"/>
                <w:sz w:val="21"/>
                <w:szCs w:val="21"/>
              </w:rPr>
              <w:t>-</w:t>
            </w:r>
            <w:r>
              <w:rPr>
                <w:rFonts w:hint="eastAsia"/>
                <w:kern w:val="2"/>
                <w:sz w:val="21"/>
                <w:szCs w:val="21"/>
              </w:rPr>
              <w:t>北三台油库</w:t>
            </w:r>
            <w:r>
              <w:rPr>
                <w:kern w:val="2"/>
                <w:sz w:val="21"/>
                <w:szCs w:val="21"/>
              </w:rPr>
              <w:t>-</w:t>
            </w:r>
            <w:r>
              <w:rPr>
                <w:rFonts w:hint="eastAsia"/>
                <w:kern w:val="2"/>
                <w:sz w:val="21"/>
                <w:szCs w:val="21"/>
              </w:rPr>
              <w:t>北十六联合站。</w:t>
            </w:r>
          </w:p>
        </w:tc>
      </w:tr>
      <w:tr w14:paraId="3A944D2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5C3BD5B1">
            <w:pPr>
              <w:overflowPunct w:val="0"/>
              <w:adjustRightInd w:val="0"/>
              <w:snapToGrid w:val="0"/>
              <w:spacing w:line="300" w:lineRule="exact"/>
              <w:jc w:val="center"/>
              <w:rPr>
                <w:rFonts w:hint="eastAsia" w:ascii="宋体" w:hAnsi="宋体"/>
                <w:snapToGrid w:val="0"/>
                <w:kern w:val="0"/>
                <w:szCs w:val="21"/>
              </w:rPr>
            </w:pPr>
          </w:p>
        </w:tc>
        <w:tc>
          <w:tcPr>
            <w:tcW w:w="588" w:type="pct"/>
            <w:vMerge w:val="continue"/>
            <w:tcBorders>
              <w:right w:val="single" w:color="auto" w:sz="4" w:space="0"/>
            </w:tcBorders>
            <w:vAlign w:val="center"/>
          </w:tcPr>
          <w:p w14:paraId="7E81DD4F">
            <w:pPr>
              <w:adjustRightInd w:val="0"/>
              <w:snapToGrid w:val="0"/>
              <w:spacing w:line="300" w:lineRule="exact"/>
              <w:jc w:val="center"/>
              <w:rPr>
                <w:rFonts w:hint="eastAsia" w:ascii="宋体" w:hAnsi="宋体" w:cs="宋体"/>
                <w:snapToGrid w:val="0"/>
                <w:kern w:val="0"/>
                <w:szCs w:val="21"/>
              </w:rPr>
            </w:pPr>
          </w:p>
        </w:tc>
        <w:tc>
          <w:tcPr>
            <w:tcW w:w="405" w:type="pct"/>
            <w:tcBorders>
              <w:left w:val="single" w:color="auto" w:sz="4" w:space="0"/>
            </w:tcBorders>
            <w:vAlign w:val="center"/>
          </w:tcPr>
          <w:p w14:paraId="0924686B">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页岩油联合站</w:t>
            </w:r>
          </w:p>
        </w:tc>
        <w:tc>
          <w:tcPr>
            <w:tcW w:w="3620" w:type="pct"/>
            <w:vAlign w:val="center"/>
          </w:tcPr>
          <w:p w14:paraId="5714231F">
            <w:pPr>
              <w:pStyle w:val="342"/>
              <w:overflowPunct w:val="0"/>
              <w:snapToGrid w:val="0"/>
              <w:spacing w:line="300" w:lineRule="exact"/>
              <w:jc w:val="both"/>
              <w:rPr>
                <w:kern w:val="2"/>
                <w:sz w:val="21"/>
                <w:szCs w:val="21"/>
              </w:rPr>
            </w:pPr>
            <w:r>
              <w:rPr>
                <w:rFonts w:hint="eastAsia"/>
                <w:kern w:val="2"/>
                <w:sz w:val="21"/>
                <w:szCs w:val="21"/>
              </w:rPr>
              <w:t>页岩油联合站已建</w:t>
            </w:r>
            <w:r>
              <w:rPr>
                <w:kern w:val="2"/>
                <w:sz w:val="21"/>
                <w:szCs w:val="21"/>
              </w:rPr>
              <w:t>1</w:t>
            </w:r>
            <w:r>
              <w:rPr>
                <w:rFonts w:hint="eastAsia"/>
                <w:kern w:val="2"/>
                <w:sz w:val="21"/>
                <w:szCs w:val="21"/>
              </w:rPr>
              <w:t>套</w:t>
            </w:r>
            <w:r>
              <w:rPr>
                <w:kern w:val="2"/>
                <w:sz w:val="21"/>
                <w:szCs w:val="21"/>
              </w:rPr>
              <w:t>10GPTN</w:t>
            </w:r>
            <w:r>
              <w:rPr>
                <w:rFonts w:hint="eastAsia"/>
                <w:kern w:val="2"/>
                <w:sz w:val="21"/>
                <w:szCs w:val="21"/>
              </w:rPr>
              <w:t>光传输设备，通过北三台油库接入数据公司已建通信系统最终接入数据公司已建多业务承载网。</w:t>
            </w:r>
          </w:p>
        </w:tc>
      </w:tr>
      <w:tr w14:paraId="42BFBE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163A7CE6">
            <w:pPr>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27096989">
            <w:pPr>
              <w:pStyle w:val="117"/>
              <w:adjustRightInd w:val="0"/>
              <w:snapToGrid w:val="0"/>
              <w:spacing w:line="300" w:lineRule="exact"/>
              <w:ind w:firstLine="0" w:firstLineChars="0"/>
              <w:jc w:val="center"/>
              <w:rPr>
                <w:rFonts w:hint="eastAsia"/>
                <w:snapToGrid w:val="0"/>
                <w:kern w:val="0"/>
                <w:sz w:val="21"/>
                <w:szCs w:val="21"/>
              </w:rPr>
            </w:pPr>
            <w:r>
              <w:rPr>
                <w:rFonts w:hint="eastAsia" w:cs="宋体"/>
                <w:snapToGrid w:val="0"/>
                <w:kern w:val="0"/>
                <w:sz w:val="21"/>
                <w:szCs w:val="21"/>
              </w:rPr>
              <w:t>给排水</w:t>
            </w:r>
          </w:p>
        </w:tc>
        <w:tc>
          <w:tcPr>
            <w:tcW w:w="3620" w:type="pct"/>
            <w:vAlign w:val="center"/>
          </w:tcPr>
          <w:p w14:paraId="38CD9AFD">
            <w:pPr>
              <w:pStyle w:val="342"/>
              <w:overflowPunct w:val="0"/>
              <w:snapToGrid w:val="0"/>
              <w:spacing w:line="300" w:lineRule="exact"/>
              <w:jc w:val="both"/>
              <w:rPr>
                <w:snapToGrid w:val="0"/>
                <w:sz w:val="21"/>
                <w:szCs w:val="21"/>
              </w:rPr>
            </w:pPr>
            <w:r>
              <w:rPr>
                <w:rFonts w:hint="eastAsia"/>
                <w:kern w:val="2"/>
                <w:sz w:val="21"/>
                <w:szCs w:val="21"/>
              </w:rPr>
              <w:t>页岩油井区和页岩油联合站清水水源由红旗农场已建的10口水源井和周边水库供给；油区井下作业废液、洗井废水和页岩油联合站内的采出水均送至压裂返排液处理系统处理，处理达标后由于压裂液的复配；油区无生活污水产生，页岩油联合站生活污水定期拉运至吉木萨尔县污水处理厂集中处理。</w:t>
            </w:r>
          </w:p>
        </w:tc>
      </w:tr>
      <w:tr w14:paraId="4935738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1100D957">
            <w:pPr>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689E9D9E">
            <w:pPr>
              <w:pStyle w:val="342"/>
              <w:overflowPunct w:val="0"/>
              <w:snapToGrid w:val="0"/>
              <w:spacing w:line="300" w:lineRule="exact"/>
              <w:rPr>
                <w:kern w:val="2"/>
                <w:sz w:val="21"/>
                <w:szCs w:val="21"/>
              </w:rPr>
            </w:pPr>
            <w:r>
              <w:rPr>
                <w:rFonts w:hint="eastAsia"/>
                <w:kern w:val="2"/>
                <w:sz w:val="21"/>
                <w:szCs w:val="21"/>
              </w:rPr>
              <w:t>道路</w:t>
            </w:r>
          </w:p>
        </w:tc>
        <w:tc>
          <w:tcPr>
            <w:tcW w:w="3620" w:type="pct"/>
            <w:vAlign w:val="center"/>
          </w:tcPr>
          <w:p w14:paraId="1F609821">
            <w:pPr>
              <w:pStyle w:val="342"/>
              <w:overflowPunct w:val="0"/>
              <w:snapToGrid w:val="0"/>
              <w:spacing w:line="300" w:lineRule="exact"/>
              <w:jc w:val="both"/>
              <w:rPr>
                <w:kern w:val="2"/>
                <w:sz w:val="21"/>
                <w:szCs w:val="21"/>
              </w:rPr>
            </w:pPr>
            <w:r>
              <w:rPr>
                <w:rFonts w:hint="eastAsia"/>
                <w:kern w:val="2"/>
                <w:sz w:val="21"/>
                <w:szCs w:val="21"/>
              </w:rPr>
              <w:t>油区道路约100.52km，包括油区干线公路、平台间支线道路、平台连接道路；</w:t>
            </w:r>
          </w:p>
          <w:p w14:paraId="37DC4E81">
            <w:pPr>
              <w:pStyle w:val="342"/>
              <w:overflowPunct w:val="0"/>
              <w:snapToGrid w:val="0"/>
              <w:spacing w:line="300" w:lineRule="exact"/>
              <w:jc w:val="both"/>
              <w:rPr>
                <w:kern w:val="2"/>
                <w:sz w:val="21"/>
                <w:szCs w:val="21"/>
              </w:rPr>
            </w:pPr>
            <w:r>
              <w:rPr>
                <w:rFonts w:hint="eastAsia"/>
                <w:kern w:val="2"/>
                <w:sz w:val="21"/>
                <w:szCs w:val="21"/>
              </w:rPr>
              <w:t>干线公路：采用三级公路的标准进行设计，设计行车速度</w:t>
            </w:r>
            <w:r>
              <w:rPr>
                <w:kern w:val="2"/>
                <w:sz w:val="21"/>
                <w:szCs w:val="21"/>
              </w:rPr>
              <w:t>40km/h</w:t>
            </w:r>
            <w:r>
              <w:rPr>
                <w:rFonts w:hint="eastAsia"/>
                <w:kern w:val="2"/>
                <w:sz w:val="21"/>
                <w:szCs w:val="21"/>
              </w:rPr>
              <w:t>；路基宽</w:t>
            </w:r>
            <w:r>
              <w:rPr>
                <w:kern w:val="2"/>
                <w:sz w:val="21"/>
                <w:szCs w:val="21"/>
              </w:rPr>
              <w:t>8.50m</w:t>
            </w:r>
            <w:r>
              <w:rPr>
                <w:rFonts w:hint="eastAsia"/>
                <w:kern w:val="2"/>
                <w:sz w:val="21"/>
                <w:szCs w:val="21"/>
              </w:rPr>
              <w:t>，路面宽</w:t>
            </w:r>
            <w:r>
              <w:rPr>
                <w:kern w:val="2"/>
                <w:sz w:val="21"/>
                <w:szCs w:val="21"/>
              </w:rPr>
              <w:t>6.0m</w:t>
            </w:r>
            <w:r>
              <w:rPr>
                <w:rFonts w:hint="eastAsia"/>
                <w:kern w:val="2"/>
                <w:sz w:val="21"/>
                <w:szCs w:val="21"/>
              </w:rPr>
              <w:t>，采用单面层沥青混凝土路面。</w:t>
            </w:r>
          </w:p>
          <w:p w14:paraId="1E2DB2AA">
            <w:pPr>
              <w:pStyle w:val="342"/>
              <w:overflowPunct w:val="0"/>
              <w:snapToGrid w:val="0"/>
              <w:spacing w:line="300" w:lineRule="exact"/>
              <w:jc w:val="both"/>
              <w:rPr>
                <w:kern w:val="2"/>
                <w:sz w:val="21"/>
                <w:szCs w:val="21"/>
              </w:rPr>
            </w:pPr>
            <w:r>
              <w:rPr>
                <w:rFonts w:hint="eastAsia"/>
                <w:kern w:val="2"/>
                <w:sz w:val="21"/>
                <w:szCs w:val="21"/>
              </w:rPr>
              <w:t>平台间支线道路：采用四级公路的标准进行设计，设计行车速度</w:t>
            </w:r>
            <w:r>
              <w:rPr>
                <w:kern w:val="2"/>
                <w:sz w:val="21"/>
                <w:szCs w:val="21"/>
              </w:rPr>
              <w:t xml:space="preserve"> 20km/h</w:t>
            </w:r>
            <w:r>
              <w:rPr>
                <w:rFonts w:hint="eastAsia"/>
                <w:kern w:val="2"/>
                <w:sz w:val="21"/>
                <w:szCs w:val="21"/>
              </w:rPr>
              <w:t>，支线公路主要连接油区平台计量间，路基宽</w:t>
            </w:r>
            <w:r>
              <w:rPr>
                <w:kern w:val="2"/>
                <w:sz w:val="21"/>
                <w:szCs w:val="21"/>
              </w:rPr>
              <w:t>6.5m</w:t>
            </w:r>
            <w:r>
              <w:rPr>
                <w:rFonts w:hint="eastAsia"/>
                <w:kern w:val="2"/>
                <w:sz w:val="21"/>
                <w:szCs w:val="21"/>
              </w:rPr>
              <w:t>，路面宽</w:t>
            </w:r>
            <w:r>
              <w:rPr>
                <w:kern w:val="2"/>
                <w:sz w:val="21"/>
                <w:szCs w:val="21"/>
              </w:rPr>
              <w:t>4.0m</w:t>
            </w:r>
            <w:r>
              <w:rPr>
                <w:rFonts w:hint="eastAsia"/>
                <w:kern w:val="2"/>
                <w:sz w:val="21"/>
                <w:szCs w:val="21"/>
              </w:rPr>
              <w:t>，采用撒铺式沥青表面。</w:t>
            </w:r>
          </w:p>
          <w:p w14:paraId="2811AD63">
            <w:pPr>
              <w:pStyle w:val="342"/>
              <w:overflowPunct w:val="0"/>
              <w:snapToGrid w:val="0"/>
              <w:spacing w:line="300" w:lineRule="exact"/>
              <w:jc w:val="both"/>
              <w:rPr>
                <w:kern w:val="2"/>
                <w:sz w:val="21"/>
                <w:szCs w:val="21"/>
              </w:rPr>
            </w:pPr>
            <w:r>
              <w:rPr>
                <w:rFonts w:hint="eastAsia"/>
                <w:kern w:val="2"/>
                <w:sz w:val="21"/>
                <w:szCs w:val="21"/>
              </w:rPr>
              <w:t>平台连接道路用于平台单井生产维修、计量的需要。采用等外简易道路，路基、路面同宽均为</w:t>
            </w:r>
            <w:r>
              <w:rPr>
                <w:kern w:val="2"/>
                <w:sz w:val="21"/>
                <w:szCs w:val="21"/>
              </w:rPr>
              <w:t>4.5m</w:t>
            </w:r>
            <w:r>
              <w:rPr>
                <w:rFonts w:hint="eastAsia"/>
                <w:kern w:val="2"/>
                <w:sz w:val="21"/>
                <w:szCs w:val="21"/>
              </w:rPr>
              <w:t>，路面铺筑采用满铺的型式，路面结构层为厚</w:t>
            </w:r>
            <w:r>
              <w:rPr>
                <w:kern w:val="2"/>
                <w:sz w:val="21"/>
                <w:szCs w:val="21"/>
              </w:rPr>
              <w:t>25cm</w:t>
            </w:r>
            <w:r>
              <w:rPr>
                <w:rFonts w:hint="eastAsia"/>
                <w:kern w:val="2"/>
                <w:sz w:val="21"/>
                <w:szCs w:val="21"/>
              </w:rPr>
              <w:t>天然砂砾路面。</w:t>
            </w:r>
          </w:p>
        </w:tc>
      </w:tr>
      <w:tr w14:paraId="6CF4AA4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restart"/>
            <w:vAlign w:val="center"/>
          </w:tcPr>
          <w:p w14:paraId="229DBD3D">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环保</w:t>
            </w:r>
          </w:p>
          <w:p w14:paraId="187193AC">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993" w:type="pct"/>
            <w:gridSpan w:val="2"/>
            <w:vAlign w:val="center"/>
          </w:tcPr>
          <w:p w14:paraId="583ADE09">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废气</w:t>
            </w:r>
          </w:p>
        </w:tc>
        <w:tc>
          <w:tcPr>
            <w:tcW w:w="3620" w:type="pct"/>
            <w:vAlign w:val="center"/>
          </w:tcPr>
          <w:p w14:paraId="6564F415">
            <w:pPr>
              <w:pStyle w:val="117"/>
              <w:adjustRightInd w:val="0"/>
              <w:snapToGrid w:val="0"/>
              <w:spacing w:line="300" w:lineRule="exact"/>
              <w:ind w:firstLine="0" w:firstLineChars="0"/>
              <w:jc w:val="left"/>
              <w:rPr>
                <w:rFonts w:hint="eastAsia"/>
                <w:snapToGrid w:val="0"/>
                <w:kern w:val="0"/>
                <w:sz w:val="21"/>
                <w:szCs w:val="21"/>
              </w:rPr>
            </w:pPr>
            <w:r>
              <w:rPr>
                <w:rFonts w:hint="eastAsia" w:cs="宋体"/>
                <w:sz w:val="21"/>
                <w:szCs w:val="21"/>
              </w:rPr>
              <w:t>油气集输、处理过程中的油气无组织挥发废气通过选用质量合格的产品，加强对阀门、法兰、管线等连接件的检修进行防治；页岩油联合站内热媒炉、处理装置内置锅炉以天然气为燃料，废气通过8m高排气筒排放；拉油点伴生气通过放空火炬燃烧放空。</w:t>
            </w:r>
          </w:p>
        </w:tc>
      </w:tr>
      <w:tr w14:paraId="36460F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01359880">
            <w:pPr>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00282239">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噪声</w:t>
            </w:r>
          </w:p>
        </w:tc>
        <w:tc>
          <w:tcPr>
            <w:tcW w:w="3620" w:type="pct"/>
            <w:vAlign w:val="center"/>
          </w:tcPr>
          <w:p w14:paraId="1EB58F45">
            <w:pPr>
              <w:pStyle w:val="117"/>
              <w:adjustRightInd w:val="0"/>
              <w:snapToGrid w:val="0"/>
              <w:spacing w:line="300" w:lineRule="exact"/>
              <w:ind w:firstLine="0" w:firstLineChars="0"/>
              <w:jc w:val="left"/>
              <w:rPr>
                <w:rFonts w:hint="eastAsia"/>
                <w:snapToGrid w:val="0"/>
                <w:kern w:val="0"/>
                <w:sz w:val="21"/>
                <w:szCs w:val="21"/>
              </w:rPr>
            </w:pPr>
            <w:r>
              <w:rPr>
                <w:rFonts w:hint="eastAsia" w:cs="宋体"/>
                <w:sz w:val="21"/>
                <w:szCs w:val="21"/>
              </w:rPr>
              <w:t>选用低噪声设备，对高噪声设施采取基础减振。</w:t>
            </w:r>
          </w:p>
        </w:tc>
      </w:tr>
      <w:tr w14:paraId="228C475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38D2ABD1">
            <w:pPr>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05165555">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地下水</w:t>
            </w:r>
          </w:p>
        </w:tc>
        <w:tc>
          <w:tcPr>
            <w:tcW w:w="3620" w:type="pct"/>
            <w:vAlign w:val="center"/>
          </w:tcPr>
          <w:p w14:paraId="44D460A4">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井场和页岩油联合站的防渗措施。</w:t>
            </w:r>
          </w:p>
        </w:tc>
      </w:tr>
      <w:tr w14:paraId="1A016B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87" w:type="pct"/>
            <w:vMerge w:val="continue"/>
            <w:vAlign w:val="center"/>
          </w:tcPr>
          <w:p w14:paraId="7A99FE04">
            <w:pPr>
              <w:overflowPunct w:val="0"/>
              <w:adjustRightInd w:val="0"/>
              <w:snapToGrid w:val="0"/>
              <w:spacing w:line="300" w:lineRule="exact"/>
              <w:jc w:val="center"/>
              <w:rPr>
                <w:rFonts w:hint="eastAsia" w:ascii="宋体" w:hAnsi="宋体"/>
                <w:snapToGrid w:val="0"/>
                <w:kern w:val="0"/>
                <w:szCs w:val="21"/>
              </w:rPr>
            </w:pPr>
          </w:p>
        </w:tc>
        <w:tc>
          <w:tcPr>
            <w:tcW w:w="993" w:type="pct"/>
            <w:gridSpan w:val="2"/>
            <w:vAlign w:val="center"/>
          </w:tcPr>
          <w:p w14:paraId="00B2D3BF">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环境风险</w:t>
            </w:r>
          </w:p>
        </w:tc>
        <w:tc>
          <w:tcPr>
            <w:tcW w:w="3620" w:type="pct"/>
            <w:vAlign w:val="center"/>
          </w:tcPr>
          <w:p w14:paraId="6771F644">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页岩油联合站内的</w:t>
            </w:r>
            <w:r>
              <w:rPr>
                <w:rFonts w:hint="eastAsia" w:cs="宋体"/>
                <w:sz w:val="21"/>
                <w:szCs w:val="21"/>
              </w:rPr>
              <w:t>4座4000m</w:t>
            </w:r>
            <w:r>
              <w:rPr>
                <w:rFonts w:hint="eastAsia" w:cs="宋体"/>
                <w:sz w:val="21"/>
                <w:szCs w:val="21"/>
                <w:vertAlign w:val="superscript"/>
              </w:rPr>
              <w:t>3</w:t>
            </w:r>
            <w:r>
              <w:rPr>
                <w:rFonts w:hint="eastAsia" w:cs="宋体"/>
                <w:sz w:val="21"/>
                <w:szCs w:val="21"/>
              </w:rPr>
              <w:t>的事故罐、2座1000m</w:t>
            </w:r>
            <w:r>
              <w:rPr>
                <w:rFonts w:hint="eastAsia" w:cs="宋体"/>
                <w:sz w:val="21"/>
                <w:szCs w:val="21"/>
                <w:vertAlign w:val="superscript"/>
              </w:rPr>
              <w:t>3</w:t>
            </w:r>
            <w:r>
              <w:rPr>
                <w:rFonts w:hint="eastAsia" w:cs="宋体"/>
                <w:sz w:val="21"/>
                <w:szCs w:val="21"/>
              </w:rPr>
              <w:t>的事故罐，罐区安装可燃气体探测仪，放空火炬；1号混输泵站的2座1500m</w:t>
            </w:r>
            <w:r>
              <w:rPr>
                <w:rFonts w:hint="eastAsia" w:cs="宋体"/>
                <w:sz w:val="21"/>
                <w:szCs w:val="21"/>
                <w:vertAlign w:val="superscript"/>
              </w:rPr>
              <w:t>3</w:t>
            </w:r>
            <w:r>
              <w:rPr>
                <w:rFonts w:hint="eastAsia" w:cs="宋体"/>
                <w:sz w:val="21"/>
                <w:szCs w:val="21"/>
              </w:rPr>
              <w:t>事故罐，1座10m高的放空火炬。</w:t>
            </w:r>
          </w:p>
        </w:tc>
      </w:tr>
    </w:tbl>
    <w:p w14:paraId="23DA669E">
      <w:pPr>
        <w:pStyle w:val="117"/>
        <w:ind w:firstLine="480"/>
        <w:rPr>
          <w:rFonts w:hint="eastAsia" w:cs="宋体"/>
        </w:rPr>
      </w:pPr>
      <w:r>
        <w:rPr>
          <w:rFonts w:hint="eastAsia" w:cs="宋体"/>
        </w:rPr>
        <w:t>（2）工艺流程</w:t>
      </w:r>
    </w:p>
    <w:p w14:paraId="5BF19319">
      <w:pPr>
        <w:pStyle w:val="117"/>
        <w:ind w:firstLine="480"/>
        <w:rPr>
          <w:rFonts w:hint="eastAsia" w:cs="宋体"/>
        </w:rPr>
      </w:pPr>
      <w:r>
        <w:rPr>
          <w:rFonts w:hint="eastAsia" w:cs="宋体"/>
        </w:rPr>
        <w:t>①页岩油井区集输工艺</w:t>
      </w:r>
    </w:p>
    <w:p w14:paraId="1E3FCF4E">
      <w:pPr>
        <w:pStyle w:val="117"/>
        <w:ind w:firstLine="480"/>
        <w:rPr>
          <w:rFonts w:hint="eastAsia" w:cs="宋体"/>
        </w:rPr>
      </w:pPr>
      <w:r>
        <w:rPr>
          <w:rFonts w:hint="eastAsia" w:cs="宋体"/>
        </w:rPr>
        <w:t>页岩油井区主体采用“采油井→1号混输泵站/拉油站→页岩油联合站的二级布站集输工艺”和“采油井→计量站→1号混输泵站→页岩油联合站”的三级布站集输工艺，少数探井或评价井转为产能井因部署分散采用单井计量、单井拉油方式生产。井区已建采油井均采用单井电加热的方式生产，井口添加除硫剂。</w:t>
      </w:r>
    </w:p>
    <w:p w14:paraId="61022013">
      <w:pPr>
        <w:pStyle w:val="117"/>
        <w:ind w:firstLine="480"/>
        <w:rPr>
          <w:rFonts w:hint="eastAsia" w:cs="宋体"/>
        </w:rPr>
      </w:pPr>
      <w:r>
        <w:rPr>
          <w:rFonts w:hint="eastAsia" w:cs="宋体"/>
        </w:rPr>
        <w:t>②页岩油联合站原油处理系统</w:t>
      </w:r>
    </w:p>
    <w:p w14:paraId="17160BCD">
      <w:pPr>
        <w:pStyle w:val="191"/>
        <w:ind w:firstLine="472"/>
        <w:rPr>
          <w:rFonts w:hint="eastAsia"/>
          <w:spacing w:val="-4"/>
        </w:rPr>
      </w:pPr>
      <w:r>
        <w:rPr>
          <w:rFonts w:hint="eastAsia"/>
          <w:spacing w:val="-4"/>
        </w:rPr>
        <w:t>页岩油联合站主要负责处理页岩油井区采出物，原油处理系统设计规模</w:t>
      </w:r>
      <w:r>
        <w:rPr>
          <w:spacing w:val="-4"/>
        </w:rPr>
        <w:t>100</w:t>
      </w:r>
      <w:r>
        <w:rPr>
          <w:rFonts w:hint="eastAsia"/>
          <w:spacing w:val="-4"/>
        </w:rPr>
        <w:t>×</w:t>
      </w:r>
      <w:r>
        <w:rPr>
          <w:spacing w:val="-4"/>
        </w:rPr>
        <w:t>10</w:t>
      </w:r>
      <w:r>
        <w:rPr>
          <w:spacing w:val="-4"/>
          <w:vertAlign w:val="superscript"/>
        </w:rPr>
        <w:t>4</w:t>
      </w:r>
      <w:r>
        <w:rPr>
          <w:spacing w:val="-4"/>
        </w:rPr>
        <w:t>t/a</w:t>
      </w:r>
      <w:r>
        <w:rPr>
          <w:rFonts w:hint="eastAsia"/>
          <w:spacing w:val="-4"/>
        </w:rPr>
        <w:t>（有</w:t>
      </w:r>
      <w:r>
        <w:rPr>
          <w:spacing w:val="-4"/>
        </w:rPr>
        <w:t>1.2</w:t>
      </w:r>
      <w:r>
        <w:rPr>
          <w:rFonts w:hint="eastAsia"/>
          <w:spacing w:val="-4"/>
        </w:rPr>
        <w:t>倍的弹性系数，最大处理能力可达</w:t>
      </w:r>
      <w:r>
        <w:rPr>
          <w:spacing w:val="-4"/>
        </w:rPr>
        <w:t>120</w:t>
      </w:r>
      <w:r>
        <w:rPr>
          <w:rFonts w:hint="eastAsia"/>
          <w:spacing w:val="-4"/>
        </w:rPr>
        <w:t>×</w:t>
      </w:r>
      <w:r>
        <w:rPr>
          <w:spacing w:val="-4"/>
        </w:rPr>
        <w:t>10</w:t>
      </w:r>
      <w:r>
        <w:rPr>
          <w:spacing w:val="-4"/>
          <w:vertAlign w:val="superscript"/>
        </w:rPr>
        <w:t>4</w:t>
      </w:r>
      <w:r>
        <w:rPr>
          <w:spacing w:val="-4"/>
        </w:rPr>
        <w:t>t/a</w:t>
      </w:r>
      <w:r>
        <w:rPr>
          <w:rFonts w:hint="eastAsia"/>
          <w:spacing w:val="-4"/>
        </w:rPr>
        <w:t>），目前处理量为</w:t>
      </w:r>
      <w:r>
        <w:rPr>
          <w:spacing w:val="-4"/>
        </w:rPr>
        <w:t>71</w:t>
      </w:r>
      <w:r>
        <w:rPr>
          <w:rFonts w:hint="eastAsia"/>
          <w:spacing w:val="-4"/>
        </w:rPr>
        <w:t>×</w:t>
      </w:r>
      <w:r>
        <w:rPr>
          <w:spacing w:val="-4"/>
        </w:rPr>
        <w:t>10</w:t>
      </w:r>
      <w:r>
        <w:rPr>
          <w:spacing w:val="-4"/>
          <w:vertAlign w:val="superscript"/>
        </w:rPr>
        <w:t>4</w:t>
      </w:r>
      <w:r>
        <w:rPr>
          <w:spacing w:val="-4"/>
        </w:rPr>
        <w:t>t/a</w:t>
      </w:r>
      <w:r>
        <w:rPr>
          <w:rFonts w:hint="eastAsia"/>
          <w:spacing w:val="-4"/>
        </w:rPr>
        <w:t>。原油处理采用“热电化学沉降脱水”工艺，集油区气液密闭混输进站（</w:t>
      </w:r>
      <w:r>
        <w:rPr>
          <w:spacing w:val="-4"/>
        </w:rPr>
        <w:t>40</w:t>
      </w:r>
      <w:r>
        <w:rPr>
          <w:rFonts w:hint="eastAsia"/>
          <w:spacing w:val="-4"/>
        </w:rPr>
        <w:t>℃～</w:t>
      </w:r>
      <w:r>
        <w:rPr>
          <w:spacing w:val="-4"/>
        </w:rPr>
        <w:t>45</w:t>
      </w:r>
      <w:r>
        <w:rPr>
          <w:rFonts w:hint="eastAsia"/>
          <w:spacing w:val="-4"/>
        </w:rPr>
        <w:t>℃，</w:t>
      </w:r>
      <w:r>
        <w:rPr>
          <w:spacing w:val="-4"/>
        </w:rPr>
        <w:t>0.4MPa</w:t>
      </w:r>
      <w:r>
        <w:rPr>
          <w:rFonts w:hint="eastAsia"/>
          <w:spacing w:val="-4"/>
        </w:rPr>
        <w:t>）与卸油缓冲罐来液（</w:t>
      </w:r>
      <w:r>
        <w:rPr>
          <w:spacing w:val="-4"/>
        </w:rPr>
        <w:t>40</w:t>
      </w:r>
      <w:r>
        <w:rPr>
          <w:rFonts w:hint="eastAsia"/>
          <w:spacing w:val="-4"/>
        </w:rPr>
        <w:t>℃～</w:t>
      </w:r>
      <w:r>
        <w:rPr>
          <w:spacing w:val="-4"/>
        </w:rPr>
        <w:t>45</w:t>
      </w:r>
      <w:r>
        <w:rPr>
          <w:rFonts w:hint="eastAsia"/>
          <w:spacing w:val="-4"/>
        </w:rPr>
        <w:t>℃，</w:t>
      </w:r>
      <w:r>
        <w:rPr>
          <w:spacing w:val="-4"/>
        </w:rPr>
        <w:t>0.4MPa</w:t>
      </w:r>
      <w:r>
        <w:rPr>
          <w:rFonts w:hint="eastAsia"/>
          <w:spacing w:val="-4"/>
        </w:rPr>
        <w:t>）在进站管汇混合后，先进三相分离器，分离出来的低含水原油（</w:t>
      </w:r>
      <w:r>
        <w:rPr>
          <w:spacing w:val="-4"/>
        </w:rPr>
        <w:t>40</w:t>
      </w:r>
      <w:r>
        <w:rPr>
          <w:rFonts w:hint="eastAsia"/>
          <w:spacing w:val="-4"/>
        </w:rPr>
        <w:t>℃～</w:t>
      </w:r>
      <w:r>
        <w:rPr>
          <w:spacing w:val="-4"/>
        </w:rPr>
        <w:t>45</w:t>
      </w:r>
      <w:r>
        <w:rPr>
          <w:rFonts w:hint="eastAsia"/>
          <w:spacing w:val="-4"/>
        </w:rPr>
        <w:t>℃）添加破乳剂后进入多功能处理装置。原油在多功能处理装置内经加热（</w:t>
      </w:r>
      <w:r>
        <w:rPr>
          <w:spacing w:val="-4"/>
        </w:rPr>
        <w:t>60</w:t>
      </w:r>
      <w:r>
        <w:rPr>
          <w:rFonts w:hint="eastAsia"/>
          <w:spacing w:val="-4"/>
        </w:rPr>
        <w:t>℃）、化学脱水和电脱水后出净化油进入外输系统。三相分离器及多功能处理油气水分离段分离出的伴生气经除油器除油、天然气处理装置处理后供站内使用。三相器分离出的水去压裂返排液处理装置，处理合格后用于压裂液复配；多功能处理装置分离出的水与卸油台来液在卸油缓冲罐混合后回掺至进站管汇。</w:t>
      </w:r>
    </w:p>
    <w:p w14:paraId="43CF63C1">
      <w:pPr>
        <w:pStyle w:val="191"/>
        <w:ind w:firstLine="480"/>
        <w:rPr>
          <w:rFonts w:hint="eastAsia"/>
        </w:rPr>
      </w:pPr>
      <w:r>
        <w:rPr>
          <w:rFonts w:hint="eastAsia"/>
        </w:rPr>
        <w:t>页岩油联合站处理后净化油和吉祥联合站净化原油混合后进入压力缓冲罐，经外输泵增压、换热器换热、计量后输送至北三台油库。净化油外输系统规模为</w:t>
      </w:r>
      <w:r>
        <w:t>260</w:t>
      </w:r>
      <w:r>
        <w:rPr>
          <w:rFonts w:hint="eastAsia"/>
        </w:rPr>
        <w:t>×</w:t>
      </w:r>
      <w:r>
        <w:t>10</w:t>
      </w:r>
      <w:r>
        <w:rPr>
          <w:vertAlign w:val="superscript"/>
        </w:rPr>
        <w:t>4</w:t>
      </w:r>
      <w:r>
        <w:t>t/a</w:t>
      </w:r>
      <w:r>
        <w:rPr>
          <w:rFonts w:hint="eastAsia"/>
        </w:rPr>
        <w:t>，目前外输量为</w:t>
      </w:r>
      <w:r>
        <w:t>107</w:t>
      </w:r>
      <w:r>
        <w:rPr>
          <w:rFonts w:hint="eastAsia"/>
        </w:rPr>
        <w:t>×</w:t>
      </w:r>
      <w:r>
        <w:t>10</w:t>
      </w:r>
      <w:r>
        <w:rPr>
          <w:vertAlign w:val="superscript"/>
        </w:rPr>
        <w:t>4</w:t>
      </w:r>
      <w:r>
        <w:t>t/a</w:t>
      </w:r>
      <w:r>
        <w:rPr>
          <w:rFonts w:hint="eastAsia"/>
        </w:rPr>
        <w:t>。页岩油联合站至北三台油库的外输管道规格为</w:t>
      </w:r>
      <w:r>
        <w:t>D273</w:t>
      </w:r>
      <w:r>
        <w:rPr>
          <w:rFonts w:hint="eastAsia"/>
        </w:rPr>
        <w:t>×</w:t>
      </w:r>
      <w:r>
        <w:t>7.1/L450M</w:t>
      </w:r>
      <w:r>
        <w:rPr>
          <w:rFonts w:hint="eastAsia"/>
        </w:rPr>
        <w:t>，长度为</w:t>
      </w:r>
      <w:r>
        <w:t>35km</w:t>
      </w:r>
      <w:r>
        <w:rPr>
          <w:rFonts w:hint="eastAsia"/>
        </w:rPr>
        <w:t>。</w:t>
      </w:r>
    </w:p>
    <w:p w14:paraId="0632CA5E">
      <w:pPr>
        <w:pStyle w:val="191"/>
        <w:ind w:firstLine="480"/>
        <w:rPr>
          <w:rFonts w:hint="eastAsia"/>
        </w:rPr>
      </w:pPr>
      <w:r>
        <w:rPr>
          <w:rFonts w:hint="eastAsia"/>
        </w:rPr>
        <w:t>页岩油联合站原油处理系统工艺流程见图3.1-1。</w:t>
      </w:r>
    </w:p>
    <w:p w14:paraId="658A3729">
      <w:pPr>
        <w:pStyle w:val="191"/>
        <w:spacing w:line="240" w:lineRule="auto"/>
        <w:ind w:firstLine="0" w:firstLineChars="0"/>
        <w:rPr>
          <w:rFonts w:hint="eastAsia"/>
        </w:rPr>
      </w:pPr>
      <w:r>
        <w:drawing>
          <wp:inline distT="0" distB="0" distL="0" distR="0">
            <wp:extent cx="5539740" cy="2737485"/>
            <wp:effectExtent l="0" t="0" r="381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539740" cy="2737485"/>
                    </a:xfrm>
                    <a:prstGeom prst="rect">
                      <a:avLst/>
                    </a:prstGeom>
                    <a:noFill/>
                    <a:ln>
                      <a:noFill/>
                    </a:ln>
                  </pic:spPr>
                </pic:pic>
              </a:graphicData>
            </a:graphic>
          </wp:inline>
        </w:drawing>
      </w:r>
    </w:p>
    <w:p w14:paraId="027316E2">
      <w:pPr>
        <w:pStyle w:val="15"/>
        <w:rPr>
          <w:rFonts w:hint="eastAsia"/>
        </w:rPr>
      </w:pPr>
      <w:r>
        <w:t>图</w:t>
      </w:r>
      <w:r>
        <w:rPr>
          <w:rFonts w:hint="eastAsia"/>
        </w:rPr>
        <w:t xml:space="preserve">3.1-1 </w:t>
      </w:r>
      <w:r>
        <w:t xml:space="preserve"> </w:t>
      </w:r>
      <w:r>
        <w:rPr>
          <w:rFonts w:hint="eastAsia"/>
        </w:rPr>
        <w:t>页岩油联合站原油处理工艺流程示意图</w:t>
      </w:r>
    </w:p>
    <w:p w14:paraId="26313414">
      <w:pPr>
        <w:pStyle w:val="117"/>
        <w:ind w:firstLine="480"/>
        <w:rPr>
          <w:rFonts w:hint="eastAsia" w:cs="宋体"/>
        </w:rPr>
      </w:pPr>
      <w:r>
        <w:rPr>
          <w:rFonts w:hint="eastAsia" w:cs="宋体"/>
        </w:rPr>
        <w:t>③页岩油联合站伴生气处理系统</w:t>
      </w:r>
    </w:p>
    <w:p w14:paraId="06A48599">
      <w:pPr>
        <w:pStyle w:val="191"/>
        <w:ind w:firstLine="480"/>
        <w:rPr>
          <w:rFonts w:hint="eastAsia"/>
        </w:rPr>
      </w:pPr>
      <w:r>
        <w:rPr>
          <w:rFonts w:hint="eastAsia"/>
        </w:rPr>
        <w:t>油区页岩油联合站天然气处理系统设计处理规模3×</w:t>
      </w:r>
      <w:r>
        <w:t>10</w:t>
      </w:r>
      <w:r>
        <w:rPr>
          <w:vertAlign w:val="superscript"/>
        </w:rPr>
        <w:t>4</w:t>
      </w:r>
      <w:r>
        <w:t>Nm</w:t>
      </w:r>
      <w:r>
        <w:rPr>
          <w:vertAlign w:val="superscript"/>
        </w:rPr>
        <w:t>3</w:t>
      </w:r>
      <w:r>
        <w:t>/d</w:t>
      </w:r>
      <w:r>
        <w:rPr>
          <w:rFonts w:hint="eastAsia"/>
        </w:rPr>
        <w:t>，目前实际处理气量约为2.24×</w:t>
      </w:r>
      <w:r>
        <w:t>10</w:t>
      </w:r>
      <w:r>
        <w:rPr>
          <w:vertAlign w:val="superscript"/>
        </w:rPr>
        <w:t>4</w:t>
      </w:r>
      <w:r>
        <w:t>m</w:t>
      </w:r>
      <w:r>
        <w:rPr>
          <w:vertAlign w:val="superscript"/>
        </w:rPr>
        <w:t>3</w:t>
      </w:r>
      <w:r>
        <w:t>/d</w:t>
      </w:r>
      <w:r>
        <w:rPr>
          <w:rFonts w:hint="eastAsia"/>
        </w:rPr>
        <w:t>，采用“分子筛脱水</w:t>
      </w:r>
      <w:r>
        <w:t>+</w:t>
      </w:r>
      <w:r>
        <w:rPr>
          <w:rFonts w:hint="eastAsia"/>
        </w:rPr>
        <w:t>丙烷外冷”工艺。原油处理系统三相分离器分离出的伴生气（</w:t>
      </w:r>
      <w:r>
        <w:t>0.15</w:t>
      </w:r>
      <w:r>
        <w:rPr>
          <w:rFonts w:hint="eastAsia"/>
        </w:rPr>
        <w:t>～</w:t>
      </w:r>
      <w:r>
        <w:t>0.25MPa</w:t>
      </w:r>
      <w:r>
        <w:rPr>
          <w:rFonts w:hint="eastAsia"/>
        </w:rPr>
        <w:t>，</w:t>
      </w:r>
      <w:r>
        <w:t>20</w:t>
      </w:r>
      <w:r>
        <w:rPr>
          <w:rFonts w:hint="eastAsia"/>
        </w:rPr>
        <w:t>～</w:t>
      </w:r>
      <w:r>
        <w:t>40</w:t>
      </w:r>
      <w:r>
        <w:rPr>
          <w:rFonts w:hint="eastAsia"/>
        </w:rPr>
        <w:t>℃）经分离器分离出所携带液滴后，进入螺杆压缩机进行增压，增压后的伴生气依次进入脱硫橇、分子筛脱水橇进行脱硫脱水处理，脱水后的干气进混烃回收橇与低温干气换热，进丙烷外冷橇制冷后进入混烃回收橇低温分离器进行气液分离，分离出的低温干气与分子筛出口原料气换热，复热后的干气优先去自用气计量调压橇计量调压后供站内自用；剩余部分通过已建天然气外输管道（D114×6/20G，长8km）输送至东三线1</w:t>
      </w:r>
      <w:r>
        <w:t>1</w:t>
      </w:r>
      <w:r>
        <w:rPr>
          <w:rFonts w:hint="eastAsia"/>
        </w:rPr>
        <w:t>号阀室。目前，因天然气处理系统来气仅能满足站内自用，无多余净化气输至东三线天然气管道，故往复式压缩机橇及外输气计量橇暂未投运。</w:t>
      </w:r>
    </w:p>
    <w:p w14:paraId="70A5EF35">
      <w:pPr>
        <w:pStyle w:val="191"/>
        <w:ind w:firstLine="480"/>
        <w:rPr>
          <w:rFonts w:hint="eastAsia"/>
        </w:rPr>
      </w:pPr>
      <w:r>
        <w:rPr>
          <w:rFonts w:hint="eastAsia"/>
        </w:rPr>
        <w:t>混烃回收橇内低温分离器分离出来的液相进入橇内脱乙烷塔，塔顶富气去自用气调压计量橇，与调压后的自用气汇合，经计量去站内自用气装置，塔底混烃进混烃储罐橇，定期经定量装车橇装车外售。</w:t>
      </w:r>
    </w:p>
    <w:p w14:paraId="75571004">
      <w:pPr>
        <w:pStyle w:val="117"/>
        <w:ind w:firstLine="480"/>
        <w:rPr>
          <w:rFonts w:hint="eastAsia" w:cs="宋体"/>
        </w:rPr>
      </w:pPr>
      <w:r>
        <w:rPr>
          <w:rFonts w:hint="eastAsia" w:cs="宋体"/>
        </w:rPr>
        <w:t>④1号混输泵站</w:t>
      </w:r>
    </w:p>
    <w:p w14:paraId="58C497BA">
      <w:pPr>
        <w:pStyle w:val="117"/>
        <w:ind w:firstLine="480"/>
        <w:rPr>
          <w:rFonts w:hint="eastAsia" w:cs="宋体"/>
        </w:rPr>
      </w:pPr>
      <w:r>
        <w:rPr>
          <w:rFonts w:hint="eastAsia" w:cs="宋体"/>
        </w:rPr>
        <w:t>油区来气液进入进站汇管，汇管出液进入一体化加热接转装置（分离、加热和接转），通过一体化加热接转装置加热、分离缓冲后，经一体化加热接转装置上的混输泵增压后通过混输管道混输至页岩油联合站。</w:t>
      </w:r>
    </w:p>
    <w:p w14:paraId="79DB31BE">
      <w:pPr>
        <w:pStyle w:val="117"/>
        <w:ind w:firstLine="480"/>
        <w:rPr>
          <w:rFonts w:hint="eastAsia" w:cs="宋体"/>
        </w:rPr>
      </w:pPr>
      <w:r>
        <w:rPr>
          <w:rFonts w:hint="eastAsia" w:cs="宋体"/>
        </w:rPr>
        <w:t>一体化加热接转装置加热缓冲罐分离出的伴生气经除油器进一步处理后一部分作为一体化加热接转装置燃料气用，剩下的伴生气进入混输泵增压外输。</w:t>
      </w:r>
    </w:p>
    <w:p w14:paraId="4C81B610">
      <w:pPr>
        <w:pStyle w:val="117"/>
        <w:ind w:firstLine="480"/>
        <w:rPr>
          <w:rFonts w:hint="eastAsia"/>
          <w:lang w:bidi="ar"/>
        </w:rPr>
      </w:pPr>
      <w:r>
        <w:rPr>
          <w:rFonts w:hint="eastAsia" w:cs="宋体"/>
        </w:rPr>
        <w:t>⑤退役设施</w:t>
      </w:r>
    </w:p>
    <w:p w14:paraId="273256C3">
      <w:pPr>
        <w:pStyle w:val="462"/>
        <w:rPr>
          <w:rFonts w:hint="eastAsia"/>
          <w:color w:val="auto"/>
          <w:lang w:bidi="ar"/>
        </w:rPr>
      </w:pPr>
      <w:r>
        <w:rPr>
          <w:rFonts w:hint="eastAsia"/>
          <w:color w:val="auto"/>
          <w:lang w:bidi="ar"/>
        </w:rPr>
        <w:t>页岩油井区油气开发始于2010年，2018年开始规模开发，井区目前尚未产生退役设施，考虑到未来老井利用的可能性，井区现有未生产井按照关井管理，未采取封井的措施，井场已平整，井场植被逐步自然恢复。</w:t>
      </w:r>
    </w:p>
    <w:p w14:paraId="57FA1648">
      <w:pPr>
        <w:pStyle w:val="4"/>
        <w:rPr>
          <w:rFonts w:hint="eastAsia"/>
          <w:spacing w:val="4"/>
        </w:rPr>
      </w:pPr>
      <w:bookmarkStart w:id="174" w:name="_Hlk160374378"/>
      <w:bookmarkStart w:id="175" w:name="_Hlk147581247"/>
      <w:bookmarkStart w:id="176" w:name="_Hlk78832395"/>
      <w:r>
        <w:rPr>
          <w:rFonts w:hint="eastAsia"/>
          <w:spacing w:val="4"/>
        </w:rPr>
        <w:t>环境影响回顾</w:t>
      </w:r>
    </w:p>
    <w:p w14:paraId="2FD07CF7">
      <w:pPr>
        <w:pStyle w:val="462"/>
        <w:rPr>
          <w:rFonts w:hint="eastAsia"/>
          <w:color w:val="auto"/>
          <w:lang w:bidi="ar"/>
        </w:rPr>
      </w:pPr>
      <w:r>
        <w:rPr>
          <w:rFonts w:hint="eastAsia"/>
          <w:color w:val="auto"/>
          <w:lang w:bidi="ar"/>
        </w:rPr>
        <w:t>（1）环保手续履行情况</w:t>
      </w:r>
    </w:p>
    <w:p w14:paraId="6C56CDEB">
      <w:pPr>
        <w:pStyle w:val="462"/>
        <w:rPr>
          <w:rFonts w:hint="eastAsia"/>
          <w:color w:val="auto"/>
          <w:lang w:bidi="ar"/>
        </w:rPr>
      </w:pPr>
      <w:r>
        <w:rPr>
          <w:rFonts w:hint="eastAsia"/>
          <w:color w:val="auto"/>
          <w:lang w:bidi="ar"/>
        </w:rPr>
        <w:t>页岩油井区和页岩油联合站的环保手续履行情况见表3.1-3。</w:t>
      </w:r>
    </w:p>
    <w:p w14:paraId="5926A76E">
      <w:pPr>
        <w:pStyle w:val="109"/>
        <w:rPr>
          <w:rFonts w:hint="eastAsia"/>
        </w:rPr>
      </w:pPr>
      <w:r>
        <w:rPr>
          <w:rFonts w:hint="eastAsia"/>
        </w:rPr>
        <w:t>表3.1-3</w:t>
      </w:r>
      <w:r>
        <w:t xml:space="preserve">  环保手续履行情况</w:t>
      </w:r>
      <w:r>
        <w:rPr>
          <w:rFonts w:hint="eastAsia"/>
        </w:rPr>
        <w:t>表</w:t>
      </w:r>
    </w:p>
    <w:tbl>
      <w:tblPr>
        <w:tblStyle w:val="5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41"/>
        <w:gridCol w:w="2906"/>
        <w:gridCol w:w="2695"/>
      </w:tblGrid>
      <w:tr w14:paraId="787B48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3AF218ED">
            <w:pPr>
              <w:pStyle w:val="208"/>
              <w:adjustRightInd w:val="0"/>
              <w:snapToGrid w:val="0"/>
              <w:spacing w:line="300" w:lineRule="exact"/>
              <w:rPr>
                <w:rFonts w:hint="eastAsia"/>
              </w:rPr>
            </w:pPr>
            <w:r>
              <w:rPr>
                <w:rFonts w:hint="eastAsia"/>
              </w:rPr>
              <w:t>项目名称</w:t>
            </w:r>
          </w:p>
        </w:tc>
        <w:tc>
          <w:tcPr>
            <w:tcW w:w="1625" w:type="pct"/>
            <w:vAlign w:val="center"/>
          </w:tcPr>
          <w:p w14:paraId="74B32080">
            <w:pPr>
              <w:pStyle w:val="208"/>
              <w:adjustRightInd w:val="0"/>
              <w:snapToGrid w:val="0"/>
              <w:spacing w:line="300" w:lineRule="exact"/>
              <w:rPr>
                <w:rFonts w:hint="eastAsia"/>
              </w:rPr>
            </w:pPr>
            <w:r>
              <w:rPr>
                <w:rFonts w:hint="eastAsia"/>
                <w:lang w:bidi="ar"/>
              </w:rPr>
              <w:t>环评批复机关、文号</w:t>
            </w:r>
          </w:p>
        </w:tc>
        <w:tc>
          <w:tcPr>
            <w:tcW w:w="1507" w:type="pct"/>
            <w:vAlign w:val="center"/>
          </w:tcPr>
          <w:p w14:paraId="16F2B7A1">
            <w:pPr>
              <w:pStyle w:val="208"/>
              <w:adjustRightInd w:val="0"/>
              <w:snapToGrid w:val="0"/>
              <w:spacing w:line="300" w:lineRule="exact"/>
              <w:rPr>
                <w:rFonts w:hint="eastAsia"/>
              </w:rPr>
            </w:pPr>
            <w:r>
              <w:rPr>
                <w:rFonts w:hint="eastAsia"/>
                <w:lang w:bidi="ar"/>
              </w:rPr>
              <w:t>环保竣工验收情况</w:t>
            </w:r>
          </w:p>
        </w:tc>
      </w:tr>
      <w:tr w14:paraId="3F072B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2CAB35C0">
            <w:pPr>
              <w:pStyle w:val="208"/>
              <w:adjustRightInd w:val="0"/>
              <w:snapToGrid w:val="0"/>
              <w:spacing w:line="300" w:lineRule="exact"/>
              <w:rPr>
                <w:rFonts w:hint="eastAsia"/>
              </w:rPr>
            </w:pPr>
            <w:r>
              <w:rPr>
                <w:rFonts w:hint="eastAsia"/>
              </w:rPr>
              <w:t>吉木萨尔凹陷芦草沟组致密油吉303－吉305井区2018年开发试验吉木萨尔辖区地面建设工程</w:t>
            </w:r>
          </w:p>
        </w:tc>
        <w:tc>
          <w:tcPr>
            <w:tcW w:w="1625" w:type="pct"/>
            <w:vAlign w:val="center"/>
          </w:tcPr>
          <w:p w14:paraId="3F39D0B4">
            <w:pPr>
              <w:pStyle w:val="208"/>
              <w:adjustRightInd w:val="0"/>
              <w:snapToGrid w:val="0"/>
              <w:spacing w:line="300" w:lineRule="exact"/>
              <w:rPr>
                <w:rFonts w:hint="eastAsia"/>
              </w:rPr>
            </w:pPr>
            <w:r>
              <w:rPr>
                <w:rFonts w:hint="eastAsia"/>
              </w:rPr>
              <w:t>吉木萨尔县环境保护局</w:t>
            </w:r>
          </w:p>
          <w:p w14:paraId="28086DF2">
            <w:pPr>
              <w:pStyle w:val="208"/>
              <w:adjustRightInd w:val="0"/>
              <w:snapToGrid w:val="0"/>
              <w:spacing w:line="300" w:lineRule="exact"/>
              <w:rPr>
                <w:rFonts w:hint="eastAsia"/>
              </w:rPr>
            </w:pPr>
            <w:r>
              <w:rPr>
                <w:rFonts w:hint="eastAsia"/>
              </w:rPr>
              <w:t>吉环项发〔2018〕4号</w:t>
            </w:r>
          </w:p>
        </w:tc>
        <w:tc>
          <w:tcPr>
            <w:tcW w:w="1507" w:type="pct"/>
            <w:vAlign w:val="center"/>
          </w:tcPr>
          <w:p w14:paraId="666EAD9C">
            <w:pPr>
              <w:pStyle w:val="208"/>
              <w:adjustRightInd w:val="0"/>
              <w:snapToGrid w:val="0"/>
              <w:spacing w:line="300" w:lineRule="exact"/>
              <w:rPr>
                <w:rFonts w:hint="eastAsia"/>
              </w:rPr>
            </w:pPr>
            <w:r>
              <w:rPr>
                <w:rFonts w:hint="eastAsia"/>
              </w:rPr>
              <w:t>2019年6月23日通过企业自主验收</w:t>
            </w:r>
          </w:p>
        </w:tc>
      </w:tr>
      <w:tr w14:paraId="3783FE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111F10C0">
            <w:pPr>
              <w:pStyle w:val="208"/>
              <w:adjustRightInd w:val="0"/>
              <w:snapToGrid w:val="0"/>
              <w:spacing w:line="300" w:lineRule="exact"/>
              <w:rPr>
                <w:rFonts w:hint="eastAsia"/>
              </w:rPr>
            </w:pPr>
            <w:r>
              <w:rPr>
                <w:rFonts w:hint="eastAsia"/>
              </w:rPr>
              <w:t>吉祥联合站至吉305-吉17吉37井区联合站集输管线（吉木萨尔县境内）建设项目</w:t>
            </w:r>
          </w:p>
        </w:tc>
        <w:tc>
          <w:tcPr>
            <w:tcW w:w="1625" w:type="pct"/>
            <w:vAlign w:val="center"/>
          </w:tcPr>
          <w:p w14:paraId="6FD25CA1">
            <w:pPr>
              <w:pStyle w:val="208"/>
              <w:adjustRightInd w:val="0"/>
              <w:snapToGrid w:val="0"/>
              <w:spacing w:line="300" w:lineRule="exact"/>
              <w:rPr>
                <w:rFonts w:hint="eastAsia"/>
              </w:rPr>
            </w:pPr>
            <w:r>
              <w:rPr>
                <w:rFonts w:hint="eastAsia"/>
              </w:rPr>
              <w:t>昌吉回族自治州生态环境局</w:t>
            </w:r>
          </w:p>
          <w:p w14:paraId="7438863E">
            <w:pPr>
              <w:pStyle w:val="208"/>
              <w:adjustRightInd w:val="0"/>
              <w:snapToGrid w:val="0"/>
              <w:spacing w:line="300" w:lineRule="exact"/>
              <w:rPr>
                <w:rFonts w:hint="eastAsia"/>
              </w:rPr>
            </w:pPr>
            <w:r>
              <w:rPr>
                <w:rFonts w:hint="eastAsia"/>
              </w:rPr>
              <w:t>昌州环评〔2018〕31号</w:t>
            </w:r>
          </w:p>
        </w:tc>
        <w:tc>
          <w:tcPr>
            <w:tcW w:w="1507" w:type="pct"/>
            <w:vAlign w:val="center"/>
          </w:tcPr>
          <w:p w14:paraId="3782FF2C">
            <w:pPr>
              <w:pStyle w:val="208"/>
              <w:adjustRightInd w:val="0"/>
              <w:snapToGrid w:val="0"/>
              <w:spacing w:line="300" w:lineRule="exact"/>
              <w:rPr>
                <w:rFonts w:hint="eastAsia"/>
              </w:rPr>
            </w:pPr>
            <w:r>
              <w:rPr>
                <w:rFonts w:hint="eastAsia"/>
              </w:rPr>
              <w:t>2021年10月27日通过企业自主验收</w:t>
            </w:r>
          </w:p>
        </w:tc>
      </w:tr>
      <w:tr w14:paraId="13B54E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5DBB9B61">
            <w:pPr>
              <w:pStyle w:val="208"/>
              <w:adjustRightInd w:val="0"/>
              <w:snapToGrid w:val="0"/>
              <w:spacing w:line="300" w:lineRule="exact"/>
              <w:rPr>
                <w:rFonts w:hint="eastAsia"/>
              </w:rPr>
            </w:pPr>
            <w:r>
              <w:rPr>
                <w:rFonts w:hint="eastAsia"/>
              </w:rPr>
              <w:t>北三台油库扩建工程及吉305－吉17-吉37井区联合站至北三台油库输油管线（吉木萨尔县、阜康市境内）建设项目</w:t>
            </w:r>
          </w:p>
        </w:tc>
        <w:tc>
          <w:tcPr>
            <w:tcW w:w="1625" w:type="pct"/>
            <w:vAlign w:val="center"/>
          </w:tcPr>
          <w:p w14:paraId="0144C291">
            <w:pPr>
              <w:pStyle w:val="208"/>
              <w:adjustRightInd w:val="0"/>
              <w:snapToGrid w:val="0"/>
              <w:spacing w:line="300" w:lineRule="exact"/>
              <w:rPr>
                <w:rFonts w:hint="eastAsia"/>
              </w:rPr>
            </w:pPr>
            <w:r>
              <w:rPr>
                <w:rFonts w:hint="eastAsia"/>
              </w:rPr>
              <w:t>昌吉回族自治州生态环境局</w:t>
            </w:r>
          </w:p>
          <w:p w14:paraId="45E8DE7C">
            <w:pPr>
              <w:pStyle w:val="208"/>
              <w:adjustRightInd w:val="0"/>
              <w:snapToGrid w:val="0"/>
              <w:spacing w:line="300" w:lineRule="exact"/>
              <w:rPr>
                <w:rFonts w:hint="eastAsia"/>
              </w:rPr>
            </w:pPr>
            <w:r>
              <w:rPr>
                <w:rFonts w:hint="eastAsia"/>
              </w:rPr>
              <w:t>昌州环评〔2019〕32号</w:t>
            </w:r>
          </w:p>
        </w:tc>
        <w:tc>
          <w:tcPr>
            <w:tcW w:w="1507" w:type="pct"/>
            <w:vAlign w:val="center"/>
          </w:tcPr>
          <w:p w14:paraId="11AC2287">
            <w:pPr>
              <w:pStyle w:val="208"/>
              <w:adjustRightInd w:val="0"/>
              <w:snapToGrid w:val="0"/>
              <w:spacing w:line="300" w:lineRule="exact"/>
              <w:rPr>
                <w:rFonts w:hint="eastAsia"/>
              </w:rPr>
            </w:pPr>
            <w:r>
              <w:rPr>
                <w:rFonts w:hint="eastAsia"/>
              </w:rPr>
              <w:t>2021年10月27日通过企业自主验收</w:t>
            </w:r>
          </w:p>
        </w:tc>
      </w:tr>
      <w:tr w14:paraId="208BB8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2D809E6B">
            <w:pPr>
              <w:pStyle w:val="208"/>
              <w:adjustRightInd w:val="0"/>
              <w:snapToGrid w:val="0"/>
              <w:spacing w:line="300" w:lineRule="exact"/>
              <w:rPr>
                <w:rFonts w:hint="eastAsia"/>
              </w:rPr>
            </w:pPr>
            <w:r>
              <w:rPr>
                <w:rFonts w:hint="eastAsia"/>
              </w:rPr>
              <w:t>吉木萨尔凹陷芦草沟组油藏吉305-吉17-吉37井区开发地面工程</w:t>
            </w:r>
          </w:p>
        </w:tc>
        <w:tc>
          <w:tcPr>
            <w:tcW w:w="1625" w:type="pct"/>
            <w:vAlign w:val="center"/>
          </w:tcPr>
          <w:p w14:paraId="3A4A4A36">
            <w:pPr>
              <w:pStyle w:val="208"/>
              <w:adjustRightInd w:val="0"/>
              <w:snapToGrid w:val="0"/>
              <w:spacing w:line="300" w:lineRule="exact"/>
              <w:rPr>
                <w:rFonts w:hint="eastAsia"/>
              </w:rPr>
            </w:pPr>
            <w:r>
              <w:rPr>
                <w:rFonts w:hint="eastAsia"/>
              </w:rPr>
              <w:t>新疆生产建设兵团生态环境局</w:t>
            </w:r>
          </w:p>
          <w:p w14:paraId="4F0DBD34">
            <w:pPr>
              <w:pStyle w:val="208"/>
              <w:adjustRightInd w:val="0"/>
              <w:snapToGrid w:val="0"/>
              <w:spacing w:line="300" w:lineRule="exact"/>
              <w:rPr>
                <w:rFonts w:hint="eastAsia"/>
              </w:rPr>
            </w:pPr>
            <w:r>
              <w:rPr>
                <w:rFonts w:hint="eastAsia"/>
              </w:rPr>
              <w:t>兵环审〔2019〕14号</w:t>
            </w:r>
          </w:p>
        </w:tc>
        <w:tc>
          <w:tcPr>
            <w:tcW w:w="1507" w:type="pct"/>
            <w:vAlign w:val="center"/>
          </w:tcPr>
          <w:p w14:paraId="5D204796">
            <w:pPr>
              <w:pStyle w:val="208"/>
              <w:adjustRightInd w:val="0"/>
              <w:snapToGrid w:val="0"/>
              <w:spacing w:line="300" w:lineRule="exact"/>
              <w:rPr>
                <w:rFonts w:hint="eastAsia"/>
              </w:rPr>
            </w:pPr>
            <w:r>
              <w:rPr>
                <w:rFonts w:hint="eastAsia"/>
              </w:rPr>
              <w:t>2021年10月28日通过企业第一批自主验收；</w:t>
            </w:r>
          </w:p>
          <w:p w14:paraId="3A671B36">
            <w:pPr>
              <w:pStyle w:val="208"/>
              <w:adjustRightInd w:val="0"/>
              <w:snapToGrid w:val="0"/>
              <w:spacing w:line="300" w:lineRule="exact"/>
              <w:rPr>
                <w:rFonts w:hint="eastAsia"/>
              </w:rPr>
            </w:pPr>
            <w:r>
              <w:rPr>
                <w:rFonts w:hint="eastAsia"/>
              </w:rPr>
              <w:t>2023年9月6日通过企业第二批自主验收</w:t>
            </w:r>
          </w:p>
        </w:tc>
      </w:tr>
      <w:tr w14:paraId="3B0DDF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2B3827A1">
            <w:pPr>
              <w:pStyle w:val="208"/>
              <w:adjustRightInd w:val="0"/>
              <w:snapToGrid w:val="0"/>
              <w:spacing w:line="300" w:lineRule="exact"/>
              <w:rPr>
                <w:rFonts w:hint="eastAsia"/>
              </w:rPr>
            </w:pPr>
            <w:r>
              <w:rPr>
                <w:rFonts w:hint="eastAsia"/>
              </w:rPr>
              <w:t>吉木萨尔凹陷芦草沟组油藏吉305－吉17-吉37井区联合站建设工程重大变更项目</w:t>
            </w:r>
          </w:p>
        </w:tc>
        <w:tc>
          <w:tcPr>
            <w:tcW w:w="1625" w:type="pct"/>
            <w:vAlign w:val="center"/>
          </w:tcPr>
          <w:p w14:paraId="2455051C">
            <w:pPr>
              <w:pStyle w:val="208"/>
              <w:adjustRightInd w:val="0"/>
              <w:snapToGrid w:val="0"/>
              <w:spacing w:line="300" w:lineRule="exact"/>
              <w:rPr>
                <w:rFonts w:hint="eastAsia"/>
              </w:rPr>
            </w:pPr>
            <w:r>
              <w:rPr>
                <w:rFonts w:hint="eastAsia"/>
              </w:rPr>
              <w:t>新疆兵团第六师五家渠市环保局</w:t>
            </w:r>
          </w:p>
          <w:p w14:paraId="6CB1D0CC">
            <w:pPr>
              <w:pStyle w:val="208"/>
              <w:adjustRightInd w:val="0"/>
              <w:snapToGrid w:val="0"/>
              <w:spacing w:line="300" w:lineRule="exact"/>
              <w:rPr>
                <w:rFonts w:hint="eastAsia"/>
              </w:rPr>
            </w:pPr>
            <w:r>
              <w:rPr>
                <w:rFonts w:hint="eastAsia"/>
              </w:rPr>
              <w:t>师环监函〔2019〕38号</w:t>
            </w:r>
          </w:p>
        </w:tc>
        <w:tc>
          <w:tcPr>
            <w:tcW w:w="1507" w:type="pct"/>
            <w:vAlign w:val="center"/>
          </w:tcPr>
          <w:p w14:paraId="7CA402D7">
            <w:pPr>
              <w:pStyle w:val="208"/>
              <w:adjustRightInd w:val="0"/>
              <w:snapToGrid w:val="0"/>
              <w:spacing w:line="300" w:lineRule="exact"/>
              <w:rPr>
                <w:rFonts w:hint="eastAsia"/>
              </w:rPr>
            </w:pPr>
            <w:r>
              <w:rPr>
                <w:rFonts w:hint="eastAsia"/>
              </w:rPr>
              <w:t>2021年10月28日通过企业自主验收</w:t>
            </w:r>
          </w:p>
        </w:tc>
      </w:tr>
      <w:tr w14:paraId="28473B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1E35B38E">
            <w:pPr>
              <w:pStyle w:val="208"/>
              <w:adjustRightInd w:val="0"/>
              <w:snapToGrid w:val="0"/>
              <w:spacing w:line="300" w:lineRule="exact"/>
              <w:rPr>
                <w:rFonts w:hint="eastAsia"/>
              </w:rPr>
            </w:pPr>
            <w:r>
              <w:rPr>
                <w:rFonts w:hint="eastAsia"/>
              </w:rPr>
              <w:t>吉305-吉17-吉37井区JHW00421等22口开发试验井建设工程</w:t>
            </w:r>
          </w:p>
        </w:tc>
        <w:tc>
          <w:tcPr>
            <w:tcW w:w="1625" w:type="pct"/>
            <w:vAlign w:val="center"/>
          </w:tcPr>
          <w:p w14:paraId="0D361BC4">
            <w:pPr>
              <w:pStyle w:val="208"/>
              <w:adjustRightInd w:val="0"/>
              <w:snapToGrid w:val="0"/>
              <w:spacing w:line="300" w:lineRule="exact"/>
              <w:rPr>
                <w:rFonts w:hint="eastAsia"/>
              </w:rPr>
            </w:pPr>
            <w:r>
              <w:rPr>
                <w:rFonts w:hint="eastAsia"/>
              </w:rPr>
              <w:t>昌吉回族自治州生态环境局</w:t>
            </w:r>
          </w:p>
          <w:p w14:paraId="6FD3E51F">
            <w:pPr>
              <w:pStyle w:val="208"/>
              <w:adjustRightInd w:val="0"/>
              <w:snapToGrid w:val="0"/>
              <w:spacing w:line="300" w:lineRule="exact"/>
              <w:rPr>
                <w:rFonts w:hint="eastAsia"/>
              </w:rPr>
            </w:pPr>
            <w:r>
              <w:rPr>
                <w:rFonts w:hint="eastAsia"/>
              </w:rPr>
              <w:t>昌州环评〔2019〕49号</w:t>
            </w:r>
          </w:p>
        </w:tc>
        <w:tc>
          <w:tcPr>
            <w:tcW w:w="1507" w:type="pct"/>
            <w:vAlign w:val="center"/>
          </w:tcPr>
          <w:p w14:paraId="2F09DBEF">
            <w:pPr>
              <w:pStyle w:val="208"/>
              <w:adjustRightInd w:val="0"/>
              <w:snapToGrid w:val="0"/>
              <w:spacing w:line="300" w:lineRule="exact"/>
              <w:rPr>
                <w:rFonts w:hint="eastAsia"/>
              </w:rPr>
            </w:pPr>
            <w:r>
              <w:rPr>
                <w:rFonts w:hint="eastAsia"/>
              </w:rPr>
              <w:t>2021年10月28日通过企业第一批自主验收</w:t>
            </w:r>
          </w:p>
        </w:tc>
      </w:tr>
      <w:tr w14:paraId="1AC775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4FC0FD53">
            <w:pPr>
              <w:pStyle w:val="208"/>
              <w:adjustRightInd w:val="0"/>
              <w:snapToGrid w:val="0"/>
              <w:spacing w:line="300" w:lineRule="exact"/>
              <w:rPr>
                <w:rFonts w:hint="eastAsia"/>
              </w:rPr>
            </w:pPr>
            <w:r>
              <w:rPr>
                <w:rFonts w:hint="eastAsia"/>
              </w:rPr>
              <w:t>吉木萨尔凹陷芦草沟组页岩油2023年开发建设工程</w:t>
            </w:r>
          </w:p>
        </w:tc>
        <w:tc>
          <w:tcPr>
            <w:tcW w:w="1625" w:type="pct"/>
            <w:vAlign w:val="center"/>
          </w:tcPr>
          <w:p w14:paraId="39C342BA">
            <w:pPr>
              <w:pStyle w:val="208"/>
              <w:adjustRightInd w:val="0"/>
              <w:snapToGrid w:val="0"/>
              <w:spacing w:line="300" w:lineRule="exact"/>
              <w:rPr>
                <w:rFonts w:hint="eastAsia"/>
              </w:rPr>
            </w:pPr>
            <w:r>
              <w:rPr>
                <w:rFonts w:hint="eastAsia"/>
              </w:rPr>
              <w:t>新疆生产建设兵团生态环境局</w:t>
            </w:r>
          </w:p>
          <w:p w14:paraId="12E3B0CA">
            <w:pPr>
              <w:pStyle w:val="208"/>
              <w:adjustRightInd w:val="0"/>
              <w:snapToGrid w:val="0"/>
              <w:spacing w:line="300" w:lineRule="exact"/>
              <w:rPr>
                <w:rFonts w:hint="eastAsia"/>
              </w:rPr>
            </w:pPr>
            <w:r>
              <w:rPr>
                <w:rFonts w:hint="eastAsia"/>
              </w:rPr>
              <w:t>兵环审〔2023〕2号</w:t>
            </w:r>
          </w:p>
        </w:tc>
        <w:tc>
          <w:tcPr>
            <w:tcW w:w="1507" w:type="pct"/>
            <w:vAlign w:val="center"/>
          </w:tcPr>
          <w:p w14:paraId="4401F958">
            <w:pPr>
              <w:pStyle w:val="208"/>
              <w:adjustRightInd w:val="0"/>
              <w:snapToGrid w:val="0"/>
              <w:spacing w:line="300" w:lineRule="exact"/>
              <w:rPr>
                <w:rFonts w:hint="eastAsia"/>
              </w:rPr>
            </w:pPr>
            <w:r>
              <w:rPr>
                <w:rFonts w:hint="eastAsia"/>
              </w:rPr>
              <w:t>正在建设</w:t>
            </w:r>
          </w:p>
        </w:tc>
      </w:tr>
      <w:tr w14:paraId="6D56A7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70E5CD8D">
            <w:pPr>
              <w:pStyle w:val="208"/>
              <w:adjustRightInd w:val="0"/>
              <w:snapToGrid w:val="0"/>
              <w:spacing w:line="300" w:lineRule="exact"/>
              <w:rPr>
                <w:rFonts w:hint="eastAsia"/>
              </w:rPr>
            </w:pPr>
            <w:r>
              <w:rPr>
                <w:rFonts w:hint="eastAsia"/>
              </w:rPr>
              <w:t>吉木萨尔凹陷昌吉油田2023年芦草沟组页岩油调整部署18号平台等6个平台产能建设</w:t>
            </w:r>
          </w:p>
        </w:tc>
        <w:tc>
          <w:tcPr>
            <w:tcW w:w="1625" w:type="pct"/>
            <w:vAlign w:val="center"/>
          </w:tcPr>
          <w:p w14:paraId="3B0B9482">
            <w:pPr>
              <w:pStyle w:val="208"/>
              <w:adjustRightInd w:val="0"/>
              <w:snapToGrid w:val="0"/>
              <w:spacing w:line="300" w:lineRule="exact"/>
              <w:rPr>
                <w:rFonts w:hint="eastAsia"/>
              </w:rPr>
            </w:pPr>
            <w:r>
              <w:rPr>
                <w:rFonts w:hint="eastAsia"/>
              </w:rPr>
              <w:t>新疆生产建设兵团生态环境局</w:t>
            </w:r>
          </w:p>
          <w:p w14:paraId="464D037C">
            <w:pPr>
              <w:pStyle w:val="208"/>
              <w:adjustRightInd w:val="0"/>
              <w:snapToGrid w:val="0"/>
              <w:spacing w:line="300" w:lineRule="exact"/>
              <w:rPr>
                <w:rFonts w:hint="eastAsia"/>
              </w:rPr>
            </w:pPr>
            <w:r>
              <w:rPr>
                <w:rFonts w:hint="eastAsia"/>
              </w:rPr>
              <w:t>兵环审〔2024〕7号</w:t>
            </w:r>
          </w:p>
        </w:tc>
        <w:tc>
          <w:tcPr>
            <w:tcW w:w="1507" w:type="pct"/>
            <w:vAlign w:val="center"/>
          </w:tcPr>
          <w:p w14:paraId="138B9819">
            <w:pPr>
              <w:pStyle w:val="208"/>
              <w:adjustRightInd w:val="0"/>
              <w:snapToGrid w:val="0"/>
              <w:spacing w:line="300" w:lineRule="exact"/>
              <w:rPr>
                <w:rFonts w:hint="eastAsia"/>
              </w:rPr>
            </w:pPr>
            <w:r>
              <w:rPr>
                <w:rFonts w:hint="eastAsia"/>
              </w:rPr>
              <w:t>正在建设</w:t>
            </w:r>
          </w:p>
        </w:tc>
      </w:tr>
      <w:tr w14:paraId="38DCF1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68" w:type="pct"/>
            <w:vAlign w:val="center"/>
          </w:tcPr>
          <w:p w14:paraId="306CC689">
            <w:pPr>
              <w:pStyle w:val="208"/>
              <w:adjustRightInd w:val="0"/>
              <w:snapToGrid w:val="0"/>
              <w:spacing w:line="300" w:lineRule="exact"/>
              <w:rPr>
                <w:rFonts w:hint="eastAsia"/>
              </w:rPr>
            </w:pPr>
            <w:r>
              <w:rPr>
                <w:rFonts w:hint="eastAsia"/>
              </w:rPr>
              <w:t>吉木萨尔凹陷芦草沟组页岩油J10054井区13口井钻试工程</w:t>
            </w:r>
          </w:p>
        </w:tc>
        <w:tc>
          <w:tcPr>
            <w:tcW w:w="1625" w:type="pct"/>
            <w:vAlign w:val="center"/>
          </w:tcPr>
          <w:p w14:paraId="5809524E">
            <w:pPr>
              <w:pStyle w:val="208"/>
              <w:adjustRightInd w:val="0"/>
              <w:snapToGrid w:val="0"/>
              <w:spacing w:line="300" w:lineRule="exact"/>
              <w:rPr>
                <w:rFonts w:hint="eastAsia"/>
              </w:rPr>
            </w:pPr>
            <w:r>
              <w:rPr>
                <w:rFonts w:hint="eastAsia"/>
              </w:rPr>
              <w:t>昌吉回族自治州生态环境局</w:t>
            </w:r>
          </w:p>
          <w:p w14:paraId="78A760AF">
            <w:pPr>
              <w:pStyle w:val="208"/>
              <w:adjustRightInd w:val="0"/>
              <w:snapToGrid w:val="0"/>
              <w:spacing w:line="300" w:lineRule="exact"/>
              <w:rPr>
                <w:rFonts w:hint="eastAsia"/>
              </w:rPr>
            </w:pPr>
            <w:r>
              <w:rPr>
                <w:rFonts w:hint="eastAsia"/>
              </w:rPr>
              <w:t>昌州环评〔2024〕62号</w:t>
            </w:r>
          </w:p>
        </w:tc>
        <w:tc>
          <w:tcPr>
            <w:tcW w:w="1507" w:type="pct"/>
            <w:vAlign w:val="center"/>
          </w:tcPr>
          <w:p w14:paraId="48351E6C">
            <w:pPr>
              <w:pStyle w:val="208"/>
              <w:adjustRightInd w:val="0"/>
              <w:snapToGrid w:val="0"/>
              <w:spacing w:line="300" w:lineRule="exact"/>
              <w:rPr>
                <w:rFonts w:hint="eastAsia"/>
              </w:rPr>
            </w:pPr>
            <w:r>
              <w:rPr>
                <w:rFonts w:hint="eastAsia"/>
              </w:rPr>
              <w:t>正在建设</w:t>
            </w:r>
          </w:p>
        </w:tc>
      </w:tr>
    </w:tbl>
    <w:p w14:paraId="0B58A39F">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（2）废气</w:t>
      </w:r>
    </w:p>
    <w:p w14:paraId="59009F95">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油区废气主要为油气集输过程中产生的无组织废气，页岩油联合站和1号混输泵站的废气主要为燃气设施（主要为锅炉和热煤炉）燃烧烟气。</w:t>
      </w:r>
    </w:p>
    <w:p w14:paraId="1D8CBF60">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①无组织废气</w:t>
      </w:r>
    </w:p>
    <w:p w14:paraId="143E5D83">
      <w:pPr>
        <w:widowControl/>
        <w:adjustRightInd w:val="0"/>
        <w:snapToGrid w:val="0"/>
        <w:spacing w:line="500" w:lineRule="exact"/>
        <w:ind w:firstLine="480" w:firstLineChars="200"/>
        <w:rPr>
          <w:rFonts w:hint="eastAsia" w:ascii="黑体" w:hAnsi="黑体" w:eastAsia="黑体" w:cs="宋体"/>
          <w:spacing w:val="-4"/>
          <w:szCs w:val="21"/>
        </w:rPr>
      </w:pPr>
      <w:r>
        <w:rPr>
          <w:rFonts w:hint="eastAsia" w:ascii="宋体" w:hAnsi="宋体" w:cs="宋体"/>
          <w:sz w:val="24"/>
          <w:szCs w:val="24"/>
        </w:rPr>
        <w:t>井区内油气集输过程中大部分采用管线密闭集输工艺，页岩油联合站和1号混输泵站均采用密闭流程，井区和站场所用阀门、法兰等连接件均为质量合格的产品，日常加强设备检维修。根据《吉木萨尔凹陷芦草沟组油藏吉</w:t>
      </w:r>
      <w:r>
        <w:rPr>
          <w:rFonts w:ascii="宋体" w:hAnsi="宋体" w:cs="宋体"/>
          <w:sz w:val="24"/>
          <w:szCs w:val="24"/>
        </w:rPr>
        <w:t>305</w:t>
      </w:r>
      <w:r>
        <w:rPr>
          <w:rFonts w:hint="eastAsia" w:ascii="宋体" w:hAnsi="宋体" w:cs="宋体"/>
          <w:sz w:val="24"/>
          <w:szCs w:val="24"/>
        </w:rPr>
        <w:t>－吉</w:t>
      </w:r>
      <w:r>
        <w:rPr>
          <w:rFonts w:ascii="宋体" w:hAnsi="宋体" w:cs="宋体"/>
          <w:sz w:val="24"/>
          <w:szCs w:val="24"/>
        </w:rPr>
        <w:t>17</w:t>
      </w:r>
      <w:r>
        <w:rPr>
          <w:rFonts w:hint="eastAsia" w:ascii="宋体" w:hAnsi="宋体" w:cs="宋体"/>
          <w:sz w:val="24"/>
          <w:szCs w:val="24"/>
        </w:rPr>
        <w:t>－吉</w:t>
      </w:r>
      <w:r>
        <w:rPr>
          <w:rFonts w:ascii="宋体" w:hAnsi="宋体" w:cs="宋体"/>
          <w:sz w:val="24"/>
          <w:szCs w:val="24"/>
        </w:rPr>
        <w:t>37</w:t>
      </w:r>
      <w:r>
        <w:rPr>
          <w:rFonts w:hint="eastAsia" w:ascii="宋体" w:hAnsi="宋体" w:cs="宋体"/>
          <w:sz w:val="24"/>
          <w:szCs w:val="24"/>
        </w:rPr>
        <w:t>井区开发地面工程（第一批）竣工环境保护验收调查报告》（</w:t>
      </w:r>
      <w:r>
        <w:rPr>
          <w:rFonts w:ascii="宋体" w:hAnsi="宋体" w:cs="宋体"/>
          <w:sz w:val="24"/>
          <w:szCs w:val="24"/>
        </w:rPr>
        <w:t>2021</w:t>
      </w:r>
      <w:r>
        <w:rPr>
          <w:rFonts w:hint="eastAsia" w:ascii="宋体" w:hAnsi="宋体" w:cs="宋体"/>
          <w:sz w:val="24"/>
          <w:szCs w:val="24"/>
        </w:rPr>
        <w:t>年</w:t>
      </w:r>
      <w:r>
        <w:rPr>
          <w:rFonts w:ascii="宋体" w:hAnsi="宋体" w:cs="宋体"/>
          <w:sz w:val="24"/>
          <w:szCs w:val="24"/>
        </w:rPr>
        <w:t>10</w:t>
      </w:r>
      <w:r>
        <w:rPr>
          <w:rFonts w:hint="eastAsia" w:ascii="宋体" w:hAnsi="宋体" w:cs="宋体"/>
          <w:sz w:val="24"/>
          <w:szCs w:val="24"/>
        </w:rPr>
        <w:t>月）和吉庆油田作业区对页岩油联合站厂界无组织非甲烷总烃和硫化氢的例行监测数据（2023年8月、2024年5月）可知，采油井场和页岩油联合站厂界非甲烷总烃满足《陆上石油天然气开采工业大气污染物排放标准》（GB39728—2020）企业边界污染物控制要求，硫化氢满足《恶臭污染物排放标准》（GB14554-93）表1二级新改扩建浓度限值要求。</w:t>
      </w:r>
    </w:p>
    <w:p w14:paraId="37963718">
      <w:pPr>
        <w:pStyle w:val="191"/>
        <w:ind w:firstLine="0" w:firstLineChars="0"/>
        <w:jc w:val="center"/>
        <w:rPr>
          <w:rFonts w:hint="eastAsia" w:ascii="黑体" w:hAnsi="黑体" w:eastAsia="黑体" w:cs="宋体"/>
          <w:spacing w:val="-4"/>
          <w:sz w:val="21"/>
          <w:szCs w:val="21"/>
        </w:rPr>
      </w:pPr>
      <w:r>
        <w:rPr>
          <w:rFonts w:hint="eastAsia" w:ascii="黑体" w:hAnsi="黑体" w:eastAsia="黑体" w:cs="宋体"/>
          <w:spacing w:val="-4"/>
          <w:sz w:val="21"/>
          <w:szCs w:val="21"/>
        </w:rPr>
        <w:t>表3.1-4  厂界无组织非甲烷总烃监测结果一览表（单位：mg/m</w:t>
      </w:r>
      <w:r>
        <w:rPr>
          <w:rFonts w:hint="eastAsia" w:ascii="黑体" w:hAnsi="黑体" w:eastAsia="黑体" w:cs="宋体"/>
          <w:spacing w:val="-4"/>
          <w:sz w:val="21"/>
          <w:szCs w:val="21"/>
          <w:vertAlign w:val="superscript"/>
        </w:rPr>
        <w:t>3</w:t>
      </w:r>
      <w:r>
        <w:rPr>
          <w:rFonts w:hint="eastAsia" w:ascii="黑体" w:hAnsi="黑体" w:eastAsia="黑体" w:cs="宋体"/>
          <w:spacing w:val="-4"/>
          <w:sz w:val="21"/>
          <w:szCs w:val="21"/>
        </w:rPr>
        <w:t>）</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266"/>
        <w:gridCol w:w="1009"/>
        <w:gridCol w:w="1360"/>
        <w:gridCol w:w="1503"/>
        <w:gridCol w:w="1121"/>
        <w:gridCol w:w="1039"/>
        <w:gridCol w:w="697"/>
      </w:tblGrid>
      <w:tr w14:paraId="369F40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5" w:type="pct"/>
            <w:tcBorders>
              <w:top w:val="single" w:color="auto" w:sz="12" w:space="0"/>
              <w:left w:val="nil"/>
              <w:bottom w:val="single" w:color="auto" w:sz="4" w:space="0"/>
              <w:right w:val="single" w:color="auto" w:sz="4" w:space="0"/>
            </w:tcBorders>
            <w:vAlign w:val="center"/>
          </w:tcPr>
          <w:p w14:paraId="18CC58A8">
            <w:pPr>
              <w:adjustRightInd w:val="0"/>
              <w:snapToGrid w:val="0"/>
              <w:jc w:val="center"/>
              <w:rPr>
                <w:rFonts w:hint="eastAsia" w:ascii="宋体" w:hAnsi="宋体"/>
                <w:kern w:val="0"/>
                <w:szCs w:val="21"/>
              </w:rPr>
            </w:pPr>
            <w:r>
              <w:rPr>
                <w:rFonts w:hint="eastAsia" w:ascii="宋体" w:hAnsi="宋体"/>
                <w:kern w:val="0"/>
                <w:szCs w:val="21"/>
              </w:rPr>
              <w:t>站场</w:t>
            </w:r>
          </w:p>
          <w:p w14:paraId="7271DCB3">
            <w:pPr>
              <w:adjustRightInd w:val="0"/>
              <w:snapToGrid w:val="0"/>
              <w:jc w:val="center"/>
              <w:rPr>
                <w:rFonts w:hint="eastAsia" w:ascii="宋体" w:hAnsi="宋体"/>
                <w:kern w:val="0"/>
                <w:szCs w:val="21"/>
              </w:rPr>
            </w:pPr>
            <w:r>
              <w:rPr>
                <w:rFonts w:hint="eastAsia" w:ascii="宋体" w:hAnsi="宋体"/>
                <w:kern w:val="0"/>
                <w:szCs w:val="21"/>
              </w:rPr>
              <w:t>名称</w:t>
            </w:r>
          </w:p>
        </w:tc>
        <w:tc>
          <w:tcPr>
            <w:tcW w:w="592" w:type="pct"/>
            <w:tcBorders>
              <w:top w:val="single" w:color="auto" w:sz="12" w:space="0"/>
              <w:left w:val="single" w:color="auto" w:sz="4" w:space="0"/>
              <w:bottom w:val="single" w:color="auto" w:sz="4" w:space="0"/>
              <w:right w:val="single" w:color="auto" w:sz="4" w:space="0"/>
            </w:tcBorders>
            <w:vAlign w:val="center"/>
          </w:tcPr>
          <w:p w14:paraId="152CBDA9">
            <w:pPr>
              <w:adjustRightInd w:val="0"/>
              <w:snapToGrid w:val="0"/>
              <w:jc w:val="center"/>
              <w:rPr>
                <w:rFonts w:hint="eastAsia" w:ascii="宋体" w:hAnsi="宋体"/>
                <w:kern w:val="0"/>
                <w:szCs w:val="21"/>
              </w:rPr>
            </w:pPr>
            <w:r>
              <w:rPr>
                <w:rFonts w:hint="eastAsia" w:ascii="宋体" w:hAnsi="宋体"/>
                <w:kern w:val="0"/>
                <w:szCs w:val="21"/>
              </w:rPr>
              <w:t>监测时间</w:t>
            </w:r>
          </w:p>
        </w:tc>
        <w:tc>
          <w:tcPr>
            <w:tcW w:w="584" w:type="pct"/>
            <w:tcBorders>
              <w:top w:val="single" w:color="auto" w:sz="12" w:space="0"/>
              <w:left w:val="single" w:color="auto" w:sz="4" w:space="0"/>
              <w:bottom w:val="single" w:color="auto" w:sz="4" w:space="0"/>
              <w:right w:val="single" w:color="auto" w:sz="4" w:space="0"/>
            </w:tcBorders>
            <w:vAlign w:val="center"/>
          </w:tcPr>
          <w:p w14:paraId="7074AEF8">
            <w:pPr>
              <w:adjustRightInd w:val="0"/>
              <w:snapToGrid w:val="0"/>
              <w:jc w:val="center"/>
              <w:rPr>
                <w:rFonts w:hint="eastAsia" w:ascii="宋体" w:hAnsi="宋体"/>
                <w:kern w:val="0"/>
                <w:szCs w:val="21"/>
              </w:rPr>
            </w:pPr>
            <w:r>
              <w:rPr>
                <w:rFonts w:hint="eastAsia" w:ascii="宋体" w:hAnsi="宋体"/>
                <w:kern w:val="0"/>
                <w:szCs w:val="21"/>
              </w:rPr>
              <w:t>监测</w:t>
            </w:r>
          </w:p>
          <w:p w14:paraId="4769513C">
            <w:pPr>
              <w:adjustRightInd w:val="0"/>
              <w:snapToGrid w:val="0"/>
              <w:jc w:val="center"/>
              <w:rPr>
                <w:rFonts w:hint="eastAsia" w:ascii="宋体" w:hAnsi="宋体"/>
                <w:kern w:val="0"/>
                <w:szCs w:val="21"/>
              </w:rPr>
            </w:pPr>
            <w:r>
              <w:rPr>
                <w:rFonts w:hint="eastAsia" w:ascii="宋体" w:hAnsi="宋体"/>
                <w:kern w:val="0"/>
                <w:szCs w:val="21"/>
              </w:rPr>
              <w:t>点位</w:t>
            </w:r>
          </w:p>
        </w:tc>
        <w:tc>
          <w:tcPr>
            <w:tcW w:w="777" w:type="pct"/>
            <w:tcBorders>
              <w:top w:val="single" w:color="auto" w:sz="12" w:space="0"/>
              <w:left w:val="single" w:color="auto" w:sz="4" w:space="0"/>
              <w:bottom w:val="single" w:color="auto" w:sz="4" w:space="0"/>
              <w:right w:val="single" w:color="auto" w:sz="4" w:space="0"/>
            </w:tcBorders>
            <w:vAlign w:val="center"/>
          </w:tcPr>
          <w:p w14:paraId="2E5E4F6D">
            <w:pPr>
              <w:adjustRightInd w:val="0"/>
              <w:snapToGrid w:val="0"/>
              <w:jc w:val="center"/>
              <w:rPr>
                <w:rFonts w:hint="eastAsia" w:ascii="宋体" w:hAnsi="宋体"/>
                <w:kern w:val="0"/>
                <w:szCs w:val="21"/>
              </w:rPr>
            </w:pPr>
            <w:r>
              <w:rPr>
                <w:rFonts w:hint="eastAsia" w:ascii="宋体" w:hAnsi="宋体"/>
                <w:kern w:val="0"/>
                <w:szCs w:val="21"/>
              </w:rPr>
              <w:t>污染物名称</w:t>
            </w:r>
          </w:p>
        </w:tc>
        <w:tc>
          <w:tcPr>
            <w:tcW w:w="856" w:type="pct"/>
            <w:tcBorders>
              <w:top w:val="single" w:color="auto" w:sz="12" w:space="0"/>
              <w:left w:val="single" w:color="auto" w:sz="4" w:space="0"/>
              <w:bottom w:val="single" w:color="auto" w:sz="4" w:space="0"/>
              <w:right w:val="single" w:color="auto" w:sz="4" w:space="0"/>
            </w:tcBorders>
            <w:vAlign w:val="center"/>
          </w:tcPr>
          <w:p w14:paraId="7319E043">
            <w:pPr>
              <w:adjustRightInd w:val="0"/>
              <w:snapToGrid w:val="0"/>
              <w:jc w:val="center"/>
              <w:rPr>
                <w:rFonts w:hint="eastAsia" w:ascii="宋体" w:hAnsi="宋体"/>
                <w:kern w:val="0"/>
                <w:szCs w:val="21"/>
              </w:rPr>
            </w:pPr>
            <w:r>
              <w:rPr>
                <w:rFonts w:hint="eastAsia" w:ascii="宋体" w:hAnsi="宋体"/>
                <w:kern w:val="0"/>
                <w:szCs w:val="21"/>
              </w:rPr>
              <w:t>监测值范围</w:t>
            </w:r>
          </w:p>
        </w:tc>
        <w:tc>
          <w:tcPr>
            <w:tcW w:w="643" w:type="pct"/>
            <w:tcBorders>
              <w:top w:val="single" w:color="auto" w:sz="12" w:space="0"/>
              <w:left w:val="single" w:color="auto" w:sz="4" w:space="0"/>
              <w:bottom w:val="single" w:color="auto" w:sz="4" w:space="0"/>
              <w:right w:val="single" w:color="auto" w:sz="4" w:space="0"/>
            </w:tcBorders>
            <w:vAlign w:val="center"/>
          </w:tcPr>
          <w:p w14:paraId="42BD581C">
            <w:pPr>
              <w:adjustRightInd w:val="0"/>
              <w:snapToGrid w:val="0"/>
              <w:jc w:val="center"/>
              <w:rPr>
                <w:rFonts w:hint="eastAsia" w:ascii="宋体" w:hAnsi="宋体"/>
                <w:kern w:val="0"/>
                <w:szCs w:val="21"/>
              </w:rPr>
            </w:pPr>
            <w:r>
              <w:rPr>
                <w:rFonts w:hint="eastAsia" w:ascii="宋体" w:hAnsi="宋体"/>
                <w:kern w:val="0"/>
                <w:szCs w:val="21"/>
              </w:rPr>
              <w:t>周界外最大浓度</w:t>
            </w:r>
          </w:p>
        </w:tc>
        <w:tc>
          <w:tcPr>
            <w:tcW w:w="597" w:type="pct"/>
            <w:tcBorders>
              <w:top w:val="single" w:color="auto" w:sz="12" w:space="0"/>
              <w:left w:val="single" w:color="auto" w:sz="4" w:space="0"/>
              <w:bottom w:val="single" w:color="auto" w:sz="4" w:space="0"/>
              <w:right w:val="single" w:color="auto" w:sz="4" w:space="0"/>
            </w:tcBorders>
            <w:vAlign w:val="center"/>
          </w:tcPr>
          <w:p w14:paraId="74EA080E">
            <w:pPr>
              <w:adjustRightInd w:val="0"/>
              <w:snapToGrid w:val="0"/>
              <w:jc w:val="center"/>
              <w:rPr>
                <w:rFonts w:hint="eastAsia" w:ascii="宋体" w:hAnsi="宋体"/>
                <w:kern w:val="0"/>
                <w:szCs w:val="21"/>
              </w:rPr>
            </w:pPr>
            <w:r>
              <w:rPr>
                <w:rFonts w:hint="eastAsia" w:ascii="宋体" w:hAnsi="宋体"/>
                <w:kern w:val="0"/>
                <w:szCs w:val="21"/>
              </w:rPr>
              <w:t>标准限值</w:t>
            </w:r>
          </w:p>
        </w:tc>
        <w:tc>
          <w:tcPr>
            <w:tcW w:w="407" w:type="pct"/>
            <w:tcBorders>
              <w:top w:val="single" w:color="auto" w:sz="12" w:space="0"/>
              <w:left w:val="single" w:color="auto" w:sz="4" w:space="0"/>
              <w:bottom w:val="single" w:color="auto" w:sz="4" w:space="0"/>
              <w:right w:val="nil"/>
            </w:tcBorders>
            <w:vAlign w:val="center"/>
          </w:tcPr>
          <w:p w14:paraId="5143F1C7">
            <w:pPr>
              <w:adjustRightInd w:val="0"/>
              <w:snapToGrid w:val="0"/>
              <w:jc w:val="center"/>
              <w:rPr>
                <w:rFonts w:hint="eastAsia" w:ascii="宋体" w:hAnsi="宋体"/>
                <w:kern w:val="0"/>
                <w:szCs w:val="21"/>
              </w:rPr>
            </w:pPr>
            <w:r>
              <w:rPr>
                <w:rFonts w:hint="eastAsia" w:ascii="宋体" w:hAnsi="宋体"/>
                <w:kern w:val="0"/>
                <w:szCs w:val="21"/>
              </w:rPr>
              <w:t>达标情况</w:t>
            </w:r>
          </w:p>
        </w:tc>
      </w:tr>
      <w:tr w14:paraId="247281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5" w:type="pct"/>
            <w:vMerge w:val="restart"/>
            <w:tcBorders>
              <w:top w:val="single" w:color="auto" w:sz="4" w:space="0"/>
              <w:left w:val="nil"/>
              <w:bottom w:val="single" w:color="auto" w:sz="4" w:space="0"/>
              <w:right w:val="single" w:color="auto" w:sz="4" w:space="0"/>
            </w:tcBorders>
            <w:vAlign w:val="center"/>
          </w:tcPr>
          <w:p w14:paraId="1673929C">
            <w:pPr>
              <w:adjustRightInd w:val="0"/>
              <w:snapToGrid w:val="0"/>
              <w:jc w:val="center"/>
              <w:rPr>
                <w:rFonts w:hint="eastAsia" w:ascii="宋体" w:hAnsi="宋体"/>
                <w:kern w:val="0"/>
                <w:szCs w:val="21"/>
              </w:rPr>
            </w:pPr>
            <w:r>
              <w:rPr>
                <w:rFonts w:hint="eastAsia" w:ascii="宋体" w:hAnsi="宋体"/>
                <w:kern w:val="0"/>
                <w:szCs w:val="21"/>
              </w:rPr>
              <w:t>页岩油联合站</w:t>
            </w:r>
          </w:p>
        </w:tc>
        <w:tc>
          <w:tcPr>
            <w:tcW w:w="592" w:type="pct"/>
            <w:vMerge w:val="restart"/>
            <w:tcBorders>
              <w:top w:val="single" w:color="auto" w:sz="4" w:space="0"/>
              <w:left w:val="single" w:color="auto" w:sz="4" w:space="0"/>
              <w:bottom w:val="single" w:color="auto" w:sz="4" w:space="0"/>
              <w:right w:val="single" w:color="auto" w:sz="4" w:space="0"/>
            </w:tcBorders>
            <w:vAlign w:val="center"/>
          </w:tcPr>
          <w:p w14:paraId="6ACC3812">
            <w:pPr>
              <w:adjustRightInd w:val="0"/>
              <w:snapToGrid w:val="0"/>
              <w:jc w:val="center"/>
              <w:rPr>
                <w:rFonts w:hint="eastAsia" w:ascii="宋体" w:hAnsi="宋体"/>
                <w:kern w:val="0"/>
                <w:szCs w:val="21"/>
              </w:rPr>
            </w:pPr>
            <w:r>
              <w:rPr>
                <w:rFonts w:hint="eastAsia" w:ascii="宋体" w:hAnsi="宋体"/>
                <w:kern w:val="0"/>
                <w:szCs w:val="21"/>
              </w:rPr>
              <w:t>2024.1.30</w:t>
            </w:r>
          </w:p>
        </w:tc>
        <w:tc>
          <w:tcPr>
            <w:tcW w:w="584" w:type="pct"/>
            <w:tcBorders>
              <w:top w:val="single" w:color="auto" w:sz="4" w:space="0"/>
              <w:left w:val="single" w:color="auto" w:sz="4" w:space="0"/>
              <w:bottom w:val="single" w:color="auto" w:sz="4" w:space="0"/>
              <w:right w:val="single" w:color="auto" w:sz="4" w:space="0"/>
            </w:tcBorders>
            <w:vAlign w:val="center"/>
          </w:tcPr>
          <w:p w14:paraId="378FFCBB">
            <w:pPr>
              <w:adjustRightInd w:val="0"/>
              <w:snapToGrid w:val="0"/>
              <w:jc w:val="center"/>
              <w:rPr>
                <w:rFonts w:hint="eastAsia" w:ascii="宋体" w:hAnsi="宋体"/>
                <w:kern w:val="0"/>
                <w:szCs w:val="21"/>
              </w:rPr>
            </w:pPr>
            <w:r>
              <w:rPr>
                <w:rFonts w:hint="eastAsia" w:ascii="宋体" w:hAnsi="宋体"/>
                <w:kern w:val="0"/>
                <w:szCs w:val="21"/>
              </w:rPr>
              <w:t>上风向</w:t>
            </w:r>
          </w:p>
        </w:tc>
        <w:tc>
          <w:tcPr>
            <w:tcW w:w="777" w:type="pct"/>
            <w:tcBorders>
              <w:top w:val="single" w:color="auto" w:sz="4" w:space="0"/>
              <w:left w:val="single" w:color="auto" w:sz="4" w:space="0"/>
              <w:bottom w:val="single" w:color="auto" w:sz="4" w:space="0"/>
              <w:right w:val="single" w:color="auto" w:sz="4" w:space="0"/>
            </w:tcBorders>
            <w:vAlign w:val="center"/>
          </w:tcPr>
          <w:p w14:paraId="29DF64E2">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7A2DE87F">
            <w:pPr>
              <w:adjustRightInd w:val="0"/>
              <w:snapToGrid w:val="0"/>
              <w:jc w:val="center"/>
              <w:rPr>
                <w:rFonts w:hint="eastAsia" w:ascii="宋体" w:hAnsi="宋体"/>
                <w:kern w:val="0"/>
                <w:szCs w:val="21"/>
              </w:rPr>
            </w:pPr>
            <w:r>
              <w:rPr>
                <w:rFonts w:hint="eastAsia" w:ascii="宋体" w:hAnsi="宋体"/>
                <w:kern w:val="0"/>
                <w:szCs w:val="21"/>
              </w:rPr>
              <w:t>0.65～0.77</w:t>
            </w:r>
          </w:p>
        </w:tc>
        <w:tc>
          <w:tcPr>
            <w:tcW w:w="643" w:type="pct"/>
            <w:tcBorders>
              <w:top w:val="single" w:color="auto" w:sz="4" w:space="0"/>
              <w:left w:val="single" w:color="auto" w:sz="4" w:space="0"/>
              <w:bottom w:val="single" w:color="auto" w:sz="4" w:space="0"/>
              <w:right w:val="single" w:color="auto" w:sz="4" w:space="0"/>
            </w:tcBorders>
            <w:vAlign w:val="center"/>
          </w:tcPr>
          <w:p w14:paraId="4E3D4B65">
            <w:pPr>
              <w:adjustRightInd w:val="0"/>
              <w:snapToGrid w:val="0"/>
              <w:jc w:val="center"/>
              <w:rPr>
                <w:rFonts w:hint="eastAsia" w:ascii="宋体" w:hAnsi="宋体"/>
                <w:kern w:val="0"/>
                <w:szCs w:val="21"/>
              </w:rPr>
            </w:pPr>
            <w:r>
              <w:rPr>
                <w:rFonts w:hint="eastAsia" w:ascii="宋体" w:hAnsi="宋体"/>
                <w:kern w:val="0"/>
                <w:szCs w:val="21"/>
              </w:rPr>
              <w:t>0.77</w:t>
            </w:r>
          </w:p>
        </w:tc>
        <w:tc>
          <w:tcPr>
            <w:tcW w:w="597" w:type="pct"/>
            <w:tcBorders>
              <w:top w:val="single" w:color="auto" w:sz="4" w:space="0"/>
              <w:left w:val="single" w:color="auto" w:sz="4" w:space="0"/>
              <w:bottom w:val="single" w:color="auto" w:sz="4" w:space="0"/>
              <w:right w:val="single" w:color="auto" w:sz="4" w:space="0"/>
            </w:tcBorders>
            <w:vAlign w:val="center"/>
          </w:tcPr>
          <w:p w14:paraId="208233E4">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3E0D6F45">
            <w:pPr>
              <w:adjustRightInd w:val="0"/>
              <w:snapToGrid w:val="0"/>
              <w:jc w:val="center"/>
              <w:rPr>
                <w:rFonts w:hint="eastAsia" w:ascii="宋体" w:hAnsi="宋体"/>
                <w:kern w:val="0"/>
                <w:szCs w:val="21"/>
              </w:rPr>
            </w:pPr>
            <w:r>
              <w:rPr>
                <w:rFonts w:hint="eastAsia" w:ascii="宋体" w:hAnsi="宋体"/>
                <w:kern w:val="0"/>
                <w:szCs w:val="21"/>
              </w:rPr>
              <w:t>达标</w:t>
            </w:r>
          </w:p>
        </w:tc>
      </w:tr>
      <w:tr w14:paraId="53E0C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57EAB093">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6184D117">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3F564974">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vAlign w:val="center"/>
          </w:tcPr>
          <w:p w14:paraId="6C4CC8C5">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58BF2168">
            <w:pPr>
              <w:adjustRightInd w:val="0"/>
              <w:snapToGrid w:val="0"/>
              <w:jc w:val="center"/>
              <w:rPr>
                <w:rFonts w:hint="eastAsia" w:ascii="宋体" w:hAnsi="宋体"/>
                <w:kern w:val="0"/>
                <w:szCs w:val="21"/>
              </w:rPr>
            </w:pPr>
            <w:r>
              <w:rPr>
                <w:rFonts w:hint="eastAsia" w:ascii="宋体" w:hAnsi="宋体"/>
                <w:kern w:val="0"/>
                <w:szCs w:val="21"/>
              </w:rPr>
              <w:t>0.88～0.96</w:t>
            </w:r>
          </w:p>
        </w:tc>
        <w:tc>
          <w:tcPr>
            <w:tcW w:w="643" w:type="pct"/>
            <w:tcBorders>
              <w:top w:val="single" w:color="auto" w:sz="4" w:space="0"/>
              <w:left w:val="single" w:color="auto" w:sz="4" w:space="0"/>
              <w:bottom w:val="single" w:color="auto" w:sz="4" w:space="0"/>
              <w:right w:val="single" w:color="auto" w:sz="4" w:space="0"/>
            </w:tcBorders>
            <w:vAlign w:val="center"/>
          </w:tcPr>
          <w:p w14:paraId="377165BA">
            <w:pPr>
              <w:adjustRightInd w:val="0"/>
              <w:snapToGrid w:val="0"/>
              <w:jc w:val="center"/>
              <w:rPr>
                <w:rFonts w:hint="eastAsia" w:ascii="宋体" w:hAnsi="宋体"/>
                <w:kern w:val="0"/>
                <w:szCs w:val="21"/>
              </w:rPr>
            </w:pPr>
            <w:r>
              <w:rPr>
                <w:rFonts w:hint="eastAsia" w:ascii="宋体" w:hAnsi="宋体"/>
                <w:kern w:val="0"/>
                <w:szCs w:val="21"/>
              </w:rPr>
              <w:t>0.96</w:t>
            </w:r>
          </w:p>
        </w:tc>
        <w:tc>
          <w:tcPr>
            <w:tcW w:w="597" w:type="pct"/>
            <w:tcBorders>
              <w:top w:val="single" w:color="auto" w:sz="4" w:space="0"/>
              <w:left w:val="single" w:color="auto" w:sz="4" w:space="0"/>
              <w:bottom w:val="single" w:color="auto" w:sz="4" w:space="0"/>
              <w:right w:val="single" w:color="auto" w:sz="4" w:space="0"/>
            </w:tcBorders>
            <w:vAlign w:val="center"/>
          </w:tcPr>
          <w:p w14:paraId="14586D56">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1F672AC6">
            <w:pPr>
              <w:adjustRightInd w:val="0"/>
              <w:snapToGrid w:val="0"/>
              <w:jc w:val="center"/>
              <w:rPr>
                <w:rFonts w:hint="eastAsia" w:ascii="宋体" w:hAnsi="宋体"/>
                <w:kern w:val="0"/>
                <w:szCs w:val="21"/>
              </w:rPr>
            </w:pPr>
            <w:r>
              <w:rPr>
                <w:rFonts w:hint="eastAsia" w:ascii="宋体" w:hAnsi="宋体"/>
                <w:kern w:val="0"/>
                <w:szCs w:val="21"/>
              </w:rPr>
              <w:t>达标</w:t>
            </w:r>
          </w:p>
        </w:tc>
      </w:tr>
      <w:tr w14:paraId="686E13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70348F8E">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2B743CD0">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254DC5B7">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vAlign w:val="center"/>
          </w:tcPr>
          <w:p w14:paraId="33A6C244">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1F777ACE">
            <w:pPr>
              <w:adjustRightInd w:val="0"/>
              <w:snapToGrid w:val="0"/>
              <w:jc w:val="center"/>
              <w:rPr>
                <w:rFonts w:hint="eastAsia" w:ascii="宋体" w:hAnsi="宋体"/>
                <w:kern w:val="0"/>
                <w:szCs w:val="21"/>
              </w:rPr>
            </w:pPr>
            <w:r>
              <w:rPr>
                <w:rFonts w:hint="eastAsia" w:ascii="宋体" w:hAnsi="宋体"/>
                <w:kern w:val="0"/>
                <w:szCs w:val="21"/>
              </w:rPr>
              <w:t>0.96～1.03</w:t>
            </w:r>
          </w:p>
        </w:tc>
        <w:tc>
          <w:tcPr>
            <w:tcW w:w="643" w:type="pct"/>
            <w:tcBorders>
              <w:top w:val="single" w:color="auto" w:sz="4" w:space="0"/>
              <w:left w:val="single" w:color="auto" w:sz="4" w:space="0"/>
              <w:bottom w:val="single" w:color="auto" w:sz="4" w:space="0"/>
              <w:right w:val="single" w:color="auto" w:sz="4" w:space="0"/>
            </w:tcBorders>
            <w:vAlign w:val="center"/>
          </w:tcPr>
          <w:p w14:paraId="45AEEAFB">
            <w:pPr>
              <w:adjustRightInd w:val="0"/>
              <w:snapToGrid w:val="0"/>
              <w:jc w:val="center"/>
              <w:rPr>
                <w:rFonts w:hint="eastAsia" w:ascii="宋体" w:hAnsi="宋体"/>
                <w:kern w:val="0"/>
                <w:szCs w:val="21"/>
              </w:rPr>
            </w:pPr>
            <w:r>
              <w:rPr>
                <w:rFonts w:hint="eastAsia" w:ascii="宋体" w:hAnsi="宋体"/>
                <w:kern w:val="0"/>
                <w:szCs w:val="21"/>
              </w:rPr>
              <w:t>1.03</w:t>
            </w:r>
          </w:p>
        </w:tc>
        <w:tc>
          <w:tcPr>
            <w:tcW w:w="597" w:type="pct"/>
            <w:tcBorders>
              <w:top w:val="single" w:color="auto" w:sz="4" w:space="0"/>
              <w:left w:val="single" w:color="auto" w:sz="4" w:space="0"/>
              <w:bottom w:val="single" w:color="auto" w:sz="4" w:space="0"/>
              <w:right w:val="single" w:color="auto" w:sz="4" w:space="0"/>
            </w:tcBorders>
            <w:vAlign w:val="center"/>
          </w:tcPr>
          <w:p w14:paraId="62797739">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68DFAFF4">
            <w:pPr>
              <w:adjustRightInd w:val="0"/>
              <w:snapToGrid w:val="0"/>
              <w:jc w:val="center"/>
              <w:rPr>
                <w:rFonts w:hint="eastAsia" w:ascii="宋体" w:hAnsi="宋体"/>
                <w:kern w:val="0"/>
                <w:szCs w:val="21"/>
              </w:rPr>
            </w:pPr>
            <w:r>
              <w:rPr>
                <w:rFonts w:hint="eastAsia" w:ascii="宋体" w:hAnsi="宋体"/>
                <w:kern w:val="0"/>
                <w:szCs w:val="21"/>
              </w:rPr>
              <w:t>达标</w:t>
            </w:r>
          </w:p>
        </w:tc>
      </w:tr>
      <w:tr w14:paraId="0DA749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61E3C3D9">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79DD55BD">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3B2F21CE">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vAlign w:val="center"/>
          </w:tcPr>
          <w:p w14:paraId="1A30B647">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59CD7E7C">
            <w:pPr>
              <w:adjustRightInd w:val="0"/>
              <w:snapToGrid w:val="0"/>
              <w:jc w:val="center"/>
              <w:rPr>
                <w:rFonts w:hint="eastAsia" w:ascii="宋体" w:hAnsi="宋体"/>
                <w:kern w:val="0"/>
                <w:szCs w:val="21"/>
              </w:rPr>
            </w:pPr>
            <w:r>
              <w:rPr>
                <w:rFonts w:hint="eastAsia" w:ascii="宋体" w:hAnsi="宋体"/>
                <w:kern w:val="0"/>
                <w:szCs w:val="21"/>
              </w:rPr>
              <w:t>0.92～1.03</w:t>
            </w:r>
          </w:p>
        </w:tc>
        <w:tc>
          <w:tcPr>
            <w:tcW w:w="643" w:type="pct"/>
            <w:tcBorders>
              <w:top w:val="single" w:color="auto" w:sz="4" w:space="0"/>
              <w:left w:val="single" w:color="auto" w:sz="4" w:space="0"/>
              <w:bottom w:val="single" w:color="auto" w:sz="4" w:space="0"/>
              <w:right w:val="single" w:color="auto" w:sz="4" w:space="0"/>
            </w:tcBorders>
            <w:vAlign w:val="center"/>
          </w:tcPr>
          <w:p w14:paraId="3B7A39D5">
            <w:pPr>
              <w:adjustRightInd w:val="0"/>
              <w:snapToGrid w:val="0"/>
              <w:jc w:val="center"/>
              <w:rPr>
                <w:rFonts w:hint="eastAsia" w:ascii="宋体" w:hAnsi="宋体"/>
                <w:kern w:val="0"/>
                <w:szCs w:val="21"/>
              </w:rPr>
            </w:pPr>
            <w:r>
              <w:rPr>
                <w:rFonts w:hint="eastAsia" w:ascii="宋体" w:hAnsi="宋体"/>
                <w:kern w:val="0"/>
                <w:szCs w:val="21"/>
              </w:rPr>
              <w:t>1.03</w:t>
            </w:r>
          </w:p>
        </w:tc>
        <w:tc>
          <w:tcPr>
            <w:tcW w:w="597" w:type="pct"/>
            <w:tcBorders>
              <w:top w:val="single" w:color="auto" w:sz="4" w:space="0"/>
              <w:left w:val="single" w:color="auto" w:sz="4" w:space="0"/>
              <w:bottom w:val="single" w:color="auto" w:sz="4" w:space="0"/>
              <w:right w:val="single" w:color="auto" w:sz="4" w:space="0"/>
            </w:tcBorders>
            <w:vAlign w:val="center"/>
          </w:tcPr>
          <w:p w14:paraId="5B09719A">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1457F6E4">
            <w:pPr>
              <w:adjustRightInd w:val="0"/>
              <w:snapToGrid w:val="0"/>
              <w:jc w:val="center"/>
              <w:rPr>
                <w:rFonts w:hint="eastAsia" w:ascii="宋体" w:hAnsi="宋体"/>
                <w:kern w:val="0"/>
                <w:szCs w:val="21"/>
              </w:rPr>
            </w:pPr>
            <w:r>
              <w:rPr>
                <w:rFonts w:hint="eastAsia" w:ascii="宋体" w:hAnsi="宋体"/>
                <w:kern w:val="0"/>
                <w:szCs w:val="21"/>
              </w:rPr>
              <w:t>达标</w:t>
            </w:r>
          </w:p>
        </w:tc>
      </w:tr>
      <w:tr w14:paraId="201620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65B85760">
            <w:pPr>
              <w:widowControl/>
              <w:jc w:val="left"/>
              <w:rPr>
                <w:rFonts w:hint="eastAsia" w:ascii="宋体" w:hAnsi="宋体"/>
                <w:kern w:val="0"/>
                <w:szCs w:val="21"/>
              </w:rPr>
            </w:pPr>
          </w:p>
        </w:tc>
        <w:tc>
          <w:tcPr>
            <w:tcW w:w="592" w:type="pct"/>
            <w:vMerge w:val="restart"/>
            <w:tcBorders>
              <w:top w:val="single" w:color="auto" w:sz="4" w:space="0"/>
              <w:left w:val="single" w:color="auto" w:sz="4" w:space="0"/>
              <w:bottom w:val="single" w:color="auto" w:sz="4" w:space="0"/>
              <w:right w:val="single" w:color="auto" w:sz="4" w:space="0"/>
            </w:tcBorders>
            <w:vAlign w:val="center"/>
          </w:tcPr>
          <w:p w14:paraId="6BFCDEFB">
            <w:pPr>
              <w:adjustRightInd w:val="0"/>
              <w:snapToGrid w:val="0"/>
              <w:jc w:val="center"/>
              <w:rPr>
                <w:rFonts w:hint="eastAsia" w:ascii="宋体" w:hAnsi="宋体"/>
                <w:kern w:val="0"/>
                <w:szCs w:val="21"/>
              </w:rPr>
            </w:pPr>
            <w:r>
              <w:rPr>
                <w:rFonts w:hint="eastAsia" w:ascii="宋体" w:hAnsi="宋体"/>
                <w:kern w:val="0"/>
                <w:szCs w:val="21"/>
              </w:rPr>
              <w:t>2024.5.13</w:t>
            </w:r>
          </w:p>
        </w:tc>
        <w:tc>
          <w:tcPr>
            <w:tcW w:w="584" w:type="pct"/>
            <w:tcBorders>
              <w:top w:val="single" w:color="auto" w:sz="4" w:space="0"/>
              <w:left w:val="single" w:color="auto" w:sz="4" w:space="0"/>
              <w:bottom w:val="single" w:color="auto" w:sz="4" w:space="0"/>
              <w:right w:val="single" w:color="auto" w:sz="4" w:space="0"/>
            </w:tcBorders>
            <w:vAlign w:val="center"/>
          </w:tcPr>
          <w:p w14:paraId="5F032C9B">
            <w:pPr>
              <w:adjustRightInd w:val="0"/>
              <w:snapToGrid w:val="0"/>
              <w:jc w:val="center"/>
              <w:rPr>
                <w:rFonts w:hint="eastAsia" w:ascii="宋体" w:hAnsi="宋体"/>
                <w:kern w:val="0"/>
                <w:szCs w:val="21"/>
              </w:rPr>
            </w:pPr>
            <w:r>
              <w:rPr>
                <w:rFonts w:hint="eastAsia" w:ascii="宋体" w:hAnsi="宋体"/>
                <w:kern w:val="0"/>
                <w:szCs w:val="21"/>
              </w:rPr>
              <w:t>上风向</w:t>
            </w:r>
          </w:p>
        </w:tc>
        <w:tc>
          <w:tcPr>
            <w:tcW w:w="777" w:type="pct"/>
            <w:tcBorders>
              <w:top w:val="single" w:color="auto" w:sz="4" w:space="0"/>
              <w:left w:val="single" w:color="auto" w:sz="4" w:space="0"/>
              <w:bottom w:val="single" w:color="auto" w:sz="4" w:space="0"/>
              <w:right w:val="single" w:color="auto" w:sz="4" w:space="0"/>
            </w:tcBorders>
            <w:vAlign w:val="center"/>
          </w:tcPr>
          <w:p w14:paraId="17D32608">
            <w:pPr>
              <w:adjustRightInd w:val="0"/>
              <w:snapToGrid w:val="0"/>
              <w:jc w:val="center"/>
              <w:rPr>
                <w:rFonts w:hint="eastAsia" w:ascii="宋体" w:hAnsi="宋体"/>
                <w:kern w:val="0"/>
                <w:szCs w:val="21"/>
              </w:rPr>
            </w:pPr>
            <w:r>
              <w:rPr>
                <w:rFonts w:hint="eastAsia" w:ascii="宋体" w:hAnsi="宋体"/>
                <w:kern w:val="0"/>
                <w:szCs w:val="21"/>
              </w:rPr>
              <w:t>硫化氢</w:t>
            </w:r>
          </w:p>
        </w:tc>
        <w:tc>
          <w:tcPr>
            <w:tcW w:w="856" w:type="pct"/>
            <w:tcBorders>
              <w:top w:val="single" w:color="auto" w:sz="4" w:space="0"/>
              <w:left w:val="single" w:color="auto" w:sz="4" w:space="0"/>
              <w:bottom w:val="single" w:color="auto" w:sz="4" w:space="0"/>
              <w:right w:val="single" w:color="auto" w:sz="4" w:space="0"/>
            </w:tcBorders>
          </w:tcPr>
          <w:p w14:paraId="1A66ADB7">
            <w:pPr>
              <w:adjustRightInd w:val="0"/>
              <w:snapToGrid w:val="0"/>
              <w:jc w:val="center"/>
              <w:rPr>
                <w:rFonts w:hint="eastAsia" w:ascii="宋体" w:hAnsi="宋体"/>
                <w:kern w:val="0"/>
                <w:szCs w:val="21"/>
              </w:rPr>
            </w:pPr>
            <w:r>
              <w:rPr>
                <w:rFonts w:hint="eastAsia" w:ascii="宋体" w:hAnsi="宋体"/>
                <w:kern w:val="0"/>
                <w:szCs w:val="21"/>
              </w:rPr>
              <w:t>＜0.2×10</w:t>
            </w:r>
            <w:r>
              <w:rPr>
                <w:rFonts w:hint="eastAsia" w:ascii="宋体" w:hAnsi="宋体"/>
                <w:kern w:val="0"/>
                <w:szCs w:val="21"/>
                <w:vertAlign w:val="superscript"/>
              </w:rPr>
              <w:t>-3</w:t>
            </w:r>
          </w:p>
        </w:tc>
        <w:tc>
          <w:tcPr>
            <w:tcW w:w="643" w:type="pct"/>
            <w:tcBorders>
              <w:top w:val="single" w:color="auto" w:sz="4" w:space="0"/>
              <w:left w:val="single" w:color="auto" w:sz="4" w:space="0"/>
              <w:bottom w:val="single" w:color="auto" w:sz="4" w:space="0"/>
              <w:right w:val="single" w:color="auto" w:sz="4" w:space="0"/>
            </w:tcBorders>
            <w:vAlign w:val="center"/>
          </w:tcPr>
          <w:p w14:paraId="702310C8">
            <w:pPr>
              <w:adjustRightInd w:val="0"/>
              <w:snapToGrid w:val="0"/>
              <w:jc w:val="center"/>
              <w:rPr>
                <w:rFonts w:hint="eastAsia" w:ascii="宋体" w:hAnsi="宋体"/>
                <w:kern w:val="0"/>
                <w:szCs w:val="21"/>
              </w:rPr>
            </w:pPr>
            <w:r>
              <w:rPr>
                <w:rFonts w:hint="eastAsia" w:ascii="宋体" w:hAnsi="宋体"/>
                <w:kern w:val="0"/>
                <w:szCs w:val="21"/>
              </w:rPr>
              <w:t>/</w:t>
            </w:r>
          </w:p>
        </w:tc>
        <w:tc>
          <w:tcPr>
            <w:tcW w:w="597" w:type="pct"/>
            <w:tcBorders>
              <w:top w:val="single" w:color="auto" w:sz="4" w:space="0"/>
              <w:left w:val="single" w:color="auto" w:sz="4" w:space="0"/>
              <w:bottom w:val="single" w:color="auto" w:sz="4" w:space="0"/>
              <w:right w:val="single" w:color="auto" w:sz="4" w:space="0"/>
            </w:tcBorders>
            <w:vAlign w:val="center"/>
          </w:tcPr>
          <w:p w14:paraId="0C47B78E">
            <w:pPr>
              <w:adjustRightInd w:val="0"/>
              <w:snapToGrid w:val="0"/>
              <w:jc w:val="center"/>
              <w:rPr>
                <w:rFonts w:hint="eastAsia" w:ascii="宋体" w:hAnsi="宋体"/>
                <w:kern w:val="0"/>
                <w:szCs w:val="21"/>
              </w:rPr>
            </w:pPr>
            <w:r>
              <w:rPr>
                <w:rFonts w:hint="eastAsia" w:ascii="宋体" w:hAnsi="宋体"/>
                <w:kern w:val="0"/>
                <w:szCs w:val="21"/>
              </w:rPr>
              <w:t>0.06</w:t>
            </w:r>
          </w:p>
        </w:tc>
        <w:tc>
          <w:tcPr>
            <w:tcW w:w="407" w:type="pct"/>
            <w:tcBorders>
              <w:top w:val="single" w:color="auto" w:sz="4" w:space="0"/>
              <w:left w:val="single" w:color="auto" w:sz="4" w:space="0"/>
              <w:bottom w:val="single" w:color="auto" w:sz="4" w:space="0"/>
              <w:right w:val="nil"/>
            </w:tcBorders>
            <w:vAlign w:val="center"/>
          </w:tcPr>
          <w:p w14:paraId="36596F78">
            <w:pPr>
              <w:adjustRightInd w:val="0"/>
              <w:snapToGrid w:val="0"/>
              <w:jc w:val="center"/>
              <w:rPr>
                <w:rFonts w:hint="eastAsia" w:ascii="宋体" w:hAnsi="宋体"/>
                <w:kern w:val="0"/>
                <w:szCs w:val="21"/>
              </w:rPr>
            </w:pPr>
            <w:r>
              <w:rPr>
                <w:rFonts w:hint="eastAsia" w:ascii="宋体" w:hAnsi="宋体"/>
                <w:kern w:val="0"/>
                <w:szCs w:val="21"/>
              </w:rPr>
              <w:t>达标</w:t>
            </w:r>
          </w:p>
        </w:tc>
      </w:tr>
      <w:tr w14:paraId="0921A7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0BF7A910">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371D7812">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0094194B">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tcPr>
          <w:p w14:paraId="4C9B020D">
            <w:pPr>
              <w:adjustRightInd w:val="0"/>
              <w:snapToGrid w:val="0"/>
              <w:jc w:val="center"/>
              <w:rPr>
                <w:rFonts w:hint="eastAsia" w:ascii="宋体" w:hAnsi="宋体"/>
                <w:kern w:val="0"/>
                <w:szCs w:val="21"/>
              </w:rPr>
            </w:pPr>
            <w:r>
              <w:rPr>
                <w:rFonts w:hint="eastAsia" w:ascii="宋体" w:hAnsi="宋体"/>
                <w:kern w:val="0"/>
                <w:szCs w:val="21"/>
              </w:rPr>
              <w:t>硫化氢</w:t>
            </w:r>
          </w:p>
        </w:tc>
        <w:tc>
          <w:tcPr>
            <w:tcW w:w="856" w:type="pct"/>
            <w:tcBorders>
              <w:top w:val="single" w:color="auto" w:sz="4" w:space="0"/>
              <w:left w:val="single" w:color="auto" w:sz="4" w:space="0"/>
              <w:bottom w:val="single" w:color="auto" w:sz="4" w:space="0"/>
              <w:right w:val="single" w:color="auto" w:sz="4" w:space="0"/>
            </w:tcBorders>
          </w:tcPr>
          <w:p w14:paraId="71AA8237">
            <w:pPr>
              <w:adjustRightInd w:val="0"/>
              <w:snapToGrid w:val="0"/>
              <w:jc w:val="center"/>
              <w:rPr>
                <w:rFonts w:hint="eastAsia" w:ascii="宋体" w:hAnsi="宋体"/>
                <w:kern w:val="0"/>
                <w:szCs w:val="21"/>
              </w:rPr>
            </w:pPr>
            <w:r>
              <w:rPr>
                <w:rFonts w:hint="eastAsia" w:ascii="宋体" w:hAnsi="宋体"/>
                <w:kern w:val="0"/>
                <w:szCs w:val="21"/>
              </w:rPr>
              <w:t>＜0.2×10</w:t>
            </w:r>
            <w:r>
              <w:rPr>
                <w:rFonts w:hint="eastAsia" w:ascii="宋体" w:hAnsi="宋体"/>
                <w:kern w:val="0"/>
                <w:szCs w:val="21"/>
                <w:vertAlign w:val="superscript"/>
              </w:rPr>
              <w:t>-3</w:t>
            </w:r>
          </w:p>
        </w:tc>
        <w:tc>
          <w:tcPr>
            <w:tcW w:w="643" w:type="pct"/>
            <w:tcBorders>
              <w:top w:val="single" w:color="auto" w:sz="4" w:space="0"/>
              <w:left w:val="single" w:color="auto" w:sz="4" w:space="0"/>
              <w:bottom w:val="single" w:color="auto" w:sz="4" w:space="0"/>
              <w:right w:val="single" w:color="auto" w:sz="4" w:space="0"/>
            </w:tcBorders>
          </w:tcPr>
          <w:p w14:paraId="355266F3">
            <w:pPr>
              <w:adjustRightInd w:val="0"/>
              <w:snapToGrid w:val="0"/>
              <w:jc w:val="center"/>
              <w:rPr>
                <w:rFonts w:hint="eastAsia" w:ascii="宋体" w:hAnsi="宋体"/>
                <w:kern w:val="0"/>
                <w:szCs w:val="21"/>
              </w:rPr>
            </w:pPr>
            <w:r>
              <w:rPr>
                <w:rFonts w:hint="eastAsia" w:ascii="宋体" w:hAnsi="宋体"/>
                <w:kern w:val="0"/>
                <w:szCs w:val="21"/>
              </w:rPr>
              <w:t>/</w:t>
            </w:r>
          </w:p>
        </w:tc>
        <w:tc>
          <w:tcPr>
            <w:tcW w:w="597" w:type="pct"/>
            <w:tcBorders>
              <w:top w:val="single" w:color="auto" w:sz="4" w:space="0"/>
              <w:left w:val="single" w:color="auto" w:sz="4" w:space="0"/>
              <w:bottom w:val="single" w:color="auto" w:sz="4" w:space="0"/>
              <w:right w:val="single" w:color="auto" w:sz="4" w:space="0"/>
            </w:tcBorders>
            <w:vAlign w:val="center"/>
          </w:tcPr>
          <w:p w14:paraId="35445291">
            <w:pPr>
              <w:adjustRightInd w:val="0"/>
              <w:snapToGrid w:val="0"/>
              <w:jc w:val="center"/>
              <w:rPr>
                <w:rFonts w:hint="eastAsia" w:ascii="宋体" w:hAnsi="宋体"/>
                <w:kern w:val="0"/>
                <w:szCs w:val="21"/>
              </w:rPr>
            </w:pPr>
            <w:r>
              <w:rPr>
                <w:rFonts w:hint="eastAsia" w:ascii="宋体" w:hAnsi="宋体"/>
                <w:kern w:val="0"/>
                <w:szCs w:val="21"/>
              </w:rPr>
              <w:t>0.06</w:t>
            </w:r>
          </w:p>
        </w:tc>
        <w:tc>
          <w:tcPr>
            <w:tcW w:w="407" w:type="pct"/>
            <w:tcBorders>
              <w:top w:val="single" w:color="auto" w:sz="4" w:space="0"/>
              <w:left w:val="single" w:color="auto" w:sz="4" w:space="0"/>
              <w:bottom w:val="single" w:color="auto" w:sz="4" w:space="0"/>
              <w:right w:val="nil"/>
            </w:tcBorders>
            <w:vAlign w:val="center"/>
          </w:tcPr>
          <w:p w14:paraId="192059CC">
            <w:pPr>
              <w:adjustRightInd w:val="0"/>
              <w:snapToGrid w:val="0"/>
              <w:jc w:val="center"/>
              <w:rPr>
                <w:rFonts w:hint="eastAsia" w:ascii="宋体" w:hAnsi="宋体"/>
                <w:kern w:val="0"/>
                <w:szCs w:val="21"/>
              </w:rPr>
            </w:pPr>
            <w:r>
              <w:rPr>
                <w:rFonts w:hint="eastAsia" w:ascii="宋体" w:hAnsi="宋体"/>
                <w:kern w:val="0"/>
                <w:szCs w:val="21"/>
              </w:rPr>
              <w:t>达标</w:t>
            </w:r>
          </w:p>
        </w:tc>
      </w:tr>
      <w:tr w14:paraId="347333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6B2E2766">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64AA7767">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7AB3944A">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tcPr>
          <w:p w14:paraId="564CCDF9">
            <w:pPr>
              <w:adjustRightInd w:val="0"/>
              <w:snapToGrid w:val="0"/>
              <w:jc w:val="center"/>
              <w:rPr>
                <w:rFonts w:hint="eastAsia" w:ascii="宋体" w:hAnsi="宋体"/>
                <w:kern w:val="0"/>
                <w:szCs w:val="21"/>
              </w:rPr>
            </w:pPr>
            <w:r>
              <w:rPr>
                <w:rFonts w:hint="eastAsia" w:ascii="宋体" w:hAnsi="宋体"/>
                <w:kern w:val="0"/>
                <w:szCs w:val="21"/>
              </w:rPr>
              <w:t>硫化氢</w:t>
            </w:r>
          </w:p>
        </w:tc>
        <w:tc>
          <w:tcPr>
            <w:tcW w:w="856" w:type="pct"/>
            <w:tcBorders>
              <w:top w:val="single" w:color="auto" w:sz="4" w:space="0"/>
              <w:left w:val="single" w:color="auto" w:sz="4" w:space="0"/>
              <w:bottom w:val="single" w:color="auto" w:sz="4" w:space="0"/>
              <w:right w:val="single" w:color="auto" w:sz="4" w:space="0"/>
            </w:tcBorders>
          </w:tcPr>
          <w:p w14:paraId="5B86A34B">
            <w:pPr>
              <w:adjustRightInd w:val="0"/>
              <w:snapToGrid w:val="0"/>
              <w:jc w:val="center"/>
              <w:rPr>
                <w:rFonts w:hint="eastAsia" w:ascii="宋体" w:hAnsi="宋体"/>
                <w:kern w:val="0"/>
                <w:szCs w:val="21"/>
              </w:rPr>
            </w:pPr>
            <w:r>
              <w:rPr>
                <w:rFonts w:hint="eastAsia" w:ascii="宋体" w:hAnsi="宋体"/>
                <w:kern w:val="0"/>
                <w:szCs w:val="21"/>
              </w:rPr>
              <w:t>＜0.2×10</w:t>
            </w:r>
            <w:r>
              <w:rPr>
                <w:rFonts w:hint="eastAsia" w:ascii="宋体" w:hAnsi="宋体"/>
                <w:kern w:val="0"/>
                <w:szCs w:val="21"/>
                <w:vertAlign w:val="superscript"/>
              </w:rPr>
              <w:t>-3</w:t>
            </w:r>
          </w:p>
        </w:tc>
        <w:tc>
          <w:tcPr>
            <w:tcW w:w="643" w:type="pct"/>
            <w:tcBorders>
              <w:top w:val="single" w:color="auto" w:sz="4" w:space="0"/>
              <w:left w:val="single" w:color="auto" w:sz="4" w:space="0"/>
              <w:bottom w:val="single" w:color="auto" w:sz="4" w:space="0"/>
              <w:right w:val="single" w:color="auto" w:sz="4" w:space="0"/>
            </w:tcBorders>
          </w:tcPr>
          <w:p w14:paraId="57336C48">
            <w:pPr>
              <w:adjustRightInd w:val="0"/>
              <w:snapToGrid w:val="0"/>
              <w:jc w:val="center"/>
              <w:rPr>
                <w:rFonts w:hint="eastAsia" w:ascii="宋体" w:hAnsi="宋体"/>
                <w:kern w:val="0"/>
                <w:szCs w:val="21"/>
              </w:rPr>
            </w:pPr>
            <w:r>
              <w:rPr>
                <w:rFonts w:hint="eastAsia" w:ascii="宋体" w:hAnsi="宋体"/>
                <w:kern w:val="0"/>
                <w:szCs w:val="21"/>
              </w:rPr>
              <w:t>/</w:t>
            </w:r>
          </w:p>
        </w:tc>
        <w:tc>
          <w:tcPr>
            <w:tcW w:w="597" w:type="pct"/>
            <w:tcBorders>
              <w:top w:val="single" w:color="auto" w:sz="4" w:space="0"/>
              <w:left w:val="single" w:color="auto" w:sz="4" w:space="0"/>
              <w:bottom w:val="single" w:color="auto" w:sz="4" w:space="0"/>
              <w:right w:val="single" w:color="auto" w:sz="4" w:space="0"/>
            </w:tcBorders>
            <w:vAlign w:val="center"/>
          </w:tcPr>
          <w:p w14:paraId="6ACDDF8B">
            <w:pPr>
              <w:adjustRightInd w:val="0"/>
              <w:snapToGrid w:val="0"/>
              <w:jc w:val="center"/>
              <w:rPr>
                <w:rFonts w:hint="eastAsia" w:ascii="宋体" w:hAnsi="宋体"/>
                <w:kern w:val="0"/>
                <w:szCs w:val="21"/>
              </w:rPr>
            </w:pPr>
            <w:r>
              <w:rPr>
                <w:rFonts w:hint="eastAsia" w:ascii="宋体" w:hAnsi="宋体"/>
                <w:kern w:val="0"/>
                <w:szCs w:val="21"/>
              </w:rPr>
              <w:t>0.06</w:t>
            </w:r>
          </w:p>
        </w:tc>
        <w:tc>
          <w:tcPr>
            <w:tcW w:w="407" w:type="pct"/>
            <w:tcBorders>
              <w:top w:val="single" w:color="auto" w:sz="4" w:space="0"/>
              <w:left w:val="single" w:color="auto" w:sz="4" w:space="0"/>
              <w:bottom w:val="single" w:color="auto" w:sz="4" w:space="0"/>
              <w:right w:val="nil"/>
            </w:tcBorders>
            <w:vAlign w:val="center"/>
          </w:tcPr>
          <w:p w14:paraId="7705CC15">
            <w:pPr>
              <w:adjustRightInd w:val="0"/>
              <w:snapToGrid w:val="0"/>
              <w:jc w:val="center"/>
              <w:rPr>
                <w:rFonts w:hint="eastAsia" w:ascii="宋体" w:hAnsi="宋体"/>
                <w:kern w:val="0"/>
                <w:szCs w:val="21"/>
              </w:rPr>
            </w:pPr>
            <w:r>
              <w:rPr>
                <w:rFonts w:hint="eastAsia" w:ascii="宋体" w:hAnsi="宋体"/>
                <w:kern w:val="0"/>
                <w:szCs w:val="21"/>
              </w:rPr>
              <w:t>达标</w:t>
            </w:r>
          </w:p>
        </w:tc>
      </w:tr>
      <w:tr w14:paraId="1D55AE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4294F270">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67259A89">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28A67088">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tcPr>
          <w:p w14:paraId="1437E76D">
            <w:pPr>
              <w:adjustRightInd w:val="0"/>
              <w:snapToGrid w:val="0"/>
              <w:jc w:val="center"/>
              <w:rPr>
                <w:rFonts w:hint="eastAsia" w:ascii="宋体" w:hAnsi="宋体"/>
                <w:kern w:val="0"/>
                <w:szCs w:val="21"/>
              </w:rPr>
            </w:pPr>
            <w:r>
              <w:rPr>
                <w:rFonts w:hint="eastAsia" w:ascii="宋体" w:hAnsi="宋体"/>
                <w:kern w:val="0"/>
                <w:szCs w:val="21"/>
              </w:rPr>
              <w:t>硫化氢</w:t>
            </w:r>
          </w:p>
        </w:tc>
        <w:tc>
          <w:tcPr>
            <w:tcW w:w="856" w:type="pct"/>
            <w:tcBorders>
              <w:top w:val="single" w:color="auto" w:sz="4" w:space="0"/>
              <w:left w:val="single" w:color="auto" w:sz="4" w:space="0"/>
              <w:bottom w:val="single" w:color="auto" w:sz="4" w:space="0"/>
              <w:right w:val="single" w:color="auto" w:sz="4" w:space="0"/>
            </w:tcBorders>
          </w:tcPr>
          <w:p w14:paraId="3FB60828">
            <w:pPr>
              <w:adjustRightInd w:val="0"/>
              <w:snapToGrid w:val="0"/>
              <w:jc w:val="center"/>
              <w:rPr>
                <w:rFonts w:hint="eastAsia" w:ascii="宋体" w:hAnsi="宋体"/>
                <w:kern w:val="0"/>
                <w:szCs w:val="21"/>
              </w:rPr>
            </w:pPr>
            <w:r>
              <w:rPr>
                <w:rFonts w:hint="eastAsia" w:ascii="宋体" w:hAnsi="宋体"/>
                <w:kern w:val="0"/>
                <w:szCs w:val="21"/>
              </w:rPr>
              <w:t>＜0.2×10</w:t>
            </w:r>
            <w:r>
              <w:rPr>
                <w:rFonts w:hint="eastAsia" w:ascii="宋体" w:hAnsi="宋体"/>
                <w:kern w:val="0"/>
                <w:szCs w:val="21"/>
                <w:vertAlign w:val="superscript"/>
              </w:rPr>
              <w:t>-3</w:t>
            </w:r>
          </w:p>
        </w:tc>
        <w:tc>
          <w:tcPr>
            <w:tcW w:w="643" w:type="pct"/>
            <w:tcBorders>
              <w:top w:val="single" w:color="auto" w:sz="4" w:space="0"/>
              <w:left w:val="single" w:color="auto" w:sz="4" w:space="0"/>
              <w:bottom w:val="single" w:color="auto" w:sz="4" w:space="0"/>
              <w:right w:val="single" w:color="auto" w:sz="4" w:space="0"/>
            </w:tcBorders>
          </w:tcPr>
          <w:p w14:paraId="4563ABEA">
            <w:pPr>
              <w:adjustRightInd w:val="0"/>
              <w:snapToGrid w:val="0"/>
              <w:jc w:val="center"/>
              <w:rPr>
                <w:rFonts w:hint="eastAsia" w:ascii="宋体" w:hAnsi="宋体"/>
                <w:kern w:val="0"/>
                <w:szCs w:val="21"/>
              </w:rPr>
            </w:pPr>
            <w:r>
              <w:rPr>
                <w:rFonts w:hint="eastAsia" w:ascii="宋体" w:hAnsi="宋体"/>
                <w:kern w:val="0"/>
                <w:szCs w:val="21"/>
              </w:rPr>
              <w:t>/</w:t>
            </w:r>
          </w:p>
        </w:tc>
        <w:tc>
          <w:tcPr>
            <w:tcW w:w="597" w:type="pct"/>
            <w:tcBorders>
              <w:top w:val="single" w:color="auto" w:sz="4" w:space="0"/>
              <w:left w:val="single" w:color="auto" w:sz="4" w:space="0"/>
              <w:bottom w:val="single" w:color="auto" w:sz="4" w:space="0"/>
              <w:right w:val="single" w:color="auto" w:sz="4" w:space="0"/>
            </w:tcBorders>
            <w:vAlign w:val="center"/>
          </w:tcPr>
          <w:p w14:paraId="1BC7117E">
            <w:pPr>
              <w:adjustRightInd w:val="0"/>
              <w:snapToGrid w:val="0"/>
              <w:jc w:val="center"/>
              <w:rPr>
                <w:rFonts w:hint="eastAsia" w:ascii="宋体" w:hAnsi="宋体"/>
                <w:kern w:val="0"/>
                <w:szCs w:val="21"/>
              </w:rPr>
            </w:pPr>
            <w:r>
              <w:rPr>
                <w:rFonts w:hint="eastAsia" w:ascii="宋体" w:hAnsi="宋体"/>
                <w:kern w:val="0"/>
                <w:szCs w:val="21"/>
              </w:rPr>
              <w:t>0.06</w:t>
            </w:r>
          </w:p>
        </w:tc>
        <w:tc>
          <w:tcPr>
            <w:tcW w:w="407" w:type="pct"/>
            <w:tcBorders>
              <w:top w:val="single" w:color="auto" w:sz="4" w:space="0"/>
              <w:left w:val="single" w:color="auto" w:sz="4" w:space="0"/>
              <w:bottom w:val="single" w:color="auto" w:sz="4" w:space="0"/>
              <w:right w:val="nil"/>
            </w:tcBorders>
            <w:vAlign w:val="center"/>
          </w:tcPr>
          <w:p w14:paraId="3EF6CE50">
            <w:pPr>
              <w:adjustRightInd w:val="0"/>
              <w:snapToGrid w:val="0"/>
              <w:jc w:val="center"/>
              <w:rPr>
                <w:rFonts w:hint="eastAsia" w:ascii="宋体" w:hAnsi="宋体"/>
                <w:kern w:val="0"/>
                <w:szCs w:val="21"/>
              </w:rPr>
            </w:pPr>
            <w:r>
              <w:rPr>
                <w:rFonts w:hint="eastAsia" w:ascii="宋体" w:hAnsi="宋体"/>
                <w:kern w:val="0"/>
                <w:szCs w:val="21"/>
              </w:rPr>
              <w:t>达标</w:t>
            </w:r>
          </w:p>
        </w:tc>
      </w:tr>
      <w:tr w14:paraId="229B71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5" w:type="pct"/>
            <w:vMerge w:val="restart"/>
            <w:tcBorders>
              <w:top w:val="single" w:color="auto" w:sz="4" w:space="0"/>
              <w:left w:val="nil"/>
              <w:bottom w:val="single" w:color="auto" w:sz="12" w:space="0"/>
              <w:right w:val="single" w:color="auto" w:sz="4" w:space="0"/>
            </w:tcBorders>
            <w:vAlign w:val="center"/>
          </w:tcPr>
          <w:p w14:paraId="7B04E984">
            <w:pPr>
              <w:adjustRightInd w:val="0"/>
              <w:snapToGrid w:val="0"/>
              <w:jc w:val="center"/>
              <w:rPr>
                <w:rFonts w:hint="eastAsia" w:ascii="宋体" w:hAnsi="宋体"/>
                <w:kern w:val="0"/>
                <w:szCs w:val="21"/>
              </w:rPr>
            </w:pPr>
            <w:r>
              <w:rPr>
                <w:rFonts w:hint="eastAsia" w:ascii="宋体" w:hAnsi="宋体"/>
                <w:kern w:val="0"/>
                <w:szCs w:val="21"/>
              </w:rPr>
              <w:t>J10020-H井场</w:t>
            </w:r>
          </w:p>
        </w:tc>
        <w:tc>
          <w:tcPr>
            <w:tcW w:w="592" w:type="pct"/>
            <w:vMerge w:val="restart"/>
            <w:tcBorders>
              <w:top w:val="single" w:color="auto" w:sz="4" w:space="0"/>
              <w:left w:val="single" w:color="auto" w:sz="4" w:space="0"/>
              <w:bottom w:val="single" w:color="auto" w:sz="12" w:space="0"/>
              <w:right w:val="single" w:color="auto" w:sz="4" w:space="0"/>
            </w:tcBorders>
            <w:vAlign w:val="center"/>
          </w:tcPr>
          <w:p w14:paraId="067F7780">
            <w:pPr>
              <w:adjustRightInd w:val="0"/>
              <w:snapToGrid w:val="0"/>
              <w:jc w:val="center"/>
              <w:rPr>
                <w:rFonts w:hint="eastAsia" w:ascii="宋体" w:hAnsi="宋体"/>
                <w:kern w:val="0"/>
                <w:szCs w:val="21"/>
              </w:rPr>
            </w:pPr>
            <w:r>
              <w:rPr>
                <w:rFonts w:hint="eastAsia" w:ascii="宋体" w:hAnsi="宋体"/>
                <w:kern w:val="0"/>
                <w:szCs w:val="21"/>
              </w:rPr>
              <w:t>2021.1.21-1.22</w:t>
            </w:r>
          </w:p>
        </w:tc>
        <w:tc>
          <w:tcPr>
            <w:tcW w:w="584" w:type="pct"/>
            <w:tcBorders>
              <w:top w:val="single" w:color="auto" w:sz="4" w:space="0"/>
              <w:left w:val="single" w:color="auto" w:sz="4" w:space="0"/>
              <w:bottom w:val="single" w:color="auto" w:sz="4" w:space="0"/>
              <w:right w:val="single" w:color="auto" w:sz="4" w:space="0"/>
            </w:tcBorders>
            <w:vAlign w:val="center"/>
          </w:tcPr>
          <w:p w14:paraId="6318176E">
            <w:pPr>
              <w:adjustRightInd w:val="0"/>
              <w:snapToGrid w:val="0"/>
              <w:jc w:val="center"/>
              <w:rPr>
                <w:rFonts w:hint="eastAsia" w:ascii="宋体" w:hAnsi="宋体"/>
                <w:kern w:val="0"/>
                <w:szCs w:val="21"/>
              </w:rPr>
            </w:pPr>
            <w:r>
              <w:rPr>
                <w:rFonts w:hint="eastAsia" w:ascii="宋体" w:hAnsi="宋体"/>
                <w:kern w:val="0"/>
                <w:szCs w:val="21"/>
              </w:rPr>
              <w:t>上风向</w:t>
            </w:r>
          </w:p>
        </w:tc>
        <w:tc>
          <w:tcPr>
            <w:tcW w:w="777" w:type="pct"/>
            <w:tcBorders>
              <w:top w:val="single" w:color="auto" w:sz="4" w:space="0"/>
              <w:left w:val="single" w:color="auto" w:sz="4" w:space="0"/>
              <w:bottom w:val="single" w:color="auto" w:sz="4" w:space="0"/>
              <w:right w:val="single" w:color="auto" w:sz="4" w:space="0"/>
            </w:tcBorders>
            <w:vAlign w:val="center"/>
          </w:tcPr>
          <w:p w14:paraId="2E47BE10">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11534342">
            <w:pPr>
              <w:adjustRightInd w:val="0"/>
              <w:snapToGrid w:val="0"/>
              <w:jc w:val="center"/>
              <w:rPr>
                <w:rFonts w:hint="eastAsia" w:ascii="宋体" w:hAnsi="宋体"/>
                <w:kern w:val="0"/>
                <w:szCs w:val="21"/>
              </w:rPr>
            </w:pPr>
            <w:r>
              <w:rPr>
                <w:rFonts w:hint="eastAsia" w:ascii="宋体" w:hAnsi="宋体"/>
                <w:kern w:val="0"/>
                <w:szCs w:val="21"/>
              </w:rPr>
              <w:t>0.48～0.50</w:t>
            </w:r>
          </w:p>
        </w:tc>
        <w:tc>
          <w:tcPr>
            <w:tcW w:w="643" w:type="pct"/>
            <w:tcBorders>
              <w:top w:val="single" w:color="auto" w:sz="4" w:space="0"/>
              <w:left w:val="single" w:color="auto" w:sz="4" w:space="0"/>
              <w:bottom w:val="single" w:color="auto" w:sz="4" w:space="0"/>
              <w:right w:val="single" w:color="auto" w:sz="4" w:space="0"/>
            </w:tcBorders>
            <w:vAlign w:val="center"/>
          </w:tcPr>
          <w:p w14:paraId="4247ED7A">
            <w:pPr>
              <w:adjustRightInd w:val="0"/>
              <w:snapToGrid w:val="0"/>
              <w:jc w:val="center"/>
              <w:rPr>
                <w:rFonts w:hint="eastAsia" w:ascii="宋体" w:hAnsi="宋体"/>
                <w:kern w:val="0"/>
                <w:szCs w:val="21"/>
              </w:rPr>
            </w:pPr>
            <w:r>
              <w:rPr>
                <w:rFonts w:hint="eastAsia" w:ascii="宋体" w:hAnsi="宋体"/>
                <w:kern w:val="0"/>
                <w:szCs w:val="21"/>
              </w:rPr>
              <w:t>0.50</w:t>
            </w:r>
          </w:p>
        </w:tc>
        <w:tc>
          <w:tcPr>
            <w:tcW w:w="597" w:type="pct"/>
            <w:tcBorders>
              <w:top w:val="single" w:color="auto" w:sz="4" w:space="0"/>
              <w:left w:val="single" w:color="auto" w:sz="4" w:space="0"/>
              <w:bottom w:val="single" w:color="auto" w:sz="4" w:space="0"/>
              <w:right w:val="single" w:color="auto" w:sz="4" w:space="0"/>
            </w:tcBorders>
            <w:vAlign w:val="center"/>
          </w:tcPr>
          <w:p w14:paraId="5C6E4B7E">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0E530960">
            <w:pPr>
              <w:adjustRightInd w:val="0"/>
              <w:snapToGrid w:val="0"/>
              <w:jc w:val="center"/>
              <w:rPr>
                <w:rFonts w:hint="eastAsia" w:ascii="宋体" w:hAnsi="宋体"/>
                <w:kern w:val="0"/>
                <w:szCs w:val="21"/>
              </w:rPr>
            </w:pPr>
            <w:r>
              <w:rPr>
                <w:rFonts w:hint="eastAsia" w:ascii="宋体" w:hAnsi="宋体"/>
                <w:kern w:val="0"/>
                <w:szCs w:val="21"/>
              </w:rPr>
              <w:t>达标</w:t>
            </w:r>
          </w:p>
        </w:tc>
      </w:tr>
      <w:tr w14:paraId="39E33A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4053B79B">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12" w:space="0"/>
              <w:right w:val="single" w:color="auto" w:sz="4" w:space="0"/>
            </w:tcBorders>
            <w:vAlign w:val="center"/>
          </w:tcPr>
          <w:p w14:paraId="66B7809C">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28CDCF91">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vAlign w:val="center"/>
          </w:tcPr>
          <w:p w14:paraId="7AA0C0EB">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0415F002">
            <w:pPr>
              <w:adjustRightInd w:val="0"/>
              <w:snapToGrid w:val="0"/>
              <w:jc w:val="center"/>
              <w:rPr>
                <w:rFonts w:hint="eastAsia" w:ascii="宋体" w:hAnsi="宋体"/>
                <w:kern w:val="0"/>
                <w:szCs w:val="21"/>
              </w:rPr>
            </w:pPr>
            <w:r>
              <w:rPr>
                <w:rFonts w:hint="eastAsia" w:ascii="宋体" w:hAnsi="宋体"/>
                <w:kern w:val="0"/>
                <w:szCs w:val="21"/>
              </w:rPr>
              <w:t>0.53～0.64</w:t>
            </w:r>
          </w:p>
        </w:tc>
        <w:tc>
          <w:tcPr>
            <w:tcW w:w="643" w:type="pct"/>
            <w:tcBorders>
              <w:top w:val="single" w:color="auto" w:sz="4" w:space="0"/>
              <w:left w:val="single" w:color="auto" w:sz="4" w:space="0"/>
              <w:bottom w:val="single" w:color="auto" w:sz="4" w:space="0"/>
              <w:right w:val="single" w:color="auto" w:sz="4" w:space="0"/>
            </w:tcBorders>
            <w:vAlign w:val="center"/>
          </w:tcPr>
          <w:p w14:paraId="58A54149">
            <w:pPr>
              <w:adjustRightInd w:val="0"/>
              <w:snapToGrid w:val="0"/>
              <w:jc w:val="center"/>
              <w:rPr>
                <w:rFonts w:hint="eastAsia" w:ascii="宋体" w:hAnsi="宋体"/>
                <w:kern w:val="0"/>
                <w:szCs w:val="21"/>
              </w:rPr>
            </w:pPr>
            <w:r>
              <w:rPr>
                <w:rFonts w:hint="eastAsia" w:ascii="宋体" w:hAnsi="宋体"/>
                <w:kern w:val="0"/>
                <w:szCs w:val="21"/>
              </w:rPr>
              <w:t>0.64</w:t>
            </w:r>
          </w:p>
        </w:tc>
        <w:tc>
          <w:tcPr>
            <w:tcW w:w="597" w:type="pct"/>
            <w:tcBorders>
              <w:top w:val="single" w:color="auto" w:sz="4" w:space="0"/>
              <w:left w:val="single" w:color="auto" w:sz="4" w:space="0"/>
              <w:bottom w:val="single" w:color="auto" w:sz="4" w:space="0"/>
              <w:right w:val="single" w:color="auto" w:sz="4" w:space="0"/>
            </w:tcBorders>
            <w:vAlign w:val="center"/>
          </w:tcPr>
          <w:p w14:paraId="56C66F13">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15A018C7">
            <w:pPr>
              <w:adjustRightInd w:val="0"/>
              <w:snapToGrid w:val="0"/>
              <w:jc w:val="center"/>
              <w:rPr>
                <w:rFonts w:hint="eastAsia" w:ascii="宋体" w:hAnsi="宋体"/>
                <w:kern w:val="0"/>
                <w:szCs w:val="21"/>
              </w:rPr>
            </w:pPr>
            <w:r>
              <w:rPr>
                <w:rFonts w:hint="eastAsia" w:ascii="宋体" w:hAnsi="宋体"/>
                <w:kern w:val="0"/>
                <w:szCs w:val="21"/>
              </w:rPr>
              <w:t>达标</w:t>
            </w:r>
          </w:p>
        </w:tc>
      </w:tr>
      <w:tr w14:paraId="407B4F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5D556548">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12" w:space="0"/>
              <w:right w:val="single" w:color="auto" w:sz="4" w:space="0"/>
            </w:tcBorders>
            <w:vAlign w:val="center"/>
          </w:tcPr>
          <w:p w14:paraId="301B5BD1">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4" w:space="0"/>
              <w:right w:val="single" w:color="auto" w:sz="4" w:space="0"/>
            </w:tcBorders>
            <w:vAlign w:val="center"/>
          </w:tcPr>
          <w:p w14:paraId="249E208B">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4" w:space="0"/>
              <w:right w:val="single" w:color="auto" w:sz="4" w:space="0"/>
            </w:tcBorders>
            <w:vAlign w:val="center"/>
          </w:tcPr>
          <w:p w14:paraId="61533023">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4" w:space="0"/>
              <w:right w:val="single" w:color="auto" w:sz="4" w:space="0"/>
            </w:tcBorders>
          </w:tcPr>
          <w:p w14:paraId="4F6A9F08">
            <w:pPr>
              <w:adjustRightInd w:val="0"/>
              <w:snapToGrid w:val="0"/>
              <w:jc w:val="center"/>
              <w:rPr>
                <w:rFonts w:hint="eastAsia" w:ascii="宋体" w:hAnsi="宋体"/>
                <w:kern w:val="0"/>
                <w:szCs w:val="21"/>
              </w:rPr>
            </w:pPr>
            <w:r>
              <w:rPr>
                <w:rFonts w:hint="eastAsia" w:ascii="宋体" w:hAnsi="宋体"/>
                <w:kern w:val="0"/>
                <w:szCs w:val="21"/>
              </w:rPr>
              <w:t>0.49～0.54</w:t>
            </w:r>
          </w:p>
        </w:tc>
        <w:tc>
          <w:tcPr>
            <w:tcW w:w="643" w:type="pct"/>
            <w:tcBorders>
              <w:top w:val="single" w:color="auto" w:sz="4" w:space="0"/>
              <w:left w:val="single" w:color="auto" w:sz="4" w:space="0"/>
              <w:bottom w:val="single" w:color="auto" w:sz="4" w:space="0"/>
              <w:right w:val="single" w:color="auto" w:sz="4" w:space="0"/>
            </w:tcBorders>
            <w:vAlign w:val="center"/>
          </w:tcPr>
          <w:p w14:paraId="4863DA76">
            <w:pPr>
              <w:adjustRightInd w:val="0"/>
              <w:snapToGrid w:val="0"/>
              <w:jc w:val="center"/>
              <w:rPr>
                <w:rFonts w:hint="eastAsia" w:ascii="宋体" w:hAnsi="宋体"/>
                <w:kern w:val="0"/>
                <w:szCs w:val="21"/>
              </w:rPr>
            </w:pPr>
            <w:r>
              <w:rPr>
                <w:rFonts w:hint="eastAsia" w:ascii="宋体" w:hAnsi="宋体"/>
                <w:kern w:val="0"/>
                <w:szCs w:val="21"/>
              </w:rPr>
              <w:t>0.54</w:t>
            </w:r>
          </w:p>
        </w:tc>
        <w:tc>
          <w:tcPr>
            <w:tcW w:w="597" w:type="pct"/>
            <w:tcBorders>
              <w:top w:val="single" w:color="auto" w:sz="4" w:space="0"/>
              <w:left w:val="single" w:color="auto" w:sz="4" w:space="0"/>
              <w:bottom w:val="single" w:color="auto" w:sz="4" w:space="0"/>
              <w:right w:val="single" w:color="auto" w:sz="4" w:space="0"/>
            </w:tcBorders>
            <w:vAlign w:val="center"/>
          </w:tcPr>
          <w:p w14:paraId="39C0B191">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4" w:space="0"/>
              <w:right w:val="nil"/>
            </w:tcBorders>
            <w:vAlign w:val="center"/>
          </w:tcPr>
          <w:p w14:paraId="3068D334">
            <w:pPr>
              <w:adjustRightInd w:val="0"/>
              <w:snapToGrid w:val="0"/>
              <w:jc w:val="center"/>
              <w:rPr>
                <w:rFonts w:hint="eastAsia" w:ascii="宋体" w:hAnsi="宋体"/>
                <w:kern w:val="0"/>
                <w:szCs w:val="21"/>
              </w:rPr>
            </w:pPr>
            <w:r>
              <w:rPr>
                <w:rFonts w:hint="eastAsia" w:ascii="宋体" w:hAnsi="宋体"/>
                <w:kern w:val="0"/>
                <w:szCs w:val="21"/>
              </w:rPr>
              <w:t>达标</w:t>
            </w:r>
          </w:p>
        </w:tc>
      </w:tr>
      <w:tr w14:paraId="4F614E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12" w:space="0"/>
              <w:right w:val="single" w:color="auto" w:sz="4" w:space="0"/>
            </w:tcBorders>
            <w:vAlign w:val="center"/>
          </w:tcPr>
          <w:p w14:paraId="559F1066">
            <w:pPr>
              <w:widowControl/>
              <w:jc w:val="left"/>
              <w:rPr>
                <w:rFonts w:hint="eastAsia" w:ascii="宋体" w:hAnsi="宋体"/>
                <w:kern w:val="0"/>
                <w:szCs w:val="21"/>
              </w:rPr>
            </w:pPr>
          </w:p>
        </w:tc>
        <w:tc>
          <w:tcPr>
            <w:tcW w:w="592" w:type="pct"/>
            <w:vMerge w:val="continue"/>
            <w:tcBorders>
              <w:top w:val="single" w:color="auto" w:sz="4" w:space="0"/>
              <w:left w:val="single" w:color="auto" w:sz="4" w:space="0"/>
              <w:bottom w:val="single" w:color="auto" w:sz="12" w:space="0"/>
              <w:right w:val="single" w:color="auto" w:sz="4" w:space="0"/>
            </w:tcBorders>
            <w:vAlign w:val="center"/>
          </w:tcPr>
          <w:p w14:paraId="5244EC73">
            <w:pPr>
              <w:widowControl/>
              <w:jc w:val="left"/>
              <w:rPr>
                <w:rFonts w:hint="eastAsia" w:ascii="宋体" w:hAnsi="宋体"/>
                <w:kern w:val="0"/>
                <w:szCs w:val="21"/>
              </w:rPr>
            </w:pPr>
          </w:p>
        </w:tc>
        <w:tc>
          <w:tcPr>
            <w:tcW w:w="584" w:type="pct"/>
            <w:tcBorders>
              <w:top w:val="single" w:color="auto" w:sz="4" w:space="0"/>
              <w:left w:val="single" w:color="auto" w:sz="4" w:space="0"/>
              <w:bottom w:val="single" w:color="auto" w:sz="12" w:space="0"/>
              <w:right w:val="single" w:color="auto" w:sz="4" w:space="0"/>
            </w:tcBorders>
            <w:vAlign w:val="center"/>
          </w:tcPr>
          <w:p w14:paraId="392FD7FC">
            <w:pPr>
              <w:adjustRightInd w:val="0"/>
              <w:snapToGrid w:val="0"/>
              <w:jc w:val="center"/>
              <w:rPr>
                <w:rFonts w:hint="eastAsia" w:ascii="宋体" w:hAnsi="宋体"/>
                <w:kern w:val="0"/>
                <w:szCs w:val="21"/>
              </w:rPr>
            </w:pPr>
            <w:r>
              <w:rPr>
                <w:rFonts w:hint="eastAsia" w:ascii="宋体" w:hAnsi="宋体"/>
                <w:kern w:val="0"/>
                <w:szCs w:val="21"/>
              </w:rPr>
              <w:t>下风向</w:t>
            </w:r>
          </w:p>
        </w:tc>
        <w:tc>
          <w:tcPr>
            <w:tcW w:w="777" w:type="pct"/>
            <w:tcBorders>
              <w:top w:val="single" w:color="auto" w:sz="4" w:space="0"/>
              <w:left w:val="single" w:color="auto" w:sz="4" w:space="0"/>
              <w:bottom w:val="single" w:color="auto" w:sz="12" w:space="0"/>
              <w:right w:val="single" w:color="auto" w:sz="4" w:space="0"/>
            </w:tcBorders>
            <w:vAlign w:val="center"/>
          </w:tcPr>
          <w:p w14:paraId="7B7DC113">
            <w:pPr>
              <w:adjustRightInd w:val="0"/>
              <w:snapToGrid w:val="0"/>
              <w:jc w:val="center"/>
              <w:rPr>
                <w:rFonts w:hint="eastAsia" w:ascii="宋体" w:hAnsi="宋体"/>
                <w:kern w:val="0"/>
                <w:szCs w:val="21"/>
              </w:rPr>
            </w:pPr>
            <w:r>
              <w:rPr>
                <w:rFonts w:hint="eastAsia" w:ascii="宋体" w:hAnsi="宋体"/>
                <w:kern w:val="0"/>
                <w:szCs w:val="21"/>
              </w:rPr>
              <w:t>非甲烷总烃</w:t>
            </w:r>
          </w:p>
        </w:tc>
        <w:tc>
          <w:tcPr>
            <w:tcW w:w="856" w:type="pct"/>
            <w:tcBorders>
              <w:top w:val="single" w:color="auto" w:sz="4" w:space="0"/>
              <w:left w:val="single" w:color="auto" w:sz="4" w:space="0"/>
              <w:bottom w:val="single" w:color="auto" w:sz="12" w:space="0"/>
              <w:right w:val="single" w:color="auto" w:sz="4" w:space="0"/>
            </w:tcBorders>
          </w:tcPr>
          <w:p w14:paraId="2264F0A3">
            <w:pPr>
              <w:adjustRightInd w:val="0"/>
              <w:snapToGrid w:val="0"/>
              <w:jc w:val="center"/>
              <w:rPr>
                <w:rFonts w:hint="eastAsia" w:ascii="宋体" w:hAnsi="宋体"/>
                <w:kern w:val="0"/>
                <w:szCs w:val="21"/>
              </w:rPr>
            </w:pPr>
            <w:r>
              <w:rPr>
                <w:rFonts w:hint="eastAsia" w:ascii="宋体" w:hAnsi="宋体"/>
                <w:kern w:val="0"/>
                <w:szCs w:val="21"/>
              </w:rPr>
              <w:t>0.50～0.52</w:t>
            </w:r>
          </w:p>
        </w:tc>
        <w:tc>
          <w:tcPr>
            <w:tcW w:w="643" w:type="pct"/>
            <w:tcBorders>
              <w:top w:val="single" w:color="auto" w:sz="4" w:space="0"/>
              <w:left w:val="single" w:color="auto" w:sz="4" w:space="0"/>
              <w:bottom w:val="single" w:color="auto" w:sz="12" w:space="0"/>
              <w:right w:val="single" w:color="auto" w:sz="4" w:space="0"/>
            </w:tcBorders>
            <w:vAlign w:val="center"/>
          </w:tcPr>
          <w:p w14:paraId="15706513">
            <w:pPr>
              <w:adjustRightInd w:val="0"/>
              <w:snapToGrid w:val="0"/>
              <w:jc w:val="center"/>
              <w:rPr>
                <w:rFonts w:hint="eastAsia" w:ascii="宋体" w:hAnsi="宋体"/>
                <w:kern w:val="0"/>
                <w:szCs w:val="21"/>
              </w:rPr>
            </w:pPr>
            <w:r>
              <w:rPr>
                <w:rFonts w:hint="eastAsia" w:ascii="宋体" w:hAnsi="宋体"/>
                <w:kern w:val="0"/>
                <w:szCs w:val="21"/>
              </w:rPr>
              <w:t>0.52</w:t>
            </w:r>
          </w:p>
        </w:tc>
        <w:tc>
          <w:tcPr>
            <w:tcW w:w="597" w:type="pct"/>
            <w:tcBorders>
              <w:top w:val="single" w:color="auto" w:sz="4" w:space="0"/>
              <w:left w:val="single" w:color="auto" w:sz="4" w:space="0"/>
              <w:bottom w:val="single" w:color="auto" w:sz="12" w:space="0"/>
              <w:right w:val="single" w:color="auto" w:sz="4" w:space="0"/>
            </w:tcBorders>
            <w:vAlign w:val="center"/>
          </w:tcPr>
          <w:p w14:paraId="13E244CD">
            <w:pPr>
              <w:adjustRightInd w:val="0"/>
              <w:snapToGrid w:val="0"/>
              <w:jc w:val="center"/>
              <w:rPr>
                <w:rFonts w:hint="eastAsia" w:ascii="宋体" w:hAnsi="宋体"/>
                <w:kern w:val="0"/>
                <w:szCs w:val="21"/>
              </w:rPr>
            </w:pPr>
            <w:r>
              <w:rPr>
                <w:rFonts w:hint="eastAsia" w:ascii="宋体" w:hAnsi="宋体"/>
                <w:kern w:val="0"/>
                <w:szCs w:val="21"/>
              </w:rPr>
              <w:t>4</w:t>
            </w:r>
          </w:p>
        </w:tc>
        <w:tc>
          <w:tcPr>
            <w:tcW w:w="407" w:type="pct"/>
            <w:tcBorders>
              <w:top w:val="single" w:color="auto" w:sz="4" w:space="0"/>
              <w:left w:val="single" w:color="auto" w:sz="4" w:space="0"/>
              <w:bottom w:val="single" w:color="auto" w:sz="12" w:space="0"/>
              <w:right w:val="nil"/>
            </w:tcBorders>
            <w:vAlign w:val="center"/>
          </w:tcPr>
          <w:p w14:paraId="6A76171B">
            <w:pPr>
              <w:adjustRightInd w:val="0"/>
              <w:snapToGrid w:val="0"/>
              <w:jc w:val="center"/>
              <w:rPr>
                <w:rFonts w:hint="eastAsia" w:ascii="宋体" w:hAnsi="宋体"/>
                <w:kern w:val="0"/>
                <w:szCs w:val="21"/>
              </w:rPr>
            </w:pPr>
            <w:r>
              <w:rPr>
                <w:rFonts w:hint="eastAsia" w:ascii="宋体" w:hAnsi="宋体"/>
                <w:kern w:val="0"/>
                <w:szCs w:val="21"/>
              </w:rPr>
              <w:t>达标</w:t>
            </w:r>
          </w:p>
        </w:tc>
      </w:tr>
    </w:tbl>
    <w:p w14:paraId="63023A91">
      <w:pPr>
        <w:widowControl/>
        <w:adjustRightInd w:val="0"/>
        <w:snapToGrid w:val="0"/>
        <w:spacing w:line="500" w:lineRule="exact"/>
        <w:ind w:firstLine="480" w:firstLineChars="200"/>
        <w:rPr>
          <w:rFonts w:hint="eastAsia" w:ascii="宋体" w:hAnsi="宋体" w:cs="宋体"/>
          <w:sz w:val="24"/>
          <w:szCs w:val="24"/>
        </w:rPr>
      </w:pPr>
      <w:bookmarkStart w:id="177" w:name="OLE_LINK143"/>
      <w:r>
        <w:rPr>
          <w:rFonts w:hint="eastAsia" w:ascii="宋体" w:hAnsi="宋体" w:cs="宋体"/>
          <w:sz w:val="24"/>
          <w:szCs w:val="24"/>
        </w:rPr>
        <w:t>②燃气设施燃烧烟气</w:t>
      </w:r>
    </w:p>
    <w:p w14:paraId="678DBB6B">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页岩油联合站现有1台2100kW的燃气锅炉（一体化油气接转装置内置）、2台2600kW的锅炉（2座多功能处理器内置）和2台2300kW的热媒炉；1号混输泵站现有1台1000kW加热炉（一体化加热接转装置内置）。各锅炉及热媒炉均以天然气为燃料，燃烧烟气中污染物主要为氮氧化物、二氧化硫和颗粒物，燃烧烟气经8m排气筒排放。根据吉庆油田作业区对页岩油联合站和一号混输泵站的燃气设施例行监测数据（2024年5月）可知，燃气设施燃烧烟气中二氧化硫、颗粒物和氮氧化物排放浓度满足《锅炉大气污染物排放标准》表2大气污染物排放限值要求。</w:t>
      </w:r>
    </w:p>
    <w:p w14:paraId="435BE38B">
      <w:pPr>
        <w:spacing w:line="500" w:lineRule="atLeast"/>
        <w:jc w:val="center"/>
        <w:rPr>
          <w:rFonts w:hint="eastAsia" w:ascii="宋体" w:hAnsi="宋体" w:eastAsia="黑体"/>
          <w:szCs w:val="20"/>
        </w:rPr>
      </w:pPr>
      <w:bookmarkStart w:id="178" w:name="_Ref160099897"/>
      <w:r>
        <w:rPr>
          <w:rFonts w:hint="eastAsia" w:ascii="宋体" w:hAnsi="宋体" w:eastAsia="黑体"/>
          <w:szCs w:val="20"/>
        </w:rPr>
        <w:t>表</w:t>
      </w:r>
      <w:bookmarkEnd w:id="178"/>
      <w:r>
        <w:rPr>
          <w:rFonts w:hint="eastAsia" w:ascii="宋体" w:hAnsi="宋体" w:eastAsia="黑体"/>
          <w:szCs w:val="20"/>
        </w:rPr>
        <w:t>3.1-5  有组织废气监测数据一览表</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275"/>
        <w:gridCol w:w="1832"/>
        <w:gridCol w:w="1287"/>
        <w:gridCol w:w="1446"/>
        <w:gridCol w:w="1170"/>
        <w:gridCol w:w="728"/>
      </w:tblGrid>
      <w:tr w14:paraId="3E21E3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tcBorders>
              <w:top w:val="single" w:color="auto" w:sz="12" w:space="0"/>
              <w:left w:val="nil"/>
              <w:bottom w:val="single" w:color="auto" w:sz="4" w:space="0"/>
              <w:right w:val="single" w:color="auto" w:sz="4" w:space="0"/>
            </w:tcBorders>
            <w:vAlign w:val="center"/>
          </w:tcPr>
          <w:p w14:paraId="37352603">
            <w:pPr>
              <w:spacing w:line="240" w:lineRule="exact"/>
              <w:jc w:val="center"/>
              <w:rPr>
                <w:rFonts w:hint="eastAsia" w:ascii="宋体" w:hAnsi="宋体"/>
                <w:kern w:val="0"/>
                <w:szCs w:val="21"/>
              </w:rPr>
            </w:pPr>
            <w:r>
              <w:rPr>
                <w:rFonts w:hint="eastAsia" w:ascii="宋体" w:hAnsi="宋体"/>
                <w:kern w:val="0"/>
                <w:szCs w:val="21"/>
              </w:rPr>
              <w:t>点位</w:t>
            </w:r>
          </w:p>
        </w:tc>
        <w:tc>
          <w:tcPr>
            <w:tcW w:w="1275" w:type="dxa"/>
            <w:tcBorders>
              <w:top w:val="single" w:color="auto" w:sz="12" w:space="0"/>
              <w:left w:val="single" w:color="auto" w:sz="4" w:space="0"/>
              <w:bottom w:val="single" w:color="auto" w:sz="4" w:space="0"/>
              <w:right w:val="single" w:color="auto" w:sz="4" w:space="0"/>
            </w:tcBorders>
            <w:vAlign w:val="center"/>
          </w:tcPr>
          <w:p w14:paraId="0D0004C1">
            <w:pPr>
              <w:spacing w:line="240" w:lineRule="exact"/>
              <w:jc w:val="center"/>
              <w:rPr>
                <w:rFonts w:hint="eastAsia" w:ascii="宋体" w:hAnsi="宋体"/>
                <w:kern w:val="0"/>
                <w:szCs w:val="21"/>
              </w:rPr>
            </w:pPr>
            <w:r>
              <w:rPr>
                <w:rFonts w:hint="eastAsia" w:ascii="宋体" w:hAnsi="宋体"/>
                <w:kern w:val="0"/>
                <w:szCs w:val="21"/>
              </w:rPr>
              <w:t>监测因子</w:t>
            </w:r>
          </w:p>
        </w:tc>
        <w:tc>
          <w:tcPr>
            <w:tcW w:w="1832" w:type="dxa"/>
            <w:tcBorders>
              <w:top w:val="single" w:color="auto" w:sz="12" w:space="0"/>
              <w:left w:val="single" w:color="auto" w:sz="4" w:space="0"/>
              <w:bottom w:val="single" w:color="auto" w:sz="4" w:space="0"/>
              <w:right w:val="single" w:color="auto" w:sz="4" w:space="0"/>
            </w:tcBorders>
            <w:vAlign w:val="center"/>
          </w:tcPr>
          <w:p w14:paraId="54C3146A">
            <w:pPr>
              <w:spacing w:line="240" w:lineRule="exact"/>
              <w:jc w:val="center"/>
              <w:rPr>
                <w:rFonts w:hint="eastAsia" w:ascii="宋体" w:hAnsi="宋体"/>
                <w:kern w:val="0"/>
                <w:szCs w:val="21"/>
              </w:rPr>
            </w:pPr>
            <w:r>
              <w:rPr>
                <w:rFonts w:hint="eastAsia" w:ascii="宋体" w:hAnsi="宋体"/>
                <w:kern w:val="0"/>
                <w:szCs w:val="21"/>
              </w:rPr>
              <w:t>排放浓度（</w:t>
            </w:r>
            <w:r>
              <w:rPr>
                <w:rFonts w:hint="eastAsia" w:ascii="宋体" w:hAnsi="宋体"/>
                <w:bCs/>
                <w:kern w:val="0"/>
                <w:szCs w:val="21"/>
              </w:rPr>
              <w:t>mg/m</w:t>
            </w:r>
            <w:r>
              <w:rPr>
                <w:rFonts w:hint="eastAsia" w:ascii="宋体" w:hAnsi="宋体"/>
                <w:bCs/>
                <w:kern w:val="0"/>
                <w:szCs w:val="21"/>
                <w:vertAlign w:val="superscript"/>
              </w:rPr>
              <w:t>3</w:t>
            </w:r>
            <w:r>
              <w:rPr>
                <w:rFonts w:hint="eastAsia" w:ascii="宋体" w:hAnsi="宋体"/>
                <w:kern w:val="0"/>
                <w:szCs w:val="21"/>
              </w:rPr>
              <w:t>）</w:t>
            </w:r>
          </w:p>
        </w:tc>
        <w:tc>
          <w:tcPr>
            <w:tcW w:w="1287" w:type="dxa"/>
            <w:tcBorders>
              <w:top w:val="single" w:color="auto" w:sz="12" w:space="0"/>
              <w:left w:val="single" w:color="auto" w:sz="4" w:space="0"/>
              <w:bottom w:val="single" w:color="auto" w:sz="4" w:space="0"/>
              <w:right w:val="single" w:color="auto" w:sz="4" w:space="0"/>
            </w:tcBorders>
            <w:vAlign w:val="center"/>
          </w:tcPr>
          <w:p w14:paraId="5AF2F81A">
            <w:pPr>
              <w:spacing w:line="240" w:lineRule="exact"/>
              <w:jc w:val="center"/>
              <w:rPr>
                <w:rFonts w:hint="eastAsia" w:ascii="宋体" w:hAnsi="宋体"/>
                <w:kern w:val="0"/>
                <w:szCs w:val="21"/>
              </w:rPr>
            </w:pPr>
            <w:r>
              <w:rPr>
                <w:rFonts w:hint="eastAsia" w:ascii="宋体" w:hAnsi="宋体"/>
                <w:kern w:val="0"/>
                <w:szCs w:val="21"/>
              </w:rPr>
              <w:t>排放速率（kg/h）</w:t>
            </w:r>
          </w:p>
        </w:tc>
        <w:tc>
          <w:tcPr>
            <w:tcW w:w="1446" w:type="dxa"/>
            <w:tcBorders>
              <w:top w:val="single" w:color="auto" w:sz="12" w:space="0"/>
              <w:left w:val="single" w:color="auto" w:sz="4" w:space="0"/>
              <w:bottom w:val="single" w:color="auto" w:sz="4" w:space="0"/>
              <w:right w:val="single" w:color="auto" w:sz="4" w:space="0"/>
            </w:tcBorders>
            <w:vAlign w:val="center"/>
          </w:tcPr>
          <w:p w14:paraId="3624F63B">
            <w:pPr>
              <w:spacing w:line="240" w:lineRule="exact"/>
              <w:jc w:val="center"/>
              <w:rPr>
                <w:rFonts w:hint="eastAsia" w:ascii="宋体" w:hAnsi="宋体"/>
                <w:kern w:val="0"/>
                <w:szCs w:val="21"/>
              </w:rPr>
            </w:pPr>
            <w:r>
              <w:rPr>
                <w:rFonts w:hint="eastAsia" w:ascii="宋体" w:hAnsi="宋体"/>
                <w:kern w:val="0"/>
                <w:szCs w:val="21"/>
              </w:rPr>
              <w:t>烟气标干流量（m</w:t>
            </w:r>
            <w:r>
              <w:rPr>
                <w:rFonts w:hint="eastAsia" w:ascii="宋体" w:hAnsi="宋体"/>
                <w:kern w:val="0"/>
                <w:szCs w:val="21"/>
                <w:vertAlign w:val="superscript"/>
              </w:rPr>
              <w:t>3</w:t>
            </w:r>
            <w:r>
              <w:rPr>
                <w:rFonts w:hint="eastAsia" w:ascii="宋体" w:hAnsi="宋体"/>
                <w:kern w:val="0"/>
                <w:szCs w:val="21"/>
              </w:rPr>
              <w:t>/h）</w:t>
            </w:r>
          </w:p>
        </w:tc>
        <w:tc>
          <w:tcPr>
            <w:tcW w:w="1170" w:type="dxa"/>
            <w:tcBorders>
              <w:top w:val="single" w:color="auto" w:sz="12" w:space="0"/>
              <w:left w:val="single" w:color="auto" w:sz="4" w:space="0"/>
              <w:bottom w:val="single" w:color="auto" w:sz="4" w:space="0"/>
              <w:right w:val="single" w:color="auto" w:sz="4" w:space="0"/>
            </w:tcBorders>
            <w:vAlign w:val="center"/>
          </w:tcPr>
          <w:p w14:paraId="430707C8">
            <w:pPr>
              <w:spacing w:line="240" w:lineRule="exact"/>
              <w:jc w:val="center"/>
              <w:rPr>
                <w:rFonts w:hint="eastAsia" w:ascii="宋体" w:hAnsi="宋体"/>
                <w:kern w:val="0"/>
                <w:szCs w:val="21"/>
              </w:rPr>
            </w:pPr>
            <w:r>
              <w:rPr>
                <w:rFonts w:hint="eastAsia" w:ascii="宋体" w:hAnsi="宋体"/>
                <w:kern w:val="0"/>
                <w:szCs w:val="21"/>
              </w:rPr>
              <w:t>标准限值（</w:t>
            </w:r>
            <w:r>
              <w:rPr>
                <w:rFonts w:hint="eastAsia" w:ascii="宋体" w:hAnsi="宋体"/>
                <w:bCs/>
                <w:kern w:val="0"/>
                <w:szCs w:val="21"/>
              </w:rPr>
              <w:t>mg/m</w:t>
            </w:r>
            <w:r>
              <w:rPr>
                <w:rFonts w:hint="eastAsia" w:ascii="宋体" w:hAnsi="宋体"/>
                <w:bCs/>
                <w:kern w:val="0"/>
                <w:szCs w:val="21"/>
                <w:vertAlign w:val="superscript"/>
              </w:rPr>
              <w:t>3</w:t>
            </w:r>
            <w:r>
              <w:rPr>
                <w:rFonts w:hint="eastAsia" w:ascii="宋体" w:hAnsi="宋体"/>
                <w:kern w:val="0"/>
                <w:szCs w:val="21"/>
              </w:rPr>
              <w:t>）</w:t>
            </w:r>
          </w:p>
        </w:tc>
        <w:tc>
          <w:tcPr>
            <w:tcW w:w="728" w:type="dxa"/>
            <w:tcBorders>
              <w:top w:val="single" w:color="auto" w:sz="12" w:space="0"/>
              <w:left w:val="single" w:color="auto" w:sz="4" w:space="0"/>
              <w:bottom w:val="single" w:color="auto" w:sz="4" w:space="0"/>
              <w:right w:val="nil"/>
            </w:tcBorders>
            <w:vAlign w:val="center"/>
          </w:tcPr>
          <w:p w14:paraId="7FC24F08">
            <w:pPr>
              <w:spacing w:line="240" w:lineRule="exact"/>
              <w:jc w:val="center"/>
              <w:rPr>
                <w:rFonts w:hint="eastAsia" w:ascii="宋体" w:hAnsi="宋体"/>
                <w:kern w:val="0"/>
                <w:szCs w:val="21"/>
              </w:rPr>
            </w:pPr>
            <w:r>
              <w:rPr>
                <w:rFonts w:hint="eastAsia" w:ascii="宋体" w:hAnsi="宋体"/>
                <w:kern w:val="0"/>
                <w:szCs w:val="21"/>
              </w:rPr>
              <w:t>达标</w:t>
            </w:r>
          </w:p>
          <w:p w14:paraId="5C5EDBC4">
            <w:pPr>
              <w:spacing w:line="240" w:lineRule="exact"/>
              <w:jc w:val="center"/>
              <w:rPr>
                <w:rFonts w:hint="eastAsia" w:ascii="宋体" w:hAnsi="宋体"/>
                <w:kern w:val="0"/>
                <w:szCs w:val="21"/>
              </w:rPr>
            </w:pPr>
            <w:r>
              <w:rPr>
                <w:rFonts w:hint="eastAsia" w:ascii="宋体" w:hAnsi="宋体"/>
                <w:kern w:val="0"/>
                <w:szCs w:val="21"/>
              </w:rPr>
              <w:t>情况</w:t>
            </w:r>
          </w:p>
        </w:tc>
      </w:tr>
      <w:tr w14:paraId="1929FC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restart"/>
            <w:tcBorders>
              <w:top w:val="single" w:color="auto" w:sz="4" w:space="0"/>
              <w:left w:val="nil"/>
              <w:bottom w:val="single" w:color="auto" w:sz="4" w:space="0"/>
              <w:right w:val="single" w:color="auto" w:sz="4" w:space="0"/>
            </w:tcBorders>
            <w:vAlign w:val="center"/>
          </w:tcPr>
          <w:p w14:paraId="352BAFD1">
            <w:pPr>
              <w:spacing w:line="240" w:lineRule="exact"/>
              <w:jc w:val="center"/>
              <w:rPr>
                <w:rFonts w:hint="eastAsia" w:ascii="宋体" w:hAnsi="宋体"/>
                <w:kern w:val="0"/>
                <w:szCs w:val="21"/>
              </w:rPr>
            </w:pPr>
            <w:r>
              <w:rPr>
                <w:rFonts w:hint="eastAsia" w:ascii="宋体" w:hAnsi="宋体"/>
                <w:bCs/>
                <w:kern w:val="0"/>
                <w:szCs w:val="21"/>
              </w:rPr>
              <w:t>页岩油联合站1#多功能处理器1#燃烧器</w:t>
            </w:r>
            <w:r>
              <w:rPr>
                <w:rFonts w:hint="eastAsia" w:ascii="宋体" w:hAnsi="宋体"/>
                <w:kern w:val="0"/>
                <w:szCs w:val="21"/>
              </w:rPr>
              <w:t>（2024.5.14）</w:t>
            </w: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6804C80E">
            <w:pPr>
              <w:spacing w:line="240" w:lineRule="exact"/>
              <w:jc w:val="center"/>
              <w:rPr>
                <w:rFonts w:hint="eastAsia" w:ascii="宋体" w:hAnsi="宋体"/>
                <w:kern w:val="0"/>
                <w:szCs w:val="21"/>
              </w:rPr>
            </w:pPr>
            <w:r>
              <w:rPr>
                <w:rFonts w:hint="eastAsia" w:ascii="宋体" w:hAnsi="宋体"/>
                <w:kern w:val="0"/>
                <w:szCs w:val="21"/>
              </w:rPr>
              <w:t>二氧化硫</w:t>
            </w:r>
          </w:p>
        </w:tc>
        <w:tc>
          <w:tcPr>
            <w:tcW w:w="1832" w:type="dxa"/>
            <w:tcBorders>
              <w:top w:val="single" w:color="auto" w:sz="4" w:space="0"/>
              <w:left w:val="single" w:color="auto" w:sz="4" w:space="0"/>
              <w:bottom w:val="single" w:color="auto" w:sz="4" w:space="0"/>
              <w:right w:val="single" w:color="auto" w:sz="4" w:space="0"/>
            </w:tcBorders>
            <w:vAlign w:val="center"/>
          </w:tcPr>
          <w:p w14:paraId="1A7BA6D7">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14BC5336">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17D0EE93">
            <w:pPr>
              <w:spacing w:line="240" w:lineRule="exact"/>
              <w:jc w:val="center"/>
              <w:rPr>
                <w:rFonts w:hint="eastAsia" w:ascii="宋体" w:hAnsi="宋体"/>
                <w:kern w:val="0"/>
                <w:szCs w:val="21"/>
              </w:rPr>
            </w:pPr>
            <w:r>
              <w:rPr>
                <w:rFonts w:hint="eastAsia" w:ascii="宋体" w:hAnsi="宋体"/>
                <w:kern w:val="0"/>
                <w:szCs w:val="21"/>
              </w:rPr>
              <w:t>2255</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455D3A78">
            <w:pPr>
              <w:spacing w:line="240" w:lineRule="exact"/>
              <w:jc w:val="center"/>
              <w:rPr>
                <w:rFonts w:hint="eastAsia" w:ascii="宋体" w:hAnsi="宋体"/>
                <w:kern w:val="0"/>
                <w:szCs w:val="21"/>
              </w:rPr>
            </w:pPr>
            <w:r>
              <w:rPr>
                <w:rFonts w:hint="eastAsia" w:ascii="宋体" w:hAnsi="宋体"/>
                <w:kern w:val="0"/>
                <w:szCs w:val="21"/>
              </w:rPr>
              <w:t>50</w:t>
            </w:r>
          </w:p>
        </w:tc>
        <w:tc>
          <w:tcPr>
            <w:tcW w:w="728" w:type="dxa"/>
            <w:tcBorders>
              <w:top w:val="single" w:color="auto" w:sz="4" w:space="0"/>
              <w:left w:val="single" w:color="auto" w:sz="4" w:space="0"/>
              <w:bottom w:val="single" w:color="auto" w:sz="4" w:space="0"/>
              <w:right w:val="nil"/>
            </w:tcBorders>
            <w:vAlign w:val="center"/>
          </w:tcPr>
          <w:p w14:paraId="2498E8DC">
            <w:pPr>
              <w:spacing w:line="240" w:lineRule="exact"/>
              <w:jc w:val="center"/>
              <w:rPr>
                <w:rFonts w:hint="eastAsia" w:ascii="宋体" w:hAnsi="宋体"/>
                <w:kern w:val="0"/>
                <w:szCs w:val="21"/>
              </w:rPr>
            </w:pPr>
            <w:r>
              <w:rPr>
                <w:rFonts w:hint="eastAsia" w:ascii="宋体" w:hAnsi="宋体"/>
                <w:kern w:val="0"/>
                <w:szCs w:val="21"/>
              </w:rPr>
              <w:t>达标</w:t>
            </w:r>
          </w:p>
        </w:tc>
      </w:tr>
      <w:tr w14:paraId="03ECAD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7ACA11F2">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351F6C9F">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196E568">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64EB91DC">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3C477EE9">
            <w:pPr>
              <w:spacing w:line="240" w:lineRule="exact"/>
              <w:jc w:val="center"/>
              <w:rPr>
                <w:rFonts w:hint="eastAsia" w:ascii="宋体" w:hAnsi="宋体"/>
                <w:kern w:val="0"/>
                <w:szCs w:val="21"/>
              </w:rPr>
            </w:pPr>
            <w:r>
              <w:rPr>
                <w:rFonts w:hint="eastAsia" w:ascii="宋体" w:hAnsi="宋体"/>
                <w:kern w:val="0"/>
                <w:szCs w:val="21"/>
              </w:rPr>
              <w:t>2202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1DDC9041">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3196DEC3">
            <w:pPr>
              <w:spacing w:line="240" w:lineRule="exact"/>
              <w:jc w:val="center"/>
              <w:rPr>
                <w:rFonts w:hint="eastAsia" w:ascii="宋体" w:hAnsi="宋体"/>
                <w:kern w:val="0"/>
                <w:szCs w:val="21"/>
              </w:rPr>
            </w:pPr>
            <w:r>
              <w:rPr>
                <w:rFonts w:hint="eastAsia" w:ascii="宋体" w:hAnsi="宋体"/>
                <w:kern w:val="0"/>
                <w:szCs w:val="21"/>
              </w:rPr>
              <w:t>达标</w:t>
            </w:r>
          </w:p>
        </w:tc>
      </w:tr>
      <w:tr w14:paraId="1B9D91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29D4EFA3">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68FA0958">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5B455999">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0E8B1A40">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097AD0A9">
            <w:pPr>
              <w:spacing w:line="240" w:lineRule="exact"/>
              <w:jc w:val="center"/>
              <w:rPr>
                <w:rFonts w:hint="eastAsia" w:ascii="宋体" w:hAnsi="宋体"/>
                <w:kern w:val="0"/>
                <w:szCs w:val="21"/>
              </w:rPr>
            </w:pPr>
            <w:r>
              <w:rPr>
                <w:rFonts w:hint="eastAsia" w:ascii="宋体" w:hAnsi="宋体"/>
                <w:kern w:val="0"/>
                <w:szCs w:val="21"/>
              </w:rPr>
              <w:t>2265</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47A39AD7">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A7813D4">
            <w:pPr>
              <w:spacing w:line="240" w:lineRule="exact"/>
              <w:jc w:val="center"/>
              <w:rPr>
                <w:rFonts w:hint="eastAsia" w:ascii="宋体" w:hAnsi="宋体"/>
                <w:kern w:val="0"/>
                <w:szCs w:val="21"/>
              </w:rPr>
            </w:pPr>
            <w:r>
              <w:rPr>
                <w:rFonts w:hint="eastAsia" w:ascii="宋体" w:hAnsi="宋体"/>
                <w:kern w:val="0"/>
                <w:szCs w:val="21"/>
              </w:rPr>
              <w:t>达标</w:t>
            </w:r>
          </w:p>
        </w:tc>
      </w:tr>
      <w:tr w14:paraId="1DE385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6D700B5">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0142CA51">
            <w:pPr>
              <w:spacing w:line="240" w:lineRule="exact"/>
              <w:jc w:val="center"/>
              <w:rPr>
                <w:rFonts w:hint="eastAsia" w:ascii="宋体" w:hAnsi="宋体"/>
                <w:kern w:val="0"/>
                <w:szCs w:val="21"/>
              </w:rPr>
            </w:pPr>
            <w:r>
              <w:rPr>
                <w:rFonts w:hint="eastAsia" w:ascii="宋体" w:hAnsi="宋体"/>
                <w:kern w:val="0"/>
                <w:szCs w:val="21"/>
              </w:rPr>
              <w:t>氮氧化物</w:t>
            </w:r>
          </w:p>
        </w:tc>
        <w:tc>
          <w:tcPr>
            <w:tcW w:w="1832" w:type="dxa"/>
            <w:tcBorders>
              <w:top w:val="single" w:color="auto" w:sz="4" w:space="0"/>
              <w:left w:val="single" w:color="auto" w:sz="4" w:space="0"/>
              <w:bottom w:val="single" w:color="auto" w:sz="4" w:space="0"/>
              <w:right w:val="single" w:color="auto" w:sz="4" w:space="0"/>
            </w:tcBorders>
            <w:vAlign w:val="center"/>
          </w:tcPr>
          <w:p w14:paraId="7A583F7E">
            <w:pPr>
              <w:spacing w:line="240" w:lineRule="exact"/>
              <w:jc w:val="center"/>
              <w:rPr>
                <w:rFonts w:hint="eastAsia" w:ascii="宋体" w:hAnsi="宋体"/>
                <w:kern w:val="0"/>
                <w:szCs w:val="21"/>
              </w:rPr>
            </w:pPr>
            <w:r>
              <w:rPr>
                <w:rFonts w:hint="eastAsia" w:ascii="宋体" w:hAnsi="宋体"/>
                <w:kern w:val="0"/>
                <w:szCs w:val="21"/>
              </w:rPr>
              <w:t>141</w:t>
            </w:r>
          </w:p>
        </w:tc>
        <w:tc>
          <w:tcPr>
            <w:tcW w:w="1287" w:type="dxa"/>
            <w:tcBorders>
              <w:top w:val="single" w:color="auto" w:sz="4" w:space="0"/>
              <w:left w:val="single" w:color="auto" w:sz="4" w:space="0"/>
              <w:bottom w:val="single" w:color="auto" w:sz="4" w:space="0"/>
              <w:right w:val="single" w:color="auto" w:sz="4" w:space="0"/>
            </w:tcBorders>
            <w:vAlign w:val="center"/>
          </w:tcPr>
          <w:p w14:paraId="2688BC36">
            <w:pPr>
              <w:spacing w:line="240" w:lineRule="exact"/>
              <w:jc w:val="center"/>
              <w:rPr>
                <w:rFonts w:hint="eastAsia" w:ascii="宋体" w:hAnsi="宋体"/>
                <w:kern w:val="0"/>
                <w:szCs w:val="21"/>
              </w:rPr>
            </w:pPr>
            <w:r>
              <w:rPr>
                <w:rFonts w:hint="eastAsia" w:ascii="宋体" w:hAnsi="宋体"/>
                <w:kern w:val="0"/>
                <w:szCs w:val="21"/>
              </w:rPr>
              <w:t>0.17</w:t>
            </w:r>
          </w:p>
        </w:tc>
        <w:tc>
          <w:tcPr>
            <w:tcW w:w="1446" w:type="dxa"/>
            <w:tcBorders>
              <w:top w:val="single" w:color="auto" w:sz="4" w:space="0"/>
              <w:left w:val="single" w:color="auto" w:sz="4" w:space="0"/>
              <w:bottom w:val="single" w:color="auto" w:sz="4" w:space="0"/>
              <w:right w:val="single" w:color="auto" w:sz="4" w:space="0"/>
            </w:tcBorders>
            <w:vAlign w:val="center"/>
          </w:tcPr>
          <w:p w14:paraId="66A93729">
            <w:pPr>
              <w:spacing w:line="240" w:lineRule="exact"/>
              <w:jc w:val="center"/>
              <w:rPr>
                <w:rFonts w:hint="eastAsia" w:ascii="宋体" w:hAnsi="宋体"/>
                <w:kern w:val="0"/>
                <w:szCs w:val="21"/>
              </w:rPr>
            </w:pPr>
            <w:r>
              <w:rPr>
                <w:rFonts w:hint="eastAsia" w:ascii="宋体" w:hAnsi="宋体"/>
                <w:kern w:val="0"/>
                <w:szCs w:val="21"/>
              </w:rPr>
              <w:t>2255</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04B60E0B">
            <w:pPr>
              <w:spacing w:line="240" w:lineRule="exact"/>
              <w:jc w:val="center"/>
              <w:rPr>
                <w:rFonts w:hint="eastAsia" w:ascii="宋体" w:hAnsi="宋体"/>
                <w:kern w:val="0"/>
                <w:szCs w:val="21"/>
              </w:rPr>
            </w:pPr>
            <w:r>
              <w:rPr>
                <w:rFonts w:hint="eastAsia" w:ascii="宋体" w:hAnsi="宋体"/>
                <w:kern w:val="0"/>
                <w:szCs w:val="21"/>
              </w:rPr>
              <w:t>200</w:t>
            </w:r>
          </w:p>
        </w:tc>
        <w:tc>
          <w:tcPr>
            <w:tcW w:w="728" w:type="dxa"/>
            <w:tcBorders>
              <w:top w:val="single" w:color="auto" w:sz="4" w:space="0"/>
              <w:left w:val="single" w:color="auto" w:sz="4" w:space="0"/>
              <w:bottom w:val="single" w:color="auto" w:sz="4" w:space="0"/>
              <w:right w:val="nil"/>
            </w:tcBorders>
            <w:vAlign w:val="center"/>
          </w:tcPr>
          <w:p w14:paraId="57456FEC">
            <w:pPr>
              <w:spacing w:line="240" w:lineRule="exact"/>
              <w:jc w:val="center"/>
              <w:rPr>
                <w:rFonts w:hint="eastAsia" w:ascii="宋体" w:hAnsi="宋体"/>
                <w:kern w:val="0"/>
                <w:szCs w:val="21"/>
              </w:rPr>
            </w:pPr>
            <w:r>
              <w:rPr>
                <w:rFonts w:hint="eastAsia" w:ascii="宋体" w:hAnsi="宋体"/>
                <w:kern w:val="0"/>
                <w:szCs w:val="21"/>
              </w:rPr>
              <w:t>达标</w:t>
            </w:r>
          </w:p>
        </w:tc>
      </w:tr>
      <w:tr w14:paraId="324F65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3C92E339">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6A23D22E">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7B430BB2">
            <w:pPr>
              <w:spacing w:line="240" w:lineRule="exact"/>
              <w:jc w:val="center"/>
              <w:rPr>
                <w:rFonts w:hint="eastAsia" w:ascii="宋体" w:hAnsi="宋体"/>
                <w:kern w:val="0"/>
                <w:szCs w:val="21"/>
              </w:rPr>
            </w:pPr>
            <w:r>
              <w:rPr>
                <w:rFonts w:hint="eastAsia" w:ascii="宋体" w:hAnsi="宋体"/>
                <w:kern w:val="0"/>
                <w:szCs w:val="21"/>
              </w:rPr>
              <w:t>146</w:t>
            </w:r>
          </w:p>
        </w:tc>
        <w:tc>
          <w:tcPr>
            <w:tcW w:w="1287" w:type="dxa"/>
            <w:tcBorders>
              <w:top w:val="single" w:color="auto" w:sz="4" w:space="0"/>
              <w:left w:val="single" w:color="auto" w:sz="4" w:space="0"/>
              <w:bottom w:val="single" w:color="auto" w:sz="4" w:space="0"/>
              <w:right w:val="single" w:color="auto" w:sz="4" w:space="0"/>
            </w:tcBorders>
            <w:vAlign w:val="center"/>
          </w:tcPr>
          <w:p w14:paraId="56249576">
            <w:pPr>
              <w:spacing w:line="240" w:lineRule="exact"/>
              <w:jc w:val="center"/>
              <w:rPr>
                <w:rFonts w:hint="eastAsia" w:ascii="宋体" w:hAnsi="宋体"/>
                <w:kern w:val="0"/>
                <w:szCs w:val="21"/>
              </w:rPr>
            </w:pPr>
            <w:r>
              <w:rPr>
                <w:rFonts w:hint="eastAsia" w:ascii="宋体" w:hAnsi="宋体"/>
                <w:kern w:val="0"/>
                <w:szCs w:val="21"/>
              </w:rPr>
              <w:t>0.17</w:t>
            </w:r>
          </w:p>
        </w:tc>
        <w:tc>
          <w:tcPr>
            <w:tcW w:w="1446" w:type="dxa"/>
            <w:tcBorders>
              <w:top w:val="single" w:color="auto" w:sz="4" w:space="0"/>
              <w:left w:val="single" w:color="auto" w:sz="4" w:space="0"/>
              <w:bottom w:val="single" w:color="auto" w:sz="4" w:space="0"/>
              <w:right w:val="single" w:color="auto" w:sz="4" w:space="0"/>
            </w:tcBorders>
            <w:vAlign w:val="center"/>
          </w:tcPr>
          <w:p w14:paraId="5486BBFD">
            <w:pPr>
              <w:spacing w:line="240" w:lineRule="exact"/>
              <w:jc w:val="center"/>
              <w:rPr>
                <w:rFonts w:hint="eastAsia" w:ascii="宋体" w:hAnsi="宋体"/>
                <w:kern w:val="0"/>
                <w:szCs w:val="21"/>
              </w:rPr>
            </w:pPr>
            <w:r>
              <w:rPr>
                <w:rFonts w:hint="eastAsia" w:ascii="宋体" w:hAnsi="宋体"/>
                <w:kern w:val="0"/>
                <w:szCs w:val="21"/>
              </w:rPr>
              <w:t>2202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4FE6B6DF">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1025A4F">
            <w:pPr>
              <w:spacing w:line="240" w:lineRule="exact"/>
              <w:jc w:val="center"/>
              <w:rPr>
                <w:rFonts w:hint="eastAsia" w:ascii="宋体" w:hAnsi="宋体"/>
                <w:kern w:val="0"/>
                <w:szCs w:val="21"/>
              </w:rPr>
            </w:pPr>
            <w:r>
              <w:rPr>
                <w:rFonts w:hint="eastAsia" w:ascii="宋体" w:hAnsi="宋体"/>
                <w:kern w:val="0"/>
                <w:szCs w:val="21"/>
              </w:rPr>
              <w:t>达标</w:t>
            </w:r>
          </w:p>
        </w:tc>
      </w:tr>
      <w:tr w14:paraId="6BF6FA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2AF9F481">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5225C2BE">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0DACD09D">
            <w:pPr>
              <w:spacing w:line="240" w:lineRule="exact"/>
              <w:jc w:val="center"/>
              <w:rPr>
                <w:rFonts w:hint="eastAsia" w:ascii="宋体" w:hAnsi="宋体"/>
                <w:kern w:val="0"/>
                <w:szCs w:val="21"/>
              </w:rPr>
            </w:pPr>
            <w:r>
              <w:rPr>
                <w:rFonts w:hint="eastAsia" w:ascii="宋体" w:hAnsi="宋体"/>
                <w:kern w:val="0"/>
                <w:szCs w:val="21"/>
              </w:rPr>
              <w:t>144</w:t>
            </w:r>
          </w:p>
        </w:tc>
        <w:tc>
          <w:tcPr>
            <w:tcW w:w="1287" w:type="dxa"/>
            <w:tcBorders>
              <w:top w:val="single" w:color="auto" w:sz="4" w:space="0"/>
              <w:left w:val="single" w:color="auto" w:sz="4" w:space="0"/>
              <w:bottom w:val="single" w:color="auto" w:sz="4" w:space="0"/>
              <w:right w:val="single" w:color="auto" w:sz="4" w:space="0"/>
            </w:tcBorders>
            <w:vAlign w:val="center"/>
          </w:tcPr>
          <w:p w14:paraId="39CBC57E">
            <w:pPr>
              <w:spacing w:line="240" w:lineRule="exact"/>
              <w:jc w:val="center"/>
              <w:rPr>
                <w:rFonts w:hint="eastAsia" w:ascii="宋体" w:hAnsi="宋体"/>
                <w:kern w:val="0"/>
                <w:szCs w:val="21"/>
              </w:rPr>
            </w:pPr>
            <w:r>
              <w:rPr>
                <w:rFonts w:hint="eastAsia" w:ascii="宋体" w:hAnsi="宋体"/>
                <w:kern w:val="0"/>
                <w:szCs w:val="21"/>
              </w:rPr>
              <w:t>0.17</w:t>
            </w:r>
          </w:p>
        </w:tc>
        <w:tc>
          <w:tcPr>
            <w:tcW w:w="1446" w:type="dxa"/>
            <w:tcBorders>
              <w:top w:val="single" w:color="auto" w:sz="4" w:space="0"/>
              <w:left w:val="single" w:color="auto" w:sz="4" w:space="0"/>
              <w:bottom w:val="single" w:color="auto" w:sz="4" w:space="0"/>
              <w:right w:val="single" w:color="auto" w:sz="4" w:space="0"/>
            </w:tcBorders>
            <w:vAlign w:val="center"/>
          </w:tcPr>
          <w:p w14:paraId="59643DED">
            <w:pPr>
              <w:spacing w:line="240" w:lineRule="exact"/>
              <w:jc w:val="center"/>
              <w:rPr>
                <w:rFonts w:hint="eastAsia" w:ascii="宋体" w:hAnsi="宋体"/>
                <w:kern w:val="0"/>
                <w:szCs w:val="21"/>
              </w:rPr>
            </w:pPr>
            <w:r>
              <w:rPr>
                <w:rFonts w:hint="eastAsia" w:ascii="宋体" w:hAnsi="宋体"/>
                <w:kern w:val="0"/>
                <w:szCs w:val="21"/>
              </w:rPr>
              <w:t>2265</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5A88E0D">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5E5E8A92">
            <w:pPr>
              <w:spacing w:line="240" w:lineRule="exact"/>
              <w:jc w:val="center"/>
              <w:rPr>
                <w:rFonts w:hint="eastAsia" w:ascii="宋体" w:hAnsi="宋体"/>
                <w:kern w:val="0"/>
                <w:szCs w:val="21"/>
              </w:rPr>
            </w:pPr>
            <w:r>
              <w:rPr>
                <w:rFonts w:hint="eastAsia" w:ascii="宋体" w:hAnsi="宋体"/>
                <w:kern w:val="0"/>
                <w:szCs w:val="21"/>
              </w:rPr>
              <w:t>达标</w:t>
            </w:r>
          </w:p>
        </w:tc>
      </w:tr>
      <w:tr w14:paraId="3229A3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7D08016B">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372B5E95">
            <w:pPr>
              <w:spacing w:line="240" w:lineRule="exact"/>
              <w:jc w:val="center"/>
              <w:rPr>
                <w:rFonts w:hint="eastAsia" w:ascii="宋体" w:hAnsi="宋体"/>
                <w:kern w:val="0"/>
                <w:szCs w:val="21"/>
              </w:rPr>
            </w:pPr>
            <w:r>
              <w:rPr>
                <w:rFonts w:hint="eastAsia" w:ascii="宋体" w:hAnsi="宋体"/>
                <w:kern w:val="0"/>
                <w:szCs w:val="21"/>
              </w:rPr>
              <w:t>颗粒物</w:t>
            </w:r>
          </w:p>
        </w:tc>
        <w:tc>
          <w:tcPr>
            <w:tcW w:w="1832" w:type="dxa"/>
            <w:tcBorders>
              <w:top w:val="single" w:color="auto" w:sz="4" w:space="0"/>
              <w:left w:val="single" w:color="auto" w:sz="4" w:space="0"/>
              <w:bottom w:val="single" w:color="auto" w:sz="4" w:space="0"/>
              <w:right w:val="single" w:color="auto" w:sz="4" w:space="0"/>
            </w:tcBorders>
            <w:vAlign w:val="center"/>
          </w:tcPr>
          <w:p w14:paraId="15D84596">
            <w:pPr>
              <w:spacing w:line="240" w:lineRule="exact"/>
              <w:jc w:val="center"/>
              <w:rPr>
                <w:rFonts w:hint="eastAsia" w:ascii="宋体" w:hAnsi="宋体"/>
                <w:kern w:val="0"/>
                <w:szCs w:val="21"/>
              </w:rPr>
            </w:pPr>
            <w:r>
              <w:rPr>
                <w:rFonts w:hint="eastAsia" w:ascii="宋体" w:hAnsi="宋体"/>
                <w:kern w:val="0"/>
                <w:szCs w:val="21"/>
              </w:rPr>
              <w:t>3.3</w:t>
            </w:r>
          </w:p>
        </w:tc>
        <w:tc>
          <w:tcPr>
            <w:tcW w:w="1287" w:type="dxa"/>
            <w:tcBorders>
              <w:top w:val="single" w:color="auto" w:sz="4" w:space="0"/>
              <w:left w:val="single" w:color="auto" w:sz="4" w:space="0"/>
              <w:bottom w:val="single" w:color="auto" w:sz="4" w:space="0"/>
              <w:right w:val="single" w:color="auto" w:sz="4" w:space="0"/>
            </w:tcBorders>
          </w:tcPr>
          <w:p w14:paraId="24F23B99">
            <w:pPr>
              <w:spacing w:line="240" w:lineRule="exact"/>
              <w:jc w:val="center"/>
              <w:rPr>
                <w:rFonts w:hint="eastAsia" w:ascii="宋体" w:hAnsi="宋体"/>
                <w:kern w:val="0"/>
                <w:szCs w:val="21"/>
              </w:rPr>
            </w:pPr>
            <w:r>
              <w:rPr>
                <w:rFonts w:hint="eastAsia" w:ascii="宋体" w:hAnsi="宋体"/>
                <w:kern w:val="0"/>
                <w:szCs w:val="21"/>
              </w:rPr>
              <w:t>4.1×10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7BE52795">
            <w:pPr>
              <w:spacing w:line="240" w:lineRule="exact"/>
              <w:jc w:val="center"/>
              <w:rPr>
                <w:rFonts w:hint="eastAsia" w:ascii="宋体" w:hAnsi="宋体"/>
                <w:kern w:val="0"/>
                <w:szCs w:val="21"/>
              </w:rPr>
            </w:pPr>
            <w:r>
              <w:rPr>
                <w:rFonts w:hint="eastAsia" w:ascii="宋体" w:hAnsi="宋体"/>
                <w:kern w:val="0"/>
                <w:szCs w:val="21"/>
              </w:rPr>
              <w:t>2255</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212C7884">
            <w:pPr>
              <w:spacing w:line="240" w:lineRule="exact"/>
              <w:jc w:val="center"/>
              <w:rPr>
                <w:rFonts w:hint="eastAsia" w:ascii="宋体" w:hAnsi="宋体"/>
                <w:kern w:val="0"/>
                <w:szCs w:val="21"/>
              </w:rPr>
            </w:pPr>
            <w:r>
              <w:rPr>
                <w:rFonts w:hint="eastAsia" w:ascii="宋体" w:hAnsi="宋体"/>
                <w:kern w:val="0"/>
                <w:szCs w:val="21"/>
              </w:rPr>
              <w:t>20</w:t>
            </w:r>
          </w:p>
        </w:tc>
        <w:tc>
          <w:tcPr>
            <w:tcW w:w="728" w:type="dxa"/>
            <w:tcBorders>
              <w:top w:val="single" w:color="auto" w:sz="4" w:space="0"/>
              <w:left w:val="single" w:color="auto" w:sz="4" w:space="0"/>
              <w:bottom w:val="single" w:color="auto" w:sz="4" w:space="0"/>
              <w:right w:val="nil"/>
            </w:tcBorders>
            <w:vAlign w:val="center"/>
          </w:tcPr>
          <w:p w14:paraId="42181D52">
            <w:pPr>
              <w:spacing w:line="240" w:lineRule="exact"/>
              <w:jc w:val="center"/>
              <w:rPr>
                <w:rFonts w:hint="eastAsia" w:ascii="宋体" w:hAnsi="宋体"/>
                <w:kern w:val="0"/>
                <w:szCs w:val="21"/>
              </w:rPr>
            </w:pPr>
            <w:r>
              <w:rPr>
                <w:rFonts w:hint="eastAsia" w:ascii="宋体" w:hAnsi="宋体"/>
                <w:kern w:val="0"/>
                <w:szCs w:val="21"/>
              </w:rPr>
              <w:t>达标</w:t>
            </w:r>
          </w:p>
        </w:tc>
      </w:tr>
      <w:tr w14:paraId="15DAD6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2749DD0">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4ED6E783">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257C7A37">
            <w:pPr>
              <w:spacing w:line="240" w:lineRule="exact"/>
              <w:jc w:val="center"/>
              <w:rPr>
                <w:rFonts w:hint="eastAsia" w:ascii="宋体" w:hAnsi="宋体"/>
                <w:kern w:val="0"/>
                <w:szCs w:val="21"/>
              </w:rPr>
            </w:pPr>
            <w:r>
              <w:rPr>
                <w:rFonts w:hint="eastAsia" w:ascii="宋体" w:hAnsi="宋体"/>
                <w:kern w:val="0"/>
                <w:szCs w:val="21"/>
              </w:rPr>
              <w:t>2.9</w:t>
            </w:r>
          </w:p>
        </w:tc>
        <w:tc>
          <w:tcPr>
            <w:tcW w:w="1287" w:type="dxa"/>
            <w:tcBorders>
              <w:top w:val="single" w:color="auto" w:sz="4" w:space="0"/>
              <w:left w:val="single" w:color="auto" w:sz="4" w:space="0"/>
              <w:bottom w:val="single" w:color="auto" w:sz="4" w:space="0"/>
              <w:right w:val="single" w:color="auto" w:sz="4" w:space="0"/>
            </w:tcBorders>
          </w:tcPr>
          <w:p w14:paraId="3369507F">
            <w:pPr>
              <w:spacing w:line="240" w:lineRule="exact"/>
              <w:jc w:val="center"/>
              <w:rPr>
                <w:rFonts w:hint="eastAsia" w:ascii="宋体" w:hAnsi="宋体"/>
                <w:kern w:val="0"/>
                <w:szCs w:val="21"/>
              </w:rPr>
            </w:pPr>
            <w:r>
              <w:rPr>
                <w:rFonts w:hint="eastAsia" w:ascii="宋体" w:hAnsi="宋体"/>
                <w:kern w:val="0"/>
                <w:szCs w:val="21"/>
              </w:rPr>
              <w:t>3.3×10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6A41DAAC">
            <w:pPr>
              <w:spacing w:line="240" w:lineRule="exact"/>
              <w:jc w:val="center"/>
              <w:rPr>
                <w:rFonts w:hint="eastAsia" w:ascii="宋体" w:hAnsi="宋体"/>
                <w:kern w:val="0"/>
                <w:szCs w:val="21"/>
              </w:rPr>
            </w:pPr>
            <w:r>
              <w:rPr>
                <w:rFonts w:hint="eastAsia" w:ascii="宋体" w:hAnsi="宋体"/>
                <w:kern w:val="0"/>
                <w:szCs w:val="21"/>
              </w:rPr>
              <w:t>2202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B6EDDB6">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73C782A">
            <w:pPr>
              <w:spacing w:line="240" w:lineRule="exact"/>
              <w:jc w:val="center"/>
              <w:rPr>
                <w:rFonts w:hint="eastAsia" w:ascii="宋体" w:hAnsi="宋体"/>
                <w:kern w:val="0"/>
                <w:szCs w:val="21"/>
              </w:rPr>
            </w:pPr>
            <w:r>
              <w:rPr>
                <w:rFonts w:hint="eastAsia" w:ascii="宋体" w:hAnsi="宋体"/>
                <w:kern w:val="0"/>
                <w:szCs w:val="21"/>
              </w:rPr>
              <w:t>达标</w:t>
            </w:r>
          </w:p>
        </w:tc>
      </w:tr>
      <w:tr w14:paraId="5C3AFC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7668DC9">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045A1D55">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023FA08">
            <w:pPr>
              <w:spacing w:line="240" w:lineRule="exact"/>
              <w:jc w:val="center"/>
              <w:rPr>
                <w:rFonts w:hint="eastAsia" w:ascii="宋体" w:hAnsi="宋体"/>
                <w:kern w:val="0"/>
                <w:szCs w:val="21"/>
              </w:rPr>
            </w:pPr>
            <w:r>
              <w:rPr>
                <w:rFonts w:hint="eastAsia" w:ascii="宋体" w:hAnsi="宋体"/>
                <w:kern w:val="0"/>
                <w:szCs w:val="21"/>
              </w:rPr>
              <w:t>3.8</w:t>
            </w:r>
          </w:p>
        </w:tc>
        <w:tc>
          <w:tcPr>
            <w:tcW w:w="1287" w:type="dxa"/>
            <w:tcBorders>
              <w:top w:val="single" w:color="auto" w:sz="4" w:space="0"/>
              <w:left w:val="single" w:color="auto" w:sz="4" w:space="0"/>
              <w:bottom w:val="single" w:color="auto" w:sz="4" w:space="0"/>
              <w:right w:val="single" w:color="auto" w:sz="4" w:space="0"/>
            </w:tcBorders>
          </w:tcPr>
          <w:p w14:paraId="4F3BC891">
            <w:pPr>
              <w:spacing w:line="240" w:lineRule="exact"/>
              <w:jc w:val="center"/>
              <w:rPr>
                <w:rFonts w:hint="eastAsia" w:ascii="宋体" w:hAnsi="宋体"/>
                <w:kern w:val="0"/>
                <w:szCs w:val="21"/>
              </w:rPr>
            </w:pPr>
            <w:r>
              <w:rPr>
                <w:rFonts w:hint="eastAsia" w:ascii="宋体" w:hAnsi="宋体"/>
                <w:kern w:val="0"/>
                <w:szCs w:val="21"/>
              </w:rPr>
              <w:t>4.5×10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438A3D57">
            <w:pPr>
              <w:spacing w:line="240" w:lineRule="exact"/>
              <w:jc w:val="center"/>
              <w:rPr>
                <w:rFonts w:hint="eastAsia" w:ascii="宋体" w:hAnsi="宋体"/>
                <w:kern w:val="0"/>
                <w:szCs w:val="21"/>
              </w:rPr>
            </w:pPr>
            <w:r>
              <w:rPr>
                <w:rFonts w:hint="eastAsia" w:ascii="宋体" w:hAnsi="宋体"/>
                <w:kern w:val="0"/>
                <w:szCs w:val="21"/>
              </w:rPr>
              <w:t>2265</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29600434">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38E114F">
            <w:pPr>
              <w:spacing w:line="240" w:lineRule="exact"/>
              <w:jc w:val="center"/>
              <w:rPr>
                <w:rFonts w:hint="eastAsia" w:ascii="宋体" w:hAnsi="宋体"/>
                <w:kern w:val="0"/>
                <w:szCs w:val="21"/>
              </w:rPr>
            </w:pPr>
            <w:r>
              <w:rPr>
                <w:rFonts w:hint="eastAsia" w:ascii="宋体" w:hAnsi="宋体"/>
                <w:kern w:val="0"/>
                <w:szCs w:val="21"/>
              </w:rPr>
              <w:t>达标</w:t>
            </w:r>
          </w:p>
        </w:tc>
      </w:tr>
      <w:tr w14:paraId="0DC4AD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5DF21385">
            <w:pPr>
              <w:widowControl/>
              <w:jc w:val="left"/>
              <w:rPr>
                <w:rFonts w:hint="eastAsia" w:ascii="宋体" w:hAnsi="宋体"/>
                <w:kern w:val="0"/>
                <w:szCs w:val="21"/>
              </w:rPr>
            </w:pPr>
          </w:p>
        </w:tc>
        <w:tc>
          <w:tcPr>
            <w:tcW w:w="1275" w:type="dxa"/>
            <w:tcBorders>
              <w:top w:val="single" w:color="auto" w:sz="4" w:space="0"/>
              <w:left w:val="single" w:color="auto" w:sz="4" w:space="0"/>
              <w:bottom w:val="single" w:color="auto" w:sz="4" w:space="0"/>
              <w:right w:val="single" w:color="auto" w:sz="4" w:space="0"/>
            </w:tcBorders>
            <w:vAlign w:val="center"/>
          </w:tcPr>
          <w:p w14:paraId="2AE3CB2E">
            <w:pPr>
              <w:spacing w:line="240" w:lineRule="exact"/>
              <w:jc w:val="center"/>
              <w:rPr>
                <w:rFonts w:hint="eastAsia" w:ascii="宋体" w:hAnsi="宋体"/>
                <w:kern w:val="0"/>
                <w:szCs w:val="21"/>
              </w:rPr>
            </w:pPr>
            <w:r>
              <w:rPr>
                <w:rFonts w:hint="eastAsia" w:ascii="宋体" w:hAnsi="宋体"/>
                <w:kern w:val="0"/>
                <w:szCs w:val="21"/>
              </w:rPr>
              <w:t>林格曼黑度</w:t>
            </w:r>
          </w:p>
        </w:tc>
        <w:tc>
          <w:tcPr>
            <w:tcW w:w="1832" w:type="dxa"/>
            <w:tcBorders>
              <w:top w:val="single" w:color="auto" w:sz="4" w:space="0"/>
              <w:left w:val="single" w:color="auto" w:sz="4" w:space="0"/>
              <w:bottom w:val="single" w:color="auto" w:sz="4" w:space="0"/>
              <w:right w:val="single" w:color="auto" w:sz="4" w:space="0"/>
            </w:tcBorders>
            <w:vAlign w:val="center"/>
          </w:tcPr>
          <w:p w14:paraId="7FF672D5">
            <w:pPr>
              <w:spacing w:line="240" w:lineRule="exact"/>
              <w:jc w:val="center"/>
              <w:rPr>
                <w:rFonts w:hint="eastAsia" w:ascii="宋体" w:hAnsi="宋体"/>
                <w:kern w:val="0"/>
                <w:szCs w:val="21"/>
              </w:rPr>
            </w:pPr>
            <w:r>
              <w:rPr>
                <w:rFonts w:hint="eastAsia" w:ascii="宋体" w:hAnsi="宋体"/>
                <w:kern w:val="0"/>
                <w:szCs w:val="21"/>
              </w:rPr>
              <w:t>＜1</w:t>
            </w:r>
          </w:p>
        </w:tc>
        <w:tc>
          <w:tcPr>
            <w:tcW w:w="1287" w:type="dxa"/>
            <w:tcBorders>
              <w:top w:val="single" w:color="auto" w:sz="4" w:space="0"/>
              <w:left w:val="single" w:color="auto" w:sz="4" w:space="0"/>
              <w:bottom w:val="single" w:color="auto" w:sz="4" w:space="0"/>
              <w:right w:val="single" w:color="auto" w:sz="4" w:space="0"/>
            </w:tcBorders>
            <w:vAlign w:val="center"/>
          </w:tcPr>
          <w:p w14:paraId="2CA04E64">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1CEC134B">
            <w:pPr>
              <w:spacing w:line="240" w:lineRule="exact"/>
              <w:jc w:val="center"/>
              <w:rPr>
                <w:rFonts w:hint="eastAsia" w:ascii="宋体" w:hAnsi="宋体"/>
                <w:kern w:val="0"/>
                <w:szCs w:val="21"/>
              </w:rPr>
            </w:pPr>
            <w:r>
              <w:rPr>
                <w:rFonts w:hint="eastAsia" w:ascii="宋体" w:hAnsi="宋体"/>
                <w:kern w:val="0"/>
                <w:szCs w:val="21"/>
              </w:rPr>
              <w:t>/</w:t>
            </w:r>
          </w:p>
        </w:tc>
        <w:tc>
          <w:tcPr>
            <w:tcW w:w="1170" w:type="dxa"/>
            <w:tcBorders>
              <w:top w:val="single" w:color="auto" w:sz="4" w:space="0"/>
              <w:left w:val="single" w:color="auto" w:sz="4" w:space="0"/>
              <w:bottom w:val="single" w:color="auto" w:sz="4" w:space="0"/>
              <w:right w:val="single" w:color="auto" w:sz="4" w:space="0"/>
            </w:tcBorders>
            <w:vAlign w:val="center"/>
          </w:tcPr>
          <w:p w14:paraId="27ACEA3B">
            <w:pPr>
              <w:spacing w:line="240" w:lineRule="exact"/>
              <w:jc w:val="center"/>
              <w:rPr>
                <w:rFonts w:hint="eastAsia" w:ascii="宋体" w:hAnsi="宋体"/>
                <w:kern w:val="0"/>
                <w:szCs w:val="21"/>
              </w:rPr>
            </w:pPr>
            <w:r>
              <w:rPr>
                <w:rFonts w:hint="eastAsia" w:ascii="宋体" w:hAnsi="宋体"/>
                <w:kern w:val="0"/>
                <w:szCs w:val="21"/>
              </w:rPr>
              <w:t>1</w:t>
            </w:r>
          </w:p>
        </w:tc>
        <w:tc>
          <w:tcPr>
            <w:tcW w:w="728" w:type="dxa"/>
            <w:tcBorders>
              <w:top w:val="single" w:color="auto" w:sz="4" w:space="0"/>
              <w:left w:val="single" w:color="auto" w:sz="4" w:space="0"/>
              <w:bottom w:val="single" w:color="auto" w:sz="4" w:space="0"/>
              <w:right w:val="nil"/>
            </w:tcBorders>
            <w:vAlign w:val="center"/>
          </w:tcPr>
          <w:p w14:paraId="2FA2A5F0">
            <w:pPr>
              <w:spacing w:line="240" w:lineRule="exact"/>
              <w:jc w:val="center"/>
              <w:rPr>
                <w:rFonts w:hint="eastAsia" w:ascii="宋体" w:hAnsi="宋体"/>
                <w:kern w:val="0"/>
                <w:szCs w:val="21"/>
              </w:rPr>
            </w:pPr>
            <w:r>
              <w:rPr>
                <w:rFonts w:hint="eastAsia" w:ascii="宋体" w:hAnsi="宋体"/>
                <w:kern w:val="0"/>
                <w:szCs w:val="21"/>
              </w:rPr>
              <w:t>达标</w:t>
            </w:r>
          </w:p>
        </w:tc>
      </w:tr>
      <w:tr w14:paraId="5AAF41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restart"/>
            <w:tcBorders>
              <w:top w:val="single" w:color="auto" w:sz="4" w:space="0"/>
              <w:left w:val="nil"/>
              <w:bottom w:val="single" w:color="auto" w:sz="4" w:space="0"/>
              <w:right w:val="single" w:color="auto" w:sz="4" w:space="0"/>
            </w:tcBorders>
            <w:vAlign w:val="center"/>
          </w:tcPr>
          <w:p w14:paraId="4D325C4C">
            <w:pPr>
              <w:spacing w:line="240" w:lineRule="exact"/>
              <w:jc w:val="center"/>
              <w:rPr>
                <w:rFonts w:hint="eastAsia" w:ascii="宋体" w:hAnsi="宋体"/>
                <w:kern w:val="0"/>
                <w:szCs w:val="21"/>
              </w:rPr>
            </w:pPr>
            <w:r>
              <w:rPr>
                <w:rFonts w:hint="eastAsia" w:ascii="宋体" w:hAnsi="宋体"/>
                <w:bCs/>
                <w:kern w:val="0"/>
                <w:szCs w:val="21"/>
              </w:rPr>
              <w:t>页岩油联合站1#多功能处理器2#燃烧器</w:t>
            </w:r>
            <w:r>
              <w:rPr>
                <w:rFonts w:hint="eastAsia" w:ascii="宋体" w:hAnsi="宋体"/>
                <w:kern w:val="0"/>
                <w:szCs w:val="21"/>
              </w:rPr>
              <w:t>（2024.5.10）</w:t>
            </w: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200BA7E1">
            <w:pPr>
              <w:spacing w:line="240" w:lineRule="exact"/>
              <w:jc w:val="center"/>
              <w:rPr>
                <w:rFonts w:hint="eastAsia" w:ascii="宋体" w:hAnsi="宋体"/>
                <w:kern w:val="0"/>
                <w:szCs w:val="21"/>
              </w:rPr>
            </w:pPr>
            <w:r>
              <w:rPr>
                <w:rFonts w:hint="eastAsia" w:ascii="宋体" w:hAnsi="宋体"/>
                <w:kern w:val="0"/>
                <w:szCs w:val="21"/>
              </w:rPr>
              <w:t>二氧化硫</w:t>
            </w:r>
          </w:p>
        </w:tc>
        <w:tc>
          <w:tcPr>
            <w:tcW w:w="1832" w:type="dxa"/>
            <w:tcBorders>
              <w:top w:val="single" w:color="auto" w:sz="4" w:space="0"/>
              <w:left w:val="single" w:color="auto" w:sz="4" w:space="0"/>
              <w:bottom w:val="single" w:color="auto" w:sz="4" w:space="0"/>
              <w:right w:val="single" w:color="auto" w:sz="4" w:space="0"/>
            </w:tcBorders>
            <w:vAlign w:val="center"/>
          </w:tcPr>
          <w:p w14:paraId="7A341529">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3B1CCF77">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5B4FCE96">
            <w:pPr>
              <w:spacing w:line="240" w:lineRule="exact"/>
              <w:jc w:val="center"/>
              <w:rPr>
                <w:rFonts w:hint="eastAsia" w:ascii="宋体" w:hAnsi="宋体"/>
                <w:kern w:val="0"/>
                <w:szCs w:val="21"/>
              </w:rPr>
            </w:pPr>
            <w:r>
              <w:rPr>
                <w:rFonts w:hint="eastAsia" w:ascii="宋体" w:hAnsi="宋体"/>
                <w:kern w:val="0"/>
                <w:szCs w:val="21"/>
              </w:rPr>
              <w:t>2084</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1FB53FD7">
            <w:pPr>
              <w:spacing w:line="240" w:lineRule="exact"/>
              <w:jc w:val="center"/>
              <w:rPr>
                <w:rFonts w:hint="eastAsia" w:ascii="宋体" w:hAnsi="宋体"/>
                <w:kern w:val="0"/>
                <w:szCs w:val="21"/>
              </w:rPr>
            </w:pPr>
            <w:r>
              <w:rPr>
                <w:rFonts w:hint="eastAsia" w:ascii="宋体" w:hAnsi="宋体"/>
                <w:kern w:val="0"/>
                <w:szCs w:val="21"/>
              </w:rPr>
              <w:t>50</w:t>
            </w:r>
          </w:p>
        </w:tc>
        <w:tc>
          <w:tcPr>
            <w:tcW w:w="728" w:type="dxa"/>
            <w:tcBorders>
              <w:top w:val="single" w:color="auto" w:sz="4" w:space="0"/>
              <w:left w:val="single" w:color="auto" w:sz="4" w:space="0"/>
              <w:bottom w:val="single" w:color="auto" w:sz="4" w:space="0"/>
              <w:right w:val="nil"/>
            </w:tcBorders>
            <w:vAlign w:val="center"/>
          </w:tcPr>
          <w:p w14:paraId="075ECB70">
            <w:pPr>
              <w:spacing w:line="240" w:lineRule="exact"/>
              <w:jc w:val="center"/>
              <w:rPr>
                <w:rFonts w:hint="eastAsia" w:ascii="宋体" w:hAnsi="宋体"/>
                <w:kern w:val="0"/>
                <w:szCs w:val="21"/>
              </w:rPr>
            </w:pPr>
            <w:r>
              <w:rPr>
                <w:rFonts w:hint="eastAsia" w:ascii="宋体" w:hAnsi="宋体"/>
                <w:kern w:val="0"/>
                <w:szCs w:val="21"/>
              </w:rPr>
              <w:t>达标</w:t>
            </w:r>
          </w:p>
        </w:tc>
      </w:tr>
      <w:tr w14:paraId="2D291F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10666175">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42B583FF">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489593D8">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2D55A6E1">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49EFBE4F">
            <w:pPr>
              <w:spacing w:line="240" w:lineRule="exact"/>
              <w:jc w:val="center"/>
              <w:rPr>
                <w:rFonts w:hint="eastAsia" w:ascii="宋体" w:hAnsi="宋体"/>
                <w:kern w:val="0"/>
                <w:szCs w:val="21"/>
              </w:rPr>
            </w:pPr>
            <w:r>
              <w:rPr>
                <w:rFonts w:hint="eastAsia" w:ascii="宋体" w:hAnsi="宋体"/>
                <w:kern w:val="0"/>
                <w:szCs w:val="21"/>
              </w:rPr>
              <w:t>2018</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0D64BBDD">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C87B49F">
            <w:pPr>
              <w:spacing w:line="240" w:lineRule="exact"/>
              <w:jc w:val="center"/>
              <w:rPr>
                <w:rFonts w:hint="eastAsia" w:ascii="宋体" w:hAnsi="宋体"/>
                <w:kern w:val="0"/>
                <w:szCs w:val="21"/>
              </w:rPr>
            </w:pPr>
            <w:r>
              <w:rPr>
                <w:rFonts w:hint="eastAsia" w:ascii="宋体" w:hAnsi="宋体"/>
                <w:kern w:val="0"/>
                <w:szCs w:val="21"/>
              </w:rPr>
              <w:t>达标</w:t>
            </w:r>
          </w:p>
        </w:tc>
      </w:tr>
      <w:tr w14:paraId="6205AE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1DA8DAB2">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71DA968F">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69CED91E">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3F6C46C4">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37E39223">
            <w:pPr>
              <w:spacing w:line="240" w:lineRule="exact"/>
              <w:jc w:val="center"/>
              <w:rPr>
                <w:rFonts w:hint="eastAsia" w:ascii="宋体" w:hAnsi="宋体"/>
                <w:kern w:val="0"/>
                <w:szCs w:val="21"/>
              </w:rPr>
            </w:pPr>
            <w:r>
              <w:rPr>
                <w:rFonts w:hint="eastAsia" w:ascii="宋体" w:hAnsi="宋体"/>
                <w:kern w:val="0"/>
                <w:szCs w:val="21"/>
              </w:rPr>
              <w:t>1882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306A26C0">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735D6C03">
            <w:pPr>
              <w:spacing w:line="240" w:lineRule="exact"/>
              <w:jc w:val="center"/>
              <w:rPr>
                <w:rFonts w:hint="eastAsia" w:ascii="宋体" w:hAnsi="宋体"/>
                <w:kern w:val="0"/>
                <w:szCs w:val="21"/>
              </w:rPr>
            </w:pPr>
            <w:r>
              <w:rPr>
                <w:rFonts w:hint="eastAsia" w:ascii="宋体" w:hAnsi="宋体"/>
                <w:kern w:val="0"/>
                <w:szCs w:val="21"/>
              </w:rPr>
              <w:t>达标</w:t>
            </w:r>
          </w:p>
        </w:tc>
      </w:tr>
      <w:tr w14:paraId="622C06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EFA63CF">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36D3A32A">
            <w:pPr>
              <w:spacing w:line="240" w:lineRule="exact"/>
              <w:jc w:val="center"/>
              <w:rPr>
                <w:rFonts w:hint="eastAsia" w:ascii="宋体" w:hAnsi="宋体"/>
                <w:kern w:val="0"/>
                <w:szCs w:val="21"/>
              </w:rPr>
            </w:pPr>
            <w:r>
              <w:rPr>
                <w:rFonts w:hint="eastAsia" w:ascii="宋体" w:hAnsi="宋体"/>
                <w:kern w:val="0"/>
                <w:szCs w:val="21"/>
              </w:rPr>
              <w:t>氮氧化物</w:t>
            </w:r>
          </w:p>
        </w:tc>
        <w:tc>
          <w:tcPr>
            <w:tcW w:w="1832" w:type="dxa"/>
            <w:tcBorders>
              <w:top w:val="single" w:color="auto" w:sz="4" w:space="0"/>
              <w:left w:val="single" w:color="auto" w:sz="4" w:space="0"/>
              <w:bottom w:val="single" w:color="auto" w:sz="4" w:space="0"/>
              <w:right w:val="single" w:color="auto" w:sz="4" w:space="0"/>
            </w:tcBorders>
            <w:vAlign w:val="center"/>
          </w:tcPr>
          <w:p w14:paraId="7027471D">
            <w:pPr>
              <w:spacing w:line="240" w:lineRule="exact"/>
              <w:jc w:val="center"/>
              <w:rPr>
                <w:rFonts w:hint="eastAsia" w:ascii="宋体" w:hAnsi="宋体"/>
                <w:kern w:val="0"/>
                <w:szCs w:val="21"/>
              </w:rPr>
            </w:pPr>
            <w:r>
              <w:rPr>
                <w:rFonts w:hint="eastAsia" w:ascii="宋体" w:hAnsi="宋体"/>
                <w:kern w:val="0"/>
                <w:szCs w:val="21"/>
              </w:rPr>
              <w:t>146</w:t>
            </w:r>
          </w:p>
        </w:tc>
        <w:tc>
          <w:tcPr>
            <w:tcW w:w="1287" w:type="dxa"/>
            <w:tcBorders>
              <w:top w:val="single" w:color="auto" w:sz="4" w:space="0"/>
              <w:left w:val="single" w:color="auto" w:sz="4" w:space="0"/>
              <w:bottom w:val="single" w:color="auto" w:sz="4" w:space="0"/>
              <w:right w:val="single" w:color="auto" w:sz="4" w:space="0"/>
            </w:tcBorders>
            <w:vAlign w:val="center"/>
          </w:tcPr>
          <w:p w14:paraId="2DE020F7">
            <w:pPr>
              <w:spacing w:line="240" w:lineRule="exact"/>
              <w:jc w:val="center"/>
              <w:rPr>
                <w:rFonts w:hint="eastAsia" w:ascii="宋体" w:hAnsi="宋体"/>
                <w:kern w:val="0"/>
                <w:szCs w:val="21"/>
              </w:rPr>
            </w:pPr>
            <w:r>
              <w:rPr>
                <w:rFonts w:hint="eastAsia" w:ascii="宋体" w:hAnsi="宋体"/>
                <w:kern w:val="0"/>
                <w:szCs w:val="21"/>
              </w:rPr>
              <w:t>0.21</w:t>
            </w:r>
          </w:p>
        </w:tc>
        <w:tc>
          <w:tcPr>
            <w:tcW w:w="1446" w:type="dxa"/>
            <w:tcBorders>
              <w:top w:val="single" w:color="auto" w:sz="4" w:space="0"/>
              <w:left w:val="single" w:color="auto" w:sz="4" w:space="0"/>
              <w:bottom w:val="single" w:color="auto" w:sz="4" w:space="0"/>
              <w:right w:val="single" w:color="auto" w:sz="4" w:space="0"/>
            </w:tcBorders>
            <w:vAlign w:val="center"/>
          </w:tcPr>
          <w:p w14:paraId="0A5D8045">
            <w:pPr>
              <w:spacing w:line="240" w:lineRule="exact"/>
              <w:jc w:val="center"/>
              <w:rPr>
                <w:rFonts w:hint="eastAsia" w:ascii="宋体" w:hAnsi="宋体"/>
                <w:kern w:val="0"/>
                <w:szCs w:val="21"/>
              </w:rPr>
            </w:pPr>
            <w:r>
              <w:rPr>
                <w:rFonts w:hint="eastAsia" w:ascii="宋体" w:hAnsi="宋体"/>
                <w:kern w:val="0"/>
                <w:szCs w:val="21"/>
              </w:rPr>
              <w:t>2084</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400E970E">
            <w:pPr>
              <w:spacing w:line="240" w:lineRule="exact"/>
              <w:jc w:val="center"/>
              <w:rPr>
                <w:rFonts w:hint="eastAsia" w:ascii="宋体" w:hAnsi="宋体"/>
                <w:kern w:val="0"/>
                <w:szCs w:val="21"/>
              </w:rPr>
            </w:pPr>
            <w:r>
              <w:rPr>
                <w:rFonts w:hint="eastAsia" w:ascii="宋体" w:hAnsi="宋体"/>
                <w:kern w:val="0"/>
                <w:szCs w:val="21"/>
              </w:rPr>
              <w:t>200</w:t>
            </w:r>
          </w:p>
        </w:tc>
        <w:tc>
          <w:tcPr>
            <w:tcW w:w="728" w:type="dxa"/>
            <w:tcBorders>
              <w:top w:val="single" w:color="auto" w:sz="4" w:space="0"/>
              <w:left w:val="single" w:color="auto" w:sz="4" w:space="0"/>
              <w:bottom w:val="single" w:color="auto" w:sz="4" w:space="0"/>
              <w:right w:val="nil"/>
            </w:tcBorders>
            <w:vAlign w:val="center"/>
          </w:tcPr>
          <w:p w14:paraId="0AC5D293">
            <w:pPr>
              <w:spacing w:line="240" w:lineRule="exact"/>
              <w:jc w:val="center"/>
              <w:rPr>
                <w:rFonts w:hint="eastAsia" w:ascii="宋体" w:hAnsi="宋体"/>
                <w:kern w:val="0"/>
                <w:szCs w:val="21"/>
              </w:rPr>
            </w:pPr>
            <w:r>
              <w:rPr>
                <w:rFonts w:hint="eastAsia" w:ascii="宋体" w:hAnsi="宋体"/>
                <w:kern w:val="0"/>
                <w:szCs w:val="21"/>
              </w:rPr>
              <w:t>达标</w:t>
            </w:r>
          </w:p>
        </w:tc>
      </w:tr>
      <w:tr w14:paraId="22231E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4E0BDA2D">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37BDD5CD">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08BFF111">
            <w:pPr>
              <w:spacing w:line="240" w:lineRule="exact"/>
              <w:jc w:val="center"/>
              <w:rPr>
                <w:rFonts w:hint="eastAsia" w:ascii="宋体" w:hAnsi="宋体"/>
                <w:kern w:val="0"/>
                <w:szCs w:val="21"/>
              </w:rPr>
            </w:pPr>
            <w:r>
              <w:rPr>
                <w:rFonts w:hint="eastAsia" w:ascii="宋体" w:hAnsi="宋体"/>
                <w:kern w:val="0"/>
                <w:szCs w:val="21"/>
              </w:rPr>
              <w:t>144</w:t>
            </w:r>
          </w:p>
        </w:tc>
        <w:tc>
          <w:tcPr>
            <w:tcW w:w="1287" w:type="dxa"/>
            <w:tcBorders>
              <w:top w:val="single" w:color="auto" w:sz="4" w:space="0"/>
              <w:left w:val="single" w:color="auto" w:sz="4" w:space="0"/>
              <w:bottom w:val="single" w:color="auto" w:sz="4" w:space="0"/>
              <w:right w:val="single" w:color="auto" w:sz="4" w:space="0"/>
            </w:tcBorders>
            <w:vAlign w:val="center"/>
          </w:tcPr>
          <w:p w14:paraId="468FD99D">
            <w:pPr>
              <w:spacing w:line="240" w:lineRule="exact"/>
              <w:jc w:val="center"/>
              <w:rPr>
                <w:rFonts w:hint="eastAsia" w:ascii="宋体" w:hAnsi="宋体"/>
                <w:kern w:val="0"/>
                <w:szCs w:val="21"/>
              </w:rPr>
            </w:pPr>
            <w:r>
              <w:rPr>
                <w:rFonts w:hint="eastAsia" w:ascii="宋体" w:hAnsi="宋体"/>
                <w:kern w:val="0"/>
                <w:szCs w:val="21"/>
              </w:rPr>
              <w:t>0.20</w:t>
            </w:r>
          </w:p>
        </w:tc>
        <w:tc>
          <w:tcPr>
            <w:tcW w:w="1446" w:type="dxa"/>
            <w:tcBorders>
              <w:top w:val="single" w:color="auto" w:sz="4" w:space="0"/>
              <w:left w:val="single" w:color="auto" w:sz="4" w:space="0"/>
              <w:bottom w:val="single" w:color="auto" w:sz="4" w:space="0"/>
              <w:right w:val="single" w:color="auto" w:sz="4" w:space="0"/>
            </w:tcBorders>
            <w:vAlign w:val="center"/>
          </w:tcPr>
          <w:p w14:paraId="179C3DF8">
            <w:pPr>
              <w:spacing w:line="240" w:lineRule="exact"/>
              <w:jc w:val="center"/>
              <w:rPr>
                <w:rFonts w:hint="eastAsia" w:ascii="宋体" w:hAnsi="宋体"/>
                <w:kern w:val="0"/>
                <w:szCs w:val="21"/>
              </w:rPr>
            </w:pPr>
            <w:r>
              <w:rPr>
                <w:rFonts w:hint="eastAsia" w:ascii="宋体" w:hAnsi="宋体"/>
                <w:kern w:val="0"/>
                <w:szCs w:val="21"/>
              </w:rPr>
              <w:t>2018</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60021614">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4B15E5F1">
            <w:pPr>
              <w:spacing w:line="240" w:lineRule="exact"/>
              <w:jc w:val="center"/>
              <w:rPr>
                <w:rFonts w:hint="eastAsia" w:ascii="宋体" w:hAnsi="宋体"/>
                <w:kern w:val="0"/>
                <w:szCs w:val="21"/>
              </w:rPr>
            </w:pPr>
            <w:r>
              <w:rPr>
                <w:rFonts w:hint="eastAsia" w:ascii="宋体" w:hAnsi="宋体"/>
                <w:kern w:val="0"/>
                <w:szCs w:val="21"/>
              </w:rPr>
              <w:t>达标</w:t>
            </w:r>
          </w:p>
        </w:tc>
      </w:tr>
      <w:tr w14:paraId="278A62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3864466D">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79EE8F46">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4FFB5BCD">
            <w:pPr>
              <w:spacing w:line="240" w:lineRule="exact"/>
              <w:jc w:val="center"/>
              <w:rPr>
                <w:rFonts w:hint="eastAsia" w:ascii="宋体" w:hAnsi="宋体"/>
                <w:kern w:val="0"/>
                <w:szCs w:val="21"/>
              </w:rPr>
            </w:pPr>
            <w:r>
              <w:rPr>
                <w:rFonts w:hint="eastAsia" w:ascii="宋体" w:hAnsi="宋体"/>
                <w:kern w:val="0"/>
                <w:szCs w:val="21"/>
              </w:rPr>
              <w:t>139</w:t>
            </w:r>
          </w:p>
        </w:tc>
        <w:tc>
          <w:tcPr>
            <w:tcW w:w="1287" w:type="dxa"/>
            <w:tcBorders>
              <w:top w:val="single" w:color="auto" w:sz="4" w:space="0"/>
              <w:left w:val="single" w:color="auto" w:sz="4" w:space="0"/>
              <w:bottom w:val="single" w:color="auto" w:sz="4" w:space="0"/>
              <w:right w:val="single" w:color="auto" w:sz="4" w:space="0"/>
            </w:tcBorders>
            <w:vAlign w:val="center"/>
          </w:tcPr>
          <w:p w14:paraId="78FDAC8C">
            <w:pPr>
              <w:spacing w:line="240" w:lineRule="exact"/>
              <w:jc w:val="center"/>
              <w:rPr>
                <w:rFonts w:hint="eastAsia" w:ascii="宋体" w:hAnsi="宋体"/>
                <w:kern w:val="0"/>
                <w:szCs w:val="21"/>
              </w:rPr>
            </w:pPr>
            <w:r>
              <w:rPr>
                <w:rFonts w:hint="eastAsia" w:ascii="宋体" w:hAnsi="宋体"/>
                <w:kern w:val="0"/>
                <w:szCs w:val="21"/>
              </w:rPr>
              <w:t>0.17</w:t>
            </w:r>
          </w:p>
        </w:tc>
        <w:tc>
          <w:tcPr>
            <w:tcW w:w="1446" w:type="dxa"/>
            <w:tcBorders>
              <w:top w:val="single" w:color="auto" w:sz="4" w:space="0"/>
              <w:left w:val="single" w:color="auto" w:sz="4" w:space="0"/>
              <w:bottom w:val="single" w:color="auto" w:sz="4" w:space="0"/>
              <w:right w:val="single" w:color="auto" w:sz="4" w:space="0"/>
            </w:tcBorders>
            <w:vAlign w:val="center"/>
          </w:tcPr>
          <w:p w14:paraId="36D17856">
            <w:pPr>
              <w:spacing w:line="240" w:lineRule="exact"/>
              <w:jc w:val="center"/>
              <w:rPr>
                <w:rFonts w:hint="eastAsia" w:ascii="宋体" w:hAnsi="宋体"/>
                <w:kern w:val="0"/>
                <w:szCs w:val="21"/>
              </w:rPr>
            </w:pPr>
            <w:r>
              <w:rPr>
                <w:rFonts w:hint="eastAsia" w:ascii="宋体" w:hAnsi="宋体"/>
                <w:kern w:val="0"/>
                <w:szCs w:val="21"/>
              </w:rPr>
              <w:t>1882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1D02504A">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7CCEE093">
            <w:pPr>
              <w:spacing w:line="240" w:lineRule="exact"/>
              <w:jc w:val="center"/>
              <w:rPr>
                <w:rFonts w:hint="eastAsia" w:ascii="宋体" w:hAnsi="宋体"/>
                <w:kern w:val="0"/>
                <w:szCs w:val="21"/>
              </w:rPr>
            </w:pPr>
            <w:r>
              <w:rPr>
                <w:rFonts w:hint="eastAsia" w:ascii="宋体" w:hAnsi="宋体"/>
                <w:kern w:val="0"/>
                <w:szCs w:val="21"/>
              </w:rPr>
              <w:t>达标</w:t>
            </w:r>
          </w:p>
        </w:tc>
      </w:tr>
      <w:tr w14:paraId="753B22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2EC401D">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3C644019">
            <w:pPr>
              <w:spacing w:line="240" w:lineRule="exact"/>
              <w:jc w:val="center"/>
              <w:rPr>
                <w:rFonts w:hint="eastAsia" w:ascii="宋体" w:hAnsi="宋体"/>
                <w:kern w:val="0"/>
                <w:szCs w:val="21"/>
              </w:rPr>
            </w:pPr>
            <w:r>
              <w:rPr>
                <w:rFonts w:hint="eastAsia" w:ascii="宋体" w:hAnsi="宋体"/>
                <w:kern w:val="0"/>
                <w:szCs w:val="21"/>
              </w:rPr>
              <w:t>颗粒物</w:t>
            </w:r>
          </w:p>
        </w:tc>
        <w:tc>
          <w:tcPr>
            <w:tcW w:w="1832" w:type="dxa"/>
            <w:tcBorders>
              <w:top w:val="single" w:color="auto" w:sz="4" w:space="0"/>
              <w:left w:val="single" w:color="auto" w:sz="4" w:space="0"/>
              <w:bottom w:val="single" w:color="auto" w:sz="4" w:space="0"/>
              <w:right w:val="single" w:color="auto" w:sz="4" w:space="0"/>
            </w:tcBorders>
            <w:vAlign w:val="center"/>
          </w:tcPr>
          <w:p w14:paraId="6CFBD553">
            <w:pPr>
              <w:spacing w:line="240" w:lineRule="exact"/>
              <w:jc w:val="center"/>
              <w:rPr>
                <w:rFonts w:hint="eastAsia" w:ascii="宋体" w:hAnsi="宋体"/>
                <w:kern w:val="0"/>
                <w:szCs w:val="21"/>
              </w:rPr>
            </w:pPr>
            <w:r>
              <w:rPr>
                <w:rFonts w:hint="eastAsia" w:ascii="宋体" w:hAnsi="宋体"/>
                <w:kern w:val="0"/>
                <w:szCs w:val="21"/>
              </w:rPr>
              <w:t>1.8</w:t>
            </w:r>
          </w:p>
        </w:tc>
        <w:tc>
          <w:tcPr>
            <w:tcW w:w="1287" w:type="dxa"/>
            <w:tcBorders>
              <w:top w:val="single" w:color="auto" w:sz="4" w:space="0"/>
              <w:left w:val="single" w:color="auto" w:sz="4" w:space="0"/>
              <w:bottom w:val="single" w:color="auto" w:sz="4" w:space="0"/>
              <w:right w:val="single" w:color="auto" w:sz="4" w:space="0"/>
            </w:tcBorders>
            <w:vAlign w:val="center"/>
          </w:tcPr>
          <w:p w14:paraId="1433C49F">
            <w:pPr>
              <w:spacing w:line="240" w:lineRule="exact"/>
              <w:jc w:val="center"/>
              <w:rPr>
                <w:rFonts w:hint="eastAsia" w:ascii="宋体" w:hAnsi="宋体"/>
                <w:kern w:val="0"/>
                <w:szCs w:val="21"/>
              </w:rPr>
            </w:pPr>
            <w:r>
              <w:rPr>
                <w:rFonts w:hint="eastAsia" w:ascii="宋体" w:hAnsi="宋体"/>
                <w:kern w:val="0"/>
                <w:szCs w:val="21"/>
              </w:rPr>
              <w:t>2.5×10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210AB7CB">
            <w:pPr>
              <w:spacing w:line="240" w:lineRule="exact"/>
              <w:jc w:val="center"/>
              <w:rPr>
                <w:rFonts w:hint="eastAsia" w:ascii="宋体" w:hAnsi="宋体"/>
                <w:kern w:val="0"/>
                <w:szCs w:val="21"/>
              </w:rPr>
            </w:pPr>
            <w:r>
              <w:rPr>
                <w:rFonts w:hint="eastAsia" w:ascii="宋体" w:hAnsi="宋体"/>
                <w:kern w:val="0"/>
                <w:szCs w:val="21"/>
              </w:rPr>
              <w:t>2084</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3339AAC8">
            <w:pPr>
              <w:spacing w:line="240" w:lineRule="exact"/>
              <w:jc w:val="center"/>
              <w:rPr>
                <w:rFonts w:hint="eastAsia" w:ascii="宋体" w:hAnsi="宋体"/>
                <w:kern w:val="0"/>
                <w:szCs w:val="21"/>
              </w:rPr>
            </w:pPr>
            <w:r>
              <w:rPr>
                <w:rFonts w:hint="eastAsia" w:ascii="宋体" w:hAnsi="宋体"/>
                <w:kern w:val="0"/>
                <w:szCs w:val="21"/>
              </w:rPr>
              <w:t>20</w:t>
            </w:r>
          </w:p>
        </w:tc>
        <w:tc>
          <w:tcPr>
            <w:tcW w:w="728" w:type="dxa"/>
            <w:tcBorders>
              <w:top w:val="single" w:color="auto" w:sz="4" w:space="0"/>
              <w:left w:val="single" w:color="auto" w:sz="4" w:space="0"/>
              <w:bottom w:val="single" w:color="auto" w:sz="4" w:space="0"/>
              <w:right w:val="nil"/>
            </w:tcBorders>
            <w:vAlign w:val="center"/>
          </w:tcPr>
          <w:p w14:paraId="465991CC">
            <w:pPr>
              <w:spacing w:line="240" w:lineRule="exact"/>
              <w:jc w:val="center"/>
              <w:rPr>
                <w:rFonts w:hint="eastAsia" w:ascii="宋体" w:hAnsi="宋体"/>
                <w:kern w:val="0"/>
                <w:szCs w:val="21"/>
              </w:rPr>
            </w:pPr>
            <w:r>
              <w:rPr>
                <w:rFonts w:hint="eastAsia" w:ascii="宋体" w:hAnsi="宋体"/>
                <w:kern w:val="0"/>
                <w:szCs w:val="21"/>
              </w:rPr>
              <w:t>达标</w:t>
            </w:r>
          </w:p>
        </w:tc>
      </w:tr>
      <w:tr w14:paraId="784E80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78A60386">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13E212DC">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62FA3A0B">
            <w:pPr>
              <w:spacing w:line="240" w:lineRule="exact"/>
              <w:jc w:val="center"/>
              <w:rPr>
                <w:rFonts w:hint="eastAsia" w:ascii="宋体" w:hAnsi="宋体"/>
                <w:kern w:val="0"/>
                <w:szCs w:val="21"/>
              </w:rPr>
            </w:pPr>
            <w:r>
              <w:rPr>
                <w:rFonts w:hint="eastAsia" w:ascii="宋体" w:hAnsi="宋体"/>
                <w:kern w:val="0"/>
                <w:szCs w:val="21"/>
              </w:rPr>
              <w:t>2.2</w:t>
            </w:r>
          </w:p>
        </w:tc>
        <w:tc>
          <w:tcPr>
            <w:tcW w:w="1287" w:type="dxa"/>
            <w:tcBorders>
              <w:top w:val="single" w:color="auto" w:sz="4" w:space="0"/>
              <w:left w:val="single" w:color="auto" w:sz="4" w:space="0"/>
              <w:bottom w:val="single" w:color="auto" w:sz="4" w:space="0"/>
              <w:right w:val="single" w:color="auto" w:sz="4" w:space="0"/>
            </w:tcBorders>
            <w:vAlign w:val="center"/>
          </w:tcPr>
          <w:p w14:paraId="349193B6">
            <w:pPr>
              <w:spacing w:line="240" w:lineRule="exact"/>
              <w:jc w:val="center"/>
              <w:rPr>
                <w:rFonts w:hint="eastAsia" w:ascii="宋体" w:hAnsi="宋体"/>
                <w:kern w:val="0"/>
                <w:szCs w:val="21"/>
              </w:rPr>
            </w:pPr>
            <w:r>
              <w:rPr>
                <w:rFonts w:hint="eastAsia" w:ascii="宋体" w:hAnsi="宋体"/>
                <w:kern w:val="0"/>
                <w:szCs w:val="21"/>
              </w:rPr>
              <w:t>3.0×10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4FDC6D2E">
            <w:pPr>
              <w:spacing w:line="240" w:lineRule="exact"/>
              <w:jc w:val="center"/>
              <w:rPr>
                <w:rFonts w:hint="eastAsia" w:ascii="宋体" w:hAnsi="宋体"/>
                <w:kern w:val="0"/>
                <w:szCs w:val="21"/>
              </w:rPr>
            </w:pPr>
            <w:r>
              <w:rPr>
                <w:rFonts w:hint="eastAsia" w:ascii="宋体" w:hAnsi="宋体"/>
                <w:kern w:val="0"/>
                <w:szCs w:val="21"/>
              </w:rPr>
              <w:t>2018</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5655632A">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24CA19DA">
            <w:pPr>
              <w:spacing w:line="240" w:lineRule="exact"/>
              <w:jc w:val="center"/>
              <w:rPr>
                <w:rFonts w:hint="eastAsia" w:ascii="宋体" w:hAnsi="宋体"/>
                <w:kern w:val="0"/>
                <w:szCs w:val="21"/>
              </w:rPr>
            </w:pPr>
            <w:r>
              <w:rPr>
                <w:rFonts w:hint="eastAsia" w:ascii="宋体" w:hAnsi="宋体"/>
                <w:kern w:val="0"/>
                <w:szCs w:val="21"/>
              </w:rPr>
              <w:t>达标</w:t>
            </w:r>
          </w:p>
        </w:tc>
      </w:tr>
      <w:tr w14:paraId="0E08F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76A9A8C8">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65BCEA14">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B6CF0FC">
            <w:pPr>
              <w:spacing w:line="240" w:lineRule="exact"/>
              <w:jc w:val="center"/>
              <w:rPr>
                <w:rFonts w:hint="eastAsia" w:ascii="宋体" w:hAnsi="宋体"/>
                <w:kern w:val="0"/>
                <w:szCs w:val="21"/>
              </w:rPr>
            </w:pPr>
            <w:r>
              <w:rPr>
                <w:rFonts w:hint="eastAsia" w:ascii="宋体" w:hAnsi="宋体"/>
                <w:kern w:val="0"/>
                <w:szCs w:val="21"/>
              </w:rPr>
              <w:t>3.2</w:t>
            </w:r>
          </w:p>
        </w:tc>
        <w:tc>
          <w:tcPr>
            <w:tcW w:w="1287" w:type="dxa"/>
            <w:tcBorders>
              <w:top w:val="single" w:color="auto" w:sz="4" w:space="0"/>
              <w:left w:val="single" w:color="auto" w:sz="4" w:space="0"/>
              <w:bottom w:val="single" w:color="auto" w:sz="4" w:space="0"/>
              <w:right w:val="single" w:color="auto" w:sz="4" w:space="0"/>
            </w:tcBorders>
            <w:vAlign w:val="center"/>
          </w:tcPr>
          <w:p w14:paraId="3D65C6B8">
            <w:pPr>
              <w:spacing w:line="240" w:lineRule="exact"/>
              <w:jc w:val="center"/>
              <w:rPr>
                <w:rFonts w:hint="eastAsia" w:ascii="宋体" w:hAnsi="宋体"/>
                <w:kern w:val="0"/>
                <w:szCs w:val="21"/>
              </w:rPr>
            </w:pPr>
            <w:r>
              <w:rPr>
                <w:rFonts w:hint="eastAsia" w:ascii="宋体" w:hAnsi="宋体"/>
                <w:kern w:val="0"/>
                <w:szCs w:val="21"/>
              </w:rPr>
              <w:t>4.0×10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04854C27">
            <w:pPr>
              <w:spacing w:line="240" w:lineRule="exact"/>
              <w:jc w:val="center"/>
              <w:rPr>
                <w:rFonts w:hint="eastAsia" w:ascii="宋体" w:hAnsi="宋体"/>
                <w:kern w:val="0"/>
                <w:szCs w:val="21"/>
              </w:rPr>
            </w:pPr>
            <w:r>
              <w:rPr>
                <w:rFonts w:hint="eastAsia" w:ascii="宋体" w:hAnsi="宋体"/>
                <w:kern w:val="0"/>
                <w:szCs w:val="21"/>
              </w:rPr>
              <w:t>1882</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08C71657">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58B0B47D">
            <w:pPr>
              <w:spacing w:line="240" w:lineRule="exact"/>
              <w:jc w:val="center"/>
              <w:rPr>
                <w:rFonts w:hint="eastAsia" w:ascii="宋体" w:hAnsi="宋体"/>
                <w:kern w:val="0"/>
                <w:szCs w:val="21"/>
              </w:rPr>
            </w:pPr>
            <w:r>
              <w:rPr>
                <w:rFonts w:hint="eastAsia" w:ascii="宋体" w:hAnsi="宋体"/>
                <w:kern w:val="0"/>
                <w:szCs w:val="21"/>
              </w:rPr>
              <w:t>达标</w:t>
            </w:r>
          </w:p>
        </w:tc>
      </w:tr>
      <w:tr w14:paraId="1E96DC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082C8AFD">
            <w:pPr>
              <w:widowControl/>
              <w:jc w:val="left"/>
              <w:rPr>
                <w:rFonts w:hint="eastAsia" w:ascii="宋体" w:hAnsi="宋体"/>
                <w:kern w:val="0"/>
                <w:szCs w:val="21"/>
              </w:rPr>
            </w:pPr>
          </w:p>
        </w:tc>
        <w:tc>
          <w:tcPr>
            <w:tcW w:w="1275" w:type="dxa"/>
            <w:tcBorders>
              <w:top w:val="single" w:color="auto" w:sz="4" w:space="0"/>
              <w:left w:val="single" w:color="auto" w:sz="4" w:space="0"/>
              <w:bottom w:val="single" w:color="auto" w:sz="4" w:space="0"/>
              <w:right w:val="single" w:color="auto" w:sz="4" w:space="0"/>
            </w:tcBorders>
            <w:vAlign w:val="center"/>
          </w:tcPr>
          <w:p w14:paraId="2FDCB92B">
            <w:pPr>
              <w:spacing w:line="240" w:lineRule="exact"/>
              <w:jc w:val="center"/>
              <w:rPr>
                <w:rFonts w:hint="eastAsia" w:ascii="宋体" w:hAnsi="宋体"/>
                <w:kern w:val="0"/>
                <w:szCs w:val="21"/>
              </w:rPr>
            </w:pPr>
            <w:r>
              <w:rPr>
                <w:rFonts w:hint="eastAsia" w:ascii="宋体" w:hAnsi="宋体"/>
                <w:kern w:val="0"/>
                <w:szCs w:val="21"/>
              </w:rPr>
              <w:t>林格曼黑度</w:t>
            </w:r>
          </w:p>
        </w:tc>
        <w:tc>
          <w:tcPr>
            <w:tcW w:w="1832" w:type="dxa"/>
            <w:tcBorders>
              <w:top w:val="single" w:color="auto" w:sz="4" w:space="0"/>
              <w:left w:val="single" w:color="auto" w:sz="4" w:space="0"/>
              <w:bottom w:val="single" w:color="auto" w:sz="4" w:space="0"/>
              <w:right w:val="single" w:color="auto" w:sz="4" w:space="0"/>
            </w:tcBorders>
            <w:vAlign w:val="center"/>
          </w:tcPr>
          <w:p w14:paraId="41B8755F">
            <w:pPr>
              <w:spacing w:line="240" w:lineRule="exact"/>
              <w:jc w:val="center"/>
              <w:rPr>
                <w:rFonts w:hint="eastAsia" w:ascii="宋体" w:hAnsi="宋体"/>
                <w:kern w:val="0"/>
                <w:szCs w:val="21"/>
              </w:rPr>
            </w:pPr>
            <w:r>
              <w:rPr>
                <w:rFonts w:hint="eastAsia" w:ascii="宋体" w:hAnsi="宋体"/>
                <w:kern w:val="0"/>
                <w:szCs w:val="21"/>
              </w:rPr>
              <w:t>＜1</w:t>
            </w:r>
          </w:p>
        </w:tc>
        <w:tc>
          <w:tcPr>
            <w:tcW w:w="1287" w:type="dxa"/>
            <w:tcBorders>
              <w:top w:val="single" w:color="auto" w:sz="4" w:space="0"/>
              <w:left w:val="single" w:color="auto" w:sz="4" w:space="0"/>
              <w:bottom w:val="single" w:color="auto" w:sz="4" w:space="0"/>
              <w:right w:val="single" w:color="auto" w:sz="4" w:space="0"/>
            </w:tcBorders>
            <w:vAlign w:val="center"/>
          </w:tcPr>
          <w:p w14:paraId="5C7B93AE">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0BDD4FB5">
            <w:pPr>
              <w:spacing w:line="240" w:lineRule="exact"/>
              <w:jc w:val="center"/>
              <w:rPr>
                <w:rFonts w:hint="eastAsia" w:ascii="宋体" w:hAnsi="宋体"/>
                <w:kern w:val="0"/>
                <w:szCs w:val="21"/>
              </w:rPr>
            </w:pPr>
            <w:r>
              <w:rPr>
                <w:rFonts w:hint="eastAsia" w:ascii="宋体" w:hAnsi="宋体"/>
                <w:kern w:val="0"/>
                <w:szCs w:val="21"/>
              </w:rPr>
              <w:t>/</w:t>
            </w:r>
          </w:p>
        </w:tc>
        <w:tc>
          <w:tcPr>
            <w:tcW w:w="1170" w:type="dxa"/>
            <w:tcBorders>
              <w:top w:val="single" w:color="auto" w:sz="4" w:space="0"/>
              <w:left w:val="single" w:color="auto" w:sz="4" w:space="0"/>
              <w:bottom w:val="single" w:color="auto" w:sz="4" w:space="0"/>
              <w:right w:val="single" w:color="auto" w:sz="4" w:space="0"/>
            </w:tcBorders>
            <w:vAlign w:val="center"/>
          </w:tcPr>
          <w:p w14:paraId="44478FE5">
            <w:pPr>
              <w:spacing w:line="240" w:lineRule="exact"/>
              <w:jc w:val="center"/>
              <w:rPr>
                <w:rFonts w:hint="eastAsia" w:ascii="宋体" w:hAnsi="宋体"/>
                <w:kern w:val="0"/>
                <w:szCs w:val="21"/>
              </w:rPr>
            </w:pPr>
            <w:r>
              <w:rPr>
                <w:rFonts w:hint="eastAsia" w:ascii="宋体" w:hAnsi="宋体"/>
                <w:kern w:val="0"/>
                <w:szCs w:val="21"/>
              </w:rPr>
              <w:t>1</w:t>
            </w:r>
          </w:p>
        </w:tc>
        <w:tc>
          <w:tcPr>
            <w:tcW w:w="728" w:type="dxa"/>
            <w:tcBorders>
              <w:top w:val="single" w:color="auto" w:sz="4" w:space="0"/>
              <w:left w:val="single" w:color="auto" w:sz="4" w:space="0"/>
              <w:bottom w:val="single" w:color="auto" w:sz="4" w:space="0"/>
              <w:right w:val="nil"/>
            </w:tcBorders>
            <w:vAlign w:val="center"/>
          </w:tcPr>
          <w:p w14:paraId="0868266D">
            <w:pPr>
              <w:spacing w:line="240" w:lineRule="exact"/>
              <w:jc w:val="center"/>
              <w:rPr>
                <w:rFonts w:hint="eastAsia" w:ascii="宋体" w:hAnsi="宋体"/>
                <w:kern w:val="0"/>
                <w:szCs w:val="21"/>
              </w:rPr>
            </w:pPr>
            <w:r>
              <w:rPr>
                <w:rFonts w:hint="eastAsia" w:ascii="宋体" w:hAnsi="宋体"/>
                <w:kern w:val="0"/>
                <w:szCs w:val="21"/>
              </w:rPr>
              <w:t>达标</w:t>
            </w:r>
          </w:p>
        </w:tc>
      </w:tr>
      <w:tr w14:paraId="634B3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restart"/>
            <w:tcBorders>
              <w:top w:val="single" w:color="auto" w:sz="4" w:space="0"/>
              <w:left w:val="nil"/>
              <w:bottom w:val="single" w:color="auto" w:sz="4" w:space="0"/>
              <w:right w:val="single" w:color="auto" w:sz="4" w:space="0"/>
            </w:tcBorders>
            <w:vAlign w:val="center"/>
          </w:tcPr>
          <w:p w14:paraId="1C865CE9">
            <w:pPr>
              <w:spacing w:line="240" w:lineRule="exact"/>
              <w:jc w:val="center"/>
              <w:rPr>
                <w:rFonts w:hint="eastAsia" w:ascii="宋体" w:hAnsi="宋体"/>
                <w:kern w:val="0"/>
                <w:szCs w:val="21"/>
              </w:rPr>
            </w:pPr>
            <w:r>
              <w:rPr>
                <w:rFonts w:hint="eastAsia" w:ascii="宋体" w:hAnsi="宋体"/>
                <w:bCs/>
                <w:kern w:val="0"/>
                <w:szCs w:val="21"/>
              </w:rPr>
              <w:t>页岩油联合站1#热媒炉</w:t>
            </w:r>
            <w:r>
              <w:rPr>
                <w:rFonts w:hint="eastAsia" w:ascii="宋体" w:hAnsi="宋体"/>
                <w:kern w:val="0"/>
                <w:szCs w:val="21"/>
              </w:rPr>
              <w:t>（2024.5.10）</w:t>
            </w: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69A72877">
            <w:pPr>
              <w:spacing w:line="240" w:lineRule="exact"/>
              <w:jc w:val="center"/>
              <w:rPr>
                <w:rFonts w:hint="eastAsia" w:ascii="宋体" w:hAnsi="宋体"/>
                <w:kern w:val="0"/>
                <w:szCs w:val="21"/>
              </w:rPr>
            </w:pPr>
            <w:r>
              <w:rPr>
                <w:rFonts w:hint="eastAsia" w:ascii="宋体" w:hAnsi="宋体"/>
                <w:kern w:val="0"/>
                <w:szCs w:val="21"/>
              </w:rPr>
              <w:t>二氧化硫</w:t>
            </w:r>
          </w:p>
        </w:tc>
        <w:tc>
          <w:tcPr>
            <w:tcW w:w="1832" w:type="dxa"/>
            <w:tcBorders>
              <w:top w:val="single" w:color="auto" w:sz="4" w:space="0"/>
              <w:left w:val="single" w:color="auto" w:sz="4" w:space="0"/>
              <w:bottom w:val="single" w:color="auto" w:sz="4" w:space="0"/>
              <w:right w:val="single" w:color="auto" w:sz="4" w:space="0"/>
            </w:tcBorders>
            <w:vAlign w:val="center"/>
          </w:tcPr>
          <w:p w14:paraId="4CC8448E">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39FAE7EF">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69A08853">
            <w:pPr>
              <w:spacing w:line="240" w:lineRule="exact"/>
              <w:jc w:val="center"/>
              <w:rPr>
                <w:rFonts w:hint="eastAsia" w:ascii="宋体" w:hAnsi="宋体"/>
                <w:kern w:val="0"/>
                <w:szCs w:val="21"/>
              </w:rPr>
            </w:pPr>
            <w:r>
              <w:rPr>
                <w:rFonts w:hint="eastAsia" w:ascii="宋体" w:hAnsi="宋体"/>
                <w:kern w:val="0"/>
                <w:szCs w:val="21"/>
              </w:rPr>
              <w:t>1737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4E9AC373">
            <w:pPr>
              <w:spacing w:line="240" w:lineRule="exact"/>
              <w:jc w:val="center"/>
              <w:rPr>
                <w:rFonts w:hint="eastAsia" w:ascii="宋体" w:hAnsi="宋体"/>
                <w:kern w:val="0"/>
                <w:szCs w:val="21"/>
              </w:rPr>
            </w:pPr>
            <w:r>
              <w:rPr>
                <w:rFonts w:hint="eastAsia" w:ascii="宋体" w:hAnsi="宋体"/>
                <w:kern w:val="0"/>
                <w:szCs w:val="21"/>
              </w:rPr>
              <w:t>50</w:t>
            </w:r>
          </w:p>
        </w:tc>
        <w:tc>
          <w:tcPr>
            <w:tcW w:w="728" w:type="dxa"/>
            <w:tcBorders>
              <w:top w:val="single" w:color="auto" w:sz="4" w:space="0"/>
              <w:left w:val="single" w:color="auto" w:sz="4" w:space="0"/>
              <w:bottom w:val="single" w:color="auto" w:sz="4" w:space="0"/>
              <w:right w:val="nil"/>
            </w:tcBorders>
            <w:vAlign w:val="center"/>
          </w:tcPr>
          <w:p w14:paraId="2248F0D1">
            <w:pPr>
              <w:spacing w:line="240" w:lineRule="exact"/>
              <w:jc w:val="center"/>
              <w:rPr>
                <w:rFonts w:hint="eastAsia" w:ascii="宋体" w:hAnsi="宋体"/>
                <w:kern w:val="0"/>
                <w:szCs w:val="21"/>
              </w:rPr>
            </w:pPr>
            <w:r>
              <w:rPr>
                <w:rFonts w:hint="eastAsia" w:ascii="宋体" w:hAnsi="宋体"/>
                <w:kern w:val="0"/>
                <w:szCs w:val="21"/>
              </w:rPr>
              <w:t>达标</w:t>
            </w:r>
          </w:p>
        </w:tc>
      </w:tr>
      <w:tr w14:paraId="4DDCD2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571024CE">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2160D60B">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B002A5B">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7065AE09">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07D28C54">
            <w:pPr>
              <w:spacing w:line="240" w:lineRule="exact"/>
              <w:jc w:val="center"/>
              <w:rPr>
                <w:rFonts w:hint="eastAsia" w:ascii="宋体" w:hAnsi="宋体"/>
                <w:kern w:val="0"/>
                <w:szCs w:val="21"/>
              </w:rPr>
            </w:pPr>
            <w:r>
              <w:rPr>
                <w:rFonts w:hint="eastAsia" w:ascii="宋体" w:hAnsi="宋体"/>
                <w:kern w:val="0"/>
                <w:szCs w:val="21"/>
              </w:rPr>
              <w:t>1584</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335E2C23">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3ED00857">
            <w:pPr>
              <w:spacing w:line="240" w:lineRule="exact"/>
              <w:jc w:val="center"/>
              <w:rPr>
                <w:rFonts w:hint="eastAsia" w:ascii="宋体" w:hAnsi="宋体"/>
                <w:kern w:val="0"/>
                <w:szCs w:val="21"/>
              </w:rPr>
            </w:pPr>
            <w:r>
              <w:rPr>
                <w:rFonts w:hint="eastAsia" w:ascii="宋体" w:hAnsi="宋体"/>
                <w:kern w:val="0"/>
                <w:szCs w:val="21"/>
              </w:rPr>
              <w:t>达标</w:t>
            </w:r>
          </w:p>
        </w:tc>
      </w:tr>
      <w:tr w14:paraId="7B937C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2B7E1A31">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1FBF8153">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0D1177C">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407EAAB7">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566810EF">
            <w:pPr>
              <w:spacing w:line="240" w:lineRule="exact"/>
              <w:jc w:val="center"/>
              <w:rPr>
                <w:rFonts w:hint="eastAsia" w:ascii="宋体" w:hAnsi="宋体"/>
                <w:kern w:val="0"/>
                <w:szCs w:val="21"/>
              </w:rPr>
            </w:pPr>
            <w:r>
              <w:rPr>
                <w:rFonts w:hint="eastAsia" w:ascii="宋体" w:hAnsi="宋体"/>
                <w:kern w:val="0"/>
                <w:szCs w:val="21"/>
              </w:rPr>
              <w:t>1640</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15E9496">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547730AF">
            <w:pPr>
              <w:spacing w:line="240" w:lineRule="exact"/>
              <w:jc w:val="center"/>
              <w:rPr>
                <w:rFonts w:hint="eastAsia" w:ascii="宋体" w:hAnsi="宋体"/>
                <w:kern w:val="0"/>
                <w:szCs w:val="21"/>
              </w:rPr>
            </w:pPr>
            <w:r>
              <w:rPr>
                <w:rFonts w:hint="eastAsia" w:ascii="宋体" w:hAnsi="宋体"/>
                <w:kern w:val="0"/>
                <w:szCs w:val="21"/>
              </w:rPr>
              <w:t>达标</w:t>
            </w:r>
          </w:p>
        </w:tc>
      </w:tr>
      <w:tr w14:paraId="5752C4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641CD713">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4173EF4F">
            <w:pPr>
              <w:spacing w:line="240" w:lineRule="exact"/>
              <w:jc w:val="center"/>
              <w:rPr>
                <w:rFonts w:hint="eastAsia" w:ascii="宋体" w:hAnsi="宋体"/>
                <w:kern w:val="0"/>
                <w:szCs w:val="21"/>
              </w:rPr>
            </w:pPr>
            <w:r>
              <w:rPr>
                <w:rFonts w:hint="eastAsia" w:ascii="宋体" w:hAnsi="宋体"/>
                <w:kern w:val="0"/>
                <w:szCs w:val="21"/>
              </w:rPr>
              <w:t>氮氧化物</w:t>
            </w:r>
          </w:p>
        </w:tc>
        <w:tc>
          <w:tcPr>
            <w:tcW w:w="1832" w:type="dxa"/>
            <w:tcBorders>
              <w:top w:val="single" w:color="auto" w:sz="4" w:space="0"/>
              <w:left w:val="single" w:color="auto" w:sz="4" w:space="0"/>
              <w:bottom w:val="single" w:color="auto" w:sz="4" w:space="0"/>
              <w:right w:val="single" w:color="auto" w:sz="4" w:space="0"/>
            </w:tcBorders>
            <w:vAlign w:val="center"/>
          </w:tcPr>
          <w:p w14:paraId="17B089C3">
            <w:pPr>
              <w:spacing w:line="240" w:lineRule="exact"/>
              <w:jc w:val="center"/>
              <w:rPr>
                <w:rFonts w:hint="eastAsia" w:ascii="宋体" w:hAnsi="宋体"/>
                <w:kern w:val="0"/>
                <w:szCs w:val="21"/>
              </w:rPr>
            </w:pPr>
            <w:r>
              <w:rPr>
                <w:rFonts w:hint="eastAsia" w:ascii="宋体" w:hAnsi="宋体"/>
                <w:kern w:val="0"/>
                <w:szCs w:val="21"/>
              </w:rPr>
              <w:t>116</w:t>
            </w:r>
          </w:p>
        </w:tc>
        <w:tc>
          <w:tcPr>
            <w:tcW w:w="1287" w:type="dxa"/>
            <w:tcBorders>
              <w:top w:val="single" w:color="auto" w:sz="4" w:space="0"/>
              <w:left w:val="single" w:color="auto" w:sz="4" w:space="0"/>
              <w:bottom w:val="single" w:color="auto" w:sz="4" w:space="0"/>
              <w:right w:val="single" w:color="auto" w:sz="4" w:space="0"/>
            </w:tcBorders>
            <w:vAlign w:val="center"/>
          </w:tcPr>
          <w:p w14:paraId="6AA1AC11">
            <w:pPr>
              <w:spacing w:line="240" w:lineRule="exact"/>
              <w:jc w:val="center"/>
              <w:rPr>
                <w:rFonts w:hint="eastAsia" w:ascii="宋体" w:hAnsi="宋体"/>
                <w:kern w:val="0"/>
                <w:szCs w:val="21"/>
              </w:rPr>
            </w:pPr>
            <w:r>
              <w:rPr>
                <w:rFonts w:hint="eastAsia" w:ascii="宋体" w:hAnsi="宋体"/>
                <w:kern w:val="0"/>
                <w:szCs w:val="21"/>
              </w:rPr>
              <w:t>0.221</w:t>
            </w:r>
          </w:p>
        </w:tc>
        <w:tc>
          <w:tcPr>
            <w:tcW w:w="1446" w:type="dxa"/>
            <w:tcBorders>
              <w:top w:val="single" w:color="auto" w:sz="4" w:space="0"/>
              <w:left w:val="single" w:color="auto" w:sz="4" w:space="0"/>
              <w:bottom w:val="single" w:color="auto" w:sz="4" w:space="0"/>
              <w:right w:val="single" w:color="auto" w:sz="4" w:space="0"/>
            </w:tcBorders>
            <w:vAlign w:val="center"/>
          </w:tcPr>
          <w:p w14:paraId="57530B26">
            <w:pPr>
              <w:spacing w:line="240" w:lineRule="exact"/>
              <w:jc w:val="center"/>
              <w:rPr>
                <w:rFonts w:hint="eastAsia" w:ascii="宋体" w:hAnsi="宋体"/>
                <w:kern w:val="0"/>
                <w:szCs w:val="21"/>
              </w:rPr>
            </w:pPr>
            <w:r>
              <w:rPr>
                <w:rFonts w:hint="eastAsia" w:ascii="宋体" w:hAnsi="宋体"/>
                <w:kern w:val="0"/>
                <w:szCs w:val="21"/>
              </w:rPr>
              <w:t>1737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27DF9E20">
            <w:pPr>
              <w:spacing w:line="240" w:lineRule="exact"/>
              <w:jc w:val="center"/>
              <w:rPr>
                <w:rFonts w:hint="eastAsia" w:ascii="宋体" w:hAnsi="宋体"/>
                <w:kern w:val="0"/>
                <w:szCs w:val="21"/>
              </w:rPr>
            </w:pPr>
            <w:r>
              <w:rPr>
                <w:rFonts w:hint="eastAsia" w:ascii="宋体" w:hAnsi="宋体"/>
                <w:kern w:val="0"/>
                <w:szCs w:val="21"/>
              </w:rPr>
              <w:t>200</w:t>
            </w:r>
          </w:p>
        </w:tc>
        <w:tc>
          <w:tcPr>
            <w:tcW w:w="728" w:type="dxa"/>
            <w:tcBorders>
              <w:top w:val="single" w:color="auto" w:sz="4" w:space="0"/>
              <w:left w:val="single" w:color="auto" w:sz="4" w:space="0"/>
              <w:bottom w:val="single" w:color="auto" w:sz="4" w:space="0"/>
              <w:right w:val="nil"/>
            </w:tcBorders>
            <w:vAlign w:val="center"/>
          </w:tcPr>
          <w:p w14:paraId="48C20BFD">
            <w:pPr>
              <w:spacing w:line="240" w:lineRule="exact"/>
              <w:jc w:val="center"/>
              <w:rPr>
                <w:rFonts w:hint="eastAsia" w:ascii="宋体" w:hAnsi="宋体"/>
                <w:kern w:val="0"/>
                <w:szCs w:val="21"/>
              </w:rPr>
            </w:pPr>
            <w:r>
              <w:rPr>
                <w:rFonts w:hint="eastAsia" w:ascii="宋体" w:hAnsi="宋体"/>
                <w:kern w:val="0"/>
                <w:szCs w:val="21"/>
              </w:rPr>
              <w:t>达标</w:t>
            </w:r>
          </w:p>
        </w:tc>
      </w:tr>
      <w:tr w14:paraId="0A4DDB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1D5C4D8B">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79179E57">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A226F70">
            <w:pPr>
              <w:spacing w:line="240" w:lineRule="exact"/>
              <w:jc w:val="center"/>
              <w:rPr>
                <w:rFonts w:hint="eastAsia" w:ascii="宋体" w:hAnsi="宋体"/>
                <w:kern w:val="0"/>
                <w:szCs w:val="21"/>
              </w:rPr>
            </w:pPr>
            <w:r>
              <w:rPr>
                <w:rFonts w:hint="eastAsia" w:ascii="宋体" w:hAnsi="宋体"/>
                <w:kern w:val="0"/>
                <w:szCs w:val="21"/>
              </w:rPr>
              <w:t>119</w:t>
            </w:r>
          </w:p>
        </w:tc>
        <w:tc>
          <w:tcPr>
            <w:tcW w:w="1287" w:type="dxa"/>
            <w:tcBorders>
              <w:top w:val="single" w:color="auto" w:sz="4" w:space="0"/>
              <w:left w:val="single" w:color="auto" w:sz="4" w:space="0"/>
              <w:bottom w:val="single" w:color="auto" w:sz="4" w:space="0"/>
              <w:right w:val="single" w:color="auto" w:sz="4" w:space="0"/>
            </w:tcBorders>
            <w:vAlign w:val="center"/>
          </w:tcPr>
          <w:p w14:paraId="3619CAAB">
            <w:pPr>
              <w:spacing w:line="240" w:lineRule="exact"/>
              <w:jc w:val="center"/>
              <w:rPr>
                <w:rFonts w:hint="eastAsia" w:ascii="宋体" w:hAnsi="宋体"/>
                <w:kern w:val="0"/>
                <w:szCs w:val="21"/>
              </w:rPr>
            </w:pPr>
            <w:r>
              <w:rPr>
                <w:rFonts w:hint="eastAsia" w:ascii="宋体" w:hAnsi="宋体"/>
                <w:kern w:val="0"/>
                <w:szCs w:val="21"/>
              </w:rPr>
              <w:t>0.208</w:t>
            </w:r>
          </w:p>
        </w:tc>
        <w:tc>
          <w:tcPr>
            <w:tcW w:w="1446" w:type="dxa"/>
            <w:tcBorders>
              <w:top w:val="single" w:color="auto" w:sz="4" w:space="0"/>
              <w:left w:val="single" w:color="auto" w:sz="4" w:space="0"/>
              <w:bottom w:val="single" w:color="auto" w:sz="4" w:space="0"/>
              <w:right w:val="single" w:color="auto" w:sz="4" w:space="0"/>
            </w:tcBorders>
            <w:vAlign w:val="center"/>
          </w:tcPr>
          <w:p w14:paraId="1680D7B1">
            <w:pPr>
              <w:spacing w:line="240" w:lineRule="exact"/>
              <w:jc w:val="center"/>
              <w:rPr>
                <w:rFonts w:hint="eastAsia" w:ascii="宋体" w:hAnsi="宋体"/>
                <w:kern w:val="0"/>
                <w:szCs w:val="21"/>
              </w:rPr>
            </w:pPr>
            <w:r>
              <w:rPr>
                <w:rFonts w:hint="eastAsia" w:ascii="宋体" w:hAnsi="宋体"/>
                <w:kern w:val="0"/>
                <w:szCs w:val="21"/>
              </w:rPr>
              <w:t>1584</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67DF6569">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00424B42">
            <w:pPr>
              <w:spacing w:line="240" w:lineRule="exact"/>
              <w:jc w:val="center"/>
              <w:rPr>
                <w:rFonts w:hint="eastAsia" w:ascii="宋体" w:hAnsi="宋体"/>
                <w:kern w:val="0"/>
                <w:szCs w:val="21"/>
              </w:rPr>
            </w:pPr>
            <w:r>
              <w:rPr>
                <w:rFonts w:hint="eastAsia" w:ascii="宋体" w:hAnsi="宋体"/>
                <w:kern w:val="0"/>
                <w:szCs w:val="21"/>
              </w:rPr>
              <w:t>达标</w:t>
            </w:r>
          </w:p>
        </w:tc>
      </w:tr>
      <w:tr w14:paraId="12B8A1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67F7E880">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2C9F6875">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7A77259F">
            <w:pPr>
              <w:spacing w:line="240" w:lineRule="exact"/>
              <w:jc w:val="center"/>
              <w:rPr>
                <w:rFonts w:hint="eastAsia" w:ascii="宋体" w:hAnsi="宋体"/>
                <w:kern w:val="0"/>
                <w:szCs w:val="21"/>
              </w:rPr>
            </w:pPr>
            <w:r>
              <w:rPr>
                <w:rFonts w:hint="eastAsia" w:ascii="宋体" w:hAnsi="宋体"/>
                <w:kern w:val="0"/>
                <w:szCs w:val="21"/>
              </w:rPr>
              <w:t>124</w:t>
            </w:r>
          </w:p>
        </w:tc>
        <w:tc>
          <w:tcPr>
            <w:tcW w:w="1287" w:type="dxa"/>
            <w:tcBorders>
              <w:top w:val="single" w:color="auto" w:sz="4" w:space="0"/>
              <w:left w:val="single" w:color="auto" w:sz="4" w:space="0"/>
              <w:bottom w:val="single" w:color="auto" w:sz="4" w:space="0"/>
              <w:right w:val="single" w:color="auto" w:sz="4" w:space="0"/>
            </w:tcBorders>
            <w:vAlign w:val="center"/>
          </w:tcPr>
          <w:p w14:paraId="47EB2BCA">
            <w:pPr>
              <w:spacing w:line="240" w:lineRule="exact"/>
              <w:jc w:val="center"/>
              <w:rPr>
                <w:rFonts w:hint="eastAsia" w:ascii="宋体" w:hAnsi="宋体"/>
                <w:kern w:val="0"/>
                <w:szCs w:val="21"/>
              </w:rPr>
            </w:pPr>
            <w:r>
              <w:rPr>
                <w:rFonts w:hint="eastAsia" w:ascii="宋体" w:hAnsi="宋体"/>
                <w:kern w:val="0"/>
                <w:szCs w:val="21"/>
              </w:rPr>
              <w:t>0.221</w:t>
            </w:r>
          </w:p>
        </w:tc>
        <w:tc>
          <w:tcPr>
            <w:tcW w:w="1446" w:type="dxa"/>
            <w:tcBorders>
              <w:top w:val="single" w:color="auto" w:sz="4" w:space="0"/>
              <w:left w:val="single" w:color="auto" w:sz="4" w:space="0"/>
              <w:bottom w:val="single" w:color="auto" w:sz="4" w:space="0"/>
              <w:right w:val="single" w:color="auto" w:sz="4" w:space="0"/>
            </w:tcBorders>
            <w:vAlign w:val="center"/>
          </w:tcPr>
          <w:p w14:paraId="23FBB4EF">
            <w:pPr>
              <w:spacing w:line="240" w:lineRule="exact"/>
              <w:jc w:val="center"/>
              <w:rPr>
                <w:rFonts w:hint="eastAsia" w:ascii="宋体" w:hAnsi="宋体"/>
                <w:kern w:val="0"/>
                <w:szCs w:val="21"/>
              </w:rPr>
            </w:pPr>
            <w:r>
              <w:rPr>
                <w:rFonts w:hint="eastAsia" w:ascii="宋体" w:hAnsi="宋体"/>
                <w:kern w:val="0"/>
                <w:szCs w:val="21"/>
              </w:rPr>
              <w:t>1640</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0A58F26B">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1158B230">
            <w:pPr>
              <w:spacing w:line="240" w:lineRule="exact"/>
              <w:jc w:val="center"/>
              <w:rPr>
                <w:rFonts w:hint="eastAsia" w:ascii="宋体" w:hAnsi="宋体"/>
                <w:kern w:val="0"/>
                <w:szCs w:val="21"/>
              </w:rPr>
            </w:pPr>
            <w:r>
              <w:rPr>
                <w:rFonts w:hint="eastAsia" w:ascii="宋体" w:hAnsi="宋体"/>
                <w:kern w:val="0"/>
                <w:szCs w:val="21"/>
              </w:rPr>
              <w:t>达标</w:t>
            </w:r>
          </w:p>
        </w:tc>
      </w:tr>
      <w:tr w14:paraId="246799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501B387A">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3F528360">
            <w:pPr>
              <w:spacing w:line="240" w:lineRule="exact"/>
              <w:jc w:val="center"/>
              <w:rPr>
                <w:rFonts w:hint="eastAsia" w:ascii="宋体" w:hAnsi="宋体"/>
                <w:kern w:val="0"/>
                <w:szCs w:val="21"/>
              </w:rPr>
            </w:pPr>
            <w:r>
              <w:rPr>
                <w:rFonts w:hint="eastAsia" w:ascii="宋体" w:hAnsi="宋体"/>
                <w:kern w:val="0"/>
                <w:szCs w:val="21"/>
              </w:rPr>
              <w:t>颗粒物</w:t>
            </w:r>
          </w:p>
        </w:tc>
        <w:tc>
          <w:tcPr>
            <w:tcW w:w="1832" w:type="dxa"/>
            <w:tcBorders>
              <w:top w:val="single" w:color="auto" w:sz="4" w:space="0"/>
              <w:left w:val="single" w:color="auto" w:sz="4" w:space="0"/>
              <w:bottom w:val="single" w:color="auto" w:sz="4" w:space="0"/>
              <w:right w:val="single" w:color="auto" w:sz="4" w:space="0"/>
            </w:tcBorders>
            <w:vAlign w:val="center"/>
          </w:tcPr>
          <w:p w14:paraId="5B86D8A8">
            <w:pPr>
              <w:spacing w:line="240" w:lineRule="exact"/>
              <w:jc w:val="center"/>
              <w:rPr>
                <w:rFonts w:hint="eastAsia" w:ascii="宋体" w:hAnsi="宋体"/>
                <w:kern w:val="0"/>
                <w:szCs w:val="21"/>
              </w:rPr>
            </w:pPr>
            <w:r>
              <w:rPr>
                <w:rFonts w:hint="eastAsia" w:ascii="宋体" w:hAnsi="宋体"/>
                <w:kern w:val="0"/>
                <w:szCs w:val="21"/>
              </w:rPr>
              <w:t>1.3</w:t>
            </w:r>
          </w:p>
        </w:tc>
        <w:tc>
          <w:tcPr>
            <w:tcW w:w="1287" w:type="dxa"/>
            <w:tcBorders>
              <w:top w:val="single" w:color="auto" w:sz="4" w:space="0"/>
              <w:left w:val="single" w:color="auto" w:sz="4" w:space="0"/>
              <w:bottom w:val="single" w:color="auto" w:sz="4" w:space="0"/>
              <w:right w:val="single" w:color="auto" w:sz="4" w:space="0"/>
            </w:tcBorders>
          </w:tcPr>
          <w:p w14:paraId="5F329C9D">
            <w:pPr>
              <w:spacing w:line="240" w:lineRule="exact"/>
              <w:jc w:val="center"/>
              <w:rPr>
                <w:rFonts w:hint="eastAsia" w:ascii="宋体" w:hAnsi="宋体"/>
                <w:kern w:val="0"/>
                <w:szCs w:val="21"/>
              </w:rPr>
            </w:pPr>
            <w:r>
              <w:rPr>
                <w:rFonts w:hint="eastAsia" w:ascii="宋体" w:hAnsi="宋体"/>
                <w:kern w:val="0"/>
                <w:szCs w:val="21"/>
              </w:rPr>
              <w:t>2.4×10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33AF2F58">
            <w:pPr>
              <w:spacing w:line="240" w:lineRule="exact"/>
              <w:jc w:val="center"/>
              <w:rPr>
                <w:rFonts w:hint="eastAsia" w:ascii="宋体" w:hAnsi="宋体"/>
                <w:kern w:val="0"/>
                <w:szCs w:val="21"/>
              </w:rPr>
            </w:pPr>
            <w:r>
              <w:rPr>
                <w:rFonts w:hint="eastAsia" w:ascii="宋体" w:hAnsi="宋体"/>
                <w:kern w:val="0"/>
                <w:szCs w:val="21"/>
              </w:rPr>
              <w:t>1737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62B8038E">
            <w:pPr>
              <w:spacing w:line="240" w:lineRule="exact"/>
              <w:jc w:val="center"/>
              <w:rPr>
                <w:rFonts w:hint="eastAsia" w:ascii="宋体" w:hAnsi="宋体"/>
                <w:kern w:val="0"/>
                <w:szCs w:val="21"/>
              </w:rPr>
            </w:pPr>
            <w:r>
              <w:rPr>
                <w:rFonts w:hint="eastAsia" w:ascii="宋体" w:hAnsi="宋体"/>
                <w:kern w:val="0"/>
                <w:szCs w:val="21"/>
              </w:rPr>
              <w:t>20</w:t>
            </w:r>
          </w:p>
        </w:tc>
        <w:tc>
          <w:tcPr>
            <w:tcW w:w="728" w:type="dxa"/>
            <w:tcBorders>
              <w:top w:val="single" w:color="auto" w:sz="4" w:space="0"/>
              <w:left w:val="single" w:color="auto" w:sz="4" w:space="0"/>
              <w:bottom w:val="single" w:color="auto" w:sz="4" w:space="0"/>
              <w:right w:val="nil"/>
            </w:tcBorders>
            <w:vAlign w:val="center"/>
          </w:tcPr>
          <w:p w14:paraId="486D4E74">
            <w:pPr>
              <w:spacing w:line="240" w:lineRule="exact"/>
              <w:jc w:val="center"/>
              <w:rPr>
                <w:rFonts w:hint="eastAsia" w:ascii="宋体" w:hAnsi="宋体"/>
                <w:kern w:val="0"/>
                <w:szCs w:val="21"/>
              </w:rPr>
            </w:pPr>
            <w:r>
              <w:rPr>
                <w:rFonts w:hint="eastAsia" w:ascii="宋体" w:hAnsi="宋体"/>
                <w:kern w:val="0"/>
                <w:szCs w:val="21"/>
              </w:rPr>
              <w:t>达标</w:t>
            </w:r>
          </w:p>
        </w:tc>
      </w:tr>
      <w:tr w14:paraId="1D705C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356EEF50">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7BDF9957">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4C0A912C">
            <w:pPr>
              <w:spacing w:line="240" w:lineRule="exact"/>
              <w:jc w:val="center"/>
              <w:rPr>
                <w:rFonts w:hint="eastAsia" w:ascii="宋体" w:hAnsi="宋体"/>
                <w:kern w:val="0"/>
                <w:szCs w:val="21"/>
              </w:rPr>
            </w:pPr>
            <w:r>
              <w:rPr>
                <w:rFonts w:hint="eastAsia" w:ascii="宋体" w:hAnsi="宋体"/>
                <w:kern w:val="0"/>
                <w:szCs w:val="21"/>
              </w:rPr>
              <w:t>1.5</w:t>
            </w:r>
          </w:p>
        </w:tc>
        <w:tc>
          <w:tcPr>
            <w:tcW w:w="1287" w:type="dxa"/>
            <w:tcBorders>
              <w:top w:val="single" w:color="auto" w:sz="4" w:space="0"/>
              <w:left w:val="single" w:color="auto" w:sz="4" w:space="0"/>
              <w:bottom w:val="single" w:color="auto" w:sz="4" w:space="0"/>
              <w:right w:val="single" w:color="auto" w:sz="4" w:space="0"/>
            </w:tcBorders>
          </w:tcPr>
          <w:p w14:paraId="4C70147C">
            <w:pPr>
              <w:spacing w:line="240" w:lineRule="exact"/>
              <w:jc w:val="center"/>
              <w:rPr>
                <w:rFonts w:hint="eastAsia" w:ascii="宋体" w:hAnsi="宋体"/>
                <w:kern w:val="0"/>
                <w:szCs w:val="21"/>
              </w:rPr>
            </w:pPr>
            <w:r>
              <w:rPr>
                <w:rFonts w:hint="eastAsia" w:ascii="宋体" w:hAnsi="宋体"/>
                <w:kern w:val="0"/>
                <w:szCs w:val="21"/>
              </w:rPr>
              <w:t>2.5×10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02CEA82D">
            <w:pPr>
              <w:spacing w:line="240" w:lineRule="exact"/>
              <w:jc w:val="center"/>
              <w:rPr>
                <w:rFonts w:hint="eastAsia" w:ascii="宋体" w:hAnsi="宋体"/>
                <w:kern w:val="0"/>
                <w:szCs w:val="21"/>
              </w:rPr>
            </w:pPr>
            <w:r>
              <w:rPr>
                <w:rFonts w:hint="eastAsia" w:ascii="宋体" w:hAnsi="宋体"/>
                <w:kern w:val="0"/>
                <w:szCs w:val="21"/>
              </w:rPr>
              <w:t>1584</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4D1672A1">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713871BD">
            <w:pPr>
              <w:spacing w:line="240" w:lineRule="exact"/>
              <w:jc w:val="center"/>
              <w:rPr>
                <w:rFonts w:hint="eastAsia" w:ascii="宋体" w:hAnsi="宋体"/>
                <w:kern w:val="0"/>
                <w:szCs w:val="21"/>
              </w:rPr>
            </w:pPr>
            <w:r>
              <w:rPr>
                <w:rFonts w:hint="eastAsia" w:ascii="宋体" w:hAnsi="宋体"/>
                <w:kern w:val="0"/>
                <w:szCs w:val="21"/>
              </w:rPr>
              <w:t>达标</w:t>
            </w:r>
          </w:p>
        </w:tc>
      </w:tr>
      <w:tr w14:paraId="1651E4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7A87D98D">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48B1E1F8">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6B36C8B9">
            <w:pPr>
              <w:spacing w:line="240" w:lineRule="exact"/>
              <w:jc w:val="center"/>
              <w:rPr>
                <w:rFonts w:hint="eastAsia" w:ascii="宋体" w:hAnsi="宋体"/>
                <w:kern w:val="0"/>
                <w:szCs w:val="21"/>
              </w:rPr>
            </w:pPr>
            <w:r>
              <w:rPr>
                <w:rFonts w:hint="eastAsia" w:ascii="宋体" w:hAnsi="宋体"/>
                <w:kern w:val="0"/>
                <w:szCs w:val="21"/>
              </w:rPr>
              <w:t>1.7</w:t>
            </w:r>
          </w:p>
        </w:tc>
        <w:tc>
          <w:tcPr>
            <w:tcW w:w="1287" w:type="dxa"/>
            <w:tcBorders>
              <w:top w:val="single" w:color="auto" w:sz="4" w:space="0"/>
              <w:left w:val="single" w:color="auto" w:sz="4" w:space="0"/>
              <w:bottom w:val="single" w:color="auto" w:sz="4" w:space="0"/>
              <w:right w:val="single" w:color="auto" w:sz="4" w:space="0"/>
            </w:tcBorders>
          </w:tcPr>
          <w:p w14:paraId="2FBF550C">
            <w:pPr>
              <w:spacing w:line="240" w:lineRule="exact"/>
              <w:jc w:val="center"/>
              <w:rPr>
                <w:rFonts w:hint="eastAsia" w:ascii="宋体" w:hAnsi="宋体"/>
                <w:kern w:val="0"/>
                <w:szCs w:val="21"/>
              </w:rPr>
            </w:pPr>
            <w:r>
              <w:rPr>
                <w:rFonts w:hint="eastAsia" w:ascii="宋体" w:hAnsi="宋体"/>
                <w:kern w:val="0"/>
                <w:szCs w:val="21"/>
              </w:rPr>
              <w:t>3.0×10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5A2E804E">
            <w:pPr>
              <w:spacing w:line="240" w:lineRule="exact"/>
              <w:jc w:val="center"/>
              <w:rPr>
                <w:rFonts w:hint="eastAsia" w:ascii="宋体" w:hAnsi="宋体"/>
                <w:kern w:val="0"/>
                <w:szCs w:val="21"/>
              </w:rPr>
            </w:pPr>
            <w:r>
              <w:rPr>
                <w:rFonts w:hint="eastAsia" w:ascii="宋体" w:hAnsi="宋体"/>
                <w:kern w:val="0"/>
                <w:szCs w:val="21"/>
              </w:rPr>
              <w:t>1640</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44FD0D19">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3AEC4CFA">
            <w:pPr>
              <w:spacing w:line="240" w:lineRule="exact"/>
              <w:jc w:val="center"/>
              <w:rPr>
                <w:rFonts w:hint="eastAsia" w:ascii="宋体" w:hAnsi="宋体"/>
                <w:kern w:val="0"/>
                <w:szCs w:val="21"/>
              </w:rPr>
            </w:pPr>
            <w:r>
              <w:rPr>
                <w:rFonts w:hint="eastAsia" w:ascii="宋体" w:hAnsi="宋体"/>
                <w:kern w:val="0"/>
                <w:szCs w:val="21"/>
              </w:rPr>
              <w:t>达标</w:t>
            </w:r>
          </w:p>
        </w:tc>
      </w:tr>
      <w:tr w14:paraId="079FBD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4" w:space="0"/>
              <w:right w:val="single" w:color="auto" w:sz="4" w:space="0"/>
            </w:tcBorders>
            <w:vAlign w:val="center"/>
          </w:tcPr>
          <w:p w14:paraId="5EC8CE63">
            <w:pPr>
              <w:widowControl/>
              <w:jc w:val="left"/>
              <w:rPr>
                <w:rFonts w:hint="eastAsia" w:ascii="宋体" w:hAnsi="宋体"/>
                <w:kern w:val="0"/>
                <w:szCs w:val="21"/>
              </w:rPr>
            </w:pPr>
          </w:p>
        </w:tc>
        <w:tc>
          <w:tcPr>
            <w:tcW w:w="1275" w:type="dxa"/>
            <w:tcBorders>
              <w:top w:val="single" w:color="auto" w:sz="4" w:space="0"/>
              <w:left w:val="single" w:color="auto" w:sz="4" w:space="0"/>
              <w:bottom w:val="single" w:color="auto" w:sz="4" w:space="0"/>
              <w:right w:val="single" w:color="auto" w:sz="4" w:space="0"/>
            </w:tcBorders>
            <w:vAlign w:val="center"/>
          </w:tcPr>
          <w:p w14:paraId="58A287D3">
            <w:pPr>
              <w:spacing w:line="240" w:lineRule="exact"/>
              <w:jc w:val="center"/>
              <w:rPr>
                <w:rFonts w:hint="eastAsia" w:ascii="宋体" w:hAnsi="宋体"/>
                <w:kern w:val="0"/>
                <w:szCs w:val="21"/>
              </w:rPr>
            </w:pPr>
            <w:r>
              <w:rPr>
                <w:rFonts w:hint="eastAsia" w:ascii="宋体" w:hAnsi="宋体"/>
                <w:kern w:val="0"/>
                <w:szCs w:val="21"/>
              </w:rPr>
              <w:t>林格曼黑度</w:t>
            </w:r>
          </w:p>
        </w:tc>
        <w:tc>
          <w:tcPr>
            <w:tcW w:w="1832" w:type="dxa"/>
            <w:tcBorders>
              <w:top w:val="single" w:color="auto" w:sz="4" w:space="0"/>
              <w:left w:val="single" w:color="auto" w:sz="4" w:space="0"/>
              <w:bottom w:val="single" w:color="auto" w:sz="4" w:space="0"/>
              <w:right w:val="single" w:color="auto" w:sz="4" w:space="0"/>
            </w:tcBorders>
            <w:vAlign w:val="center"/>
          </w:tcPr>
          <w:p w14:paraId="6E419E03">
            <w:pPr>
              <w:spacing w:line="240" w:lineRule="exact"/>
              <w:jc w:val="center"/>
              <w:rPr>
                <w:rFonts w:hint="eastAsia" w:ascii="宋体" w:hAnsi="宋体"/>
                <w:kern w:val="0"/>
                <w:szCs w:val="21"/>
              </w:rPr>
            </w:pPr>
            <w:r>
              <w:rPr>
                <w:rFonts w:hint="eastAsia" w:ascii="宋体" w:hAnsi="宋体"/>
                <w:kern w:val="0"/>
                <w:szCs w:val="21"/>
              </w:rPr>
              <w:t>＜1</w:t>
            </w:r>
          </w:p>
        </w:tc>
        <w:tc>
          <w:tcPr>
            <w:tcW w:w="1287" w:type="dxa"/>
            <w:tcBorders>
              <w:top w:val="single" w:color="auto" w:sz="4" w:space="0"/>
              <w:left w:val="single" w:color="auto" w:sz="4" w:space="0"/>
              <w:bottom w:val="single" w:color="auto" w:sz="4" w:space="0"/>
              <w:right w:val="single" w:color="auto" w:sz="4" w:space="0"/>
            </w:tcBorders>
            <w:vAlign w:val="center"/>
          </w:tcPr>
          <w:p w14:paraId="6657DCA9">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53B93E19">
            <w:pPr>
              <w:spacing w:line="240" w:lineRule="exact"/>
              <w:jc w:val="center"/>
              <w:rPr>
                <w:rFonts w:hint="eastAsia" w:ascii="宋体" w:hAnsi="宋体"/>
                <w:kern w:val="0"/>
                <w:szCs w:val="21"/>
              </w:rPr>
            </w:pPr>
            <w:r>
              <w:rPr>
                <w:rFonts w:hint="eastAsia" w:ascii="宋体" w:hAnsi="宋体"/>
                <w:kern w:val="0"/>
                <w:szCs w:val="21"/>
              </w:rPr>
              <w:t>/</w:t>
            </w:r>
          </w:p>
        </w:tc>
        <w:tc>
          <w:tcPr>
            <w:tcW w:w="1170" w:type="dxa"/>
            <w:tcBorders>
              <w:top w:val="single" w:color="auto" w:sz="4" w:space="0"/>
              <w:left w:val="single" w:color="auto" w:sz="4" w:space="0"/>
              <w:bottom w:val="single" w:color="auto" w:sz="4" w:space="0"/>
              <w:right w:val="single" w:color="auto" w:sz="4" w:space="0"/>
            </w:tcBorders>
            <w:vAlign w:val="center"/>
          </w:tcPr>
          <w:p w14:paraId="049024D8">
            <w:pPr>
              <w:spacing w:line="240" w:lineRule="exact"/>
              <w:jc w:val="center"/>
              <w:rPr>
                <w:rFonts w:hint="eastAsia" w:ascii="宋体" w:hAnsi="宋体"/>
                <w:kern w:val="0"/>
                <w:szCs w:val="21"/>
              </w:rPr>
            </w:pPr>
            <w:r>
              <w:rPr>
                <w:rFonts w:hint="eastAsia" w:ascii="宋体" w:hAnsi="宋体"/>
                <w:kern w:val="0"/>
                <w:szCs w:val="21"/>
              </w:rPr>
              <w:t>1</w:t>
            </w:r>
          </w:p>
        </w:tc>
        <w:tc>
          <w:tcPr>
            <w:tcW w:w="728" w:type="dxa"/>
            <w:tcBorders>
              <w:top w:val="single" w:color="auto" w:sz="4" w:space="0"/>
              <w:left w:val="single" w:color="auto" w:sz="4" w:space="0"/>
              <w:bottom w:val="single" w:color="auto" w:sz="4" w:space="0"/>
              <w:right w:val="nil"/>
            </w:tcBorders>
            <w:vAlign w:val="center"/>
          </w:tcPr>
          <w:p w14:paraId="28E22B31">
            <w:pPr>
              <w:spacing w:line="240" w:lineRule="exact"/>
              <w:jc w:val="center"/>
              <w:rPr>
                <w:rFonts w:hint="eastAsia" w:ascii="宋体" w:hAnsi="宋体"/>
                <w:kern w:val="0"/>
                <w:szCs w:val="21"/>
              </w:rPr>
            </w:pPr>
            <w:r>
              <w:rPr>
                <w:rFonts w:hint="eastAsia" w:ascii="宋体" w:hAnsi="宋体"/>
                <w:kern w:val="0"/>
                <w:szCs w:val="21"/>
              </w:rPr>
              <w:t>达标</w:t>
            </w:r>
          </w:p>
        </w:tc>
      </w:tr>
      <w:tr w14:paraId="321275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restart"/>
            <w:tcBorders>
              <w:top w:val="single" w:color="auto" w:sz="4" w:space="0"/>
              <w:left w:val="nil"/>
              <w:bottom w:val="single" w:color="auto" w:sz="12" w:space="0"/>
              <w:right w:val="single" w:color="auto" w:sz="4" w:space="0"/>
            </w:tcBorders>
            <w:vAlign w:val="center"/>
          </w:tcPr>
          <w:p w14:paraId="1636F63B">
            <w:pPr>
              <w:spacing w:line="240" w:lineRule="exact"/>
              <w:jc w:val="center"/>
              <w:rPr>
                <w:rFonts w:hint="eastAsia" w:ascii="宋体" w:hAnsi="宋体"/>
                <w:kern w:val="0"/>
                <w:szCs w:val="21"/>
              </w:rPr>
            </w:pPr>
            <w:r>
              <w:rPr>
                <w:rFonts w:hint="eastAsia" w:ascii="宋体" w:hAnsi="宋体"/>
                <w:bCs/>
                <w:kern w:val="0"/>
                <w:szCs w:val="21"/>
              </w:rPr>
              <w:t>一号混输泵站一体化油气接转装置</w:t>
            </w:r>
            <w:r>
              <w:rPr>
                <w:rFonts w:hint="eastAsia" w:ascii="宋体" w:hAnsi="宋体"/>
                <w:kern w:val="0"/>
                <w:szCs w:val="21"/>
              </w:rPr>
              <w:t>（2024.5.10）</w:t>
            </w: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5590F785">
            <w:pPr>
              <w:spacing w:line="240" w:lineRule="exact"/>
              <w:jc w:val="center"/>
              <w:rPr>
                <w:rFonts w:hint="eastAsia" w:ascii="宋体" w:hAnsi="宋体"/>
                <w:kern w:val="0"/>
                <w:szCs w:val="21"/>
              </w:rPr>
            </w:pPr>
            <w:r>
              <w:rPr>
                <w:rFonts w:hint="eastAsia" w:ascii="宋体" w:hAnsi="宋体"/>
                <w:kern w:val="0"/>
                <w:szCs w:val="21"/>
              </w:rPr>
              <w:t>二氧化硫</w:t>
            </w:r>
          </w:p>
        </w:tc>
        <w:tc>
          <w:tcPr>
            <w:tcW w:w="1832" w:type="dxa"/>
            <w:tcBorders>
              <w:top w:val="single" w:color="auto" w:sz="4" w:space="0"/>
              <w:left w:val="single" w:color="auto" w:sz="4" w:space="0"/>
              <w:bottom w:val="single" w:color="auto" w:sz="4" w:space="0"/>
              <w:right w:val="single" w:color="auto" w:sz="4" w:space="0"/>
            </w:tcBorders>
            <w:vAlign w:val="center"/>
          </w:tcPr>
          <w:p w14:paraId="35748B19">
            <w:pPr>
              <w:spacing w:line="240" w:lineRule="exact"/>
              <w:jc w:val="center"/>
              <w:rPr>
                <w:rFonts w:hint="eastAsia" w:ascii="宋体" w:hAnsi="宋体"/>
                <w:kern w:val="0"/>
                <w:szCs w:val="21"/>
              </w:rPr>
            </w:pPr>
            <w:r>
              <w:rPr>
                <w:rFonts w:hint="eastAsia" w:ascii="宋体" w:hAnsi="宋体"/>
                <w:kern w:val="0"/>
                <w:szCs w:val="21"/>
              </w:rPr>
              <w:t>5</w:t>
            </w:r>
          </w:p>
        </w:tc>
        <w:tc>
          <w:tcPr>
            <w:tcW w:w="1287" w:type="dxa"/>
            <w:tcBorders>
              <w:top w:val="single" w:color="auto" w:sz="4" w:space="0"/>
              <w:left w:val="single" w:color="auto" w:sz="4" w:space="0"/>
              <w:bottom w:val="single" w:color="auto" w:sz="4" w:space="0"/>
              <w:right w:val="single" w:color="auto" w:sz="4" w:space="0"/>
            </w:tcBorders>
            <w:vAlign w:val="center"/>
          </w:tcPr>
          <w:p w14:paraId="5309197E">
            <w:pPr>
              <w:spacing w:line="240" w:lineRule="exact"/>
              <w:jc w:val="center"/>
              <w:rPr>
                <w:rFonts w:hint="eastAsia" w:ascii="宋体" w:hAnsi="宋体"/>
                <w:kern w:val="0"/>
                <w:szCs w:val="21"/>
              </w:rPr>
            </w:pPr>
            <w:r>
              <w:rPr>
                <w:rFonts w:hint="eastAsia" w:ascii="宋体" w:hAnsi="宋体"/>
                <w:kern w:val="0"/>
                <w:szCs w:val="21"/>
              </w:rPr>
              <w:t>0.01</w:t>
            </w:r>
          </w:p>
        </w:tc>
        <w:tc>
          <w:tcPr>
            <w:tcW w:w="1446" w:type="dxa"/>
            <w:tcBorders>
              <w:top w:val="single" w:color="auto" w:sz="4" w:space="0"/>
              <w:left w:val="single" w:color="auto" w:sz="4" w:space="0"/>
              <w:bottom w:val="single" w:color="auto" w:sz="4" w:space="0"/>
              <w:right w:val="single" w:color="auto" w:sz="4" w:space="0"/>
            </w:tcBorders>
            <w:vAlign w:val="center"/>
          </w:tcPr>
          <w:p w14:paraId="1F23E7B1">
            <w:pPr>
              <w:spacing w:line="240" w:lineRule="exact"/>
              <w:jc w:val="center"/>
              <w:rPr>
                <w:rFonts w:hint="eastAsia" w:ascii="宋体" w:hAnsi="宋体"/>
                <w:kern w:val="0"/>
                <w:szCs w:val="21"/>
              </w:rPr>
            </w:pPr>
            <w:r>
              <w:rPr>
                <w:rFonts w:hint="eastAsia" w:ascii="宋体" w:hAnsi="宋体"/>
                <w:kern w:val="0"/>
                <w:szCs w:val="21"/>
              </w:rPr>
              <w:t>2367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3F7C40E0">
            <w:pPr>
              <w:spacing w:line="240" w:lineRule="exact"/>
              <w:jc w:val="center"/>
              <w:rPr>
                <w:rFonts w:hint="eastAsia" w:ascii="宋体" w:hAnsi="宋体"/>
                <w:kern w:val="0"/>
                <w:szCs w:val="21"/>
              </w:rPr>
            </w:pPr>
            <w:r>
              <w:rPr>
                <w:rFonts w:hint="eastAsia" w:ascii="宋体" w:hAnsi="宋体"/>
                <w:kern w:val="0"/>
                <w:szCs w:val="21"/>
              </w:rPr>
              <w:t>50</w:t>
            </w:r>
          </w:p>
        </w:tc>
        <w:tc>
          <w:tcPr>
            <w:tcW w:w="728" w:type="dxa"/>
            <w:tcBorders>
              <w:top w:val="single" w:color="auto" w:sz="4" w:space="0"/>
              <w:left w:val="single" w:color="auto" w:sz="4" w:space="0"/>
              <w:bottom w:val="single" w:color="auto" w:sz="4" w:space="0"/>
              <w:right w:val="nil"/>
            </w:tcBorders>
            <w:vAlign w:val="center"/>
          </w:tcPr>
          <w:p w14:paraId="1CD1A778">
            <w:pPr>
              <w:spacing w:line="240" w:lineRule="exact"/>
              <w:jc w:val="center"/>
              <w:rPr>
                <w:rFonts w:hint="eastAsia" w:ascii="宋体" w:hAnsi="宋体"/>
                <w:kern w:val="0"/>
                <w:szCs w:val="21"/>
              </w:rPr>
            </w:pPr>
            <w:r>
              <w:rPr>
                <w:rFonts w:hint="eastAsia" w:ascii="宋体" w:hAnsi="宋体"/>
                <w:kern w:val="0"/>
                <w:szCs w:val="21"/>
              </w:rPr>
              <w:t>达标</w:t>
            </w:r>
          </w:p>
        </w:tc>
      </w:tr>
      <w:tr w14:paraId="40D6A6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0923E787">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4175E189">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625A2726">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379CC99A">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14EEE8E6">
            <w:pPr>
              <w:spacing w:line="240" w:lineRule="exact"/>
              <w:jc w:val="center"/>
              <w:rPr>
                <w:rFonts w:hint="eastAsia" w:ascii="宋体" w:hAnsi="宋体"/>
                <w:kern w:val="0"/>
                <w:szCs w:val="21"/>
              </w:rPr>
            </w:pPr>
            <w:r>
              <w:rPr>
                <w:rFonts w:hint="eastAsia" w:ascii="宋体" w:hAnsi="宋体"/>
                <w:kern w:val="0"/>
                <w:szCs w:val="21"/>
              </w:rPr>
              <w:t>2031</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2C696BC4">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357F81F">
            <w:pPr>
              <w:spacing w:line="240" w:lineRule="exact"/>
              <w:jc w:val="center"/>
              <w:rPr>
                <w:rFonts w:hint="eastAsia" w:ascii="宋体" w:hAnsi="宋体"/>
                <w:kern w:val="0"/>
                <w:szCs w:val="21"/>
              </w:rPr>
            </w:pPr>
            <w:r>
              <w:rPr>
                <w:rFonts w:hint="eastAsia" w:ascii="宋体" w:hAnsi="宋体"/>
                <w:kern w:val="0"/>
                <w:szCs w:val="21"/>
              </w:rPr>
              <w:t>达标</w:t>
            </w:r>
          </w:p>
        </w:tc>
      </w:tr>
      <w:tr w14:paraId="5D002F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05C85718">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71C1D56F">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3425F97D">
            <w:pPr>
              <w:spacing w:line="240" w:lineRule="exact"/>
              <w:jc w:val="center"/>
              <w:rPr>
                <w:rFonts w:hint="eastAsia" w:ascii="宋体" w:hAnsi="宋体"/>
                <w:kern w:val="0"/>
                <w:szCs w:val="21"/>
              </w:rPr>
            </w:pPr>
            <w:r>
              <w:rPr>
                <w:rFonts w:hint="eastAsia" w:ascii="宋体" w:hAnsi="宋体"/>
                <w:kern w:val="0"/>
                <w:szCs w:val="21"/>
              </w:rPr>
              <w:t>＜3</w:t>
            </w:r>
          </w:p>
        </w:tc>
        <w:tc>
          <w:tcPr>
            <w:tcW w:w="1287" w:type="dxa"/>
            <w:tcBorders>
              <w:top w:val="single" w:color="auto" w:sz="4" w:space="0"/>
              <w:left w:val="single" w:color="auto" w:sz="4" w:space="0"/>
              <w:bottom w:val="single" w:color="auto" w:sz="4" w:space="0"/>
              <w:right w:val="single" w:color="auto" w:sz="4" w:space="0"/>
            </w:tcBorders>
            <w:vAlign w:val="center"/>
          </w:tcPr>
          <w:p w14:paraId="2FE0F51F">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4" w:space="0"/>
              <w:right w:val="single" w:color="auto" w:sz="4" w:space="0"/>
            </w:tcBorders>
            <w:vAlign w:val="center"/>
          </w:tcPr>
          <w:p w14:paraId="64286F64">
            <w:pPr>
              <w:spacing w:line="240" w:lineRule="exact"/>
              <w:jc w:val="center"/>
              <w:rPr>
                <w:rFonts w:hint="eastAsia" w:ascii="宋体" w:hAnsi="宋体"/>
                <w:kern w:val="0"/>
                <w:szCs w:val="21"/>
              </w:rPr>
            </w:pPr>
            <w:r>
              <w:rPr>
                <w:rFonts w:hint="eastAsia" w:ascii="宋体" w:hAnsi="宋体"/>
                <w:kern w:val="0"/>
                <w:szCs w:val="21"/>
              </w:rPr>
              <w:t>1843</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E4633F4">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664415AB">
            <w:pPr>
              <w:spacing w:line="240" w:lineRule="exact"/>
              <w:jc w:val="center"/>
              <w:rPr>
                <w:rFonts w:hint="eastAsia" w:ascii="宋体" w:hAnsi="宋体"/>
                <w:kern w:val="0"/>
                <w:szCs w:val="21"/>
              </w:rPr>
            </w:pPr>
            <w:r>
              <w:rPr>
                <w:rFonts w:hint="eastAsia" w:ascii="宋体" w:hAnsi="宋体"/>
                <w:kern w:val="0"/>
                <w:szCs w:val="21"/>
              </w:rPr>
              <w:t>达标</w:t>
            </w:r>
          </w:p>
        </w:tc>
      </w:tr>
      <w:tr w14:paraId="634E87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6B197E61">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4C1230B8">
            <w:pPr>
              <w:spacing w:line="240" w:lineRule="exact"/>
              <w:jc w:val="center"/>
              <w:rPr>
                <w:rFonts w:hint="eastAsia" w:ascii="宋体" w:hAnsi="宋体"/>
                <w:kern w:val="0"/>
                <w:szCs w:val="21"/>
              </w:rPr>
            </w:pPr>
            <w:r>
              <w:rPr>
                <w:rFonts w:hint="eastAsia" w:ascii="宋体" w:hAnsi="宋体"/>
                <w:kern w:val="0"/>
                <w:szCs w:val="21"/>
              </w:rPr>
              <w:t>氮氧化物</w:t>
            </w:r>
          </w:p>
        </w:tc>
        <w:tc>
          <w:tcPr>
            <w:tcW w:w="1832" w:type="dxa"/>
            <w:tcBorders>
              <w:top w:val="single" w:color="auto" w:sz="4" w:space="0"/>
              <w:left w:val="single" w:color="auto" w:sz="4" w:space="0"/>
              <w:bottom w:val="single" w:color="auto" w:sz="4" w:space="0"/>
              <w:right w:val="single" w:color="auto" w:sz="4" w:space="0"/>
            </w:tcBorders>
            <w:vAlign w:val="center"/>
          </w:tcPr>
          <w:p w14:paraId="70E3E8D2">
            <w:pPr>
              <w:spacing w:line="240" w:lineRule="exact"/>
              <w:jc w:val="center"/>
              <w:rPr>
                <w:rFonts w:hint="eastAsia" w:ascii="宋体" w:hAnsi="宋体"/>
                <w:kern w:val="0"/>
                <w:szCs w:val="21"/>
              </w:rPr>
            </w:pPr>
            <w:r>
              <w:rPr>
                <w:rFonts w:hint="eastAsia" w:ascii="宋体" w:hAnsi="宋体"/>
                <w:kern w:val="0"/>
                <w:szCs w:val="21"/>
              </w:rPr>
              <w:t>110</w:t>
            </w:r>
          </w:p>
        </w:tc>
        <w:tc>
          <w:tcPr>
            <w:tcW w:w="1287" w:type="dxa"/>
            <w:tcBorders>
              <w:top w:val="single" w:color="auto" w:sz="4" w:space="0"/>
              <w:left w:val="single" w:color="auto" w:sz="4" w:space="0"/>
              <w:bottom w:val="single" w:color="auto" w:sz="4" w:space="0"/>
              <w:right w:val="single" w:color="auto" w:sz="4" w:space="0"/>
            </w:tcBorders>
            <w:vAlign w:val="center"/>
          </w:tcPr>
          <w:p w14:paraId="7267A24B">
            <w:pPr>
              <w:spacing w:line="240" w:lineRule="exact"/>
              <w:jc w:val="center"/>
              <w:rPr>
                <w:rFonts w:hint="eastAsia" w:ascii="宋体" w:hAnsi="宋体"/>
                <w:kern w:val="0"/>
                <w:szCs w:val="21"/>
              </w:rPr>
            </w:pPr>
            <w:r>
              <w:rPr>
                <w:rFonts w:hint="eastAsia" w:ascii="宋体" w:hAnsi="宋体"/>
                <w:kern w:val="0"/>
                <w:szCs w:val="21"/>
              </w:rPr>
              <w:t>0.20</w:t>
            </w:r>
          </w:p>
        </w:tc>
        <w:tc>
          <w:tcPr>
            <w:tcW w:w="1446" w:type="dxa"/>
            <w:tcBorders>
              <w:top w:val="single" w:color="auto" w:sz="4" w:space="0"/>
              <w:left w:val="single" w:color="auto" w:sz="4" w:space="0"/>
              <w:bottom w:val="single" w:color="auto" w:sz="4" w:space="0"/>
              <w:right w:val="single" w:color="auto" w:sz="4" w:space="0"/>
            </w:tcBorders>
            <w:vAlign w:val="center"/>
          </w:tcPr>
          <w:p w14:paraId="0CCA0791">
            <w:pPr>
              <w:spacing w:line="240" w:lineRule="exact"/>
              <w:jc w:val="center"/>
              <w:rPr>
                <w:rFonts w:hint="eastAsia" w:ascii="宋体" w:hAnsi="宋体"/>
                <w:kern w:val="0"/>
                <w:szCs w:val="21"/>
              </w:rPr>
            </w:pPr>
            <w:r>
              <w:rPr>
                <w:rFonts w:hint="eastAsia" w:ascii="宋体" w:hAnsi="宋体"/>
                <w:kern w:val="0"/>
                <w:szCs w:val="21"/>
              </w:rPr>
              <w:t>2367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3D9103F1">
            <w:pPr>
              <w:spacing w:line="240" w:lineRule="exact"/>
              <w:jc w:val="center"/>
              <w:rPr>
                <w:rFonts w:hint="eastAsia" w:ascii="宋体" w:hAnsi="宋体"/>
                <w:kern w:val="0"/>
                <w:szCs w:val="21"/>
              </w:rPr>
            </w:pPr>
            <w:r>
              <w:rPr>
                <w:rFonts w:hint="eastAsia" w:ascii="宋体" w:hAnsi="宋体"/>
                <w:kern w:val="0"/>
                <w:szCs w:val="21"/>
              </w:rPr>
              <w:t>200</w:t>
            </w:r>
          </w:p>
        </w:tc>
        <w:tc>
          <w:tcPr>
            <w:tcW w:w="728" w:type="dxa"/>
            <w:tcBorders>
              <w:top w:val="single" w:color="auto" w:sz="4" w:space="0"/>
              <w:left w:val="single" w:color="auto" w:sz="4" w:space="0"/>
              <w:bottom w:val="single" w:color="auto" w:sz="4" w:space="0"/>
              <w:right w:val="nil"/>
            </w:tcBorders>
            <w:vAlign w:val="center"/>
          </w:tcPr>
          <w:p w14:paraId="7F510C37">
            <w:pPr>
              <w:spacing w:line="240" w:lineRule="exact"/>
              <w:jc w:val="center"/>
              <w:rPr>
                <w:rFonts w:hint="eastAsia" w:ascii="宋体" w:hAnsi="宋体"/>
                <w:kern w:val="0"/>
                <w:szCs w:val="21"/>
              </w:rPr>
            </w:pPr>
            <w:r>
              <w:rPr>
                <w:rFonts w:hint="eastAsia" w:ascii="宋体" w:hAnsi="宋体"/>
                <w:kern w:val="0"/>
                <w:szCs w:val="21"/>
              </w:rPr>
              <w:t>达标</w:t>
            </w:r>
          </w:p>
        </w:tc>
      </w:tr>
      <w:tr w14:paraId="61B33E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56BAAEA2">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52CA6D8B">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3AD94E87">
            <w:pPr>
              <w:spacing w:line="240" w:lineRule="exact"/>
              <w:jc w:val="center"/>
              <w:rPr>
                <w:rFonts w:hint="eastAsia" w:ascii="宋体" w:hAnsi="宋体"/>
                <w:kern w:val="0"/>
                <w:szCs w:val="21"/>
              </w:rPr>
            </w:pPr>
            <w:r>
              <w:rPr>
                <w:rFonts w:hint="eastAsia" w:ascii="宋体" w:hAnsi="宋体"/>
                <w:kern w:val="0"/>
                <w:szCs w:val="21"/>
              </w:rPr>
              <w:t>102</w:t>
            </w:r>
          </w:p>
        </w:tc>
        <w:tc>
          <w:tcPr>
            <w:tcW w:w="1287" w:type="dxa"/>
            <w:tcBorders>
              <w:top w:val="single" w:color="auto" w:sz="4" w:space="0"/>
              <w:left w:val="single" w:color="auto" w:sz="4" w:space="0"/>
              <w:bottom w:val="single" w:color="auto" w:sz="4" w:space="0"/>
              <w:right w:val="single" w:color="auto" w:sz="4" w:space="0"/>
            </w:tcBorders>
            <w:vAlign w:val="center"/>
          </w:tcPr>
          <w:p w14:paraId="3DA67380">
            <w:pPr>
              <w:spacing w:line="240" w:lineRule="exact"/>
              <w:jc w:val="center"/>
              <w:rPr>
                <w:rFonts w:hint="eastAsia" w:ascii="宋体" w:hAnsi="宋体"/>
                <w:kern w:val="0"/>
                <w:szCs w:val="21"/>
              </w:rPr>
            </w:pPr>
            <w:r>
              <w:rPr>
                <w:rFonts w:hint="eastAsia" w:ascii="宋体" w:hAnsi="宋体"/>
                <w:kern w:val="0"/>
                <w:szCs w:val="21"/>
              </w:rPr>
              <w:t>0.16</w:t>
            </w:r>
          </w:p>
        </w:tc>
        <w:tc>
          <w:tcPr>
            <w:tcW w:w="1446" w:type="dxa"/>
            <w:tcBorders>
              <w:top w:val="single" w:color="auto" w:sz="4" w:space="0"/>
              <w:left w:val="single" w:color="auto" w:sz="4" w:space="0"/>
              <w:bottom w:val="single" w:color="auto" w:sz="4" w:space="0"/>
              <w:right w:val="single" w:color="auto" w:sz="4" w:space="0"/>
            </w:tcBorders>
            <w:vAlign w:val="center"/>
          </w:tcPr>
          <w:p w14:paraId="35A9C2E7">
            <w:pPr>
              <w:spacing w:line="240" w:lineRule="exact"/>
              <w:jc w:val="center"/>
              <w:rPr>
                <w:rFonts w:hint="eastAsia" w:ascii="宋体" w:hAnsi="宋体"/>
                <w:kern w:val="0"/>
                <w:szCs w:val="21"/>
              </w:rPr>
            </w:pPr>
            <w:r>
              <w:rPr>
                <w:rFonts w:hint="eastAsia" w:ascii="宋体" w:hAnsi="宋体"/>
                <w:kern w:val="0"/>
                <w:szCs w:val="21"/>
              </w:rPr>
              <w:t>2031</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4CA6E3BF">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397BE955">
            <w:pPr>
              <w:spacing w:line="240" w:lineRule="exact"/>
              <w:jc w:val="center"/>
              <w:rPr>
                <w:rFonts w:hint="eastAsia" w:ascii="宋体" w:hAnsi="宋体"/>
                <w:kern w:val="0"/>
                <w:szCs w:val="21"/>
              </w:rPr>
            </w:pPr>
            <w:r>
              <w:rPr>
                <w:rFonts w:hint="eastAsia" w:ascii="宋体" w:hAnsi="宋体"/>
                <w:kern w:val="0"/>
                <w:szCs w:val="21"/>
              </w:rPr>
              <w:t>达标</w:t>
            </w:r>
          </w:p>
        </w:tc>
      </w:tr>
      <w:tr w14:paraId="5B4595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3476EE79">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51A76A14">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E9D5E1B">
            <w:pPr>
              <w:spacing w:line="240" w:lineRule="exact"/>
              <w:jc w:val="center"/>
              <w:rPr>
                <w:rFonts w:hint="eastAsia" w:ascii="宋体" w:hAnsi="宋体"/>
                <w:kern w:val="0"/>
                <w:szCs w:val="21"/>
              </w:rPr>
            </w:pPr>
            <w:r>
              <w:rPr>
                <w:rFonts w:hint="eastAsia" w:ascii="宋体" w:hAnsi="宋体"/>
                <w:kern w:val="0"/>
                <w:szCs w:val="21"/>
              </w:rPr>
              <w:t>103</w:t>
            </w:r>
          </w:p>
        </w:tc>
        <w:tc>
          <w:tcPr>
            <w:tcW w:w="1287" w:type="dxa"/>
            <w:tcBorders>
              <w:top w:val="single" w:color="auto" w:sz="4" w:space="0"/>
              <w:left w:val="single" w:color="auto" w:sz="4" w:space="0"/>
              <w:bottom w:val="single" w:color="auto" w:sz="4" w:space="0"/>
              <w:right w:val="single" w:color="auto" w:sz="4" w:space="0"/>
            </w:tcBorders>
            <w:vAlign w:val="center"/>
          </w:tcPr>
          <w:p w14:paraId="162FE74F">
            <w:pPr>
              <w:spacing w:line="240" w:lineRule="exact"/>
              <w:jc w:val="center"/>
              <w:rPr>
                <w:rFonts w:hint="eastAsia" w:ascii="宋体" w:hAnsi="宋体"/>
                <w:kern w:val="0"/>
                <w:szCs w:val="21"/>
              </w:rPr>
            </w:pPr>
            <w:r>
              <w:rPr>
                <w:rFonts w:hint="eastAsia" w:ascii="宋体" w:hAnsi="宋体"/>
                <w:kern w:val="0"/>
                <w:szCs w:val="21"/>
              </w:rPr>
              <w:t>0.14</w:t>
            </w:r>
          </w:p>
        </w:tc>
        <w:tc>
          <w:tcPr>
            <w:tcW w:w="1446" w:type="dxa"/>
            <w:tcBorders>
              <w:top w:val="single" w:color="auto" w:sz="4" w:space="0"/>
              <w:left w:val="single" w:color="auto" w:sz="4" w:space="0"/>
              <w:bottom w:val="single" w:color="auto" w:sz="4" w:space="0"/>
              <w:right w:val="single" w:color="auto" w:sz="4" w:space="0"/>
            </w:tcBorders>
            <w:vAlign w:val="center"/>
          </w:tcPr>
          <w:p w14:paraId="46C98FB3">
            <w:pPr>
              <w:spacing w:line="240" w:lineRule="exact"/>
              <w:jc w:val="center"/>
              <w:rPr>
                <w:rFonts w:hint="eastAsia" w:ascii="宋体" w:hAnsi="宋体"/>
                <w:kern w:val="0"/>
                <w:szCs w:val="21"/>
              </w:rPr>
            </w:pPr>
            <w:r>
              <w:rPr>
                <w:rFonts w:hint="eastAsia" w:ascii="宋体" w:hAnsi="宋体"/>
                <w:kern w:val="0"/>
                <w:szCs w:val="21"/>
              </w:rPr>
              <w:t>1843</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3D9AA33D">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7075337F">
            <w:pPr>
              <w:spacing w:line="240" w:lineRule="exact"/>
              <w:jc w:val="center"/>
              <w:rPr>
                <w:rFonts w:hint="eastAsia" w:ascii="宋体" w:hAnsi="宋体"/>
                <w:kern w:val="0"/>
                <w:szCs w:val="21"/>
              </w:rPr>
            </w:pPr>
            <w:r>
              <w:rPr>
                <w:rFonts w:hint="eastAsia" w:ascii="宋体" w:hAnsi="宋体"/>
                <w:kern w:val="0"/>
                <w:szCs w:val="21"/>
              </w:rPr>
              <w:t>达标</w:t>
            </w:r>
          </w:p>
        </w:tc>
      </w:tr>
      <w:tr w14:paraId="6D0B0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177BE437">
            <w:pPr>
              <w:widowControl/>
              <w:jc w:val="left"/>
              <w:rPr>
                <w:rFonts w:hint="eastAsia" w:ascii="宋体" w:hAnsi="宋体"/>
                <w:kern w:val="0"/>
                <w:szCs w:val="21"/>
              </w:rPr>
            </w:pPr>
          </w:p>
        </w:tc>
        <w:tc>
          <w:tcPr>
            <w:tcW w:w="1275" w:type="dxa"/>
            <w:vMerge w:val="restart"/>
            <w:tcBorders>
              <w:top w:val="single" w:color="auto" w:sz="4" w:space="0"/>
              <w:left w:val="single" w:color="auto" w:sz="4" w:space="0"/>
              <w:bottom w:val="single" w:color="auto" w:sz="4" w:space="0"/>
              <w:right w:val="single" w:color="auto" w:sz="4" w:space="0"/>
            </w:tcBorders>
            <w:vAlign w:val="center"/>
          </w:tcPr>
          <w:p w14:paraId="06EEC04A">
            <w:pPr>
              <w:spacing w:line="240" w:lineRule="exact"/>
              <w:jc w:val="center"/>
              <w:rPr>
                <w:rFonts w:hint="eastAsia" w:ascii="宋体" w:hAnsi="宋体"/>
                <w:kern w:val="0"/>
                <w:szCs w:val="21"/>
              </w:rPr>
            </w:pPr>
            <w:r>
              <w:rPr>
                <w:rFonts w:hint="eastAsia" w:ascii="宋体" w:hAnsi="宋体"/>
                <w:kern w:val="0"/>
                <w:szCs w:val="21"/>
              </w:rPr>
              <w:t>颗粒物</w:t>
            </w:r>
          </w:p>
        </w:tc>
        <w:tc>
          <w:tcPr>
            <w:tcW w:w="1832" w:type="dxa"/>
            <w:tcBorders>
              <w:top w:val="single" w:color="auto" w:sz="4" w:space="0"/>
              <w:left w:val="single" w:color="auto" w:sz="4" w:space="0"/>
              <w:bottom w:val="single" w:color="auto" w:sz="4" w:space="0"/>
              <w:right w:val="single" w:color="auto" w:sz="4" w:space="0"/>
            </w:tcBorders>
            <w:vAlign w:val="center"/>
          </w:tcPr>
          <w:p w14:paraId="1053941A">
            <w:pPr>
              <w:spacing w:line="240" w:lineRule="exact"/>
              <w:jc w:val="center"/>
              <w:rPr>
                <w:rFonts w:hint="eastAsia" w:ascii="宋体" w:hAnsi="宋体"/>
                <w:kern w:val="0"/>
                <w:szCs w:val="21"/>
              </w:rPr>
            </w:pPr>
            <w:r>
              <w:rPr>
                <w:rFonts w:hint="eastAsia" w:ascii="宋体" w:hAnsi="宋体"/>
                <w:kern w:val="0"/>
                <w:szCs w:val="21"/>
              </w:rPr>
              <w:t>2.2</w:t>
            </w:r>
          </w:p>
        </w:tc>
        <w:tc>
          <w:tcPr>
            <w:tcW w:w="1287" w:type="dxa"/>
            <w:tcBorders>
              <w:top w:val="single" w:color="auto" w:sz="4" w:space="0"/>
              <w:left w:val="single" w:color="auto" w:sz="4" w:space="0"/>
              <w:bottom w:val="single" w:color="auto" w:sz="4" w:space="0"/>
              <w:right w:val="single" w:color="auto" w:sz="4" w:space="0"/>
            </w:tcBorders>
          </w:tcPr>
          <w:p w14:paraId="71656C47">
            <w:pPr>
              <w:spacing w:line="240" w:lineRule="exact"/>
              <w:jc w:val="center"/>
              <w:rPr>
                <w:rFonts w:hint="eastAsia" w:ascii="宋体" w:hAnsi="宋体"/>
                <w:kern w:val="0"/>
                <w:szCs w:val="21"/>
              </w:rPr>
            </w:pPr>
            <w:r>
              <w:rPr>
                <w:rFonts w:hint="eastAsia" w:ascii="宋体" w:hAnsi="宋体"/>
                <w:kern w:val="0"/>
                <w:szCs w:val="21"/>
              </w:rPr>
              <w:t>4.0×10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5AF7E0E5">
            <w:pPr>
              <w:spacing w:line="240" w:lineRule="exact"/>
              <w:jc w:val="center"/>
              <w:rPr>
                <w:rFonts w:hint="eastAsia" w:ascii="宋体" w:hAnsi="宋体"/>
                <w:kern w:val="0"/>
                <w:szCs w:val="21"/>
              </w:rPr>
            </w:pPr>
            <w:r>
              <w:rPr>
                <w:rFonts w:hint="eastAsia" w:ascii="宋体" w:hAnsi="宋体"/>
                <w:kern w:val="0"/>
                <w:szCs w:val="21"/>
              </w:rPr>
              <w:t>2367</w: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14:paraId="727B89D4">
            <w:pPr>
              <w:spacing w:line="240" w:lineRule="exact"/>
              <w:jc w:val="center"/>
              <w:rPr>
                <w:rFonts w:hint="eastAsia" w:ascii="宋体" w:hAnsi="宋体"/>
                <w:kern w:val="0"/>
                <w:szCs w:val="21"/>
              </w:rPr>
            </w:pPr>
            <w:r>
              <w:rPr>
                <w:rFonts w:hint="eastAsia" w:ascii="宋体" w:hAnsi="宋体"/>
                <w:kern w:val="0"/>
                <w:szCs w:val="21"/>
              </w:rPr>
              <w:t>20</w:t>
            </w:r>
          </w:p>
        </w:tc>
        <w:tc>
          <w:tcPr>
            <w:tcW w:w="728" w:type="dxa"/>
            <w:tcBorders>
              <w:top w:val="single" w:color="auto" w:sz="4" w:space="0"/>
              <w:left w:val="single" w:color="auto" w:sz="4" w:space="0"/>
              <w:bottom w:val="single" w:color="auto" w:sz="4" w:space="0"/>
              <w:right w:val="nil"/>
            </w:tcBorders>
            <w:vAlign w:val="center"/>
          </w:tcPr>
          <w:p w14:paraId="086385A7">
            <w:pPr>
              <w:spacing w:line="240" w:lineRule="exact"/>
              <w:jc w:val="center"/>
              <w:rPr>
                <w:rFonts w:hint="eastAsia" w:ascii="宋体" w:hAnsi="宋体"/>
                <w:kern w:val="0"/>
                <w:szCs w:val="21"/>
              </w:rPr>
            </w:pPr>
            <w:r>
              <w:rPr>
                <w:rFonts w:hint="eastAsia" w:ascii="宋体" w:hAnsi="宋体"/>
                <w:kern w:val="0"/>
                <w:szCs w:val="21"/>
              </w:rPr>
              <w:t>达标</w:t>
            </w:r>
          </w:p>
        </w:tc>
      </w:tr>
      <w:tr w14:paraId="0EB5A5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5A0DEF41">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63A06641">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1B7FBD0F">
            <w:pPr>
              <w:spacing w:line="240" w:lineRule="exact"/>
              <w:jc w:val="center"/>
              <w:rPr>
                <w:rFonts w:hint="eastAsia" w:ascii="宋体" w:hAnsi="宋体"/>
                <w:kern w:val="0"/>
                <w:szCs w:val="21"/>
              </w:rPr>
            </w:pPr>
            <w:r>
              <w:rPr>
                <w:rFonts w:hint="eastAsia" w:ascii="宋体" w:hAnsi="宋体"/>
                <w:kern w:val="0"/>
                <w:szCs w:val="21"/>
              </w:rPr>
              <w:t>2.1</w:t>
            </w:r>
          </w:p>
        </w:tc>
        <w:tc>
          <w:tcPr>
            <w:tcW w:w="1287" w:type="dxa"/>
            <w:tcBorders>
              <w:top w:val="single" w:color="auto" w:sz="4" w:space="0"/>
              <w:left w:val="single" w:color="auto" w:sz="4" w:space="0"/>
              <w:bottom w:val="single" w:color="auto" w:sz="4" w:space="0"/>
              <w:right w:val="single" w:color="auto" w:sz="4" w:space="0"/>
            </w:tcBorders>
          </w:tcPr>
          <w:p w14:paraId="0E849C14">
            <w:pPr>
              <w:spacing w:line="240" w:lineRule="exact"/>
              <w:jc w:val="center"/>
              <w:rPr>
                <w:rFonts w:hint="eastAsia" w:ascii="宋体" w:hAnsi="宋体"/>
                <w:kern w:val="0"/>
                <w:szCs w:val="21"/>
              </w:rPr>
            </w:pPr>
            <w:r>
              <w:rPr>
                <w:rFonts w:hint="eastAsia" w:ascii="宋体" w:hAnsi="宋体"/>
                <w:kern w:val="0"/>
                <w:szCs w:val="21"/>
              </w:rPr>
              <w:t>3.2×10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10646484">
            <w:pPr>
              <w:spacing w:line="240" w:lineRule="exact"/>
              <w:jc w:val="center"/>
              <w:rPr>
                <w:rFonts w:hint="eastAsia" w:ascii="宋体" w:hAnsi="宋体"/>
                <w:kern w:val="0"/>
                <w:szCs w:val="21"/>
              </w:rPr>
            </w:pPr>
            <w:r>
              <w:rPr>
                <w:rFonts w:hint="eastAsia" w:ascii="宋体" w:hAnsi="宋体"/>
                <w:kern w:val="0"/>
                <w:szCs w:val="21"/>
              </w:rPr>
              <w:t>2031</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670C6BC">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5F850FA2">
            <w:pPr>
              <w:spacing w:line="240" w:lineRule="exact"/>
              <w:jc w:val="center"/>
              <w:rPr>
                <w:rFonts w:hint="eastAsia" w:ascii="宋体" w:hAnsi="宋体"/>
                <w:kern w:val="0"/>
                <w:szCs w:val="21"/>
              </w:rPr>
            </w:pPr>
            <w:r>
              <w:rPr>
                <w:rFonts w:hint="eastAsia" w:ascii="宋体" w:hAnsi="宋体"/>
                <w:kern w:val="0"/>
                <w:szCs w:val="21"/>
              </w:rPr>
              <w:t>达标</w:t>
            </w:r>
          </w:p>
        </w:tc>
      </w:tr>
      <w:tr w14:paraId="41DF90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698AA0F8">
            <w:pPr>
              <w:widowControl/>
              <w:jc w:val="left"/>
              <w:rPr>
                <w:rFonts w:hint="eastAsia" w:ascii="宋体" w:hAnsi="宋体"/>
                <w:kern w:val="0"/>
                <w:szCs w:val="21"/>
              </w:rPr>
            </w:pPr>
          </w:p>
        </w:tc>
        <w:tc>
          <w:tcPr>
            <w:tcW w:w="1275" w:type="dxa"/>
            <w:vMerge w:val="continue"/>
            <w:tcBorders>
              <w:top w:val="single" w:color="auto" w:sz="4" w:space="0"/>
              <w:left w:val="single" w:color="auto" w:sz="4" w:space="0"/>
              <w:bottom w:val="single" w:color="auto" w:sz="4" w:space="0"/>
              <w:right w:val="single" w:color="auto" w:sz="4" w:space="0"/>
            </w:tcBorders>
            <w:vAlign w:val="center"/>
          </w:tcPr>
          <w:p w14:paraId="064E267C">
            <w:pPr>
              <w:widowControl/>
              <w:jc w:val="left"/>
              <w:rPr>
                <w:rFonts w:hint="eastAsia" w:ascii="宋体" w:hAnsi="宋体"/>
                <w:kern w:val="0"/>
                <w:szCs w:val="21"/>
              </w:rPr>
            </w:pPr>
          </w:p>
        </w:tc>
        <w:tc>
          <w:tcPr>
            <w:tcW w:w="1832" w:type="dxa"/>
            <w:tcBorders>
              <w:top w:val="single" w:color="auto" w:sz="4" w:space="0"/>
              <w:left w:val="single" w:color="auto" w:sz="4" w:space="0"/>
              <w:bottom w:val="single" w:color="auto" w:sz="4" w:space="0"/>
              <w:right w:val="single" w:color="auto" w:sz="4" w:space="0"/>
            </w:tcBorders>
            <w:vAlign w:val="center"/>
          </w:tcPr>
          <w:p w14:paraId="7F271518">
            <w:pPr>
              <w:spacing w:line="240" w:lineRule="exact"/>
              <w:jc w:val="center"/>
              <w:rPr>
                <w:rFonts w:hint="eastAsia" w:ascii="宋体" w:hAnsi="宋体"/>
                <w:kern w:val="0"/>
                <w:szCs w:val="21"/>
              </w:rPr>
            </w:pPr>
            <w:r>
              <w:rPr>
                <w:rFonts w:hint="eastAsia" w:ascii="宋体" w:hAnsi="宋体"/>
                <w:kern w:val="0"/>
                <w:szCs w:val="21"/>
              </w:rPr>
              <w:t>1.7</w:t>
            </w:r>
          </w:p>
        </w:tc>
        <w:tc>
          <w:tcPr>
            <w:tcW w:w="1287" w:type="dxa"/>
            <w:tcBorders>
              <w:top w:val="single" w:color="auto" w:sz="4" w:space="0"/>
              <w:left w:val="single" w:color="auto" w:sz="4" w:space="0"/>
              <w:bottom w:val="single" w:color="auto" w:sz="4" w:space="0"/>
              <w:right w:val="single" w:color="auto" w:sz="4" w:space="0"/>
            </w:tcBorders>
          </w:tcPr>
          <w:p w14:paraId="196146D0">
            <w:pPr>
              <w:spacing w:line="240" w:lineRule="exact"/>
              <w:jc w:val="center"/>
              <w:rPr>
                <w:rFonts w:hint="eastAsia" w:ascii="宋体" w:hAnsi="宋体"/>
                <w:kern w:val="0"/>
                <w:szCs w:val="21"/>
              </w:rPr>
            </w:pPr>
            <w:r>
              <w:rPr>
                <w:rFonts w:hint="eastAsia" w:ascii="宋体" w:hAnsi="宋体"/>
                <w:kern w:val="0"/>
                <w:szCs w:val="21"/>
              </w:rPr>
              <w:t>2.4×10</w:t>
            </w:r>
            <w:r>
              <w:rPr>
                <w:rFonts w:hint="eastAsia" w:ascii="宋体" w:hAnsi="宋体"/>
                <w:kern w:val="0"/>
                <w:szCs w:val="21"/>
                <w:vertAlign w:val="superscript"/>
              </w:rPr>
              <w:t>-3</w:t>
            </w:r>
          </w:p>
        </w:tc>
        <w:tc>
          <w:tcPr>
            <w:tcW w:w="1446" w:type="dxa"/>
            <w:tcBorders>
              <w:top w:val="single" w:color="auto" w:sz="4" w:space="0"/>
              <w:left w:val="single" w:color="auto" w:sz="4" w:space="0"/>
              <w:bottom w:val="single" w:color="auto" w:sz="4" w:space="0"/>
              <w:right w:val="single" w:color="auto" w:sz="4" w:space="0"/>
            </w:tcBorders>
            <w:vAlign w:val="center"/>
          </w:tcPr>
          <w:p w14:paraId="43E64E3D">
            <w:pPr>
              <w:spacing w:line="240" w:lineRule="exact"/>
              <w:jc w:val="center"/>
              <w:rPr>
                <w:rFonts w:hint="eastAsia" w:ascii="宋体" w:hAnsi="宋体"/>
                <w:kern w:val="0"/>
                <w:szCs w:val="21"/>
              </w:rPr>
            </w:pPr>
            <w:r>
              <w:rPr>
                <w:rFonts w:hint="eastAsia" w:ascii="宋体" w:hAnsi="宋体"/>
                <w:kern w:val="0"/>
                <w:szCs w:val="21"/>
              </w:rPr>
              <w:t>1843</w:t>
            </w:r>
          </w:p>
        </w:tc>
        <w:tc>
          <w:tcPr>
            <w:tcW w:w="1170" w:type="dxa"/>
            <w:vMerge w:val="continue"/>
            <w:tcBorders>
              <w:top w:val="single" w:color="auto" w:sz="4" w:space="0"/>
              <w:left w:val="single" w:color="auto" w:sz="4" w:space="0"/>
              <w:bottom w:val="single" w:color="auto" w:sz="4" w:space="0"/>
              <w:right w:val="single" w:color="auto" w:sz="4" w:space="0"/>
            </w:tcBorders>
            <w:vAlign w:val="center"/>
          </w:tcPr>
          <w:p w14:paraId="7554483C">
            <w:pPr>
              <w:widowControl/>
              <w:jc w:val="left"/>
              <w:rPr>
                <w:rFonts w:hint="eastAsia" w:ascii="宋体" w:hAnsi="宋体"/>
                <w:kern w:val="0"/>
                <w:szCs w:val="21"/>
              </w:rPr>
            </w:pPr>
          </w:p>
        </w:tc>
        <w:tc>
          <w:tcPr>
            <w:tcW w:w="728" w:type="dxa"/>
            <w:tcBorders>
              <w:top w:val="single" w:color="auto" w:sz="4" w:space="0"/>
              <w:left w:val="single" w:color="auto" w:sz="4" w:space="0"/>
              <w:bottom w:val="single" w:color="auto" w:sz="4" w:space="0"/>
              <w:right w:val="nil"/>
            </w:tcBorders>
            <w:vAlign w:val="center"/>
          </w:tcPr>
          <w:p w14:paraId="3D6409FA">
            <w:pPr>
              <w:spacing w:line="240" w:lineRule="exact"/>
              <w:jc w:val="center"/>
              <w:rPr>
                <w:rFonts w:hint="eastAsia" w:ascii="宋体" w:hAnsi="宋体"/>
                <w:kern w:val="0"/>
                <w:szCs w:val="21"/>
              </w:rPr>
            </w:pPr>
            <w:r>
              <w:rPr>
                <w:rFonts w:hint="eastAsia" w:ascii="宋体" w:hAnsi="宋体"/>
                <w:kern w:val="0"/>
                <w:szCs w:val="21"/>
              </w:rPr>
              <w:t>达标</w:t>
            </w:r>
          </w:p>
        </w:tc>
      </w:tr>
      <w:tr w14:paraId="75D50E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92" w:type="dxa"/>
            <w:vMerge w:val="continue"/>
            <w:tcBorders>
              <w:top w:val="single" w:color="auto" w:sz="4" w:space="0"/>
              <w:left w:val="nil"/>
              <w:bottom w:val="single" w:color="auto" w:sz="12" w:space="0"/>
              <w:right w:val="single" w:color="auto" w:sz="4" w:space="0"/>
            </w:tcBorders>
            <w:vAlign w:val="center"/>
          </w:tcPr>
          <w:p w14:paraId="38A88FA3">
            <w:pPr>
              <w:widowControl/>
              <w:jc w:val="left"/>
              <w:rPr>
                <w:rFonts w:hint="eastAsia" w:ascii="宋体" w:hAnsi="宋体"/>
                <w:kern w:val="0"/>
                <w:szCs w:val="21"/>
              </w:rPr>
            </w:pPr>
          </w:p>
        </w:tc>
        <w:tc>
          <w:tcPr>
            <w:tcW w:w="1275" w:type="dxa"/>
            <w:tcBorders>
              <w:top w:val="single" w:color="auto" w:sz="4" w:space="0"/>
              <w:left w:val="single" w:color="auto" w:sz="4" w:space="0"/>
              <w:bottom w:val="single" w:color="auto" w:sz="12" w:space="0"/>
              <w:right w:val="single" w:color="auto" w:sz="4" w:space="0"/>
            </w:tcBorders>
            <w:vAlign w:val="center"/>
          </w:tcPr>
          <w:p w14:paraId="359B37A8">
            <w:pPr>
              <w:spacing w:line="240" w:lineRule="exact"/>
              <w:jc w:val="center"/>
              <w:rPr>
                <w:rFonts w:hint="eastAsia" w:ascii="宋体" w:hAnsi="宋体"/>
                <w:kern w:val="0"/>
                <w:szCs w:val="21"/>
              </w:rPr>
            </w:pPr>
            <w:r>
              <w:rPr>
                <w:rFonts w:hint="eastAsia" w:ascii="宋体" w:hAnsi="宋体"/>
                <w:kern w:val="0"/>
                <w:szCs w:val="21"/>
              </w:rPr>
              <w:t>林格曼黑度</w:t>
            </w:r>
          </w:p>
        </w:tc>
        <w:tc>
          <w:tcPr>
            <w:tcW w:w="1832" w:type="dxa"/>
            <w:tcBorders>
              <w:top w:val="single" w:color="auto" w:sz="4" w:space="0"/>
              <w:left w:val="single" w:color="auto" w:sz="4" w:space="0"/>
              <w:bottom w:val="single" w:color="auto" w:sz="12" w:space="0"/>
              <w:right w:val="single" w:color="auto" w:sz="4" w:space="0"/>
            </w:tcBorders>
            <w:vAlign w:val="center"/>
          </w:tcPr>
          <w:p w14:paraId="1EB300E6">
            <w:pPr>
              <w:spacing w:line="240" w:lineRule="exact"/>
              <w:jc w:val="center"/>
              <w:rPr>
                <w:rFonts w:hint="eastAsia" w:ascii="宋体" w:hAnsi="宋体"/>
                <w:kern w:val="0"/>
                <w:szCs w:val="21"/>
              </w:rPr>
            </w:pPr>
            <w:r>
              <w:rPr>
                <w:rFonts w:hint="eastAsia" w:ascii="宋体" w:hAnsi="宋体"/>
                <w:kern w:val="0"/>
                <w:szCs w:val="21"/>
              </w:rPr>
              <w:t>＜1</w:t>
            </w:r>
          </w:p>
        </w:tc>
        <w:tc>
          <w:tcPr>
            <w:tcW w:w="1287" w:type="dxa"/>
            <w:tcBorders>
              <w:top w:val="single" w:color="auto" w:sz="4" w:space="0"/>
              <w:left w:val="single" w:color="auto" w:sz="4" w:space="0"/>
              <w:bottom w:val="single" w:color="auto" w:sz="12" w:space="0"/>
              <w:right w:val="single" w:color="auto" w:sz="4" w:space="0"/>
            </w:tcBorders>
            <w:vAlign w:val="center"/>
          </w:tcPr>
          <w:p w14:paraId="54363B5D">
            <w:pPr>
              <w:spacing w:line="240" w:lineRule="exact"/>
              <w:jc w:val="center"/>
              <w:rPr>
                <w:rFonts w:hint="eastAsia" w:ascii="宋体" w:hAnsi="宋体"/>
                <w:kern w:val="0"/>
                <w:szCs w:val="21"/>
              </w:rPr>
            </w:pPr>
            <w:r>
              <w:rPr>
                <w:rFonts w:hint="eastAsia" w:ascii="宋体" w:hAnsi="宋体"/>
                <w:kern w:val="0"/>
                <w:szCs w:val="21"/>
              </w:rPr>
              <w:t>/</w:t>
            </w:r>
          </w:p>
        </w:tc>
        <w:tc>
          <w:tcPr>
            <w:tcW w:w="1446" w:type="dxa"/>
            <w:tcBorders>
              <w:top w:val="single" w:color="auto" w:sz="4" w:space="0"/>
              <w:left w:val="single" w:color="auto" w:sz="4" w:space="0"/>
              <w:bottom w:val="single" w:color="auto" w:sz="12" w:space="0"/>
              <w:right w:val="single" w:color="auto" w:sz="4" w:space="0"/>
            </w:tcBorders>
            <w:vAlign w:val="center"/>
          </w:tcPr>
          <w:p w14:paraId="3F904763">
            <w:pPr>
              <w:spacing w:line="240" w:lineRule="exact"/>
              <w:jc w:val="center"/>
              <w:rPr>
                <w:rFonts w:hint="eastAsia" w:ascii="宋体" w:hAnsi="宋体"/>
                <w:kern w:val="0"/>
                <w:szCs w:val="21"/>
              </w:rPr>
            </w:pPr>
            <w:r>
              <w:rPr>
                <w:rFonts w:hint="eastAsia" w:ascii="宋体" w:hAnsi="宋体"/>
                <w:kern w:val="0"/>
                <w:szCs w:val="21"/>
              </w:rPr>
              <w:t>/</w:t>
            </w:r>
          </w:p>
        </w:tc>
        <w:tc>
          <w:tcPr>
            <w:tcW w:w="1170" w:type="dxa"/>
            <w:tcBorders>
              <w:top w:val="single" w:color="auto" w:sz="4" w:space="0"/>
              <w:left w:val="single" w:color="auto" w:sz="4" w:space="0"/>
              <w:bottom w:val="single" w:color="auto" w:sz="12" w:space="0"/>
              <w:right w:val="single" w:color="auto" w:sz="4" w:space="0"/>
            </w:tcBorders>
            <w:vAlign w:val="center"/>
          </w:tcPr>
          <w:p w14:paraId="1D0F6A52">
            <w:pPr>
              <w:spacing w:line="240" w:lineRule="exact"/>
              <w:jc w:val="center"/>
              <w:rPr>
                <w:rFonts w:hint="eastAsia" w:ascii="宋体" w:hAnsi="宋体"/>
                <w:kern w:val="0"/>
                <w:szCs w:val="21"/>
              </w:rPr>
            </w:pPr>
            <w:r>
              <w:rPr>
                <w:rFonts w:hint="eastAsia" w:ascii="宋体" w:hAnsi="宋体"/>
                <w:kern w:val="0"/>
                <w:szCs w:val="21"/>
              </w:rPr>
              <w:t>1</w:t>
            </w:r>
          </w:p>
        </w:tc>
        <w:tc>
          <w:tcPr>
            <w:tcW w:w="728" w:type="dxa"/>
            <w:tcBorders>
              <w:top w:val="single" w:color="auto" w:sz="4" w:space="0"/>
              <w:left w:val="single" w:color="auto" w:sz="4" w:space="0"/>
              <w:bottom w:val="single" w:color="auto" w:sz="12" w:space="0"/>
              <w:right w:val="nil"/>
            </w:tcBorders>
            <w:vAlign w:val="center"/>
          </w:tcPr>
          <w:p w14:paraId="736E9EF5">
            <w:pPr>
              <w:spacing w:line="240" w:lineRule="exact"/>
              <w:jc w:val="center"/>
              <w:rPr>
                <w:rFonts w:hint="eastAsia" w:ascii="宋体" w:hAnsi="宋体"/>
                <w:kern w:val="0"/>
                <w:szCs w:val="21"/>
              </w:rPr>
            </w:pPr>
            <w:r>
              <w:rPr>
                <w:rFonts w:hint="eastAsia" w:ascii="宋体" w:hAnsi="宋体"/>
                <w:kern w:val="0"/>
                <w:szCs w:val="21"/>
              </w:rPr>
              <w:t>达标</w:t>
            </w:r>
          </w:p>
        </w:tc>
      </w:tr>
    </w:tbl>
    <w:p w14:paraId="09A0A518">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③</w:t>
      </w:r>
      <w:bookmarkStart w:id="179" w:name="_Hlk173403522"/>
      <w:r>
        <w:rPr>
          <w:rFonts w:hint="eastAsia" w:ascii="宋体" w:hAnsi="宋体" w:cs="宋体"/>
          <w:sz w:val="24"/>
          <w:szCs w:val="24"/>
        </w:rPr>
        <w:t>页岩油联合站泄漏检测与修复（LDAR）</w:t>
      </w:r>
      <w:bookmarkEnd w:id="179"/>
    </w:p>
    <w:p w14:paraId="72EA3DA4">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吉庆油田作业区于2024年5月-7月对页岩油联合站开展了第一轮LDAR检测，检测主要是针全年运行易产生VOCs泄漏的法兰、取样连接系统、开口阀或开口管线、泄压设备、压缩机、搅拌器、阀门及泵等密封点。本次监测对页岩油联合站内的1764个动密封点、2685个静密封点进行泄漏检测，发现有26个泄漏点，泄漏点主要为多功能处理器上的取样连接线、法兰、阀门等，发现泄漏后，吉庆油田作业区在15日内进行了泄漏点修复，修复手段为拧紧螺丝，经复测，泄漏点均已修复。</w:t>
      </w:r>
      <w:bookmarkEnd w:id="177"/>
    </w:p>
    <w:p w14:paraId="1405B5C4">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（3）废水</w:t>
      </w:r>
    </w:p>
    <w:p w14:paraId="49B1B935">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cs="宋体"/>
          <w:sz w:val="24"/>
          <w:szCs w:val="24"/>
        </w:rPr>
        <w:t>井区废水主要为洗井废水、井下作业废液，集中收集后拉运至页岩油联合站外的压裂返排液处理装置处理；页岩油联合站废水主要为采出水和生活污水，采出水管输至页岩油联合站外的压裂返排液处理装置处理，经站内排水管网收集后，排入</w:t>
      </w:r>
      <w:bookmarkStart w:id="180" w:name="OLE_LINK136"/>
      <w:r>
        <w:rPr>
          <w:rFonts w:hint="eastAsia" w:ascii="宋体" w:hAnsi="宋体" w:cs="宋体"/>
          <w:sz w:val="24"/>
          <w:szCs w:val="24"/>
        </w:rPr>
        <w:t>化粪池，定期清运至吉木萨尔县污水处理厂。压裂返排液处理装置出水水质满足</w:t>
      </w:r>
      <w:bookmarkStart w:id="181" w:name="OLE_LINK20"/>
      <w:r>
        <w:rPr>
          <w:rFonts w:hint="eastAsia" w:ascii="宋体" w:hAnsi="宋体" w:cs="宋体"/>
          <w:sz w:val="24"/>
          <w:szCs w:val="24"/>
        </w:rPr>
        <w:t>《压裂酸化返排液处理技术规范》（</w:t>
      </w:r>
      <w:r>
        <w:rPr>
          <w:rFonts w:ascii="宋体" w:hAnsi="宋体" w:cs="宋体"/>
          <w:sz w:val="24"/>
          <w:szCs w:val="24"/>
        </w:rPr>
        <w:t>Q/SY02012-2016</w:t>
      </w:r>
      <w:r>
        <w:rPr>
          <w:rFonts w:hint="eastAsia" w:ascii="宋体" w:hAnsi="宋体" w:cs="宋体"/>
          <w:sz w:val="24"/>
          <w:szCs w:val="24"/>
        </w:rPr>
        <w:t>）标准要求</w:t>
      </w:r>
      <w:bookmarkEnd w:id="180"/>
      <w:r>
        <w:rPr>
          <w:rFonts w:hint="eastAsia" w:ascii="宋体" w:hAnsi="宋体" w:cs="宋体"/>
          <w:sz w:val="24"/>
          <w:szCs w:val="24"/>
        </w:rPr>
        <w:t>后</w:t>
      </w:r>
      <w:bookmarkEnd w:id="181"/>
      <w:r>
        <w:rPr>
          <w:rFonts w:hint="eastAsia" w:ascii="宋体" w:hAnsi="宋体" w:cs="宋体"/>
          <w:sz w:val="24"/>
          <w:szCs w:val="24"/>
        </w:rPr>
        <w:t>（水质监测数据见表3.1-6</w:t>
      </w:r>
      <w:r>
        <w:rPr>
          <w:rFonts w:ascii="宋体" w:hAnsi="宋体" w:cs="宋体"/>
          <w:sz w:val="24"/>
          <w:szCs w:val="24"/>
        </w:rPr>
        <w:fldChar w:fldCharType="begin"/>
      </w:r>
      <w:r>
        <w:rPr>
          <w:rFonts w:ascii="宋体" w:hAnsi="宋体" w:cs="宋体"/>
          <w:sz w:val="24"/>
          <w:szCs w:val="24"/>
        </w:rPr>
        <w:instrText xml:space="preserve"> </w:instrText>
      </w:r>
      <w:r>
        <w:rPr>
          <w:rFonts w:hint="eastAsia" w:ascii="宋体" w:hAnsi="宋体" w:cs="宋体"/>
          <w:sz w:val="24"/>
          <w:szCs w:val="24"/>
        </w:rPr>
        <w:instrText xml:space="preserve">REF _Ref160231848 \h</w:instrText>
      </w:r>
      <w:r>
        <w:rPr>
          <w:rFonts w:ascii="宋体" w:hAnsi="宋体" w:cs="宋体"/>
          <w:sz w:val="24"/>
          <w:szCs w:val="24"/>
        </w:rPr>
        <w:instrText xml:space="preserve">  \* MERGEFORMAT </w:instrText>
      </w:r>
      <w:r>
        <w:rPr>
          <w:rFonts w:hint="eastAsia" w:ascii="宋体" w:hAnsi="宋体" w:cs="宋体"/>
          <w:sz w:val="24"/>
          <w:szCs w:val="24"/>
        </w:rPr>
        <w:fldChar w:fldCharType="separate"/>
      </w:r>
      <w:r>
        <w:rPr>
          <w:rFonts w:ascii="宋体" w:hAnsi="宋体" w:cs="宋体"/>
          <w:sz w:val="24"/>
          <w:szCs w:val="24"/>
        </w:rPr>
        <w:fldChar w:fldCharType="end"/>
      </w:r>
      <w:r>
        <w:rPr>
          <w:rFonts w:hint="eastAsia" w:ascii="宋体" w:hAnsi="宋体" w:cs="宋体"/>
          <w:sz w:val="24"/>
          <w:szCs w:val="24"/>
        </w:rPr>
        <w:t>），用于压裂液复配。</w:t>
      </w:r>
    </w:p>
    <w:p w14:paraId="0BFB8079">
      <w:pPr>
        <w:spacing w:line="500" w:lineRule="atLeast"/>
        <w:jc w:val="center"/>
        <w:rPr>
          <w:rFonts w:hint="eastAsia" w:ascii="宋体" w:hAnsi="宋体" w:eastAsia="黑体"/>
          <w:szCs w:val="20"/>
        </w:rPr>
      </w:pPr>
      <w:bookmarkStart w:id="182" w:name="_Ref160231848"/>
      <w:bookmarkStart w:id="183" w:name="OLE_LINK21"/>
      <w:r>
        <w:rPr>
          <w:rFonts w:ascii="宋体" w:hAnsi="宋体" w:eastAsia="黑体"/>
          <w:szCs w:val="20"/>
        </w:rPr>
        <w:t>表</w:t>
      </w:r>
      <w:r>
        <w:rPr>
          <w:rFonts w:hint="eastAsia" w:ascii="宋体" w:hAnsi="宋体" w:eastAsia="黑体"/>
          <w:szCs w:val="20"/>
        </w:rPr>
        <w:t>3.1-6  压裂返排液处理装置出水水质监测结果一览表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2605"/>
        <w:gridCol w:w="1508"/>
        <w:gridCol w:w="1877"/>
        <w:gridCol w:w="1690"/>
      </w:tblGrid>
      <w:tr w14:paraId="74173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5" w:hRule="atLeast"/>
        </w:trPr>
        <w:tc>
          <w:tcPr>
            <w:tcW w:w="487" w:type="pct"/>
            <w:shd w:val="clear" w:color="auto" w:fill="auto"/>
            <w:vAlign w:val="center"/>
          </w:tcPr>
          <w:p w14:paraId="4A7C4FE3">
            <w:pPr>
              <w:adjustRightInd w:val="0"/>
              <w:snapToGrid w:val="0"/>
              <w:spacing w:line="300" w:lineRule="exact"/>
              <w:jc w:val="center"/>
              <w:rPr>
                <w:rFonts w:hint="eastAsia" w:ascii="宋体" w:hAnsi="宋体"/>
                <w:kern w:val="0"/>
                <w:szCs w:val="21"/>
              </w:rPr>
            </w:pPr>
            <w:r>
              <w:rPr>
                <w:rFonts w:hint="eastAsia" w:ascii="宋体" w:hAnsi="宋体"/>
                <w:kern w:val="0"/>
                <w:szCs w:val="21"/>
              </w:rPr>
              <w:t>监测时间</w:t>
            </w:r>
          </w:p>
        </w:tc>
        <w:tc>
          <w:tcPr>
            <w:tcW w:w="1511" w:type="pct"/>
            <w:shd w:val="clear" w:color="auto" w:fill="auto"/>
            <w:vAlign w:val="center"/>
          </w:tcPr>
          <w:p w14:paraId="1E119E92">
            <w:pPr>
              <w:adjustRightInd w:val="0"/>
              <w:snapToGrid w:val="0"/>
              <w:spacing w:line="300" w:lineRule="exact"/>
              <w:jc w:val="center"/>
              <w:rPr>
                <w:rFonts w:hint="eastAsia" w:ascii="宋体" w:hAnsi="宋体"/>
                <w:kern w:val="0"/>
                <w:szCs w:val="21"/>
              </w:rPr>
            </w:pPr>
            <w:r>
              <w:rPr>
                <w:rFonts w:hint="eastAsia" w:ascii="宋体" w:hAnsi="宋体"/>
                <w:kern w:val="0"/>
                <w:szCs w:val="21"/>
              </w:rPr>
              <w:t>污染物名称</w:t>
            </w:r>
          </w:p>
        </w:tc>
        <w:tc>
          <w:tcPr>
            <w:tcW w:w="898" w:type="pct"/>
            <w:shd w:val="clear" w:color="auto" w:fill="auto"/>
            <w:vAlign w:val="center"/>
          </w:tcPr>
          <w:p w14:paraId="24FCF81E">
            <w:pPr>
              <w:adjustRightInd w:val="0"/>
              <w:snapToGrid w:val="0"/>
              <w:spacing w:line="300" w:lineRule="exact"/>
              <w:jc w:val="center"/>
              <w:rPr>
                <w:rFonts w:hint="eastAsia" w:ascii="宋体" w:hAnsi="宋体"/>
                <w:kern w:val="0"/>
                <w:szCs w:val="21"/>
              </w:rPr>
            </w:pPr>
            <w:r>
              <w:rPr>
                <w:rFonts w:hint="eastAsia" w:ascii="宋体" w:hAnsi="宋体"/>
                <w:kern w:val="0"/>
                <w:szCs w:val="21"/>
              </w:rPr>
              <w:t>监测值范围</w:t>
            </w:r>
          </w:p>
        </w:tc>
        <w:tc>
          <w:tcPr>
            <w:tcW w:w="1104" w:type="pct"/>
            <w:shd w:val="clear" w:color="auto" w:fill="auto"/>
            <w:vAlign w:val="center"/>
          </w:tcPr>
          <w:p w14:paraId="17C76FC4">
            <w:pPr>
              <w:adjustRightInd w:val="0"/>
              <w:snapToGrid w:val="0"/>
              <w:spacing w:line="300" w:lineRule="exact"/>
              <w:jc w:val="center"/>
              <w:rPr>
                <w:rFonts w:hint="eastAsia" w:ascii="宋体" w:hAnsi="宋体"/>
                <w:kern w:val="0"/>
                <w:szCs w:val="21"/>
              </w:rPr>
            </w:pPr>
            <w:r>
              <w:rPr>
                <w:rFonts w:hint="eastAsia" w:ascii="宋体" w:hAnsi="宋体"/>
                <w:kern w:val="0"/>
                <w:szCs w:val="21"/>
              </w:rPr>
              <w:t>标准限值</w:t>
            </w:r>
          </w:p>
        </w:tc>
        <w:tc>
          <w:tcPr>
            <w:tcW w:w="999" w:type="pct"/>
            <w:shd w:val="clear" w:color="auto" w:fill="auto"/>
            <w:vAlign w:val="center"/>
          </w:tcPr>
          <w:p w14:paraId="59177603">
            <w:pPr>
              <w:adjustRightInd w:val="0"/>
              <w:snapToGrid w:val="0"/>
              <w:spacing w:line="300" w:lineRule="exact"/>
              <w:jc w:val="center"/>
              <w:rPr>
                <w:rFonts w:hint="eastAsia" w:ascii="宋体" w:hAnsi="宋体"/>
                <w:kern w:val="0"/>
                <w:szCs w:val="21"/>
              </w:rPr>
            </w:pPr>
            <w:r>
              <w:rPr>
                <w:rFonts w:hint="eastAsia" w:ascii="宋体" w:hAnsi="宋体"/>
                <w:kern w:val="0"/>
                <w:szCs w:val="21"/>
              </w:rPr>
              <w:t>达标情况</w:t>
            </w:r>
          </w:p>
        </w:tc>
      </w:tr>
      <w:tr w14:paraId="08364F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487" w:type="pct"/>
            <w:vMerge w:val="restart"/>
            <w:shd w:val="clear" w:color="auto" w:fill="auto"/>
            <w:vAlign w:val="center"/>
          </w:tcPr>
          <w:p w14:paraId="3A0D04A8">
            <w:pPr>
              <w:adjustRightInd w:val="0"/>
              <w:snapToGrid w:val="0"/>
              <w:spacing w:line="300" w:lineRule="exact"/>
              <w:jc w:val="center"/>
              <w:rPr>
                <w:rFonts w:hint="eastAsia" w:ascii="宋体" w:hAnsi="宋体"/>
                <w:kern w:val="0"/>
                <w:szCs w:val="21"/>
              </w:rPr>
            </w:pPr>
            <w:r>
              <w:rPr>
                <w:rFonts w:hint="eastAsia" w:ascii="宋体" w:hAnsi="宋体"/>
                <w:kern w:val="0"/>
                <w:szCs w:val="21"/>
              </w:rPr>
              <w:t>2024.3.5～3.26</w:t>
            </w:r>
          </w:p>
        </w:tc>
        <w:tc>
          <w:tcPr>
            <w:tcW w:w="1511" w:type="pct"/>
            <w:shd w:val="clear" w:color="auto" w:fill="auto"/>
            <w:vAlign w:val="center"/>
          </w:tcPr>
          <w:p w14:paraId="20787447">
            <w:pPr>
              <w:adjustRightInd w:val="0"/>
              <w:snapToGrid w:val="0"/>
              <w:spacing w:line="300" w:lineRule="exact"/>
              <w:jc w:val="center"/>
              <w:rPr>
                <w:rFonts w:hint="eastAsia" w:ascii="宋体" w:hAnsi="宋体"/>
                <w:kern w:val="0"/>
                <w:szCs w:val="21"/>
              </w:rPr>
            </w:pPr>
            <w:r>
              <w:rPr>
                <w:rFonts w:hint="eastAsia" w:ascii="宋体" w:hAnsi="宋体"/>
                <w:kern w:val="0"/>
                <w:szCs w:val="21"/>
              </w:rPr>
              <w:t>悬浮固体含量（</w:t>
            </w:r>
            <w:r>
              <w:rPr>
                <w:rFonts w:ascii="宋体" w:hAnsi="宋体"/>
                <w:kern w:val="0"/>
                <w:szCs w:val="21"/>
              </w:rPr>
              <w:t>mg/L</w:t>
            </w:r>
            <w:r>
              <w:rPr>
                <w:rFonts w:hint="eastAsia" w:ascii="宋体" w:hAnsi="宋体"/>
                <w:kern w:val="0"/>
                <w:szCs w:val="21"/>
              </w:rPr>
              <w:t>）</w:t>
            </w:r>
          </w:p>
        </w:tc>
        <w:tc>
          <w:tcPr>
            <w:tcW w:w="898" w:type="pct"/>
            <w:shd w:val="clear" w:color="auto" w:fill="auto"/>
            <w:vAlign w:val="center"/>
          </w:tcPr>
          <w:p w14:paraId="48119A10">
            <w:pPr>
              <w:adjustRightInd w:val="0"/>
              <w:snapToGrid w:val="0"/>
              <w:spacing w:line="300" w:lineRule="exact"/>
              <w:jc w:val="center"/>
              <w:rPr>
                <w:rFonts w:hint="eastAsia" w:ascii="宋体" w:hAnsi="宋体"/>
                <w:kern w:val="0"/>
                <w:szCs w:val="21"/>
              </w:rPr>
            </w:pPr>
            <w:r>
              <w:rPr>
                <w:rFonts w:hint="eastAsia" w:ascii="宋体" w:hAnsi="宋体"/>
                <w:kern w:val="0"/>
                <w:szCs w:val="21"/>
              </w:rPr>
              <w:t>3～6</w:t>
            </w:r>
          </w:p>
        </w:tc>
        <w:tc>
          <w:tcPr>
            <w:tcW w:w="1104" w:type="pct"/>
            <w:shd w:val="clear" w:color="auto" w:fill="auto"/>
            <w:vAlign w:val="center"/>
          </w:tcPr>
          <w:p w14:paraId="66504295">
            <w:pPr>
              <w:adjustRightInd w:val="0"/>
              <w:snapToGrid w:val="0"/>
              <w:spacing w:line="300" w:lineRule="exact"/>
              <w:jc w:val="center"/>
              <w:rPr>
                <w:rFonts w:hint="eastAsia" w:ascii="宋体" w:hAnsi="宋体"/>
                <w:kern w:val="0"/>
                <w:szCs w:val="21"/>
              </w:rPr>
            </w:pPr>
            <w:r>
              <w:rPr>
                <w:rFonts w:hint="eastAsia" w:ascii="宋体" w:hAnsi="宋体"/>
                <w:kern w:val="0"/>
                <w:szCs w:val="21"/>
              </w:rPr>
              <w:t>≤30</w:t>
            </w:r>
          </w:p>
        </w:tc>
        <w:tc>
          <w:tcPr>
            <w:tcW w:w="999" w:type="pct"/>
            <w:shd w:val="clear" w:color="auto" w:fill="auto"/>
            <w:vAlign w:val="center"/>
          </w:tcPr>
          <w:p w14:paraId="3017481D">
            <w:pPr>
              <w:adjustRightInd w:val="0"/>
              <w:snapToGrid w:val="0"/>
              <w:spacing w:line="300" w:lineRule="exact"/>
              <w:jc w:val="center"/>
              <w:rPr>
                <w:rFonts w:hint="eastAsia" w:ascii="宋体" w:hAnsi="宋体"/>
                <w:kern w:val="0"/>
                <w:szCs w:val="21"/>
              </w:rPr>
            </w:pPr>
            <w:r>
              <w:rPr>
                <w:rFonts w:hint="eastAsia" w:ascii="宋体" w:hAnsi="宋体"/>
                <w:kern w:val="0"/>
                <w:szCs w:val="21"/>
              </w:rPr>
              <w:t>达标</w:t>
            </w:r>
          </w:p>
        </w:tc>
      </w:tr>
      <w:tr w14:paraId="6E70C4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487" w:type="pct"/>
            <w:vMerge w:val="continue"/>
            <w:shd w:val="clear" w:color="auto" w:fill="auto"/>
            <w:vAlign w:val="center"/>
          </w:tcPr>
          <w:p w14:paraId="268C79B0">
            <w:pPr>
              <w:adjustRightInd w:val="0"/>
              <w:snapToGrid w:val="0"/>
              <w:spacing w:line="300" w:lineRule="exact"/>
              <w:jc w:val="center"/>
              <w:rPr>
                <w:rFonts w:hint="eastAsia" w:ascii="宋体" w:hAnsi="宋体"/>
                <w:kern w:val="0"/>
                <w:szCs w:val="21"/>
              </w:rPr>
            </w:pPr>
          </w:p>
        </w:tc>
        <w:tc>
          <w:tcPr>
            <w:tcW w:w="1511" w:type="pct"/>
            <w:shd w:val="clear" w:color="auto" w:fill="auto"/>
            <w:vAlign w:val="center"/>
          </w:tcPr>
          <w:p w14:paraId="76252A6D">
            <w:pPr>
              <w:adjustRightInd w:val="0"/>
              <w:snapToGrid w:val="0"/>
              <w:spacing w:line="300" w:lineRule="exact"/>
              <w:jc w:val="center"/>
              <w:rPr>
                <w:rFonts w:hint="eastAsia" w:ascii="宋体" w:hAnsi="宋体"/>
                <w:kern w:val="0"/>
                <w:szCs w:val="21"/>
              </w:rPr>
            </w:pPr>
            <w:r>
              <w:rPr>
                <w:rFonts w:hint="eastAsia" w:ascii="宋体" w:hAnsi="宋体"/>
                <w:kern w:val="0"/>
                <w:szCs w:val="21"/>
              </w:rPr>
              <w:t>含油量（</w:t>
            </w:r>
            <w:r>
              <w:rPr>
                <w:rFonts w:ascii="宋体" w:hAnsi="宋体"/>
                <w:kern w:val="0"/>
                <w:szCs w:val="21"/>
              </w:rPr>
              <w:t>mg/L</w:t>
            </w:r>
            <w:r>
              <w:rPr>
                <w:rFonts w:hint="eastAsia" w:ascii="宋体" w:hAnsi="宋体"/>
                <w:kern w:val="0"/>
                <w:szCs w:val="21"/>
              </w:rPr>
              <w:t>）</w:t>
            </w:r>
          </w:p>
        </w:tc>
        <w:tc>
          <w:tcPr>
            <w:tcW w:w="898" w:type="pct"/>
            <w:shd w:val="clear" w:color="auto" w:fill="auto"/>
            <w:vAlign w:val="center"/>
          </w:tcPr>
          <w:p w14:paraId="0AD9A178">
            <w:pPr>
              <w:adjustRightInd w:val="0"/>
              <w:snapToGrid w:val="0"/>
              <w:spacing w:line="300" w:lineRule="exact"/>
              <w:jc w:val="center"/>
              <w:rPr>
                <w:rFonts w:hint="eastAsia" w:ascii="宋体" w:hAnsi="宋体"/>
                <w:kern w:val="0"/>
                <w:szCs w:val="21"/>
              </w:rPr>
            </w:pPr>
            <w:r>
              <w:rPr>
                <w:rFonts w:hint="eastAsia" w:ascii="宋体" w:hAnsi="宋体"/>
                <w:kern w:val="0"/>
                <w:szCs w:val="21"/>
              </w:rPr>
              <w:t>1.19～1.93</w:t>
            </w:r>
          </w:p>
        </w:tc>
        <w:tc>
          <w:tcPr>
            <w:tcW w:w="1104" w:type="pct"/>
            <w:shd w:val="clear" w:color="auto" w:fill="auto"/>
            <w:vAlign w:val="center"/>
          </w:tcPr>
          <w:p w14:paraId="5A143476">
            <w:pPr>
              <w:adjustRightInd w:val="0"/>
              <w:snapToGrid w:val="0"/>
              <w:spacing w:line="300" w:lineRule="exact"/>
              <w:jc w:val="center"/>
              <w:rPr>
                <w:rFonts w:hint="eastAsia" w:ascii="宋体" w:hAnsi="宋体"/>
                <w:kern w:val="0"/>
                <w:szCs w:val="21"/>
              </w:rPr>
            </w:pPr>
            <w:r>
              <w:rPr>
                <w:rFonts w:hint="eastAsia" w:ascii="宋体" w:hAnsi="宋体"/>
                <w:kern w:val="0"/>
                <w:szCs w:val="21"/>
              </w:rPr>
              <w:t>＜50</w:t>
            </w:r>
          </w:p>
        </w:tc>
        <w:tc>
          <w:tcPr>
            <w:tcW w:w="999" w:type="pct"/>
            <w:shd w:val="clear" w:color="auto" w:fill="auto"/>
            <w:vAlign w:val="center"/>
          </w:tcPr>
          <w:p w14:paraId="542D71BA">
            <w:pPr>
              <w:adjustRightInd w:val="0"/>
              <w:snapToGrid w:val="0"/>
              <w:spacing w:line="300" w:lineRule="exact"/>
              <w:jc w:val="center"/>
              <w:rPr>
                <w:rFonts w:hint="eastAsia" w:ascii="宋体" w:hAnsi="宋体"/>
                <w:kern w:val="0"/>
                <w:szCs w:val="21"/>
              </w:rPr>
            </w:pPr>
            <w:r>
              <w:rPr>
                <w:rFonts w:hint="eastAsia" w:ascii="宋体" w:hAnsi="宋体"/>
                <w:kern w:val="0"/>
                <w:szCs w:val="21"/>
              </w:rPr>
              <w:t>达标</w:t>
            </w:r>
          </w:p>
        </w:tc>
      </w:tr>
      <w:tr w14:paraId="461C85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487" w:type="pct"/>
            <w:vMerge w:val="restart"/>
            <w:shd w:val="clear" w:color="auto" w:fill="auto"/>
            <w:vAlign w:val="center"/>
          </w:tcPr>
          <w:p w14:paraId="77393EA9">
            <w:pPr>
              <w:adjustRightInd w:val="0"/>
              <w:snapToGrid w:val="0"/>
              <w:spacing w:line="300" w:lineRule="exact"/>
              <w:jc w:val="center"/>
              <w:rPr>
                <w:rFonts w:hint="eastAsia" w:ascii="宋体" w:hAnsi="宋体"/>
                <w:kern w:val="0"/>
                <w:szCs w:val="21"/>
              </w:rPr>
            </w:pPr>
            <w:r>
              <w:rPr>
                <w:rFonts w:hint="eastAsia" w:ascii="宋体" w:hAnsi="宋体"/>
                <w:kern w:val="0"/>
                <w:szCs w:val="21"/>
              </w:rPr>
              <w:t>2024.1.2～1.30</w:t>
            </w:r>
          </w:p>
        </w:tc>
        <w:tc>
          <w:tcPr>
            <w:tcW w:w="1511" w:type="pct"/>
            <w:shd w:val="clear" w:color="auto" w:fill="auto"/>
            <w:vAlign w:val="center"/>
          </w:tcPr>
          <w:p w14:paraId="6A25C0B8">
            <w:pPr>
              <w:adjustRightInd w:val="0"/>
              <w:snapToGrid w:val="0"/>
              <w:spacing w:line="300" w:lineRule="exact"/>
              <w:jc w:val="center"/>
              <w:rPr>
                <w:rFonts w:hint="eastAsia" w:ascii="宋体" w:hAnsi="宋体"/>
                <w:kern w:val="0"/>
                <w:szCs w:val="21"/>
              </w:rPr>
            </w:pPr>
            <w:r>
              <w:rPr>
                <w:rFonts w:hint="eastAsia" w:ascii="宋体" w:hAnsi="宋体"/>
                <w:kern w:val="0"/>
                <w:szCs w:val="21"/>
              </w:rPr>
              <w:t>含油量（</w:t>
            </w:r>
            <w:r>
              <w:rPr>
                <w:rFonts w:ascii="宋体" w:hAnsi="宋体"/>
                <w:kern w:val="0"/>
                <w:szCs w:val="21"/>
              </w:rPr>
              <w:t>mg/L</w:t>
            </w:r>
            <w:r>
              <w:rPr>
                <w:rFonts w:hint="eastAsia" w:ascii="宋体" w:hAnsi="宋体"/>
                <w:kern w:val="0"/>
                <w:szCs w:val="21"/>
              </w:rPr>
              <w:t>）</w:t>
            </w:r>
          </w:p>
        </w:tc>
        <w:tc>
          <w:tcPr>
            <w:tcW w:w="898" w:type="pct"/>
            <w:shd w:val="clear" w:color="auto" w:fill="auto"/>
            <w:vAlign w:val="center"/>
          </w:tcPr>
          <w:p w14:paraId="455F3F44">
            <w:pPr>
              <w:adjustRightInd w:val="0"/>
              <w:snapToGrid w:val="0"/>
              <w:spacing w:line="300" w:lineRule="exact"/>
              <w:jc w:val="center"/>
              <w:rPr>
                <w:rFonts w:hint="eastAsia" w:ascii="宋体" w:hAnsi="宋体"/>
                <w:kern w:val="0"/>
                <w:szCs w:val="21"/>
              </w:rPr>
            </w:pPr>
            <w:r>
              <w:rPr>
                <w:rFonts w:ascii="宋体" w:hAnsi="宋体"/>
                <w:kern w:val="0"/>
                <w:szCs w:val="21"/>
              </w:rPr>
              <w:t>0.</w:t>
            </w:r>
            <w:r>
              <w:rPr>
                <w:rFonts w:hint="eastAsia" w:ascii="宋体" w:hAnsi="宋体"/>
                <w:kern w:val="0"/>
                <w:szCs w:val="21"/>
              </w:rPr>
              <w:t>68～1.59</w:t>
            </w:r>
          </w:p>
        </w:tc>
        <w:tc>
          <w:tcPr>
            <w:tcW w:w="1104" w:type="pct"/>
            <w:shd w:val="clear" w:color="auto" w:fill="auto"/>
            <w:vAlign w:val="center"/>
          </w:tcPr>
          <w:p w14:paraId="720AE72C">
            <w:pPr>
              <w:adjustRightInd w:val="0"/>
              <w:snapToGrid w:val="0"/>
              <w:spacing w:line="300" w:lineRule="exact"/>
              <w:jc w:val="center"/>
              <w:rPr>
                <w:rFonts w:hint="eastAsia" w:ascii="宋体" w:hAnsi="宋体"/>
                <w:kern w:val="0"/>
                <w:szCs w:val="21"/>
              </w:rPr>
            </w:pPr>
            <w:r>
              <w:rPr>
                <w:rFonts w:hint="eastAsia" w:ascii="宋体" w:hAnsi="宋体"/>
                <w:kern w:val="0"/>
                <w:szCs w:val="21"/>
              </w:rPr>
              <w:t>＜50</w:t>
            </w:r>
          </w:p>
        </w:tc>
        <w:tc>
          <w:tcPr>
            <w:tcW w:w="999" w:type="pct"/>
            <w:shd w:val="clear" w:color="auto" w:fill="auto"/>
            <w:vAlign w:val="center"/>
          </w:tcPr>
          <w:p w14:paraId="27536A2A">
            <w:pPr>
              <w:adjustRightInd w:val="0"/>
              <w:snapToGrid w:val="0"/>
              <w:spacing w:line="300" w:lineRule="exact"/>
              <w:jc w:val="center"/>
              <w:rPr>
                <w:rFonts w:hint="eastAsia" w:ascii="宋体" w:hAnsi="宋体"/>
                <w:kern w:val="0"/>
                <w:szCs w:val="21"/>
              </w:rPr>
            </w:pPr>
            <w:r>
              <w:rPr>
                <w:rFonts w:hint="eastAsia" w:ascii="宋体" w:hAnsi="宋体"/>
                <w:kern w:val="0"/>
                <w:szCs w:val="21"/>
              </w:rPr>
              <w:t>达标</w:t>
            </w:r>
          </w:p>
        </w:tc>
      </w:tr>
      <w:tr w14:paraId="2DE6E4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487" w:type="pct"/>
            <w:vMerge w:val="continue"/>
            <w:shd w:val="clear" w:color="auto" w:fill="auto"/>
            <w:vAlign w:val="center"/>
          </w:tcPr>
          <w:p w14:paraId="4F35B5F3">
            <w:pPr>
              <w:adjustRightInd w:val="0"/>
              <w:snapToGrid w:val="0"/>
              <w:spacing w:line="300" w:lineRule="exact"/>
              <w:jc w:val="center"/>
              <w:rPr>
                <w:rFonts w:hint="eastAsia" w:ascii="宋体" w:hAnsi="宋体"/>
                <w:kern w:val="0"/>
                <w:szCs w:val="21"/>
              </w:rPr>
            </w:pPr>
          </w:p>
        </w:tc>
        <w:tc>
          <w:tcPr>
            <w:tcW w:w="1511" w:type="pct"/>
            <w:shd w:val="clear" w:color="auto" w:fill="auto"/>
            <w:vAlign w:val="center"/>
          </w:tcPr>
          <w:p w14:paraId="5A9211B4">
            <w:pPr>
              <w:adjustRightInd w:val="0"/>
              <w:snapToGrid w:val="0"/>
              <w:spacing w:line="300" w:lineRule="exact"/>
              <w:jc w:val="center"/>
              <w:rPr>
                <w:rFonts w:hint="eastAsia" w:ascii="宋体" w:hAnsi="宋体"/>
                <w:kern w:val="0"/>
                <w:szCs w:val="21"/>
              </w:rPr>
            </w:pPr>
            <w:r>
              <w:rPr>
                <w:rFonts w:hint="eastAsia" w:ascii="宋体" w:hAnsi="宋体"/>
                <w:kern w:val="0"/>
                <w:szCs w:val="21"/>
              </w:rPr>
              <w:t>悬浮固体含量（</w:t>
            </w:r>
            <w:r>
              <w:rPr>
                <w:rFonts w:ascii="宋体" w:hAnsi="宋体"/>
                <w:kern w:val="0"/>
                <w:szCs w:val="21"/>
              </w:rPr>
              <w:t>mg/L</w:t>
            </w:r>
            <w:r>
              <w:rPr>
                <w:rFonts w:hint="eastAsia" w:ascii="宋体" w:hAnsi="宋体"/>
                <w:kern w:val="0"/>
                <w:szCs w:val="21"/>
              </w:rPr>
              <w:t>）</w:t>
            </w:r>
          </w:p>
        </w:tc>
        <w:tc>
          <w:tcPr>
            <w:tcW w:w="898" w:type="pct"/>
            <w:shd w:val="clear" w:color="auto" w:fill="auto"/>
            <w:vAlign w:val="center"/>
          </w:tcPr>
          <w:p w14:paraId="30BE0BD8">
            <w:pPr>
              <w:adjustRightInd w:val="0"/>
              <w:snapToGrid w:val="0"/>
              <w:spacing w:line="300" w:lineRule="exact"/>
              <w:jc w:val="center"/>
              <w:rPr>
                <w:rFonts w:hint="eastAsia" w:ascii="宋体" w:hAnsi="宋体"/>
                <w:kern w:val="0"/>
                <w:szCs w:val="21"/>
              </w:rPr>
            </w:pPr>
            <w:r>
              <w:rPr>
                <w:rFonts w:hint="eastAsia" w:ascii="宋体" w:hAnsi="宋体"/>
                <w:kern w:val="0"/>
                <w:szCs w:val="21"/>
              </w:rPr>
              <w:t>1～3.5</w:t>
            </w:r>
          </w:p>
        </w:tc>
        <w:tc>
          <w:tcPr>
            <w:tcW w:w="1104" w:type="pct"/>
            <w:shd w:val="clear" w:color="auto" w:fill="auto"/>
            <w:vAlign w:val="center"/>
          </w:tcPr>
          <w:p w14:paraId="05D93510">
            <w:pPr>
              <w:adjustRightInd w:val="0"/>
              <w:snapToGrid w:val="0"/>
              <w:spacing w:line="300" w:lineRule="exact"/>
              <w:jc w:val="center"/>
              <w:rPr>
                <w:rFonts w:hint="eastAsia" w:ascii="宋体" w:hAnsi="宋体"/>
                <w:kern w:val="0"/>
                <w:szCs w:val="21"/>
              </w:rPr>
            </w:pPr>
            <w:r>
              <w:rPr>
                <w:rFonts w:hint="eastAsia" w:ascii="宋体" w:hAnsi="宋体"/>
                <w:kern w:val="0"/>
                <w:szCs w:val="21"/>
              </w:rPr>
              <w:t>≤30</w:t>
            </w:r>
          </w:p>
        </w:tc>
        <w:tc>
          <w:tcPr>
            <w:tcW w:w="999" w:type="pct"/>
            <w:shd w:val="clear" w:color="auto" w:fill="auto"/>
            <w:vAlign w:val="center"/>
          </w:tcPr>
          <w:p w14:paraId="78D5673F">
            <w:pPr>
              <w:adjustRightInd w:val="0"/>
              <w:snapToGrid w:val="0"/>
              <w:spacing w:line="300" w:lineRule="exact"/>
              <w:jc w:val="center"/>
              <w:rPr>
                <w:rFonts w:hint="eastAsia" w:ascii="宋体" w:hAnsi="宋体"/>
                <w:kern w:val="0"/>
                <w:szCs w:val="21"/>
              </w:rPr>
            </w:pPr>
            <w:r>
              <w:rPr>
                <w:rFonts w:hint="eastAsia" w:ascii="宋体" w:hAnsi="宋体"/>
                <w:kern w:val="0"/>
                <w:szCs w:val="21"/>
              </w:rPr>
              <w:t>达标</w:t>
            </w:r>
          </w:p>
        </w:tc>
      </w:tr>
      <w:bookmarkEnd w:id="182"/>
      <w:bookmarkEnd w:id="183"/>
    </w:tbl>
    <w:p w14:paraId="7F8D8D6F">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（4）噪声</w:t>
      </w:r>
    </w:p>
    <w:p w14:paraId="7408CCE5">
      <w:pPr>
        <w:widowControl/>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井区噪声源主要为各类机泵和巡检车辆；页岩油联合站内噪声源主要为机泵、风机、空压机、压缩机等。通过采用低噪声设备、基础减振、定期对各设备检维修、保养，将机泵布置在室内等措施进行防治。页岩油联合站内现状噪声源强详见下表。</w:t>
      </w:r>
    </w:p>
    <w:p w14:paraId="10A96022">
      <w:pPr>
        <w:spacing w:line="500" w:lineRule="atLeast"/>
        <w:jc w:val="center"/>
        <w:rPr>
          <w:rFonts w:hint="eastAsia" w:ascii="宋体" w:hAnsi="宋体" w:eastAsia="黑体"/>
          <w:szCs w:val="20"/>
        </w:rPr>
      </w:pPr>
      <w:r>
        <w:rPr>
          <w:rFonts w:ascii="宋体" w:hAnsi="宋体" w:eastAsia="黑体"/>
          <w:szCs w:val="20"/>
        </w:rPr>
        <w:t>表</w:t>
      </w:r>
      <w:r>
        <w:rPr>
          <w:rFonts w:hint="eastAsia" w:ascii="宋体" w:hAnsi="宋体" w:eastAsia="黑体"/>
          <w:szCs w:val="20"/>
        </w:rPr>
        <w:t>3.1-7  页岩油联合站现有噪声源基本情况</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1700"/>
        <w:gridCol w:w="2328"/>
        <w:gridCol w:w="2258"/>
      </w:tblGrid>
      <w:tr w14:paraId="34BFD3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4CD9C467">
            <w:pPr>
              <w:adjustRightInd w:val="0"/>
              <w:snapToGrid w:val="0"/>
              <w:spacing w:line="300" w:lineRule="exact"/>
              <w:jc w:val="center"/>
              <w:rPr>
                <w:rFonts w:hint="eastAsia" w:ascii="宋体" w:hAnsi="宋体" w:cs="宋体"/>
                <w:szCs w:val="21"/>
              </w:rPr>
            </w:pPr>
            <w:r>
              <w:rPr>
                <w:rFonts w:hint="eastAsia" w:ascii="宋体" w:hAnsi="宋体" w:cs="宋体"/>
                <w:szCs w:val="21"/>
              </w:rPr>
              <w:t>名称</w:t>
            </w:r>
          </w:p>
        </w:tc>
        <w:tc>
          <w:tcPr>
            <w:tcW w:w="950" w:type="pct"/>
            <w:vAlign w:val="center"/>
          </w:tcPr>
          <w:p w14:paraId="59508B44">
            <w:pPr>
              <w:adjustRightInd w:val="0"/>
              <w:snapToGrid w:val="0"/>
              <w:spacing w:line="300" w:lineRule="exact"/>
              <w:jc w:val="center"/>
              <w:rPr>
                <w:rFonts w:hint="eastAsia" w:ascii="宋体" w:hAnsi="宋体" w:cs="宋体"/>
                <w:szCs w:val="21"/>
              </w:rPr>
            </w:pPr>
            <w:r>
              <w:rPr>
                <w:rFonts w:hint="eastAsia" w:ascii="宋体" w:hAnsi="宋体" w:cs="宋体"/>
                <w:szCs w:val="21"/>
              </w:rPr>
              <w:t>数量（台）</w:t>
            </w:r>
          </w:p>
        </w:tc>
        <w:tc>
          <w:tcPr>
            <w:tcW w:w="1301" w:type="pct"/>
            <w:vAlign w:val="center"/>
          </w:tcPr>
          <w:p w14:paraId="01FBA678">
            <w:pPr>
              <w:adjustRightInd w:val="0"/>
              <w:snapToGrid w:val="0"/>
              <w:spacing w:line="300" w:lineRule="exact"/>
              <w:jc w:val="center"/>
              <w:rPr>
                <w:rFonts w:hint="eastAsia" w:ascii="宋体" w:hAnsi="宋体" w:cs="宋体"/>
                <w:szCs w:val="21"/>
              </w:rPr>
            </w:pPr>
            <w:r>
              <w:rPr>
                <w:rFonts w:hint="eastAsia" w:ascii="宋体" w:hAnsi="宋体" w:cs="宋体"/>
                <w:szCs w:val="21"/>
              </w:rPr>
              <w:t>类型</w:t>
            </w:r>
          </w:p>
        </w:tc>
        <w:tc>
          <w:tcPr>
            <w:tcW w:w="1262" w:type="pct"/>
            <w:vAlign w:val="center"/>
          </w:tcPr>
          <w:p w14:paraId="2E2DF940">
            <w:pPr>
              <w:adjustRightInd w:val="0"/>
              <w:snapToGrid w:val="0"/>
              <w:spacing w:line="300" w:lineRule="exact"/>
              <w:jc w:val="center"/>
              <w:rPr>
                <w:rFonts w:hint="eastAsia" w:ascii="宋体" w:hAnsi="宋体" w:cs="宋体"/>
                <w:szCs w:val="21"/>
              </w:rPr>
            </w:pPr>
            <w:r>
              <w:rPr>
                <w:rFonts w:hint="eastAsia" w:ascii="宋体" w:hAnsi="宋体" w:cs="宋体"/>
                <w:szCs w:val="21"/>
              </w:rPr>
              <w:t>源强[</w:t>
            </w:r>
            <w:r>
              <w:rPr>
                <w:rFonts w:ascii="宋体" w:hAnsi="宋体" w:cs="宋体"/>
                <w:szCs w:val="21"/>
              </w:rPr>
              <w:t>dB</w:t>
            </w:r>
            <w:r>
              <w:rPr>
                <w:rFonts w:hint="eastAsia" w:ascii="宋体" w:hAnsi="宋体" w:cs="宋体"/>
                <w:szCs w:val="21"/>
              </w:rPr>
              <w:t>（A）</w:t>
            </w:r>
            <w:r>
              <w:rPr>
                <w:rFonts w:ascii="宋体" w:hAnsi="宋体" w:cs="宋体"/>
                <w:szCs w:val="21"/>
              </w:rPr>
              <w:t>]</w:t>
            </w:r>
          </w:p>
        </w:tc>
      </w:tr>
      <w:tr w14:paraId="4C0C3D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3E2D8896">
            <w:pPr>
              <w:adjustRightInd w:val="0"/>
              <w:snapToGrid w:val="0"/>
              <w:spacing w:line="300" w:lineRule="exact"/>
              <w:jc w:val="center"/>
              <w:rPr>
                <w:rFonts w:hint="eastAsia" w:ascii="宋体" w:hAnsi="宋体" w:cs="宋体"/>
                <w:szCs w:val="21"/>
              </w:rPr>
            </w:pPr>
            <w:r>
              <w:rPr>
                <w:rFonts w:hint="eastAsia" w:ascii="宋体" w:hAnsi="宋体" w:cs="宋体"/>
                <w:szCs w:val="21"/>
              </w:rPr>
              <w:t>各类机泵</w:t>
            </w:r>
          </w:p>
        </w:tc>
        <w:tc>
          <w:tcPr>
            <w:tcW w:w="950" w:type="pct"/>
            <w:vAlign w:val="center"/>
          </w:tcPr>
          <w:p w14:paraId="73DDBAE8">
            <w:pPr>
              <w:adjustRightInd w:val="0"/>
              <w:snapToGrid w:val="0"/>
              <w:spacing w:line="300" w:lineRule="exact"/>
              <w:jc w:val="center"/>
              <w:rPr>
                <w:rFonts w:hint="eastAsia" w:ascii="宋体" w:hAnsi="宋体" w:cs="宋体"/>
                <w:szCs w:val="21"/>
              </w:rPr>
            </w:pPr>
            <w:r>
              <w:rPr>
                <w:rFonts w:hint="eastAsia" w:ascii="宋体" w:hAnsi="宋体" w:cs="宋体"/>
                <w:kern w:val="0"/>
                <w:szCs w:val="21"/>
              </w:rPr>
              <w:t>8</w:t>
            </w:r>
          </w:p>
        </w:tc>
        <w:tc>
          <w:tcPr>
            <w:tcW w:w="1301" w:type="pct"/>
            <w:vAlign w:val="center"/>
          </w:tcPr>
          <w:p w14:paraId="1C583D03">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002950C5">
            <w:pPr>
              <w:adjustRightInd w:val="0"/>
              <w:snapToGrid w:val="0"/>
              <w:spacing w:line="300" w:lineRule="exact"/>
              <w:jc w:val="center"/>
              <w:rPr>
                <w:rFonts w:hint="eastAsia" w:ascii="宋体" w:hAnsi="宋体" w:cs="宋体"/>
                <w:szCs w:val="21"/>
              </w:rPr>
            </w:pPr>
            <w:r>
              <w:rPr>
                <w:rFonts w:hint="eastAsia" w:ascii="宋体" w:hAnsi="宋体" w:cs="宋体"/>
                <w:szCs w:val="21"/>
              </w:rPr>
              <w:t>80～85</w:t>
            </w:r>
          </w:p>
        </w:tc>
      </w:tr>
      <w:tr w14:paraId="4D5EC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0C97B0FA">
            <w:pPr>
              <w:adjustRightInd w:val="0"/>
              <w:snapToGrid w:val="0"/>
              <w:spacing w:line="300" w:lineRule="exact"/>
              <w:jc w:val="center"/>
              <w:rPr>
                <w:rFonts w:hint="eastAsia" w:ascii="宋体" w:hAnsi="宋体" w:cs="宋体"/>
                <w:szCs w:val="21"/>
              </w:rPr>
            </w:pPr>
            <w:r>
              <w:rPr>
                <w:rFonts w:hint="eastAsia" w:ascii="宋体" w:hAnsi="宋体" w:cs="宋体"/>
                <w:szCs w:val="21"/>
              </w:rPr>
              <w:t>阀门及调压设备等</w:t>
            </w:r>
          </w:p>
        </w:tc>
        <w:tc>
          <w:tcPr>
            <w:tcW w:w="950" w:type="pct"/>
            <w:vAlign w:val="center"/>
          </w:tcPr>
          <w:p w14:paraId="326D2310">
            <w:pPr>
              <w:adjustRightInd w:val="0"/>
              <w:snapToGrid w:val="0"/>
              <w:spacing w:line="300" w:lineRule="exact"/>
              <w:jc w:val="center"/>
              <w:rPr>
                <w:rFonts w:hint="eastAsia" w:ascii="宋体" w:hAnsi="宋体" w:cs="宋体"/>
                <w:szCs w:val="21"/>
              </w:rPr>
            </w:pPr>
            <w:r>
              <w:rPr>
                <w:rFonts w:hint="eastAsia" w:ascii="宋体" w:hAnsi="宋体" w:cs="宋体"/>
                <w:kern w:val="0"/>
                <w:szCs w:val="21"/>
              </w:rPr>
              <w:t>6</w:t>
            </w:r>
          </w:p>
        </w:tc>
        <w:tc>
          <w:tcPr>
            <w:tcW w:w="1301" w:type="pct"/>
            <w:vAlign w:val="center"/>
          </w:tcPr>
          <w:p w14:paraId="1FE6F827">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7ACAB3C0">
            <w:pPr>
              <w:adjustRightInd w:val="0"/>
              <w:snapToGrid w:val="0"/>
              <w:spacing w:line="300" w:lineRule="exact"/>
              <w:jc w:val="center"/>
              <w:rPr>
                <w:rFonts w:hint="eastAsia" w:ascii="宋体" w:hAnsi="宋体" w:cs="宋体"/>
                <w:szCs w:val="21"/>
              </w:rPr>
            </w:pPr>
            <w:r>
              <w:rPr>
                <w:rFonts w:hint="eastAsia" w:ascii="宋体" w:hAnsi="宋体" w:cs="宋体"/>
                <w:szCs w:val="21"/>
              </w:rPr>
              <w:t>70～85</w:t>
            </w:r>
          </w:p>
        </w:tc>
      </w:tr>
      <w:tr w14:paraId="345D2B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47FDC8FE">
            <w:pPr>
              <w:adjustRightInd w:val="0"/>
              <w:snapToGrid w:val="0"/>
              <w:spacing w:line="300" w:lineRule="exact"/>
              <w:jc w:val="center"/>
              <w:rPr>
                <w:rFonts w:hint="eastAsia" w:ascii="宋体" w:hAnsi="宋体" w:cs="宋体"/>
                <w:szCs w:val="21"/>
              </w:rPr>
            </w:pPr>
            <w:r>
              <w:rPr>
                <w:rFonts w:hint="eastAsia" w:ascii="宋体" w:hAnsi="宋体" w:cs="宋体"/>
                <w:szCs w:val="21"/>
              </w:rPr>
              <w:t>加热炉</w:t>
            </w:r>
          </w:p>
        </w:tc>
        <w:tc>
          <w:tcPr>
            <w:tcW w:w="950" w:type="pct"/>
            <w:vAlign w:val="center"/>
          </w:tcPr>
          <w:p w14:paraId="6E149149">
            <w:pPr>
              <w:adjustRightInd w:val="0"/>
              <w:snapToGrid w:val="0"/>
              <w:spacing w:line="300" w:lineRule="exact"/>
              <w:jc w:val="center"/>
              <w:rPr>
                <w:rFonts w:hint="eastAsia" w:ascii="宋体" w:hAnsi="宋体" w:cs="宋体"/>
                <w:szCs w:val="21"/>
              </w:rPr>
            </w:pPr>
            <w:r>
              <w:rPr>
                <w:rFonts w:hint="eastAsia" w:ascii="宋体" w:hAnsi="宋体" w:cs="宋体"/>
                <w:kern w:val="0"/>
                <w:szCs w:val="21"/>
              </w:rPr>
              <w:t>5</w:t>
            </w:r>
          </w:p>
        </w:tc>
        <w:tc>
          <w:tcPr>
            <w:tcW w:w="1301" w:type="pct"/>
            <w:vAlign w:val="center"/>
          </w:tcPr>
          <w:p w14:paraId="261695A2">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4B7721EC">
            <w:pPr>
              <w:adjustRightInd w:val="0"/>
              <w:snapToGrid w:val="0"/>
              <w:spacing w:line="300" w:lineRule="exact"/>
              <w:jc w:val="center"/>
              <w:rPr>
                <w:rFonts w:hint="eastAsia" w:ascii="宋体" w:hAnsi="宋体" w:cs="宋体"/>
                <w:szCs w:val="21"/>
              </w:rPr>
            </w:pPr>
            <w:r>
              <w:rPr>
                <w:rFonts w:hint="eastAsia" w:ascii="宋体" w:hAnsi="宋体" w:cs="宋体"/>
                <w:szCs w:val="21"/>
              </w:rPr>
              <w:t>70～85</w:t>
            </w:r>
          </w:p>
        </w:tc>
      </w:tr>
      <w:tr w14:paraId="4271E0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75666C34">
            <w:pPr>
              <w:adjustRightInd w:val="0"/>
              <w:snapToGrid w:val="0"/>
              <w:spacing w:line="300" w:lineRule="exact"/>
              <w:jc w:val="center"/>
              <w:rPr>
                <w:rFonts w:hint="eastAsia" w:ascii="宋体" w:hAnsi="宋体" w:cs="宋体"/>
                <w:szCs w:val="21"/>
              </w:rPr>
            </w:pPr>
            <w:r>
              <w:rPr>
                <w:rFonts w:hint="eastAsia" w:ascii="宋体" w:hAnsi="宋体" w:cs="宋体"/>
                <w:szCs w:val="21"/>
              </w:rPr>
              <w:t>压缩机</w:t>
            </w:r>
          </w:p>
        </w:tc>
        <w:tc>
          <w:tcPr>
            <w:tcW w:w="950" w:type="pct"/>
            <w:vAlign w:val="center"/>
          </w:tcPr>
          <w:p w14:paraId="7551F615">
            <w:pPr>
              <w:adjustRightInd w:val="0"/>
              <w:snapToGrid w:val="0"/>
              <w:spacing w:line="300" w:lineRule="exact"/>
              <w:jc w:val="center"/>
              <w:rPr>
                <w:rFonts w:hint="eastAsia" w:ascii="宋体" w:hAnsi="宋体" w:cs="宋体"/>
                <w:szCs w:val="21"/>
              </w:rPr>
            </w:pPr>
            <w:r>
              <w:rPr>
                <w:rFonts w:hint="eastAsia" w:ascii="宋体" w:hAnsi="宋体" w:cs="宋体"/>
                <w:kern w:val="0"/>
                <w:szCs w:val="21"/>
              </w:rPr>
              <w:t>2</w:t>
            </w:r>
          </w:p>
        </w:tc>
        <w:tc>
          <w:tcPr>
            <w:tcW w:w="1301" w:type="pct"/>
            <w:vAlign w:val="center"/>
          </w:tcPr>
          <w:p w14:paraId="645A72BF">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7CF0F19C">
            <w:pPr>
              <w:adjustRightInd w:val="0"/>
              <w:snapToGrid w:val="0"/>
              <w:spacing w:line="300" w:lineRule="exact"/>
              <w:jc w:val="center"/>
              <w:rPr>
                <w:rFonts w:hint="eastAsia" w:ascii="宋体" w:hAnsi="宋体" w:cs="宋体"/>
                <w:szCs w:val="21"/>
              </w:rPr>
            </w:pPr>
            <w:r>
              <w:rPr>
                <w:rFonts w:hint="eastAsia" w:ascii="宋体" w:hAnsi="宋体" w:cs="宋体"/>
                <w:szCs w:val="21"/>
              </w:rPr>
              <w:t>80～85</w:t>
            </w:r>
          </w:p>
        </w:tc>
      </w:tr>
      <w:tr w14:paraId="39EF05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25CE3292">
            <w:pPr>
              <w:adjustRightInd w:val="0"/>
              <w:snapToGrid w:val="0"/>
              <w:spacing w:line="300" w:lineRule="exact"/>
              <w:jc w:val="center"/>
              <w:rPr>
                <w:rFonts w:hint="eastAsia" w:ascii="宋体" w:hAnsi="宋体" w:cs="宋体"/>
                <w:szCs w:val="21"/>
              </w:rPr>
            </w:pPr>
            <w:r>
              <w:rPr>
                <w:rFonts w:hint="eastAsia" w:ascii="宋体" w:hAnsi="宋体" w:cs="宋体"/>
                <w:szCs w:val="21"/>
              </w:rPr>
              <w:t>分离器、阀门、调压装置</w:t>
            </w:r>
          </w:p>
        </w:tc>
        <w:tc>
          <w:tcPr>
            <w:tcW w:w="950" w:type="pct"/>
            <w:vAlign w:val="center"/>
          </w:tcPr>
          <w:p w14:paraId="7276E267">
            <w:pPr>
              <w:adjustRightInd w:val="0"/>
              <w:snapToGrid w:val="0"/>
              <w:spacing w:line="300" w:lineRule="exact"/>
              <w:jc w:val="center"/>
              <w:rPr>
                <w:rFonts w:hint="eastAsia" w:ascii="宋体" w:hAnsi="宋体" w:cs="宋体"/>
                <w:szCs w:val="21"/>
              </w:rPr>
            </w:pPr>
            <w:r>
              <w:rPr>
                <w:rFonts w:hint="eastAsia" w:ascii="宋体" w:hAnsi="宋体" w:cs="宋体"/>
                <w:kern w:val="0"/>
                <w:szCs w:val="21"/>
              </w:rPr>
              <w:t>7</w:t>
            </w:r>
          </w:p>
        </w:tc>
        <w:tc>
          <w:tcPr>
            <w:tcW w:w="1301" w:type="pct"/>
            <w:vAlign w:val="center"/>
          </w:tcPr>
          <w:p w14:paraId="55D881AD">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6DF3B837">
            <w:pPr>
              <w:adjustRightInd w:val="0"/>
              <w:snapToGrid w:val="0"/>
              <w:spacing w:line="300" w:lineRule="exact"/>
              <w:jc w:val="center"/>
              <w:rPr>
                <w:rFonts w:hint="eastAsia" w:ascii="宋体" w:hAnsi="宋体" w:cs="宋体"/>
                <w:szCs w:val="21"/>
              </w:rPr>
            </w:pPr>
            <w:r>
              <w:rPr>
                <w:rFonts w:hint="eastAsia" w:ascii="宋体" w:hAnsi="宋体" w:cs="宋体"/>
                <w:szCs w:val="21"/>
              </w:rPr>
              <w:t>70～85</w:t>
            </w:r>
          </w:p>
        </w:tc>
      </w:tr>
      <w:tr w14:paraId="6442AE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vAlign w:val="center"/>
          </w:tcPr>
          <w:p w14:paraId="21A6581B">
            <w:pPr>
              <w:adjustRightInd w:val="0"/>
              <w:snapToGrid w:val="0"/>
              <w:spacing w:line="300" w:lineRule="exact"/>
              <w:jc w:val="center"/>
              <w:rPr>
                <w:rFonts w:hint="eastAsia" w:ascii="宋体" w:hAnsi="宋体" w:cs="宋体"/>
                <w:szCs w:val="21"/>
              </w:rPr>
            </w:pPr>
            <w:r>
              <w:rPr>
                <w:rFonts w:hint="eastAsia" w:ascii="宋体" w:hAnsi="宋体" w:cs="宋体"/>
                <w:szCs w:val="21"/>
              </w:rPr>
              <w:t>系统超压、火炬放空</w:t>
            </w:r>
          </w:p>
        </w:tc>
        <w:tc>
          <w:tcPr>
            <w:tcW w:w="950" w:type="pct"/>
            <w:vAlign w:val="center"/>
          </w:tcPr>
          <w:p w14:paraId="058EC599">
            <w:pPr>
              <w:adjustRightInd w:val="0"/>
              <w:snapToGrid w:val="0"/>
              <w:spacing w:line="300" w:lineRule="exact"/>
              <w:jc w:val="center"/>
              <w:rPr>
                <w:rFonts w:hint="eastAsia" w:ascii="宋体" w:hAnsi="宋体" w:cs="宋体"/>
                <w:szCs w:val="21"/>
              </w:rPr>
            </w:pPr>
            <w:r>
              <w:rPr>
                <w:rFonts w:hint="eastAsia" w:ascii="宋体" w:hAnsi="宋体" w:cs="宋体"/>
                <w:kern w:val="0"/>
                <w:szCs w:val="21"/>
              </w:rPr>
              <w:t>2</w:t>
            </w:r>
          </w:p>
        </w:tc>
        <w:tc>
          <w:tcPr>
            <w:tcW w:w="1301" w:type="pct"/>
            <w:vAlign w:val="center"/>
          </w:tcPr>
          <w:p w14:paraId="513F447D">
            <w:pPr>
              <w:adjustRightInd w:val="0"/>
              <w:snapToGrid w:val="0"/>
              <w:spacing w:line="300" w:lineRule="exact"/>
              <w:jc w:val="center"/>
              <w:rPr>
                <w:rFonts w:hint="eastAsia" w:ascii="宋体" w:hAnsi="宋体" w:cs="宋体"/>
                <w:szCs w:val="21"/>
              </w:rPr>
            </w:pPr>
            <w:r>
              <w:rPr>
                <w:rFonts w:hint="eastAsia" w:ascii="宋体" w:hAnsi="宋体" w:cs="宋体"/>
                <w:szCs w:val="21"/>
              </w:rPr>
              <w:t>点声源</w:t>
            </w:r>
          </w:p>
        </w:tc>
        <w:tc>
          <w:tcPr>
            <w:tcW w:w="1262" w:type="pct"/>
            <w:vAlign w:val="center"/>
          </w:tcPr>
          <w:p w14:paraId="03335B50">
            <w:pPr>
              <w:adjustRightInd w:val="0"/>
              <w:snapToGrid w:val="0"/>
              <w:spacing w:line="300" w:lineRule="exact"/>
              <w:jc w:val="center"/>
              <w:rPr>
                <w:rFonts w:hint="eastAsia" w:ascii="宋体" w:hAnsi="宋体" w:cs="宋体"/>
                <w:szCs w:val="21"/>
              </w:rPr>
            </w:pPr>
            <w:r>
              <w:rPr>
                <w:rFonts w:hint="eastAsia" w:ascii="宋体" w:hAnsi="宋体" w:cs="宋体"/>
                <w:szCs w:val="21"/>
              </w:rPr>
              <w:t>110～120</w:t>
            </w:r>
          </w:p>
        </w:tc>
      </w:tr>
    </w:tbl>
    <w:p w14:paraId="6D36FFC6">
      <w:pPr>
        <w:spacing w:line="500" w:lineRule="exact"/>
        <w:ind w:firstLine="480" w:firstLineChars="200"/>
        <w:rPr>
          <w:rFonts w:hint="eastAsia" w:ascii="宋体" w:hAnsi="宋体"/>
          <w:kern w:val="0"/>
          <w:sz w:val="24"/>
          <w:szCs w:val="24"/>
        </w:rPr>
      </w:pPr>
      <w:r>
        <w:rPr>
          <w:rFonts w:hint="eastAsia" w:ascii="宋体" w:hAnsi="宋体"/>
          <w:kern w:val="0"/>
          <w:sz w:val="24"/>
          <w:szCs w:val="24"/>
        </w:rPr>
        <w:t>根据2024年吉庆油田作业区例行监测数据和可知，采油井场和页岩油联合站及采油井场厂界昼夜噪声值均满足《工业企业厂界环境噪声排放标准》（GB12348-2008）中2类限值要求，监测数据详见下表。</w:t>
      </w:r>
    </w:p>
    <w:p w14:paraId="63B340D8">
      <w:pPr>
        <w:pStyle w:val="109"/>
        <w:rPr>
          <w:rFonts w:hint="eastAsia"/>
        </w:rPr>
      </w:pPr>
      <w:r>
        <w:rPr>
          <w:rFonts w:hint="eastAsia"/>
        </w:rPr>
        <w:t>表3</w:t>
      </w:r>
      <w:r>
        <w:t>.1</w:t>
      </w:r>
      <w:r>
        <w:rPr>
          <w:rFonts w:hint="eastAsia"/>
        </w:rPr>
        <w:t>-8</w:t>
      </w:r>
      <w:r>
        <w:t xml:space="preserve">  </w:t>
      </w:r>
      <w:r>
        <w:rPr>
          <w:rFonts w:hint="eastAsia"/>
        </w:rPr>
        <w:t>厂界昼夜噪声监测结果一览表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71"/>
        <w:gridCol w:w="1544"/>
        <w:gridCol w:w="1209"/>
        <w:gridCol w:w="777"/>
        <w:gridCol w:w="775"/>
        <w:gridCol w:w="1065"/>
        <w:gridCol w:w="920"/>
        <w:gridCol w:w="778"/>
        <w:gridCol w:w="1007"/>
      </w:tblGrid>
      <w:tr w14:paraId="1C015A2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tblHeader/>
          <w:jc w:val="center"/>
        </w:trPr>
        <w:tc>
          <w:tcPr>
            <w:tcW w:w="487" w:type="pct"/>
            <w:vMerge w:val="restart"/>
            <w:vAlign w:val="center"/>
          </w:tcPr>
          <w:p w14:paraId="5A7FF036">
            <w:pPr>
              <w:pStyle w:val="278"/>
              <w:adjustRightInd w:val="0"/>
              <w:snapToGrid w:val="0"/>
              <w:spacing w:line="300" w:lineRule="exact"/>
              <w:rPr>
                <w:rFonts w:hint="eastAsia" w:cs="宋体"/>
              </w:rPr>
            </w:pPr>
            <w:r>
              <w:rPr>
                <w:rFonts w:hint="eastAsia" w:cs="宋体"/>
              </w:rPr>
              <w:t>站场</w:t>
            </w:r>
          </w:p>
          <w:p w14:paraId="6ECB9B39">
            <w:pPr>
              <w:pStyle w:val="278"/>
              <w:adjustRightInd w:val="0"/>
              <w:snapToGrid w:val="0"/>
              <w:spacing w:line="300" w:lineRule="exact"/>
              <w:rPr>
                <w:rFonts w:hint="eastAsia" w:cs="宋体"/>
              </w:rPr>
            </w:pPr>
            <w:r>
              <w:rPr>
                <w:rFonts w:hint="eastAsia" w:cs="宋体"/>
              </w:rPr>
              <w:t>名称</w:t>
            </w:r>
          </w:p>
        </w:tc>
        <w:tc>
          <w:tcPr>
            <w:tcW w:w="863" w:type="pct"/>
            <w:vMerge w:val="restart"/>
            <w:vAlign w:val="center"/>
          </w:tcPr>
          <w:p w14:paraId="05F2F039">
            <w:pPr>
              <w:pStyle w:val="278"/>
              <w:adjustRightInd w:val="0"/>
              <w:snapToGrid w:val="0"/>
              <w:spacing w:line="300" w:lineRule="exact"/>
              <w:rPr>
                <w:rFonts w:hint="eastAsia" w:cs="宋体"/>
              </w:rPr>
            </w:pPr>
            <w:r>
              <w:rPr>
                <w:rFonts w:hint="eastAsia" w:cs="宋体"/>
              </w:rPr>
              <w:t>监测时间</w:t>
            </w:r>
          </w:p>
        </w:tc>
        <w:tc>
          <w:tcPr>
            <w:tcW w:w="676" w:type="pct"/>
            <w:vMerge w:val="restart"/>
            <w:vAlign w:val="center"/>
          </w:tcPr>
          <w:p w14:paraId="140EC41C">
            <w:pPr>
              <w:pStyle w:val="278"/>
              <w:adjustRightInd w:val="0"/>
              <w:snapToGrid w:val="0"/>
              <w:spacing w:line="300" w:lineRule="exact"/>
              <w:rPr>
                <w:rFonts w:hint="eastAsia" w:cs="宋体"/>
              </w:rPr>
            </w:pPr>
            <w:r>
              <w:rPr>
                <w:rFonts w:hint="eastAsia" w:cs="宋体"/>
              </w:rPr>
              <w:t>监测点</w:t>
            </w:r>
          </w:p>
        </w:tc>
        <w:tc>
          <w:tcPr>
            <w:tcW w:w="1462" w:type="pct"/>
            <w:gridSpan w:val="3"/>
            <w:vAlign w:val="center"/>
          </w:tcPr>
          <w:p w14:paraId="158616F4">
            <w:pPr>
              <w:pStyle w:val="278"/>
              <w:adjustRightInd w:val="0"/>
              <w:snapToGrid w:val="0"/>
              <w:spacing w:line="300" w:lineRule="exact"/>
              <w:rPr>
                <w:rFonts w:hint="eastAsia" w:cs="宋体"/>
              </w:rPr>
            </w:pPr>
            <w:r>
              <w:rPr>
                <w:rFonts w:hint="eastAsia" w:cs="宋体"/>
              </w:rPr>
              <w:t>昼间</w:t>
            </w:r>
            <w:r>
              <w:rPr>
                <w:rFonts w:hint="eastAsia"/>
              </w:rPr>
              <w:t>[dB（A）]</w:t>
            </w:r>
          </w:p>
        </w:tc>
        <w:tc>
          <w:tcPr>
            <w:tcW w:w="1512" w:type="pct"/>
            <w:gridSpan w:val="3"/>
            <w:vAlign w:val="center"/>
          </w:tcPr>
          <w:p w14:paraId="542B4BA2">
            <w:pPr>
              <w:pStyle w:val="278"/>
              <w:adjustRightInd w:val="0"/>
              <w:snapToGrid w:val="0"/>
              <w:spacing w:line="300" w:lineRule="exact"/>
              <w:rPr>
                <w:rFonts w:hint="eastAsia" w:cs="宋体"/>
              </w:rPr>
            </w:pPr>
            <w:r>
              <w:rPr>
                <w:rFonts w:hint="eastAsia" w:cs="宋体"/>
              </w:rPr>
              <w:t>夜间</w:t>
            </w:r>
            <w:r>
              <w:rPr>
                <w:rFonts w:hint="eastAsia"/>
              </w:rPr>
              <w:t>[dB（A）]</w:t>
            </w:r>
          </w:p>
        </w:tc>
      </w:tr>
      <w:tr w14:paraId="1381CB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tblHeader/>
          <w:jc w:val="center"/>
        </w:trPr>
        <w:tc>
          <w:tcPr>
            <w:tcW w:w="487" w:type="pct"/>
            <w:vMerge w:val="continue"/>
            <w:vAlign w:val="center"/>
          </w:tcPr>
          <w:p w14:paraId="7AEC248A">
            <w:pPr>
              <w:pStyle w:val="278"/>
              <w:adjustRightInd w:val="0"/>
              <w:snapToGrid w:val="0"/>
              <w:spacing w:line="300" w:lineRule="exact"/>
              <w:rPr>
                <w:rFonts w:hint="eastAsia" w:cs="宋体"/>
              </w:rPr>
            </w:pPr>
          </w:p>
        </w:tc>
        <w:tc>
          <w:tcPr>
            <w:tcW w:w="863" w:type="pct"/>
            <w:vMerge w:val="continue"/>
            <w:vAlign w:val="center"/>
          </w:tcPr>
          <w:p w14:paraId="318040A4">
            <w:pPr>
              <w:pStyle w:val="278"/>
              <w:adjustRightInd w:val="0"/>
              <w:snapToGrid w:val="0"/>
              <w:spacing w:line="300" w:lineRule="exact"/>
              <w:rPr>
                <w:rFonts w:hint="eastAsia" w:cs="宋体"/>
              </w:rPr>
            </w:pPr>
          </w:p>
        </w:tc>
        <w:tc>
          <w:tcPr>
            <w:tcW w:w="676" w:type="pct"/>
            <w:vMerge w:val="continue"/>
            <w:vAlign w:val="center"/>
          </w:tcPr>
          <w:p w14:paraId="5042BFF0">
            <w:pPr>
              <w:pStyle w:val="278"/>
              <w:adjustRightInd w:val="0"/>
              <w:snapToGrid w:val="0"/>
              <w:spacing w:line="300" w:lineRule="exact"/>
              <w:rPr>
                <w:rFonts w:hint="eastAsia" w:cs="宋体"/>
              </w:rPr>
            </w:pPr>
          </w:p>
        </w:tc>
        <w:tc>
          <w:tcPr>
            <w:tcW w:w="434" w:type="pct"/>
            <w:vAlign w:val="center"/>
          </w:tcPr>
          <w:p w14:paraId="2BCA3321">
            <w:pPr>
              <w:pStyle w:val="278"/>
              <w:adjustRightInd w:val="0"/>
              <w:snapToGrid w:val="0"/>
              <w:spacing w:line="300" w:lineRule="exact"/>
              <w:rPr>
                <w:rFonts w:hint="eastAsia" w:cs="宋体"/>
              </w:rPr>
            </w:pPr>
            <w:r>
              <w:rPr>
                <w:rFonts w:hint="eastAsia" w:cs="宋体"/>
              </w:rPr>
              <w:t>监测值</w:t>
            </w:r>
          </w:p>
        </w:tc>
        <w:tc>
          <w:tcPr>
            <w:tcW w:w="433" w:type="pct"/>
            <w:vAlign w:val="center"/>
          </w:tcPr>
          <w:p w14:paraId="071843C5">
            <w:pPr>
              <w:pStyle w:val="278"/>
              <w:adjustRightInd w:val="0"/>
              <w:snapToGrid w:val="0"/>
              <w:spacing w:line="300" w:lineRule="exact"/>
              <w:rPr>
                <w:rFonts w:hint="eastAsia" w:cs="宋体"/>
              </w:rPr>
            </w:pPr>
            <w:r>
              <w:rPr>
                <w:rFonts w:hint="eastAsia" w:cs="宋体"/>
              </w:rPr>
              <w:t>标准值</w:t>
            </w:r>
          </w:p>
        </w:tc>
        <w:tc>
          <w:tcPr>
            <w:tcW w:w="595" w:type="pct"/>
            <w:vAlign w:val="center"/>
          </w:tcPr>
          <w:p w14:paraId="48EC9AAF">
            <w:pPr>
              <w:pStyle w:val="278"/>
              <w:adjustRightInd w:val="0"/>
              <w:snapToGrid w:val="0"/>
              <w:spacing w:line="300" w:lineRule="exact"/>
              <w:rPr>
                <w:rFonts w:hint="eastAsia" w:cs="宋体"/>
              </w:rPr>
            </w:pPr>
            <w:r>
              <w:rPr>
                <w:rFonts w:hint="eastAsia" w:cs="宋体"/>
              </w:rPr>
              <w:t>达标情况</w:t>
            </w:r>
          </w:p>
        </w:tc>
        <w:tc>
          <w:tcPr>
            <w:tcW w:w="514" w:type="pct"/>
            <w:vAlign w:val="center"/>
          </w:tcPr>
          <w:p w14:paraId="37F6F54E">
            <w:pPr>
              <w:pStyle w:val="278"/>
              <w:adjustRightInd w:val="0"/>
              <w:snapToGrid w:val="0"/>
              <w:spacing w:line="300" w:lineRule="exact"/>
              <w:rPr>
                <w:rFonts w:hint="eastAsia" w:cs="宋体"/>
              </w:rPr>
            </w:pPr>
            <w:r>
              <w:rPr>
                <w:rFonts w:hint="eastAsia" w:cs="宋体"/>
              </w:rPr>
              <w:t>监测值</w:t>
            </w:r>
          </w:p>
        </w:tc>
        <w:tc>
          <w:tcPr>
            <w:tcW w:w="435" w:type="pct"/>
            <w:vAlign w:val="center"/>
          </w:tcPr>
          <w:p w14:paraId="182D80FD">
            <w:pPr>
              <w:pStyle w:val="278"/>
              <w:adjustRightInd w:val="0"/>
              <w:snapToGrid w:val="0"/>
              <w:spacing w:line="300" w:lineRule="exact"/>
              <w:rPr>
                <w:rFonts w:hint="eastAsia" w:cs="宋体"/>
              </w:rPr>
            </w:pPr>
            <w:r>
              <w:rPr>
                <w:rFonts w:hint="eastAsia" w:cs="宋体"/>
              </w:rPr>
              <w:t>标准值</w:t>
            </w:r>
          </w:p>
        </w:tc>
        <w:tc>
          <w:tcPr>
            <w:tcW w:w="564" w:type="pct"/>
            <w:vAlign w:val="center"/>
          </w:tcPr>
          <w:p w14:paraId="24BA209C">
            <w:pPr>
              <w:pStyle w:val="278"/>
              <w:adjustRightInd w:val="0"/>
              <w:snapToGrid w:val="0"/>
              <w:spacing w:line="300" w:lineRule="exact"/>
              <w:rPr>
                <w:rFonts w:hint="eastAsia" w:cs="宋体"/>
              </w:rPr>
            </w:pPr>
            <w:r>
              <w:rPr>
                <w:rFonts w:hint="eastAsia" w:cs="宋体"/>
              </w:rPr>
              <w:t>达标情况</w:t>
            </w:r>
          </w:p>
        </w:tc>
      </w:tr>
      <w:tr w14:paraId="5F5DE4B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restart"/>
            <w:vAlign w:val="center"/>
          </w:tcPr>
          <w:p w14:paraId="75587FE6">
            <w:pPr>
              <w:pStyle w:val="278"/>
              <w:adjustRightInd w:val="0"/>
              <w:snapToGrid w:val="0"/>
              <w:spacing w:line="300" w:lineRule="exact"/>
              <w:rPr>
                <w:rFonts w:hint="eastAsia" w:cs="宋体"/>
              </w:rPr>
            </w:pPr>
            <w:r>
              <w:rPr>
                <w:rFonts w:hint="eastAsia" w:cs="宋体"/>
              </w:rPr>
              <w:t>页岩油联合站</w:t>
            </w:r>
          </w:p>
        </w:tc>
        <w:tc>
          <w:tcPr>
            <w:tcW w:w="863" w:type="pct"/>
            <w:vMerge w:val="restart"/>
            <w:vAlign w:val="center"/>
          </w:tcPr>
          <w:p w14:paraId="528AF6E8">
            <w:pPr>
              <w:pStyle w:val="278"/>
              <w:adjustRightInd w:val="0"/>
              <w:snapToGrid w:val="0"/>
              <w:spacing w:line="300" w:lineRule="exact"/>
              <w:rPr>
                <w:rFonts w:hint="eastAsia" w:cs="宋体"/>
              </w:rPr>
            </w:pPr>
            <w:r>
              <w:rPr>
                <w:rFonts w:hint="eastAsia" w:cs="宋体"/>
              </w:rPr>
              <w:t>2024.1.30-1.31</w:t>
            </w:r>
          </w:p>
        </w:tc>
        <w:tc>
          <w:tcPr>
            <w:tcW w:w="676" w:type="pct"/>
            <w:vAlign w:val="center"/>
          </w:tcPr>
          <w:p w14:paraId="5F2F9F40">
            <w:pPr>
              <w:pStyle w:val="278"/>
              <w:adjustRightInd w:val="0"/>
              <w:snapToGrid w:val="0"/>
              <w:spacing w:line="300" w:lineRule="exact"/>
              <w:rPr>
                <w:rFonts w:hint="eastAsia" w:cs="宋体"/>
              </w:rPr>
            </w:pPr>
            <w:r>
              <w:rPr>
                <w:rFonts w:hint="eastAsia" w:cs="宋体"/>
              </w:rPr>
              <w:t>东厂界</w:t>
            </w:r>
          </w:p>
        </w:tc>
        <w:tc>
          <w:tcPr>
            <w:tcW w:w="434" w:type="pct"/>
            <w:vAlign w:val="center"/>
          </w:tcPr>
          <w:p w14:paraId="40FD4E77">
            <w:pPr>
              <w:pStyle w:val="278"/>
              <w:adjustRightInd w:val="0"/>
              <w:snapToGrid w:val="0"/>
              <w:spacing w:line="300" w:lineRule="exact"/>
              <w:rPr>
                <w:rFonts w:hint="eastAsia" w:cs="宋体"/>
              </w:rPr>
            </w:pPr>
            <w:r>
              <w:rPr>
                <w:rFonts w:hint="eastAsia" w:cs="宋体"/>
              </w:rPr>
              <w:t>41</w:t>
            </w:r>
          </w:p>
        </w:tc>
        <w:tc>
          <w:tcPr>
            <w:tcW w:w="433" w:type="pct"/>
            <w:vAlign w:val="center"/>
          </w:tcPr>
          <w:p w14:paraId="50B7FA81">
            <w:pPr>
              <w:pStyle w:val="278"/>
              <w:adjustRightInd w:val="0"/>
              <w:snapToGrid w:val="0"/>
              <w:spacing w:line="300" w:lineRule="exact"/>
              <w:rPr>
                <w:rFonts w:hint="eastAsia" w:cs="宋体"/>
              </w:rPr>
            </w:pPr>
            <w:r>
              <w:rPr>
                <w:rFonts w:hint="eastAsia" w:cs="宋体"/>
              </w:rPr>
              <w:t>6</w:t>
            </w:r>
            <w:r>
              <w:rPr>
                <w:rFonts w:cs="宋体"/>
              </w:rPr>
              <w:t>0</w:t>
            </w:r>
          </w:p>
        </w:tc>
        <w:tc>
          <w:tcPr>
            <w:tcW w:w="595" w:type="pct"/>
            <w:vAlign w:val="center"/>
          </w:tcPr>
          <w:p w14:paraId="3D120772">
            <w:pPr>
              <w:pStyle w:val="278"/>
              <w:adjustRightInd w:val="0"/>
              <w:snapToGrid w:val="0"/>
              <w:spacing w:line="300" w:lineRule="exact"/>
              <w:rPr>
                <w:rFonts w:hint="eastAsia" w:cs="宋体"/>
              </w:rPr>
            </w:pPr>
            <w:r>
              <w:rPr>
                <w:rFonts w:hint="eastAsia" w:cs="宋体"/>
              </w:rPr>
              <w:t>达标</w:t>
            </w:r>
          </w:p>
        </w:tc>
        <w:tc>
          <w:tcPr>
            <w:tcW w:w="514" w:type="pct"/>
            <w:vAlign w:val="center"/>
          </w:tcPr>
          <w:p w14:paraId="77B47F6C">
            <w:pPr>
              <w:pStyle w:val="278"/>
              <w:adjustRightInd w:val="0"/>
              <w:snapToGrid w:val="0"/>
              <w:spacing w:line="300" w:lineRule="exact"/>
              <w:rPr>
                <w:rFonts w:hint="eastAsia" w:cs="宋体"/>
              </w:rPr>
            </w:pPr>
            <w:r>
              <w:rPr>
                <w:rFonts w:hint="eastAsia" w:cs="宋体"/>
              </w:rPr>
              <w:t>39</w:t>
            </w:r>
          </w:p>
        </w:tc>
        <w:tc>
          <w:tcPr>
            <w:tcW w:w="435" w:type="pct"/>
            <w:vAlign w:val="center"/>
          </w:tcPr>
          <w:p w14:paraId="6289385C">
            <w:pPr>
              <w:pStyle w:val="278"/>
              <w:adjustRightInd w:val="0"/>
              <w:snapToGrid w:val="0"/>
              <w:spacing w:line="300" w:lineRule="exact"/>
              <w:rPr>
                <w:rFonts w:hint="eastAsia" w:cs="宋体"/>
              </w:rPr>
            </w:pPr>
            <w:r>
              <w:rPr>
                <w:rFonts w:hint="eastAsia" w:cs="宋体"/>
              </w:rPr>
              <w:t>5</w:t>
            </w:r>
            <w:r>
              <w:rPr>
                <w:rFonts w:cs="宋体"/>
              </w:rPr>
              <w:t>0</w:t>
            </w:r>
          </w:p>
        </w:tc>
        <w:tc>
          <w:tcPr>
            <w:tcW w:w="564" w:type="pct"/>
            <w:vAlign w:val="center"/>
          </w:tcPr>
          <w:p w14:paraId="45441171">
            <w:pPr>
              <w:pStyle w:val="278"/>
              <w:adjustRightInd w:val="0"/>
              <w:snapToGrid w:val="0"/>
              <w:spacing w:line="300" w:lineRule="exact"/>
              <w:rPr>
                <w:rFonts w:hint="eastAsia" w:cs="宋体"/>
              </w:rPr>
            </w:pPr>
            <w:r>
              <w:rPr>
                <w:rFonts w:hint="eastAsia" w:cs="宋体"/>
              </w:rPr>
              <w:t>达标</w:t>
            </w:r>
          </w:p>
        </w:tc>
      </w:tr>
      <w:tr w14:paraId="29B10A7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301CBB1E">
            <w:pPr>
              <w:pStyle w:val="278"/>
              <w:adjustRightInd w:val="0"/>
              <w:snapToGrid w:val="0"/>
              <w:spacing w:line="300" w:lineRule="exact"/>
              <w:rPr>
                <w:rFonts w:hint="eastAsia" w:cs="宋体"/>
              </w:rPr>
            </w:pPr>
          </w:p>
        </w:tc>
        <w:tc>
          <w:tcPr>
            <w:tcW w:w="863" w:type="pct"/>
            <w:vMerge w:val="continue"/>
            <w:vAlign w:val="center"/>
          </w:tcPr>
          <w:p w14:paraId="7C49116A">
            <w:pPr>
              <w:pStyle w:val="278"/>
              <w:adjustRightInd w:val="0"/>
              <w:snapToGrid w:val="0"/>
              <w:spacing w:line="300" w:lineRule="exact"/>
              <w:rPr>
                <w:rFonts w:hint="eastAsia" w:cs="宋体"/>
              </w:rPr>
            </w:pPr>
          </w:p>
        </w:tc>
        <w:tc>
          <w:tcPr>
            <w:tcW w:w="676" w:type="pct"/>
            <w:vAlign w:val="center"/>
          </w:tcPr>
          <w:p w14:paraId="594337ED">
            <w:pPr>
              <w:pStyle w:val="278"/>
              <w:adjustRightInd w:val="0"/>
              <w:snapToGrid w:val="0"/>
              <w:spacing w:line="300" w:lineRule="exact"/>
              <w:rPr>
                <w:rFonts w:hint="eastAsia" w:cs="宋体"/>
              </w:rPr>
            </w:pPr>
            <w:r>
              <w:rPr>
                <w:rFonts w:hint="eastAsia" w:cs="宋体"/>
              </w:rPr>
              <w:t>南厂界</w:t>
            </w:r>
          </w:p>
        </w:tc>
        <w:tc>
          <w:tcPr>
            <w:tcW w:w="434" w:type="pct"/>
            <w:vAlign w:val="center"/>
          </w:tcPr>
          <w:p w14:paraId="02C56AA0">
            <w:pPr>
              <w:pStyle w:val="278"/>
              <w:adjustRightInd w:val="0"/>
              <w:snapToGrid w:val="0"/>
              <w:spacing w:line="300" w:lineRule="exact"/>
              <w:rPr>
                <w:rFonts w:hint="eastAsia" w:cs="宋体"/>
              </w:rPr>
            </w:pPr>
            <w:r>
              <w:rPr>
                <w:rFonts w:hint="eastAsia" w:cs="宋体"/>
              </w:rPr>
              <w:t>32</w:t>
            </w:r>
          </w:p>
        </w:tc>
        <w:tc>
          <w:tcPr>
            <w:tcW w:w="433" w:type="pct"/>
            <w:vAlign w:val="center"/>
          </w:tcPr>
          <w:p w14:paraId="6A982256">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696A2F82">
            <w:pPr>
              <w:pStyle w:val="278"/>
              <w:adjustRightInd w:val="0"/>
              <w:snapToGrid w:val="0"/>
              <w:spacing w:line="300" w:lineRule="exact"/>
              <w:rPr>
                <w:rFonts w:hint="eastAsia" w:cs="宋体"/>
              </w:rPr>
            </w:pPr>
            <w:r>
              <w:rPr>
                <w:rFonts w:hint="eastAsia" w:cs="宋体"/>
              </w:rPr>
              <w:t>达标</w:t>
            </w:r>
          </w:p>
        </w:tc>
        <w:tc>
          <w:tcPr>
            <w:tcW w:w="514" w:type="pct"/>
            <w:vAlign w:val="center"/>
          </w:tcPr>
          <w:p w14:paraId="29AD7F25">
            <w:pPr>
              <w:pStyle w:val="278"/>
              <w:adjustRightInd w:val="0"/>
              <w:snapToGrid w:val="0"/>
              <w:spacing w:line="300" w:lineRule="exact"/>
              <w:rPr>
                <w:rFonts w:hint="eastAsia" w:cs="宋体"/>
              </w:rPr>
            </w:pPr>
            <w:r>
              <w:rPr>
                <w:rFonts w:hint="eastAsia" w:cs="宋体"/>
              </w:rPr>
              <w:t>32</w:t>
            </w:r>
          </w:p>
        </w:tc>
        <w:tc>
          <w:tcPr>
            <w:tcW w:w="435" w:type="pct"/>
            <w:vAlign w:val="center"/>
          </w:tcPr>
          <w:p w14:paraId="7FF37E03">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3B36358C">
            <w:pPr>
              <w:pStyle w:val="278"/>
              <w:adjustRightInd w:val="0"/>
              <w:snapToGrid w:val="0"/>
              <w:spacing w:line="300" w:lineRule="exact"/>
              <w:rPr>
                <w:rFonts w:hint="eastAsia" w:cs="宋体"/>
              </w:rPr>
            </w:pPr>
            <w:r>
              <w:rPr>
                <w:rFonts w:hint="eastAsia" w:cs="宋体"/>
              </w:rPr>
              <w:t>达标</w:t>
            </w:r>
          </w:p>
        </w:tc>
      </w:tr>
      <w:tr w14:paraId="3BA525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07EB191A">
            <w:pPr>
              <w:pStyle w:val="278"/>
              <w:adjustRightInd w:val="0"/>
              <w:snapToGrid w:val="0"/>
              <w:spacing w:line="300" w:lineRule="exact"/>
              <w:rPr>
                <w:rFonts w:hint="eastAsia" w:cs="宋体"/>
              </w:rPr>
            </w:pPr>
          </w:p>
        </w:tc>
        <w:tc>
          <w:tcPr>
            <w:tcW w:w="863" w:type="pct"/>
            <w:vMerge w:val="continue"/>
            <w:vAlign w:val="center"/>
          </w:tcPr>
          <w:p w14:paraId="743A4991">
            <w:pPr>
              <w:pStyle w:val="278"/>
              <w:adjustRightInd w:val="0"/>
              <w:snapToGrid w:val="0"/>
              <w:spacing w:line="300" w:lineRule="exact"/>
              <w:rPr>
                <w:rFonts w:hint="eastAsia" w:cs="宋体"/>
              </w:rPr>
            </w:pPr>
          </w:p>
        </w:tc>
        <w:tc>
          <w:tcPr>
            <w:tcW w:w="676" w:type="pct"/>
            <w:vAlign w:val="center"/>
          </w:tcPr>
          <w:p w14:paraId="612EB1D1">
            <w:pPr>
              <w:pStyle w:val="278"/>
              <w:adjustRightInd w:val="0"/>
              <w:snapToGrid w:val="0"/>
              <w:spacing w:line="300" w:lineRule="exact"/>
              <w:rPr>
                <w:rFonts w:hint="eastAsia" w:cs="宋体"/>
              </w:rPr>
            </w:pPr>
            <w:r>
              <w:rPr>
                <w:rFonts w:hint="eastAsia" w:cs="宋体"/>
              </w:rPr>
              <w:t>西厂界</w:t>
            </w:r>
          </w:p>
        </w:tc>
        <w:tc>
          <w:tcPr>
            <w:tcW w:w="434" w:type="pct"/>
            <w:vAlign w:val="center"/>
          </w:tcPr>
          <w:p w14:paraId="576881AE">
            <w:pPr>
              <w:pStyle w:val="278"/>
              <w:adjustRightInd w:val="0"/>
              <w:snapToGrid w:val="0"/>
              <w:spacing w:line="300" w:lineRule="exact"/>
              <w:rPr>
                <w:rFonts w:hint="eastAsia" w:cs="宋体"/>
              </w:rPr>
            </w:pPr>
            <w:r>
              <w:rPr>
                <w:rFonts w:hint="eastAsia" w:cs="宋体"/>
              </w:rPr>
              <w:t>39</w:t>
            </w:r>
          </w:p>
        </w:tc>
        <w:tc>
          <w:tcPr>
            <w:tcW w:w="433" w:type="pct"/>
            <w:vAlign w:val="center"/>
          </w:tcPr>
          <w:p w14:paraId="5F43D97C">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48FB4BC1">
            <w:pPr>
              <w:pStyle w:val="278"/>
              <w:adjustRightInd w:val="0"/>
              <w:snapToGrid w:val="0"/>
              <w:spacing w:line="300" w:lineRule="exact"/>
              <w:rPr>
                <w:rFonts w:hint="eastAsia" w:cs="宋体"/>
              </w:rPr>
            </w:pPr>
            <w:r>
              <w:rPr>
                <w:rFonts w:hint="eastAsia" w:cs="宋体"/>
              </w:rPr>
              <w:t>达标</w:t>
            </w:r>
          </w:p>
        </w:tc>
        <w:tc>
          <w:tcPr>
            <w:tcW w:w="514" w:type="pct"/>
            <w:vAlign w:val="center"/>
          </w:tcPr>
          <w:p w14:paraId="6B95FF8E">
            <w:pPr>
              <w:pStyle w:val="278"/>
              <w:adjustRightInd w:val="0"/>
              <w:snapToGrid w:val="0"/>
              <w:spacing w:line="300" w:lineRule="exact"/>
              <w:rPr>
                <w:rFonts w:hint="eastAsia" w:cs="宋体"/>
              </w:rPr>
            </w:pPr>
            <w:r>
              <w:rPr>
                <w:rFonts w:hint="eastAsia" w:cs="宋体"/>
              </w:rPr>
              <w:t>39</w:t>
            </w:r>
          </w:p>
        </w:tc>
        <w:tc>
          <w:tcPr>
            <w:tcW w:w="435" w:type="pct"/>
            <w:vAlign w:val="center"/>
          </w:tcPr>
          <w:p w14:paraId="7479DF9F">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0284CC7A">
            <w:pPr>
              <w:pStyle w:val="278"/>
              <w:adjustRightInd w:val="0"/>
              <w:snapToGrid w:val="0"/>
              <w:spacing w:line="300" w:lineRule="exact"/>
              <w:rPr>
                <w:rFonts w:hint="eastAsia" w:cs="宋体"/>
              </w:rPr>
            </w:pPr>
            <w:r>
              <w:rPr>
                <w:rFonts w:hint="eastAsia" w:cs="宋体"/>
              </w:rPr>
              <w:t>达标</w:t>
            </w:r>
          </w:p>
        </w:tc>
      </w:tr>
      <w:tr w14:paraId="686A4A0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499FA6FD">
            <w:pPr>
              <w:pStyle w:val="202"/>
              <w:adjustRightInd w:val="0"/>
              <w:snapToGrid w:val="0"/>
              <w:spacing w:line="300" w:lineRule="exact"/>
              <w:ind w:firstLine="0" w:firstLineChars="0"/>
              <w:jc w:val="center"/>
              <w:rPr>
                <w:rFonts w:hint="eastAsia" w:cs="宋体"/>
                <w:b w:val="0"/>
                <w:sz w:val="21"/>
              </w:rPr>
            </w:pPr>
          </w:p>
        </w:tc>
        <w:tc>
          <w:tcPr>
            <w:tcW w:w="863" w:type="pct"/>
            <w:vMerge w:val="continue"/>
            <w:vAlign w:val="center"/>
          </w:tcPr>
          <w:p w14:paraId="5F9D4612">
            <w:pPr>
              <w:pStyle w:val="202"/>
              <w:adjustRightInd w:val="0"/>
              <w:snapToGrid w:val="0"/>
              <w:spacing w:line="300" w:lineRule="exact"/>
              <w:ind w:firstLine="0" w:firstLineChars="0"/>
              <w:jc w:val="center"/>
              <w:rPr>
                <w:rFonts w:hint="eastAsia" w:cs="宋体"/>
                <w:b w:val="0"/>
                <w:sz w:val="21"/>
              </w:rPr>
            </w:pPr>
          </w:p>
        </w:tc>
        <w:tc>
          <w:tcPr>
            <w:tcW w:w="676" w:type="pct"/>
            <w:vAlign w:val="center"/>
          </w:tcPr>
          <w:p w14:paraId="0CD60AEF">
            <w:pPr>
              <w:pStyle w:val="202"/>
              <w:adjustRightInd w:val="0"/>
              <w:snapToGrid w:val="0"/>
              <w:spacing w:line="300" w:lineRule="exact"/>
              <w:ind w:firstLine="0" w:firstLineChars="0"/>
              <w:jc w:val="center"/>
              <w:rPr>
                <w:rFonts w:hint="eastAsia" w:cs="宋体"/>
                <w:b w:val="0"/>
                <w:sz w:val="21"/>
              </w:rPr>
            </w:pPr>
            <w:bookmarkStart w:id="184" w:name="_Toc155368783"/>
            <w:bookmarkStart w:id="185" w:name="_Toc160381874"/>
            <w:r>
              <w:rPr>
                <w:rFonts w:hint="eastAsia" w:cs="宋体"/>
                <w:b w:val="0"/>
                <w:sz w:val="21"/>
              </w:rPr>
              <w:t>北厂界</w:t>
            </w:r>
            <w:bookmarkEnd w:id="184"/>
            <w:bookmarkEnd w:id="185"/>
          </w:p>
        </w:tc>
        <w:tc>
          <w:tcPr>
            <w:tcW w:w="434" w:type="pct"/>
            <w:vAlign w:val="center"/>
          </w:tcPr>
          <w:p w14:paraId="0A6E3032">
            <w:pPr>
              <w:pStyle w:val="278"/>
              <w:adjustRightInd w:val="0"/>
              <w:snapToGrid w:val="0"/>
              <w:spacing w:line="300" w:lineRule="exact"/>
              <w:rPr>
                <w:rFonts w:hint="eastAsia" w:cs="宋体"/>
              </w:rPr>
            </w:pPr>
            <w:r>
              <w:rPr>
                <w:rFonts w:hint="eastAsia" w:cs="宋体"/>
              </w:rPr>
              <w:t>48</w:t>
            </w:r>
          </w:p>
        </w:tc>
        <w:tc>
          <w:tcPr>
            <w:tcW w:w="433" w:type="pct"/>
            <w:vAlign w:val="center"/>
          </w:tcPr>
          <w:p w14:paraId="403B9893">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495911E6">
            <w:pPr>
              <w:pStyle w:val="278"/>
              <w:adjustRightInd w:val="0"/>
              <w:snapToGrid w:val="0"/>
              <w:spacing w:line="300" w:lineRule="exact"/>
              <w:rPr>
                <w:rFonts w:hint="eastAsia" w:cs="宋体"/>
              </w:rPr>
            </w:pPr>
            <w:r>
              <w:rPr>
                <w:rFonts w:hint="eastAsia" w:cs="宋体"/>
              </w:rPr>
              <w:t>达标</w:t>
            </w:r>
          </w:p>
        </w:tc>
        <w:tc>
          <w:tcPr>
            <w:tcW w:w="514" w:type="pct"/>
            <w:vAlign w:val="center"/>
          </w:tcPr>
          <w:p w14:paraId="79107DDE">
            <w:pPr>
              <w:pStyle w:val="278"/>
              <w:adjustRightInd w:val="0"/>
              <w:snapToGrid w:val="0"/>
              <w:spacing w:line="300" w:lineRule="exact"/>
              <w:rPr>
                <w:rFonts w:hint="eastAsia" w:cs="宋体"/>
              </w:rPr>
            </w:pPr>
            <w:r>
              <w:rPr>
                <w:rFonts w:hint="eastAsia" w:cs="宋体"/>
              </w:rPr>
              <w:t>44</w:t>
            </w:r>
          </w:p>
        </w:tc>
        <w:tc>
          <w:tcPr>
            <w:tcW w:w="435" w:type="pct"/>
            <w:vAlign w:val="center"/>
          </w:tcPr>
          <w:p w14:paraId="08B99B46">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53867604">
            <w:pPr>
              <w:pStyle w:val="278"/>
              <w:adjustRightInd w:val="0"/>
              <w:snapToGrid w:val="0"/>
              <w:spacing w:line="300" w:lineRule="exact"/>
              <w:rPr>
                <w:rFonts w:hint="eastAsia" w:cs="宋体"/>
              </w:rPr>
            </w:pPr>
            <w:r>
              <w:rPr>
                <w:rFonts w:hint="eastAsia" w:cs="宋体"/>
              </w:rPr>
              <w:t>达标</w:t>
            </w:r>
          </w:p>
        </w:tc>
      </w:tr>
      <w:tr w14:paraId="5D58DD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restart"/>
            <w:vAlign w:val="center"/>
          </w:tcPr>
          <w:p w14:paraId="6AA302CE">
            <w:pPr>
              <w:pStyle w:val="278"/>
              <w:adjustRightInd w:val="0"/>
              <w:snapToGrid w:val="0"/>
              <w:spacing w:line="300" w:lineRule="exact"/>
              <w:rPr>
                <w:rFonts w:hint="eastAsia" w:cs="宋体"/>
              </w:rPr>
            </w:pPr>
            <w:r>
              <w:rPr>
                <w:rFonts w:hint="eastAsia" w:cs="宋体"/>
              </w:rPr>
              <w:t>采油井场</w:t>
            </w:r>
          </w:p>
        </w:tc>
        <w:tc>
          <w:tcPr>
            <w:tcW w:w="863" w:type="pct"/>
            <w:vMerge w:val="restart"/>
            <w:vAlign w:val="center"/>
          </w:tcPr>
          <w:p w14:paraId="36534EE5">
            <w:pPr>
              <w:pStyle w:val="278"/>
              <w:adjustRightInd w:val="0"/>
              <w:snapToGrid w:val="0"/>
              <w:spacing w:line="300" w:lineRule="exact"/>
              <w:rPr>
                <w:rFonts w:hint="eastAsia" w:cs="宋体"/>
              </w:rPr>
            </w:pPr>
            <w:r>
              <w:rPr>
                <w:rFonts w:hint="eastAsia" w:cs="宋体"/>
              </w:rPr>
              <w:t>2021.1.23</w:t>
            </w:r>
          </w:p>
        </w:tc>
        <w:tc>
          <w:tcPr>
            <w:tcW w:w="676" w:type="pct"/>
            <w:vAlign w:val="center"/>
          </w:tcPr>
          <w:p w14:paraId="0AAF98BE">
            <w:pPr>
              <w:pStyle w:val="278"/>
              <w:adjustRightInd w:val="0"/>
              <w:snapToGrid w:val="0"/>
              <w:spacing w:line="300" w:lineRule="exact"/>
              <w:rPr>
                <w:rFonts w:hint="eastAsia" w:cs="宋体"/>
              </w:rPr>
            </w:pPr>
            <w:r>
              <w:rPr>
                <w:rFonts w:hint="eastAsia" w:cs="宋体"/>
              </w:rPr>
              <w:t>东厂界</w:t>
            </w:r>
          </w:p>
        </w:tc>
        <w:tc>
          <w:tcPr>
            <w:tcW w:w="434" w:type="pct"/>
            <w:vAlign w:val="center"/>
          </w:tcPr>
          <w:p w14:paraId="0D8366D3">
            <w:pPr>
              <w:pStyle w:val="278"/>
              <w:adjustRightInd w:val="0"/>
              <w:snapToGrid w:val="0"/>
              <w:spacing w:line="300" w:lineRule="exact"/>
              <w:rPr>
                <w:rFonts w:hint="eastAsia" w:cs="宋体"/>
              </w:rPr>
            </w:pPr>
            <w:r>
              <w:rPr>
                <w:rFonts w:hint="eastAsia" w:cs="宋体"/>
              </w:rPr>
              <w:t>48</w:t>
            </w:r>
          </w:p>
        </w:tc>
        <w:tc>
          <w:tcPr>
            <w:tcW w:w="433" w:type="pct"/>
            <w:vAlign w:val="center"/>
          </w:tcPr>
          <w:p w14:paraId="050C702B">
            <w:pPr>
              <w:pStyle w:val="278"/>
              <w:adjustRightInd w:val="0"/>
              <w:snapToGrid w:val="0"/>
              <w:spacing w:line="300" w:lineRule="exact"/>
              <w:rPr>
                <w:rFonts w:hint="eastAsia" w:cs="宋体"/>
              </w:rPr>
            </w:pPr>
            <w:r>
              <w:rPr>
                <w:rFonts w:hint="eastAsia" w:cs="宋体"/>
              </w:rPr>
              <w:t>6</w:t>
            </w:r>
            <w:r>
              <w:rPr>
                <w:rFonts w:cs="宋体"/>
              </w:rPr>
              <w:t>0</w:t>
            </w:r>
          </w:p>
        </w:tc>
        <w:tc>
          <w:tcPr>
            <w:tcW w:w="595" w:type="pct"/>
            <w:vAlign w:val="center"/>
          </w:tcPr>
          <w:p w14:paraId="4937C7FC">
            <w:pPr>
              <w:pStyle w:val="278"/>
              <w:adjustRightInd w:val="0"/>
              <w:snapToGrid w:val="0"/>
              <w:spacing w:line="300" w:lineRule="exact"/>
              <w:rPr>
                <w:rFonts w:hint="eastAsia" w:cs="宋体"/>
              </w:rPr>
            </w:pPr>
            <w:r>
              <w:rPr>
                <w:rFonts w:hint="eastAsia" w:cs="宋体"/>
              </w:rPr>
              <w:t>达标</w:t>
            </w:r>
          </w:p>
        </w:tc>
        <w:tc>
          <w:tcPr>
            <w:tcW w:w="514" w:type="pct"/>
            <w:vAlign w:val="center"/>
          </w:tcPr>
          <w:p w14:paraId="7BFFE862">
            <w:pPr>
              <w:pStyle w:val="278"/>
              <w:adjustRightInd w:val="0"/>
              <w:snapToGrid w:val="0"/>
              <w:spacing w:line="300" w:lineRule="exact"/>
              <w:rPr>
                <w:rFonts w:hint="eastAsia" w:cs="宋体"/>
              </w:rPr>
            </w:pPr>
            <w:r>
              <w:rPr>
                <w:rFonts w:hint="eastAsia" w:cs="宋体"/>
              </w:rPr>
              <w:t>46</w:t>
            </w:r>
          </w:p>
        </w:tc>
        <w:tc>
          <w:tcPr>
            <w:tcW w:w="435" w:type="pct"/>
            <w:vAlign w:val="center"/>
          </w:tcPr>
          <w:p w14:paraId="2382EFA4">
            <w:pPr>
              <w:pStyle w:val="278"/>
              <w:adjustRightInd w:val="0"/>
              <w:snapToGrid w:val="0"/>
              <w:spacing w:line="300" w:lineRule="exact"/>
              <w:rPr>
                <w:rFonts w:hint="eastAsia" w:cs="宋体"/>
              </w:rPr>
            </w:pPr>
            <w:r>
              <w:rPr>
                <w:rFonts w:hint="eastAsia" w:cs="宋体"/>
              </w:rPr>
              <w:t>5</w:t>
            </w:r>
            <w:r>
              <w:rPr>
                <w:rFonts w:cs="宋体"/>
              </w:rPr>
              <w:t>0</w:t>
            </w:r>
          </w:p>
        </w:tc>
        <w:tc>
          <w:tcPr>
            <w:tcW w:w="564" w:type="pct"/>
            <w:vAlign w:val="center"/>
          </w:tcPr>
          <w:p w14:paraId="713019C0">
            <w:pPr>
              <w:pStyle w:val="278"/>
              <w:adjustRightInd w:val="0"/>
              <w:snapToGrid w:val="0"/>
              <w:spacing w:line="300" w:lineRule="exact"/>
              <w:rPr>
                <w:rFonts w:hint="eastAsia" w:cs="宋体"/>
              </w:rPr>
            </w:pPr>
            <w:r>
              <w:rPr>
                <w:rFonts w:hint="eastAsia" w:cs="宋体"/>
              </w:rPr>
              <w:t>达标</w:t>
            </w:r>
          </w:p>
        </w:tc>
      </w:tr>
      <w:tr w14:paraId="0055AC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352DB074">
            <w:pPr>
              <w:pStyle w:val="278"/>
              <w:adjustRightInd w:val="0"/>
              <w:snapToGrid w:val="0"/>
              <w:spacing w:line="300" w:lineRule="exact"/>
              <w:rPr>
                <w:rFonts w:hint="eastAsia" w:cs="宋体"/>
              </w:rPr>
            </w:pPr>
          </w:p>
        </w:tc>
        <w:tc>
          <w:tcPr>
            <w:tcW w:w="863" w:type="pct"/>
            <w:vMerge w:val="continue"/>
            <w:vAlign w:val="center"/>
          </w:tcPr>
          <w:p w14:paraId="51805065">
            <w:pPr>
              <w:pStyle w:val="278"/>
              <w:adjustRightInd w:val="0"/>
              <w:snapToGrid w:val="0"/>
              <w:spacing w:line="300" w:lineRule="exact"/>
              <w:rPr>
                <w:rFonts w:hint="eastAsia" w:cs="宋体"/>
              </w:rPr>
            </w:pPr>
          </w:p>
        </w:tc>
        <w:tc>
          <w:tcPr>
            <w:tcW w:w="676" w:type="pct"/>
            <w:vAlign w:val="center"/>
          </w:tcPr>
          <w:p w14:paraId="34D72CCE">
            <w:pPr>
              <w:pStyle w:val="278"/>
              <w:adjustRightInd w:val="0"/>
              <w:snapToGrid w:val="0"/>
              <w:spacing w:line="300" w:lineRule="exact"/>
              <w:rPr>
                <w:rFonts w:hint="eastAsia" w:cs="宋体"/>
              </w:rPr>
            </w:pPr>
            <w:r>
              <w:rPr>
                <w:rFonts w:hint="eastAsia" w:cs="宋体"/>
              </w:rPr>
              <w:t>南厂界</w:t>
            </w:r>
          </w:p>
        </w:tc>
        <w:tc>
          <w:tcPr>
            <w:tcW w:w="434" w:type="pct"/>
            <w:vAlign w:val="center"/>
          </w:tcPr>
          <w:p w14:paraId="3DDEAC6F">
            <w:pPr>
              <w:pStyle w:val="278"/>
              <w:adjustRightInd w:val="0"/>
              <w:snapToGrid w:val="0"/>
              <w:spacing w:line="300" w:lineRule="exact"/>
              <w:rPr>
                <w:rFonts w:hint="eastAsia" w:cs="宋体"/>
              </w:rPr>
            </w:pPr>
            <w:r>
              <w:rPr>
                <w:rFonts w:hint="eastAsia" w:cs="宋体"/>
              </w:rPr>
              <w:t>47</w:t>
            </w:r>
          </w:p>
        </w:tc>
        <w:tc>
          <w:tcPr>
            <w:tcW w:w="433" w:type="pct"/>
            <w:vAlign w:val="center"/>
          </w:tcPr>
          <w:p w14:paraId="2289F0BF">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20E5A1BC">
            <w:pPr>
              <w:pStyle w:val="278"/>
              <w:adjustRightInd w:val="0"/>
              <w:snapToGrid w:val="0"/>
              <w:spacing w:line="300" w:lineRule="exact"/>
              <w:rPr>
                <w:rFonts w:hint="eastAsia" w:cs="宋体"/>
              </w:rPr>
            </w:pPr>
            <w:r>
              <w:rPr>
                <w:rFonts w:hint="eastAsia" w:cs="宋体"/>
              </w:rPr>
              <w:t>达标</w:t>
            </w:r>
          </w:p>
        </w:tc>
        <w:tc>
          <w:tcPr>
            <w:tcW w:w="514" w:type="pct"/>
          </w:tcPr>
          <w:p w14:paraId="247A74AD">
            <w:pPr>
              <w:pStyle w:val="278"/>
              <w:adjustRightInd w:val="0"/>
              <w:snapToGrid w:val="0"/>
              <w:spacing w:line="300" w:lineRule="exact"/>
              <w:rPr>
                <w:rFonts w:hint="eastAsia" w:cs="宋体"/>
              </w:rPr>
            </w:pPr>
            <w:r>
              <w:rPr>
                <w:rFonts w:hint="eastAsia" w:cs="宋体"/>
              </w:rPr>
              <w:t>46</w:t>
            </w:r>
          </w:p>
        </w:tc>
        <w:tc>
          <w:tcPr>
            <w:tcW w:w="435" w:type="pct"/>
            <w:vAlign w:val="center"/>
          </w:tcPr>
          <w:p w14:paraId="08DAE05A">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4FDD8575">
            <w:pPr>
              <w:pStyle w:val="278"/>
              <w:adjustRightInd w:val="0"/>
              <w:snapToGrid w:val="0"/>
              <w:spacing w:line="300" w:lineRule="exact"/>
              <w:rPr>
                <w:rFonts w:hint="eastAsia" w:cs="宋体"/>
              </w:rPr>
            </w:pPr>
            <w:r>
              <w:rPr>
                <w:rFonts w:hint="eastAsia" w:cs="宋体"/>
              </w:rPr>
              <w:t>达标</w:t>
            </w:r>
          </w:p>
        </w:tc>
      </w:tr>
      <w:tr w14:paraId="5A1505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71BA150E">
            <w:pPr>
              <w:pStyle w:val="278"/>
              <w:adjustRightInd w:val="0"/>
              <w:snapToGrid w:val="0"/>
              <w:spacing w:line="300" w:lineRule="exact"/>
              <w:rPr>
                <w:rFonts w:hint="eastAsia" w:cs="宋体"/>
              </w:rPr>
            </w:pPr>
          </w:p>
        </w:tc>
        <w:tc>
          <w:tcPr>
            <w:tcW w:w="863" w:type="pct"/>
            <w:vMerge w:val="continue"/>
            <w:vAlign w:val="center"/>
          </w:tcPr>
          <w:p w14:paraId="03CA975C">
            <w:pPr>
              <w:pStyle w:val="278"/>
              <w:adjustRightInd w:val="0"/>
              <w:snapToGrid w:val="0"/>
              <w:spacing w:line="300" w:lineRule="exact"/>
              <w:rPr>
                <w:rFonts w:hint="eastAsia" w:cs="宋体"/>
              </w:rPr>
            </w:pPr>
          </w:p>
        </w:tc>
        <w:tc>
          <w:tcPr>
            <w:tcW w:w="676" w:type="pct"/>
            <w:vAlign w:val="center"/>
          </w:tcPr>
          <w:p w14:paraId="0AC69F78">
            <w:pPr>
              <w:pStyle w:val="278"/>
              <w:adjustRightInd w:val="0"/>
              <w:snapToGrid w:val="0"/>
              <w:spacing w:line="300" w:lineRule="exact"/>
              <w:rPr>
                <w:rFonts w:hint="eastAsia" w:cs="宋体"/>
              </w:rPr>
            </w:pPr>
            <w:r>
              <w:rPr>
                <w:rFonts w:hint="eastAsia" w:cs="宋体"/>
              </w:rPr>
              <w:t>西厂界</w:t>
            </w:r>
          </w:p>
        </w:tc>
        <w:tc>
          <w:tcPr>
            <w:tcW w:w="434" w:type="pct"/>
            <w:vAlign w:val="center"/>
          </w:tcPr>
          <w:p w14:paraId="00E07752">
            <w:pPr>
              <w:pStyle w:val="278"/>
              <w:adjustRightInd w:val="0"/>
              <w:snapToGrid w:val="0"/>
              <w:spacing w:line="300" w:lineRule="exact"/>
              <w:rPr>
                <w:rFonts w:hint="eastAsia" w:cs="宋体"/>
              </w:rPr>
            </w:pPr>
            <w:r>
              <w:rPr>
                <w:rFonts w:hint="eastAsia" w:cs="宋体"/>
              </w:rPr>
              <w:t>46</w:t>
            </w:r>
          </w:p>
        </w:tc>
        <w:tc>
          <w:tcPr>
            <w:tcW w:w="433" w:type="pct"/>
            <w:vAlign w:val="center"/>
          </w:tcPr>
          <w:p w14:paraId="3E4E2529">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56F45B5A">
            <w:pPr>
              <w:pStyle w:val="278"/>
              <w:adjustRightInd w:val="0"/>
              <w:snapToGrid w:val="0"/>
              <w:spacing w:line="300" w:lineRule="exact"/>
              <w:rPr>
                <w:rFonts w:hint="eastAsia" w:cs="宋体"/>
              </w:rPr>
            </w:pPr>
            <w:r>
              <w:rPr>
                <w:rFonts w:hint="eastAsia" w:cs="宋体"/>
              </w:rPr>
              <w:t>达标</w:t>
            </w:r>
          </w:p>
        </w:tc>
        <w:tc>
          <w:tcPr>
            <w:tcW w:w="514" w:type="pct"/>
          </w:tcPr>
          <w:p w14:paraId="77617F9B">
            <w:pPr>
              <w:pStyle w:val="278"/>
              <w:adjustRightInd w:val="0"/>
              <w:snapToGrid w:val="0"/>
              <w:spacing w:line="300" w:lineRule="exact"/>
              <w:rPr>
                <w:rFonts w:hint="eastAsia" w:cs="宋体"/>
              </w:rPr>
            </w:pPr>
            <w:r>
              <w:rPr>
                <w:rFonts w:hint="eastAsia" w:cs="宋体"/>
              </w:rPr>
              <w:t>46</w:t>
            </w:r>
          </w:p>
        </w:tc>
        <w:tc>
          <w:tcPr>
            <w:tcW w:w="435" w:type="pct"/>
            <w:vAlign w:val="center"/>
          </w:tcPr>
          <w:p w14:paraId="72695D6F">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4F325C8A">
            <w:pPr>
              <w:pStyle w:val="278"/>
              <w:adjustRightInd w:val="0"/>
              <w:snapToGrid w:val="0"/>
              <w:spacing w:line="300" w:lineRule="exact"/>
              <w:rPr>
                <w:rFonts w:hint="eastAsia" w:cs="宋体"/>
              </w:rPr>
            </w:pPr>
            <w:r>
              <w:rPr>
                <w:rFonts w:hint="eastAsia" w:cs="宋体"/>
              </w:rPr>
              <w:t>达标</w:t>
            </w:r>
          </w:p>
        </w:tc>
      </w:tr>
      <w:tr w14:paraId="0C5D8D9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87" w:type="pct"/>
            <w:vMerge w:val="continue"/>
            <w:vAlign w:val="center"/>
          </w:tcPr>
          <w:p w14:paraId="7386CA9B">
            <w:pPr>
              <w:pStyle w:val="202"/>
              <w:adjustRightInd w:val="0"/>
              <w:snapToGrid w:val="0"/>
              <w:spacing w:line="300" w:lineRule="exact"/>
              <w:ind w:firstLine="0" w:firstLineChars="0"/>
              <w:jc w:val="center"/>
              <w:rPr>
                <w:rFonts w:hint="eastAsia" w:cs="宋体"/>
                <w:b w:val="0"/>
                <w:sz w:val="21"/>
              </w:rPr>
            </w:pPr>
          </w:p>
        </w:tc>
        <w:tc>
          <w:tcPr>
            <w:tcW w:w="863" w:type="pct"/>
            <w:vMerge w:val="continue"/>
            <w:vAlign w:val="center"/>
          </w:tcPr>
          <w:p w14:paraId="15F8AD48">
            <w:pPr>
              <w:pStyle w:val="202"/>
              <w:adjustRightInd w:val="0"/>
              <w:snapToGrid w:val="0"/>
              <w:spacing w:line="300" w:lineRule="exact"/>
              <w:ind w:firstLine="0" w:firstLineChars="0"/>
              <w:jc w:val="center"/>
              <w:rPr>
                <w:rFonts w:hint="eastAsia" w:cs="宋体"/>
                <w:b w:val="0"/>
                <w:sz w:val="21"/>
              </w:rPr>
            </w:pPr>
          </w:p>
        </w:tc>
        <w:tc>
          <w:tcPr>
            <w:tcW w:w="676" w:type="pct"/>
            <w:vAlign w:val="center"/>
          </w:tcPr>
          <w:p w14:paraId="15178E94">
            <w:pPr>
              <w:pStyle w:val="202"/>
              <w:adjustRightInd w:val="0"/>
              <w:snapToGrid w:val="0"/>
              <w:spacing w:line="300" w:lineRule="exact"/>
              <w:ind w:firstLine="0" w:firstLineChars="0"/>
              <w:jc w:val="center"/>
              <w:rPr>
                <w:rFonts w:hint="eastAsia" w:cs="宋体"/>
                <w:b w:val="0"/>
                <w:sz w:val="21"/>
              </w:rPr>
            </w:pPr>
            <w:r>
              <w:rPr>
                <w:rFonts w:hint="eastAsia" w:cs="宋体"/>
                <w:b w:val="0"/>
                <w:sz w:val="21"/>
              </w:rPr>
              <w:t>北厂界</w:t>
            </w:r>
          </w:p>
        </w:tc>
        <w:tc>
          <w:tcPr>
            <w:tcW w:w="434" w:type="pct"/>
            <w:vAlign w:val="center"/>
          </w:tcPr>
          <w:p w14:paraId="43C57764">
            <w:pPr>
              <w:pStyle w:val="278"/>
              <w:adjustRightInd w:val="0"/>
              <w:snapToGrid w:val="0"/>
              <w:spacing w:line="300" w:lineRule="exact"/>
              <w:rPr>
                <w:rFonts w:hint="eastAsia" w:cs="宋体"/>
              </w:rPr>
            </w:pPr>
            <w:r>
              <w:rPr>
                <w:rFonts w:hint="eastAsia" w:cs="宋体"/>
              </w:rPr>
              <w:t>49</w:t>
            </w:r>
          </w:p>
        </w:tc>
        <w:tc>
          <w:tcPr>
            <w:tcW w:w="433" w:type="pct"/>
            <w:vAlign w:val="center"/>
          </w:tcPr>
          <w:p w14:paraId="098216F1">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595" w:type="pct"/>
            <w:vAlign w:val="center"/>
          </w:tcPr>
          <w:p w14:paraId="5EB6C655">
            <w:pPr>
              <w:pStyle w:val="278"/>
              <w:adjustRightInd w:val="0"/>
              <w:snapToGrid w:val="0"/>
              <w:spacing w:line="300" w:lineRule="exact"/>
              <w:rPr>
                <w:rFonts w:hint="eastAsia" w:cs="宋体"/>
              </w:rPr>
            </w:pPr>
            <w:r>
              <w:rPr>
                <w:rFonts w:hint="eastAsia" w:cs="宋体"/>
              </w:rPr>
              <w:t>达标</w:t>
            </w:r>
          </w:p>
        </w:tc>
        <w:tc>
          <w:tcPr>
            <w:tcW w:w="514" w:type="pct"/>
          </w:tcPr>
          <w:p w14:paraId="24E3A038">
            <w:pPr>
              <w:pStyle w:val="278"/>
              <w:adjustRightInd w:val="0"/>
              <w:snapToGrid w:val="0"/>
              <w:spacing w:line="300" w:lineRule="exact"/>
              <w:rPr>
                <w:rFonts w:hint="eastAsia" w:cs="宋体"/>
              </w:rPr>
            </w:pPr>
            <w:r>
              <w:rPr>
                <w:rFonts w:hint="eastAsia" w:cs="宋体"/>
              </w:rPr>
              <w:t>46</w:t>
            </w:r>
          </w:p>
        </w:tc>
        <w:tc>
          <w:tcPr>
            <w:tcW w:w="435" w:type="pct"/>
            <w:vAlign w:val="center"/>
          </w:tcPr>
          <w:p w14:paraId="4B86490D">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564" w:type="pct"/>
            <w:vAlign w:val="center"/>
          </w:tcPr>
          <w:p w14:paraId="79AD6736">
            <w:pPr>
              <w:pStyle w:val="278"/>
              <w:adjustRightInd w:val="0"/>
              <w:snapToGrid w:val="0"/>
              <w:spacing w:line="300" w:lineRule="exact"/>
              <w:rPr>
                <w:rFonts w:hint="eastAsia" w:cs="宋体"/>
              </w:rPr>
            </w:pPr>
            <w:r>
              <w:rPr>
                <w:rFonts w:hint="eastAsia" w:cs="宋体"/>
              </w:rPr>
              <w:t>达标</w:t>
            </w:r>
          </w:p>
        </w:tc>
      </w:tr>
    </w:tbl>
    <w:p w14:paraId="474ED480">
      <w:pPr>
        <w:spacing w:line="500" w:lineRule="exact"/>
        <w:ind w:firstLine="480" w:firstLineChars="200"/>
        <w:rPr>
          <w:rFonts w:hint="eastAsia" w:ascii="宋体" w:hAnsi="宋体"/>
          <w:kern w:val="0"/>
          <w:sz w:val="24"/>
          <w:szCs w:val="24"/>
        </w:rPr>
      </w:pPr>
      <w:r>
        <w:rPr>
          <w:rFonts w:hint="eastAsia" w:ascii="宋体" w:hAnsi="宋体"/>
          <w:kern w:val="0"/>
          <w:sz w:val="24"/>
          <w:szCs w:val="24"/>
        </w:rPr>
        <w:t>（5）固体废物</w:t>
      </w:r>
    </w:p>
    <w:p w14:paraId="47A514C5">
      <w:pPr>
        <w:pStyle w:val="191"/>
        <w:ind w:firstLine="480"/>
        <w:rPr>
          <w:rFonts w:hint="eastAsia"/>
        </w:rPr>
      </w:pPr>
      <w:r>
        <w:rPr>
          <w:rFonts w:hint="eastAsia"/>
        </w:rPr>
        <w:t>井区固体废物主要为设备检维修时产生的废机油、废含油抹布、劳保用品和沾油防渗材料；页岩油联合站内固体废物主要为含油污泥、废机油、废含油抹布、劳保用品和生活垃圾；1号混输泵站固体废物主要为废机油、废含油抹布、劳保用品；含油污泥、废机油属于《国家危险废物名录》HW08类危险废物，废含油抹布、劳保用品和废滤料属于《国家危险废物名录》HW49类危险废物，集中收集后依托吉祥联合站危废暂存场暂存，最终统一交由克拉玛依博达生态环保科技有限责任公司。生活垃圾定期清运至吉木萨尔县生活垃圾填埋场。</w:t>
      </w:r>
    </w:p>
    <w:p w14:paraId="3A9167A4">
      <w:pPr>
        <w:pStyle w:val="191"/>
        <w:ind w:firstLine="480"/>
        <w:rPr>
          <w:rFonts w:hint="eastAsia"/>
        </w:rPr>
      </w:pPr>
      <w:r>
        <w:rPr>
          <w:rFonts w:hint="eastAsia"/>
        </w:rPr>
        <w:t>（6）土壤和地下水</w:t>
      </w:r>
    </w:p>
    <w:p w14:paraId="24080C02">
      <w:pPr>
        <w:pStyle w:val="191"/>
        <w:ind w:firstLine="480"/>
        <w:rPr>
          <w:rFonts w:hint="eastAsia"/>
          <w:spacing w:val="-4"/>
        </w:rPr>
      </w:pPr>
      <w:r>
        <w:rPr>
          <w:rFonts w:hint="eastAsia"/>
        </w:rPr>
        <w:t>井区和站场产生的废水、固体废物均得到妥善处置，吉庆油田作业区采取的土壤和地下水保护措施主要为：井场、页岩油联合站和</w:t>
      </w:r>
      <w:r>
        <w:t>1</w:t>
      </w:r>
      <w:r>
        <w:rPr>
          <w:rFonts w:hint="eastAsia"/>
        </w:rPr>
        <w:t>号混输泵站均进行了分区防渗，</w:t>
      </w:r>
      <w:r>
        <w:t>15</w:t>
      </w:r>
      <w:r>
        <w:rPr>
          <w:rFonts w:hint="eastAsia"/>
        </w:rPr>
        <w:t>方压裂液储存池、</w:t>
      </w:r>
      <w:r>
        <w:t>60</w:t>
      </w:r>
      <w:r>
        <w:rPr>
          <w:rFonts w:hint="eastAsia"/>
        </w:rPr>
        <w:t>万压裂液返排防渗池和化粪池均进行了防渗处理，加强对各类储罐、管线、各类池体的日常维护和巡检，装车区及页岩油联合站卸油区的罐中均设有液位计，装车时出料口处设有残余液体收集装置，并定期清空；作业区定期对管线进行渗漏监测；各类传输泵进料端均安装了关闭控制阀门，加强对各类传输泵的维护。《中国石油新疆油田分公司吉庆油田作业区土壤污染隐患排查报告》中对</w:t>
      </w:r>
      <w:r>
        <w:rPr>
          <w:rFonts w:hint="eastAsia"/>
          <w:spacing w:val="-4"/>
        </w:rPr>
        <w:t>页岩油井区、页岩油联合站和1号混熟泵站内土壤的进行进行了监测，根据监测结果可知，土壤中的各监测因子均满足</w:t>
      </w:r>
      <w:r>
        <w:t>《土壤环境质量 建设用地土壤污染风险管控标准（试行）》（GB36600-2018）第二类用地风险筛选值要求。</w:t>
      </w:r>
      <w:r>
        <w:rPr>
          <w:rFonts w:hint="eastAsia"/>
          <w:spacing w:val="-4"/>
        </w:rPr>
        <w:t>根据吉庆油田作业区对附近现有地下水井例行监测数据可知，区域地下水中石油类满足《地表水环境质量标准》（GB3838-2002）中的Ⅲ类标准要求。</w:t>
      </w:r>
    </w:p>
    <w:p w14:paraId="2D3F79F7">
      <w:pPr>
        <w:pStyle w:val="191"/>
        <w:ind w:firstLine="480"/>
        <w:rPr>
          <w:rFonts w:hint="eastAsia"/>
        </w:rPr>
      </w:pPr>
      <w:r>
        <w:rPr>
          <w:rFonts w:hint="eastAsia"/>
        </w:rPr>
        <w:t>（7）生态环境</w:t>
      </w:r>
    </w:p>
    <w:p w14:paraId="6DF9A394">
      <w:pPr>
        <w:pStyle w:val="191"/>
        <w:ind w:firstLine="480"/>
        <w:rPr>
          <w:rFonts w:hint="eastAsia"/>
        </w:rPr>
      </w:pPr>
      <w:r>
        <w:t>油田区域内钻井工程结束后，基本对临时占地范围内及周边的场地进行了清理及平整，恢复了原貌。对井场永久占地范围内地表结合井区荒漠的特点，油田道路铺设了砂石，站场周围做了平整和压实，减少了侵蚀量。根据现场踏勘情况，区域内井场至计量站的集输管线均采用了地下敷设方式，施工结束后恢复了地表原状。计量站已完成地面硬化，现有井场均已平整，由砾石铺垫，井场周边也形成了较稳定的生态结构，根据完井时间不同，各井场恢复程度不同。</w:t>
      </w:r>
    </w:p>
    <w:p w14:paraId="27AF3BA2">
      <w:pPr>
        <w:pStyle w:val="191"/>
        <w:ind w:firstLine="480"/>
        <w:rPr>
          <w:rFonts w:hint="eastAsia"/>
        </w:rPr>
      </w:pPr>
      <w:r>
        <w:rPr>
          <w:rFonts w:hint="eastAsia"/>
        </w:rPr>
        <w:t>（8）环境管理回顾</w:t>
      </w:r>
    </w:p>
    <w:p w14:paraId="088F8C53">
      <w:pPr>
        <w:pStyle w:val="191"/>
        <w:ind w:firstLine="480"/>
        <w:rPr>
          <w:rFonts w:hint="eastAsia"/>
        </w:rPr>
      </w:pPr>
      <w:r>
        <w:rPr>
          <w:rFonts w:hint="eastAsia"/>
        </w:rPr>
        <w:t>吉庆作业区油气开发始于2018年，目前正在组织开展第一轮环境影响后评价工作；根据《固定污染源排污许可分类管理名录(2019年版)》，页岩油联合站站内的热媒炉等固定污染源实行排污许可登记管理，作业区于已取得了固定污染源排污登记回执（登记编号：</w:t>
      </w:r>
      <w:r>
        <w:t>91650200715597998M057Z</w:t>
      </w:r>
      <w:r>
        <w:rPr>
          <w:rFonts w:hint="eastAsia"/>
        </w:rPr>
        <w:t>）。</w:t>
      </w:r>
    </w:p>
    <w:p w14:paraId="0606F0CC">
      <w:pPr>
        <w:pStyle w:val="462"/>
        <w:rPr>
          <w:rFonts w:hint="eastAsia"/>
          <w:color w:val="auto"/>
        </w:rPr>
      </w:pPr>
      <w:r>
        <w:rPr>
          <w:rFonts w:hint="eastAsia"/>
          <w:color w:val="auto"/>
        </w:rPr>
        <w:t>吉庆油田作业区编制了《中国石油新疆油田分公司吉庆油田作业区突发环境事件应急预案》，已在昌吉回族自治州生态环境局吉木萨尔县分局进行了备案（备案编号：6</w:t>
      </w:r>
      <w:r>
        <w:rPr>
          <w:color w:val="auto"/>
        </w:rPr>
        <w:t>52327-2023-016-L</w:t>
      </w:r>
      <w:r>
        <w:rPr>
          <w:rFonts w:hint="eastAsia"/>
          <w:color w:val="auto"/>
        </w:rPr>
        <w:t>）。</w:t>
      </w:r>
      <w:r>
        <w:rPr>
          <w:rFonts w:hint="eastAsia"/>
          <w:color w:val="auto"/>
          <w:lang w:bidi="ar"/>
        </w:rPr>
        <w:t>同时作业区制定有“突发环境事件应急演练计划”，每年进行1次突发环境事件应急演练，演练完成后编制了《突发环境事件应急评价总结》。</w:t>
      </w:r>
    </w:p>
    <w:bookmarkEnd w:id="174"/>
    <w:bookmarkEnd w:id="175"/>
    <w:bookmarkEnd w:id="176"/>
    <w:p w14:paraId="3E5B875B">
      <w:pPr>
        <w:pStyle w:val="4"/>
        <w:rPr>
          <w:rFonts w:hint="eastAsia"/>
          <w:spacing w:val="4"/>
        </w:rPr>
      </w:pPr>
      <w:bookmarkStart w:id="186" w:name="_Toc160381876"/>
      <w:r>
        <w:rPr>
          <w:rFonts w:hint="eastAsia"/>
          <w:spacing w:val="4"/>
        </w:rPr>
        <w:t>存在的环境问题及“以新带老”整改措施</w:t>
      </w:r>
    </w:p>
    <w:p w14:paraId="156E6600">
      <w:pPr>
        <w:pStyle w:val="462"/>
        <w:rPr>
          <w:rFonts w:hint="eastAsia"/>
          <w:color w:val="auto"/>
          <w:lang w:bidi="ar"/>
        </w:rPr>
      </w:pPr>
      <w:r>
        <w:rPr>
          <w:rFonts w:hint="eastAsia"/>
          <w:color w:val="auto"/>
          <w:lang w:bidi="ar"/>
        </w:rPr>
        <w:t>（1）存在问题</w:t>
      </w:r>
    </w:p>
    <w:p w14:paraId="5CFA188D">
      <w:pPr>
        <w:pStyle w:val="462"/>
        <w:rPr>
          <w:rFonts w:hint="eastAsia"/>
          <w:color w:val="auto"/>
          <w:lang w:bidi="ar"/>
        </w:rPr>
      </w:pPr>
      <w:r>
        <w:rPr>
          <w:rFonts w:hint="eastAsia"/>
          <w:color w:val="auto"/>
          <w:lang w:bidi="ar"/>
        </w:rPr>
        <w:t>井区内现有井场已进行平整，由砾石铺垫，井场岩屑池已经覆土，井场及周边均没有污油出现。已完钻井的水基/油基岩屑已按照环评要求清理处置，现场踏勘时岩屑已全部清运完毕，井场未见遗留。但目前临时占地内植被尚未完全恢复。目前现有工程存在的环境问题为：井区部分地段有车辆乱碾乱轧的痕迹。</w:t>
      </w:r>
    </w:p>
    <w:p w14:paraId="208BE671">
      <w:pPr>
        <w:pStyle w:val="462"/>
        <w:rPr>
          <w:rFonts w:hint="eastAsia"/>
          <w:color w:val="auto"/>
          <w:lang w:bidi="ar"/>
        </w:rPr>
      </w:pPr>
      <w:r>
        <w:rPr>
          <w:rFonts w:hint="eastAsia"/>
          <w:color w:val="auto"/>
          <w:lang w:bidi="ar"/>
        </w:rPr>
        <w:t>（2）“以新带老”整改措施</w:t>
      </w:r>
    </w:p>
    <w:p w14:paraId="4EE67690">
      <w:pPr>
        <w:pStyle w:val="462"/>
        <w:rPr>
          <w:rFonts w:hint="eastAsia"/>
          <w:color w:val="auto"/>
          <w:lang w:bidi="ar"/>
        </w:rPr>
      </w:pPr>
      <w:r>
        <w:rPr>
          <w:rFonts w:hint="eastAsia"/>
          <w:color w:val="auto"/>
          <w:lang w:bidi="ar"/>
        </w:rPr>
        <w:t>针对已开发区域遗留的环境问题，在本次开发建设过程中，要重点采取以下措施：拟建项目建设中应严格规定施工车辆、施工机械及施工人员的活动范围，不得乱碾乱轧，随意开设便道。</w:t>
      </w:r>
    </w:p>
    <w:p w14:paraId="6C4DA872">
      <w:pPr>
        <w:pStyle w:val="2"/>
        <w:rPr>
          <w:rFonts w:hint="eastAsia"/>
        </w:rPr>
      </w:pPr>
      <w:r>
        <w:rPr>
          <w:rFonts w:hint="eastAsia"/>
        </w:rPr>
        <w:t>改扩建项目工程概况</w:t>
      </w:r>
      <w:bookmarkEnd w:id="186"/>
    </w:p>
    <w:p w14:paraId="7A4401E4">
      <w:pPr>
        <w:pStyle w:val="4"/>
        <w:rPr>
          <w:rFonts w:hint="eastAsia"/>
        </w:rPr>
      </w:pPr>
      <w:r>
        <w:rPr>
          <w:rFonts w:hint="eastAsia"/>
        </w:rPr>
        <w:t>建设项目基本情况</w:t>
      </w:r>
    </w:p>
    <w:p w14:paraId="1E097800">
      <w:pPr>
        <w:pStyle w:val="117"/>
        <w:ind w:firstLine="480"/>
        <w:rPr>
          <w:rFonts w:hint="eastAsia"/>
        </w:rPr>
      </w:pPr>
      <w:r>
        <w:rPr>
          <w:rFonts w:hint="eastAsia"/>
        </w:rPr>
        <w:t>（1）项目名称</w:t>
      </w:r>
    </w:p>
    <w:p w14:paraId="6C4D4854">
      <w:pPr>
        <w:pStyle w:val="117"/>
        <w:ind w:firstLine="480"/>
        <w:rPr>
          <w:rFonts w:hint="eastAsia"/>
        </w:rPr>
      </w:pPr>
      <w:bookmarkStart w:id="187" w:name="_Hlk168591084"/>
      <w:r>
        <w:rPr>
          <w:rFonts w:hint="eastAsia"/>
        </w:rPr>
        <w:t>吉木萨尔凹陷芦草沟组页岩油J10031-吉179井区JHW17-41等5口井产能建设项目</w:t>
      </w:r>
      <w:bookmarkEnd w:id="187"/>
      <w:r>
        <w:rPr>
          <w:rFonts w:hint="eastAsia"/>
        </w:rPr>
        <w:t>。</w:t>
      </w:r>
    </w:p>
    <w:p w14:paraId="6BDC9E6C">
      <w:pPr>
        <w:pStyle w:val="117"/>
        <w:ind w:firstLine="480"/>
        <w:rPr>
          <w:rFonts w:hint="eastAsia"/>
        </w:rPr>
      </w:pPr>
      <w:bookmarkStart w:id="188" w:name="_Hlk92203766"/>
      <w:r>
        <w:rPr>
          <w:rFonts w:hint="eastAsia"/>
        </w:rPr>
        <w:t>（2）建设单位</w:t>
      </w:r>
    </w:p>
    <w:p w14:paraId="09B68242">
      <w:pPr>
        <w:pStyle w:val="117"/>
        <w:ind w:firstLine="480"/>
        <w:rPr>
          <w:rFonts w:hint="eastAsia"/>
        </w:rPr>
      </w:pPr>
      <w:r>
        <w:rPr>
          <w:rFonts w:hint="eastAsia"/>
        </w:rPr>
        <w:t>中国石油新疆油田分公司吉庆油田作业区。</w:t>
      </w:r>
    </w:p>
    <w:p w14:paraId="39AFDC8B">
      <w:pPr>
        <w:pStyle w:val="117"/>
        <w:ind w:firstLine="480"/>
        <w:rPr>
          <w:rFonts w:hint="eastAsia"/>
        </w:rPr>
      </w:pPr>
      <w:r>
        <w:rPr>
          <w:rFonts w:hint="eastAsia"/>
        </w:rPr>
        <w:t>（</w:t>
      </w:r>
      <w:r>
        <w:t>3</w:t>
      </w:r>
      <w:r>
        <w:rPr>
          <w:rFonts w:hint="eastAsia"/>
        </w:rPr>
        <w:t>）项目性质</w:t>
      </w:r>
    </w:p>
    <w:bookmarkEnd w:id="188"/>
    <w:p w14:paraId="2AAC8DAD">
      <w:pPr>
        <w:pStyle w:val="117"/>
        <w:ind w:firstLine="480"/>
        <w:rPr>
          <w:rFonts w:hint="eastAsia"/>
          <w:kern w:val="0"/>
        </w:rPr>
      </w:pPr>
      <w:r>
        <w:rPr>
          <w:rFonts w:hint="eastAsia"/>
        </w:rPr>
        <w:t>改扩建</w:t>
      </w:r>
      <w:r>
        <w:rPr>
          <w:rFonts w:hint="eastAsia"/>
          <w:kern w:val="0"/>
        </w:rPr>
        <w:t>。</w:t>
      </w:r>
    </w:p>
    <w:p w14:paraId="24023B68">
      <w:pPr>
        <w:pStyle w:val="117"/>
        <w:ind w:firstLine="480"/>
        <w:rPr>
          <w:rFonts w:hint="eastAsia"/>
        </w:rPr>
      </w:pPr>
      <w:bookmarkStart w:id="189" w:name="_Hlk35516863"/>
      <w:r>
        <w:rPr>
          <w:rFonts w:hint="eastAsia"/>
        </w:rPr>
        <w:t>（4）建设地点</w:t>
      </w:r>
    </w:p>
    <w:p w14:paraId="196B37AA">
      <w:pPr>
        <w:pStyle w:val="117"/>
        <w:ind w:firstLine="480"/>
        <w:rPr>
          <w:rFonts w:hint="eastAsia"/>
        </w:rPr>
      </w:pPr>
      <w:r>
        <w:rPr>
          <w:rFonts w:hint="eastAsia"/>
        </w:rPr>
        <w:t>本项目行政隶属于新疆生产建设兵团第六师红旗农场，拟部署井西北距红旗农场中心约7km，南距吉木萨尔县城约21km。区域位置见图3.2-1。</w:t>
      </w:r>
    </w:p>
    <w:p w14:paraId="2373FCF7">
      <w:pPr>
        <w:pStyle w:val="117"/>
        <w:spacing w:line="360" w:lineRule="auto"/>
        <w:ind w:firstLine="0" w:firstLineChars="0"/>
        <w:rPr>
          <w:rFonts w:hint="eastAsia" w:cs="宋体"/>
          <w:kern w:val="0"/>
        </w:rPr>
      </w:pPr>
      <w:r>
        <w:rPr>
          <w:rFonts w:cs="宋体"/>
          <w:kern w:val="0"/>
        </w:rPr>
        <w:drawing>
          <wp:inline distT="0" distB="0" distL="0" distR="0">
            <wp:extent cx="5543550" cy="3542030"/>
            <wp:effectExtent l="0" t="0" r="0" b="127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43550" cy="3542030"/>
                    </a:xfrm>
                    <a:prstGeom prst="rect">
                      <a:avLst/>
                    </a:prstGeom>
                  </pic:spPr>
                </pic:pic>
              </a:graphicData>
            </a:graphic>
          </wp:inline>
        </w:drawing>
      </w:r>
    </w:p>
    <w:p w14:paraId="03E52E09">
      <w:pPr>
        <w:pStyle w:val="117"/>
        <w:spacing w:line="360" w:lineRule="auto"/>
        <w:ind w:firstLine="0" w:firstLineChars="0"/>
        <w:jc w:val="center"/>
        <w:rPr>
          <w:rFonts w:hint="eastAsia" w:ascii="黑体" w:hAnsi="黑体" w:eastAsia="黑体"/>
          <w:kern w:val="0"/>
          <w:sz w:val="21"/>
          <w:szCs w:val="21"/>
        </w:rPr>
      </w:pPr>
      <w:r>
        <w:rPr>
          <w:rFonts w:hint="eastAsia" w:ascii="黑体" w:hAnsi="黑体" w:eastAsia="黑体"/>
          <w:kern w:val="0"/>
          <w:sz w:val="21"/>
          <w:szCs w:val="21"/>
        </w:rPr>
        <w:t>图3.2-1  区域位置示意图</w:t>
      </w:r>
    </w:p>
    <w:p w14:paraId="57C80263">
      <w:pPr>
        <w:pStyle w:val="117"/>
        <w:ind w:firstLine="480"/>
        <w:rPr>
          <w:rFonts w:hint="eastAsia"/>
        </w:rPr>
      </w:pPr>
      <w:r>
        <w:rPr>
          <w:rFonts w:hint="eastAsia"/>
        </w:rPr>
        <w:t>（5）建设内容</w:t>
      </w:r>
    </w:p>
    <w:p w14:paraId="6D23C595">
      <w:pPr>
        <w:widowControl/>
        <w:adjustRightInd w:val="0"/>
        <w:snapToGrid w:val="0"/>
        <w:spacing w:line="500" w:lineRule="exact"/>
        <w:ind w:firstLine="480" w:firstLineChars="200"/>
        <w:rPr>
          <w:rFonts w:hint="eastAsia" w:ascii="宋体" w:hAnsi="宋体"/>
          <w:kern w:val="0"/>
          <w:sz w:val="24"/>
          <w:szCs w:val="24"/>
        </w:rPr>
      </w:pPr>
      <w:bookmarkStart w:id="190" w:name="OLE_LINK121"/>
      <w:r>
        <w:rPr>
          <w:rFonts w:hint="eastAsia" w:ascii="宋体" w:hAnsi="宋体"/>
          <w:kern w:val="0"/>
          <w:sz w:val="24"/>
          <w:szCs w:val="24"/>
        </w:rPr>
        <w:t>拟在J10031-吉179井区部署5口采油井，</w:t>
      </w:r>
      <w:bookmarkStart w:id="191" w:name="OLE_LINK12"/>
      <w:r>
        <w:rPr>
          <w:rFonts w:hint="eastAsia" w:ascii="宋体" w:hAnsi="宋体"/>
          <w:kern w:val="0"/>
          <w:sz w:val="24"/>
          <w:szCs w:val="24"/>
        </w:rPr>
        <w:t>由于项目区周围无依托的集输系统，本次分为两期建设，一期工程建设时段为2024年至2025年，拉油生产期限为二年，二期工程建设时间为2026年。</w:t>
      </w:r>
    </w:p>
    <w:p w14:paraId="34DAB062">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kern w:val="0"/>
          <w:sz w:val="24"/>
          <w:szCs w:val="24"/>
        </w:rPr>
        <w:t>一期建设内容为新钻5口采油井，合计钻井进尺为27593m；新建5座采油井口装置、5井式采油平台1座（5口采油井位于同一井场内）、</w:t>
      </w:r>
      <w:bookmarkStart w:id="192" w:name="OLE_LINK23"/>
      <w:r>
        <w:rPr>
          <w:rFonts w:hint="eastAsia" w:ascii="宋体" w:hAnsi="宋体"/>
          <w:kern w:val="0"/>
          <w:sz w:val="24"/>
          <w:szCs w:val="24"/>
        </w:rPr>
        <w:t>单井采油管线0.5km、</w:t>
      </w:r>
      <w:bookmarkEnd w:id="192"/>
      <w:r>
        <w:rPr>
          <w:rFonts w:hint="eastAsia" w:ascii="宋体" w:hAnsi="宋体"/>
          <w:kern w:val="0"/>
          <w:sz w:val="24"/>
          <w:szCs w:val="24"/>
        </w:rPr>
        <w:t>采油平台计量拉油站1座（站内设5座拉油方罐、1座生产分离器和1座放空火炬、1座3m</w:t>
      </w:r>
      <w:r>
        <w:rPr>
          <w:rFonts w:hint="eastAsia" w:ascii="宋体" w:hAnsi="宋体"/>
          <w:kern w:val="0"/>
          <w:sz w:val="24"/>
          <w:szCs w:val="24"/>
          <w:vertAlign w:val="superscript"/>
        </w:rPr>
        <w:t>3</w:t>
      </w:r>
      <w:r>
        <w:rPr>
          <w:rFonts w:hint="eastAsia" w:ascii="宋体" w:hAnsi="宋体"/>
          <w:kern w:val="0"/>
          <w:sz w:val="24"/>
          <w:szCs w:val="24"/>
        </w:rPr>
        <w:t>除硫加药装置、1座10m</w:t>
      </w:r>
      <w:r>
        <w:rPr>
          <w:rFonts w:hint="eastAsia" w:ascii="宋体" w:hAnsi="宋体"/>
          <w:kern w:val="0"/>
          <w:sz w:val="24"/>
          <w:szCs w:val="24"/>
          <w:vertAlign w:val="superscript"/>
        </w:rPr>
        <w:t>3</w:t>
      </w:r>
      <w:r>
        <w:rPr>
          <w:rFonts w:hint="eastAsia" w:ascii="宋体" w:hAnsi="宋体"/>
          <w:kern w:val="0"/>
          <w:sz w:val="24"/>
          <w:szCs w:val="24"/>
        </w:rPr>
        <w:t>除硫加药装置），并配套建设供配电、仪表自动化、给排水、道路、消防等公辅工程。</w:t>
      </w:r>
    </w:p>
    <w:p w14:paraId="4B72543E">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kern w:val="0"/>
          <w:sz w:val="24"/>
          <w:szCs w:val="24"/>
        </w:rPr>
        <w:t>二期建设内容为：</w:t>
      </w:r>
      <w:bookmarkStart w:id="193" w:name="OLE_LINK28"/>
      <w:r>
        <w:rPr>
          <w:rFonts w:hint="eastAsia" w:ascii="宋体" w:hAnsi="宋体"/>
          <w:kern w:val="0"/>
          <w:sz w:val="24"/>
          <w:szCs w:val="24"/>
        </w:rPr>
        <w:t>新建计量站至及已建阀室的集油干线6km，一期建设的采油平台计量拉油站更名为采油平台计量站，拆除一期建设的生产分离器、拉油方罐和放空火炬，将集中拉油生产改为管线密闭集输生产。</w:t>
      </w:r>
    </w:p>
    <w:bookmarkEnd w:id="190"/>
    <w:bookmarkEnd w:id="191"/>
    <w:bookmarkEnd w:id="193"/>
    <w:p w14:paraId="3C6CD889">
      <w:pPr>
        <w:pStyle w:val="117"/>
        <w:ind w:firstLine="480"/>
        <w:rPr>
          <w:rFonts w:hint="eastAsia"/>
        </w:rPr>
      </w:pPr>
      <w:r>
        <w:rPr>
          <w:rFonts w:hint="eastAsia"/>
        </w:rPr>
        <w:t>（6）产能规模</w:t>
      </w:r>
    </w:p>
    <w:p w14:paraId="0D9D2449">
      <w:pPr>
        <w:pStyle w:val="117"/>
        <w:ind w:firstLine="480"/>
        <w:rPr>
          <w:rFonts w:hint="eastAsia"/>
        </w:rPr>
      </w:pPr>
      <w:r>
        <w:rPr>
          <w:rFonts w:hint="eastAsia"/>
          <w:kern w:val="0"/>
        </w:rPr>
        <w:t>拟部署5口采油井，单井新建产能为10.9～22.2t/d，合计产能规模为2.7×10</w:t>
      </w:r>
      <w:r>
        <w:rPr>
          <w:rFonts w:hint="eastAsia"/>
          <w:kern w:val="0"/>
          <w:vertAlign w:val="superscript"/>
        </w:rPr>
        <w:t>4</w:t>
      </w:r>
      <w:r>
        <w:rPr>
          <w:rFonts w:hint="eastAsia"/>
          <w:kern w:val="0"/>
        </w:rPr>
        <w:t>t/a，产能预测表见表3.2-1。拟部署井均采用天然能量开发。</w:t>
      </w:r>
    </w:p>
    <w:p w14:paraId="463C0A40">
      <w:pPr>
        <w:widowControl/>
        <w:adjustRightInd w:val="0"/>
        <w:snapToGrid w:val="0"/>
        <w:spacing w:line="500" w:lineRule="exact"/>
        <w:jc w:val="center"/>
        <w:rPr>
          <w:rFonts w:hint="eastAsia" w:ascii="黑体" w:hAnsi="黑体" w:eastAsia="黑体"/>
        </w:rPr>
      </w:pPr>
    </w:p>
    <w:p w14:paraId="0657D326">
      <w:pPr>
        <w:widowControl/>
        <w:adjustRightInd w:val="0"/>
        <w:snapToGrid w:val="0"/>
        <w:spacing w:line="500" w:lineRule="exact"/>
        <w:jc w:val="center"/>
        <w:rPr>
          <w:rFonts w:hint="eastAsia" w:ascii="黑体" w:hAnsi="黑体" w:eastAsia="黑体"/>
        </w:rPr>
      </w:pPr>
      <w:r>
        <w:rPr>
          <w:rFonts w:hint="eastAsia" w:ascii="黑体" w:hAnsi="黑体" w:eastAsia="黑体"/>
        </w:rPr>
        <w:t>表3.2-1  页岩油</w:t>
      </w:r>
      <w:r>
        <w:rPr>
          <w:rFonts w:ascii="黑体" w:hAnsi="黑体" w:eastAsia="黑体"/>
        </w:rPr>
        <w:t>J10031-</w:t>
      </w:r>
      <w:r>
        <w:rPr>
          <w:rFonts w:hint="eastAsia" w:ascii="黑体" w:hAnsi="黑体" w:eastAsia="黑体"/>
        </w:rPr>
        <w:t>吉</w:t>
      </w:r>
      <w:r>
        <w:rPr>
          <w:rFonts w:ascii="黑体" w:hAnsi="黑体" w:eastAsia="黑体"/>
        </w:rPr>
        <w:t>179</w:t>
      </w:r>
      <w:r>
        <w:rPr>
          <w:rFonts w:hint="eastAsia" w:ascii="黑体" w:hAnsi="黑体" w:eastAsia="黑体"/>
        </w:rPr>
        <w:t>井区产能指标预测一览表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356"/>
        <w:gridCol w:w="1356"/>
        <w:gridCol w:w="1809"/>
        <w:gridCol w:w="1387"/>
        <w:gridCol w:w="1551"/>
        <w:gridCol w:w="1487"/>
      </w:tblGrid>
      <w:tr w14:paraId="26BFEA7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5EFCF20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年份</w:t>
            </w:r>
          </w:p>
        </w:tc>
        <w:tc>
          <w:tcPr>
            <w:tcW w:w="758" w:type="pct"/>
            <w:vAlign w:val="center"/>
          </w:tcPr>
          <w:p w14:paraId="28DD848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开井数/口</w:t>
            </w:r>
          </w:p>
        </w:tc>
        <w:tc>
          <w:tcPr>
            <w:tcW w:w="1011" w:type="pct"/>
            <w:vAlign w:val="center"/>
          </w:tcPr>
          <w:p w14:paraId="5533142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年产油/</w:t>
            </w:r>
            <w:r>
              <w:rPr>
                <w:rFonts w:ascii="宋体" w:hAnsi="宋体"/>
                <w:kern w:val="0"/>
                <w:szCs w:val="21"/>
              </w:rPr>
              <w:t>10</w:t>
            </w:r>
            <w:r>
              <w:rPr>
                <w:rFonts w:ascii="宋体" w:hAnsi="宋体"/>
                <w:kern w:val="0"/>
                <w:szCs w:val="21"/>
                <w:vertAlign w:val="superscript"/>
              </w:rPr>
              <w:t>4</w:t>
            </w:r>
            <w:r>
              <w:rPr>
                <w:rFonts w:ascii="宋体" w:hAnsi="宋体"/>
                <w:kern w:val="0"/>
                <w:szCs w:val="21"/>
              </w:rPr>
              <w:t>t</w:t>
            </w:r>
          </w:p>
        </w:tc>
        <w:tc>
          <w:tcPr>
            <w:tcW w:w="775" w:type="pct"/>
            <w:vAlign w:val="center"/>
          </w:tcPr>
          <w:p w14:paraId="2398EA7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年产液/</w:t>
            </w:r>
            <w:r>
              <w:rPr>
                <w:rFonts w:ascii="宋体" w:hAnsi="宋体"/>
                <w:kern w:val="0"/>
                <w:szCs w:val="21"/>
              </w:rPr>
              <w:t>10</w:t>
            </w:r>
            <w:r>
              <w:rPr>
                <w:rFonts w:ascii="宋体" w:hAnsi="宋体"/>
                <w:kern w:val="0"/>
                <w:szCs w:val="21"/>
                <w:vertAlign w:val="superscript"/>
              </w:rPr>
              <w:t>4</w:t>
            </w:r>
            <w:r>
              <w:rPr>
                <w:rFonts w:ascii="宋体" w:hAnsi="宋体"/>
                <w:kern w:val="0"/>
                <w:szCs w:val="21"/>
              </w:rPr>
              <w:t>t</w:t>
            </w:r>
          </w:p>
        </w:tc>
        <w:tc>
          <w:tcPr>
            <w:tcW w:w="867" w:type="pct"/>
            <w:vAlign w:val="center"/>
          </w:tcPr>
          <w:p w14:paraId="3C67D05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年产气/</w:t>
            </w:r>
            <w:r>
              <w:rPr>
                <w:rFonts w:ascii="宋体" w:hAnsi="宋体"/>
                <w:kern w:val="0"/>
                <w:szCs w:val="21"/>
              </w:rPr>
              <w:t>10</w:t>
            </w:r>
            <w:r>
              <w:rPr>
                <w:rFonts w:ascii="宋体" w:hAnsi="宋体"/>
                <w:kern w:val="0"/>
                <w:szCs w:val="21"/>
                <w:vertAlign w:val="superscript"/>
              </w:rPr>
              <w:t>4</w:t>
            </w:r>
            <w:r>
              <w:rPr>
                <w:rFonts w:ascii="宋体" w:hAnsi="宋体"/>
                <w:kern w:val="0"/>
                <w:szCs w:val="21"/>
              </w:rPr>
              <w:t>m³</w:t>
            </w:r>
          </w:p>
        </w:tc>
        <w:tc>
          <w:tcPr>
            <w:tcW w:w="831" w:type="pct"/>
            <w:vAlign w:val="center"/>
          </w:tcPr>
          <w:p w14:paraId="507EAD0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采出程度/%</w:t>
            </w:r>
          </w:p>
        </w:tc>
      </w:tr>
      <w:tr w14:paraId="7AAE20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7A7D9116">
            <w:pPr>
              <w:widowControl/>
              <w:adjustRightInd w:val="0"/>
              <w:snapToGrid w:val="0"/>
              <w:spacing w:line="300" w:lineRule="exact"/>
              <w:jc w:val="center"/>
              <w:rPr>
                <w:rFonts w:hint="eastAsia" w:ascii="宋体" w:hAnsi="宋体"/>
                <w:kern w:val="0"/>
                <w:szCs w:val="21"/>
              </w:rPr>
            </w:pPr>
            <w:r>
              <w:rPr>
                <w:rFonts w:ascii="宋体" w:hAnsi="宋体"/>
                <w:kern w:val="0"/>
                <w:szCs w:val="21"/>
              </w:rPr>
              <w:t>2024</w:t>
            </w:r>
          </w:p>
        </w:tc>
        <w:tc>
          <w:tcPr>
            <w:tcW w:w="758" w:type="pct"/>
            <w:noWrap/>
            <w:vAlign w:val="center"/>
          </w:tcPr>
          <w:p w14:paraId="3E33E07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67372F9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0.81</w:t>
            </w:r>
          </w:p>
        </w:tc>
        <w:tc>
          <w:tcPr>
            <w:tcW w:w="775" w:type="pct"/>
            <w:noWrap/>
            <w:vAlign w:val="center"/>
          </w:tcPr>
          <w:p w14:paraId="4B297F1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2.95</w:t>
            </w:r>
          </w:p>
        </w:tc>
        <w:tc>
          <w:tcPr>
            <w:tcW w:w="867" w:type="pct"/>
            <w:noWrap/>
            <w:vAlign w:val="center"/>
          </w:tcPr>
          <w:p w14:paraId="11FD308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8.14</w:t>
            </w:r>
          </w:p>
        </w:tc>
        <w:tc>
          <w:tcPr>
            <w:tcW w:w="831" w:type="pct"/>
            <w:vAlign w:val="center"/>
          </w:tcPr>
          <w:p w14:paraId="51F9E409">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0.12</w:t>
            </w:r>
          </w:p>
        </w:tc>
      </w:tr>
      <w:tr w14:paraId="1CBF8C3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05220302">
            <w:pPr>
              <w:widowControl/>
              <w:adjustRightInd w:val="0"/>
              <w:snapToGrid w:val="0"/>
              <w:spacing w:line="300" w:lineRule="exact"/>
              <w:jc w:val="center"/>
              <w:rPr>
                <w:rFonts w:hint="eastAsia" w:ascii="宋体" w:hAnsi="宋体"/>
                <w:kern w:val="0"/>
                <w:szCs w:val="21"/>
              </w:rPr>
            </w:pPr>
            <w:r>
              <w:rPr>
                <w:rFonts w:ascii="宋体" w:hAnsi="宋体"/>
                <w:kern w:val="0"/>
                <w:szCs w:val="21"/>
              </w:rPr>
              <w:t>2025</w:t>
            </w:r>
          </w:p>
        </w:tc>
        <w:tc>
          <w:tcPr>
            <w:tcW w:w="758" w:type="pct"/>
            <w:noWrap/>
            <w:vAlign w:val="center"/>
          </w:tcPr>
          <w:p w14:paraId="04DA06D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3B4653C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1.30</w:t>
            </w:r>
          </w:p>
        </w:tc>
        <w:tc>
          <w:tcPr>
            <w:tcW w:w="775" w:type="pct"/>
            <w:noWrap/>
            <w:vAlign w:val="center"/>
          </w:tcPr>
          <w:p w14:paraId="1407FC8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3.25</w:t>
            </w:r>
          </w:p>
        </w:tc>
        <w:tc>
          <w:tcPr>
            <w:tcW w:w="867" w:type="pct"/>
            <w:noWrap/>
            <w:vAlign w:val="center"/>
          </w:tcPr>
          <w:p w14:paraId="1170036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13.02</w:t>
            </w:r>
          </w:p>
        </w:tc>
        <w:tc>
          <w:tcPr>
            <w:tcW w:w="831" w:type="pct"/>
            <w:vAlign w:val="center"/>
          </w:tcPr>
          <w:p w14:paraId="0FA3DF70">
            <w:pPr>
              <w:widowControl/>
              <w:adjustRightInd w:val="0"/>
              <w:snapToGrid w:val="0"/>
              <w:spacing w:line="300" w:lineRule="exact"/>
              <w:jc w:val="center"/>
              <w:rPr>
                <w:rFonts w:hint="eastAsia" w:ascii="宋体" w:hAnsi="宋体"/>
                <w:kern w:val="0"/>
                <w:szCs w:val="21"/>
              </w:rPr>
            </w:pPr>
            <w:r>
              <w:rPr>
                <w:rFonts w:ascii="宋体" w:hAnsi="宋体"/>
                <w:kern w:val="0"/>
                <w:szCs w:val="21"/>
              </w:rPr>
              <w:t>0.91</w:t>
            </w:r>
          </w:p>
        </w:tc>
      </w:tr>
      <w:tr w14:paraId="5EDE3D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7B72696C">
            <w:pPr>
              <w:widowControl/>
              <w:adjustRightInd w:val="0"/>
              <w:snapToGrid w:val="0"/>
              <w:spacing w:line="300" w:lineRule="exact"/>
              <w:jc w:val="center"/>
              <w:rPr>
                <w:rFonts w:hint="eastAsia" w:ascii="宋体" w:hAnsi="宋体"/>
                <w:kern w:val="0"/>
                <w:szCs w:val="21"/>
              </w:rPr>
            </w:pPr>
            <w:r>
              <w:rPr>
                <w:rFonts w:ascii="宋体" w:hAnsi="宋体"/>
                <w:kern w:val="0"/>
                <w:szCs w:val="21"/>
              </w:rPr>
              <w:t>2026</w:t>
            </w:r>
          </w:p>
        </w:tc>
        <w:tc>
          <w:tcPr>
            <w:tcW w:w="758" w:type="pct"/>
            <w:noWrap/>
            <w:vAlign w:val="center"/>
          </w:tcPr>
          <w:p w14:paraId="6F435FD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06C00AC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2.70</w:t>
            </w:r>
          </w:p>
        </w:tc>
        <w:tc>
          <w:tcPr>
            <w:tcW w:w="775" w:type="pct"/>
            <w:noWrap/>
            <w:vAlign w:val="center"/>
          </w:tcPr>
          <w:p w14:paraId="106A482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4.42</w:t>
            </w:r>
          </w:p>
        </w:tc>
        <w:tc>
          <w:tcPr>
            <w:tcW w:w="867" w:type="pct"/>
            <w:noWrap/>
            <w:vAlign w:val="center"/>
          </w:tcPr>
          <w:p w14:paraId="585E4A5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26.98</w:t>
            </w:r>
          </w:p>
        </w:tc>
        <w:tc>
          <w:tcPr>
            <w:tcW w:w="831" w:type="pct"/>
            <w:vAlign w:val="center"/>
          </w:tcPr>
          <w:p w14:paraId="3E4E59F7">
            <w:pPr>
              <w:widowControl/>
              <w:adjustRightInd w:val="0"/>
              <w:snapToGrid w:val="0"/>
              <w:spacing w:line="300" w:lineRule="exact"/>
              <w:jc w:val="center"/>
              <w:rPr>
                <w:rFonts w:hint="eastAsia" w:ascii="宋体" w:hAnsi="宋体"/>
                <w:kern w:val="0"/>
                <w:szCs w:val="21"/>
              </w:rPr>
            </w:pPr>
            <w:r>
              <w:rPr>
                <w:rFonts w:ascii="宋体" w:hAnsi="宋体"/>
                <w:kern w:val="0"/>
                <w:szCs w:val="21"/>
              </w:rPr>
              <w:t>2.55</w:t>
            </w:r>
          </w:p>
        </w:tc>
      </w:tr>
      <w:tr w14:paraId="563E59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0EDF0A5A">
            <w:pPr>
              <w:widowControl/>
              <w:adjustRightInd w:val="0"/>
              <w:snapToGrid w:val="0"/>
              <w:spacing w:line="300" w:lineRule="exact"/>
              <w:jc w:val="center"/>
              <w:rPr>
                <w:rFonts w:hint="eastAsia" w:ascii="宋体" w:hAnsi="宋体"/>
                <w:kern w:val="0"/>
                <w:szCs w:val="21"/>
              </w:rPr>
            </w:pPr>
            <w:r>
              <w:rPr>
                <w:rFonts w:ascii="宋体" w:hAnsi="宋体"/>
                <w:kern w:val="0"/>
                <w:szCs w:val="21"/>
              </w:rPr>
              <w:t>2027</w:t>
            </w:r>
          </w:p>
        </w:tc>
        <w:tc>
          <w:tcPr>
            <w:tcW w:w="758" w:type="pct"/>
            <w:noWrap/>
            <w:vAlign w:val="center"/>
          </w:tcPr>
          <w:p w14:paraId="1D9CC7F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22B0C53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2.19</w:t>
            </w:r>
          </w:p>
        </w:tc>
        <w:tc>
          <w:tcPr>
            <w:tcW w:w="775" w:type="pct"/>
            <w:noWrap/>
            <w:vAlign w:val="center"/>
          </w:tcPr>
          <w:p w14:paraId="728BCC4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3.31</w:t>
            </w:r>
          </w:p>
        </w:tc>
        <w:tc>
          <w:tcPr>
            <w:tcW w:w="867" w:type="pct"/>
            <w:noWrap/>
            <w:vAlign w:val="center"/>
          </w:tcPr>
          <w:p w14:paraId="78291AE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21.88</w:t>
            </w:r>
          </w:p>
        </w:tc>
        <w:tc>
          <w:tcPr>
            <w:tcW w:w="831" w:type="pct"/>
            <w:vAlign w:val="center"/>
          </w:tcPr>
          <w:p w14:paraId="5C9B8B5D">
            <w:pPr>
              <w:widowControl/>
              <w:adjustRightInd w:val="0"/>
              <w:snapToGrid w:val="0"/>
              <w:spacing w:line="300" w:lineRule="exact"/>
              <w:jc w:val="center"/>
              <w:rPr>
                <w:rFonts w:hint="eastAsia" w:ascii="宋体" w:hAnsi="宋体"/>
                <w:kern w:val="0"/>
                <w:szCs w:val="21"/>
              </w:rPr>
            </w:pPr>
            <w:r>
              <w:rPr>
                <w:rFonts w:ascii="宋体" w:hAnsi="宋体"/>
                <w:kern w:val="0"/>
                <w:szCs w:val="21"/>
              </w:rPr>
              <w:t>3.88</w:t>
            </w:r>
          </w:p>
        </w:tc>
      </w:tr>
      <w:tr w14:paraId="4ECFA42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30F31716">
            <w:pPr>
              <w:widowControl/>
              <w:adjustRightInd w:val="0"/>
              <w:snapToGrid w:val="0"/>
              <w:spacing w:line="300" w:lineRule="exact"/>
              <w:jc w:val="center"/>
              <w:rPr>
                <w:rFonts w:hint="eastAsia" w:ascii="宋体" w:hAnsi="宋体"/>
                <w:kern w:val="0"/>
                <w:szCs w:val="21"/>
              </w:rPr>
            </w:pPr>
            <w:r>
              <w:rPr>
                <w:rFonts w:ascii="宋体" w:hAnsi="宋体"/>
                <w:kern w:val="0"/>
                <w:szCs w:val="21"/>
              </w:rPr>
              <w:t>2028</w:t>
            </w:r>
          </w:p>
        </w:tc>
        <w:tc>
          <w:tcPr>
            <w:tcW w:w="758" w:type="pct"/>
            <w:noWrap/>
            <w:vAlign w:val="center"/>
          </w:tcPr>
          <w:p w14:paraId="78C9863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662F33B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1.86</w:t>
            </w:r>
          </w:p>
        </w:tc>
        <w:tc>
          <w:tcPr>
            <w:tcW w:w="775" w:type="pct"/>
            <w:noWrap/>
            <w:vAlign w:val="center"/>
          </w:tcPr>
          <w:p w14:paraId="3BE0BD6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2.62</w:t>
            </w:r>
          </w:p>
        </w:tc>
        <w:tc>
          <w:tcPr>
            <w:tcW w:w="867" w:type="pct"/>
            <w:noWrap/>
            <w:vAlign w:val="center"/>
          </w:tcPr>
          <w:p w14:paraId="37CE761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18.60</w:t>
            </w:r>
          </w:p>
        </w:tc>
        <w:tc>
          <w:tcPr>
            <w:tcW w:w="831" w:type="pct"/>
            <w:vAlign w:val="center"/>
          </w:tcPr>
          <w:p w14:paraId="25EEA228">
            <w:pPr>
              <w:widowControl/>
              <w:adjustRightInd w:val="0"/>
              <w:snapToGrid w:val="0"/>
              <w:spacing w:line="300" w:lineRule="exact"/>
              <w:jc w:val="center"/>
              <w:rPr>
                <w:rFonts w:hint="eastAsia" w:ascii="宋体" w:hAnsi="宋体"/>
                <w:kern w:val="0"/>
                <w:szCs w:val="21"/>
              </w:rPr>
            </w:pPr>
            <w:r>
              <w:rPr>
                <w:rFonts w:ascii="宋体" w:hAnsi="宋体"/>
                <w:kern w:val="0"/>
                <w:szCs w:val="21"/>
              </w:rPr>
              <w:t>5.01</w:t>
            </w:r>
          </w:p>
        </w:tc>
      </w:tr>
      <w:tr w14:paraId="0EA4211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0ED890C2">
            <w:pPr>
              <w:widowControl/>
              <w:adjustRightInd w:val="0"/>
              <w:snapToGrid w:val="0"/>
              <w:spacing w:line="300" w:lineRule="exact"/>
              <w:jc w:val="center"/>
              <w:rPr>
                <w:rFonts w:hint="eastAsia" w:ascii="宋体" w:hAnsi="宋体"/>
                <w:kern w:val="0"/>
                <w:szCs w:val="21"/>
              </w:rPr>
            </w:pPr>
            <w:r>
              <w:rPr>
                <w:rFonts w:ascii="宋体" w:hAnsi="宋体"/>
                <w:kern w:val="0"/>
                <w:szCs w:val="21"/>
              </w:rPr>
              <w:t>2029</w:t>
            </w:r>
          </w:p>
        </w:tc>
        <w:tc>
          <w:tcPr>
            <w:tcW w:w="758" w:type="pct"/>
            <w:noWrap/>
            <w:vAlign w:val="center"/>
          </w:tcPr>
          <w:p w14:paraId="2536253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293F68E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1.58</w:t>
            </w:r>
          </w:p>
        </w:tc>
        <w:tc>
          <w:tcPr>
            <w:tcW w:w="775" w:type="pct"/>
            <w:noWrap/>
            <w:vAlign w:val="center"/>
          </w:tcPr>
          <w:p w14:paraId="00A94F2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2.11</w:t>
            </w:r>
          </w:p>
        </w:tc>
        <w:tc>
          <w:tcPr>
            <w:tcW w:w="867" w:type="pct"/>
            <w:noWrap/>
            <w:vAlign w:val="center"/>
          </w:tcPr>
          <w:p w14:paraId="7A4E32B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15.81</w:t>
            </w:r>
          </w:p>
        </w:tc>
        <w:tc>
          <w:tcPr>
            <w:tcW w:w="831" w:type="pct"/>
            <w:vAlign w:val="center"/>
          </w:tcPr>
          <w:p w14:paraId="3B462FCA">
            <w:pPr>
              <w:widowControl/>
              <w:adjustRightInd w:val="0"/>
              <w:snapToGrid w:val="0"/>
              <w:spacing w:line="300" w:lineRule="exact"/>
              <w:jc w:val="center"/>
              <w:rPr>
                <w:rFonts w:hint="eastAsia" w:ascii="宋体" w:hAnsi="宋体"/>
                <w:kern w:val="0"/>
                <w:szCs w:val="21"/>
              </w:rPr>
            </w:pPr>
            <w:r>
              <w:rPr>
                <w:rFonts w:ascii="宋体" w:hAnsi="宋体"/>
                <w:kern w:val="0"/>
                <w:szCs w:val="21"/>
              </w:rPr>
              <w:t>5.97</w:t>
            </w:r>
          </w:p>
        </w:tc>
      </w:tr>
      <w:tr w14:paraId="41E7CFB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499543FF">
            <w:pPr>
              <w:widowControl/>
              <w:adjustRightInd w:val="0"/>
              <w:snapToGrid w:val="0"/>
              <w:spacing w:line="300" w:lineRule="exact"/>
              <w:jc w:val="center"/>
              <w:rPr>
                <w:rFonts w:hint="eastAsia" w:ascii="宋体" w:hAnsi="宋体"/>
                <w:kern w:val="0"/>
                <w:szCs w:val="21"/>
              </w:rPr>
            </w:pPr>
            <w:r>
              <w:rPr>
                <w:rFonts w:ascii="宋体" w:hAnsi="宋体"/>
                <w:kern w:val="0"/>
                <w:szCs w:val="21"/>
              </w:rPr>
              <w:t>2030</w:t>
            </w:r>
          </w:p>
        </w:tc>
        <w:tc>
          <w:tcPr>
            <w:tcW w:w="758" w:type="pct"/>
            <w:noWrap/>
            <w:vAlign w:val="center"/>
          </w:tcPr>
          <w:p w14:paraId="7E5E57A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0456004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1.34</w:t>
            </w:r>
          </w:p>
        </w:tc>
        <w:tc>
          <w:tcPr>
            <w:tcW w:w="775" w:type="pct"/>
            <w:noWrap/>
            <w:vAlign w:val="center"/>
          </w:tcPr>
          <w:p w14:paraId="725596C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1.79</w:t>
            </w:r>
          </w:p>
        </w:tc>
        <w:tc>
          <w:tcPr>
            <w:tcW w:w="867" w:type="pct"/>
            <w:noWrap/>
            <w:vAlign w:val="center"/>
          </w:tcPr>
          <w:p w14:paraId="5887561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13.44</w:t>
            </w:r>
          </w:p>
        </w:tc>
        <w:tc>
          <w:tcPr>
            <w:tcW w:w="831" w:type="pct"/>
            <w:vAlign w:val="center"/>
          </w:tcPr>
          <w:p w14:paraId="11B0ACF4">
            <w:pPr>
              <w:widowControl/>
              <w:adjustRightInd w:val="0"/>
              <w:snapToGrid w:val="0"/>
              <w:spacing w:line="300" w:lineRule="exact"/>
              <w:jc w:val="center"/>
              <w:rPr>
                <w:rFonts w:hint="eastAsia" w:ascii="宋体" w:hAnsi="宋体"/>
                <w:kern w:val="0"/>
                <w:szCs w:val="21"/>
              </w:rPr>
            </w:pPr>
            <w:r>
              <w:rPr>
                <w:rFonts w:ascii="宋体" w:hAnsi="宋体"/>
                <w:kern w:val="0"/>
                <w:szCs w:val="21"/>
              </w:rPr>
              <w:t>6.79</w:t>
            </w:r>
          </w:p>
        </w:tc>
      </w:tr>
      <w:tr w14:paraId="0F4666B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7517F5AB">
            <w:pPr>
              <w:widowControl/>
              <w:adjustRightInd w:val="0"/>
              <w:snapToGrid w:val="0"/>
              <w:spacing w:line="300" w:lineRule="exact"/>
              <w:jc w:val="center"/>
              <w:rPr>
                <w:rFonts w:hint="eastAsia" w:ascii="宋体" w:hAnsi="宋体"/>
                <w:kern w:val="0"/>
                <w:szCs w:val="21"/>
              </w:rPr>
            </w:pPr>
            <w:r>
              <w:rPr>
                <w:rFonts w:ascii="宋体" w:hAnsi="宋体"/>
                <w:kern w:val="0"/>
                <w:szCs w:val="21"/>
              </w:rPr>
              <w:t>2031</w:t>
            </w:r>
          </w:p>
        </w:tc>
        <w:tc>
          <w:tcPr>
            <w:tcW w:w="758" w:type="pct"/>
            <w:noWrap/>
            <w:vAlign w:val="center"/>
          </w:tcPr>
          <w:p w14:paraId="333893B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1C86967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1.14</w:t>
            </w:r>
          </w:p>
        </w:tc>
        <w:tc>
          <w:tcPr>
            <w:tcW w:w="775" w:type="pct"/>
            <w:noWrap/>
            <w:vAlign w:val="center"/>
          </w:tcPr>
          <w:p w14:paraId="724615C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1.52</w:t>
            </w:r>
          </w:p>
        </w:tc>
        <w:tc>
          <w:tcPr>
            <w:tcW w:w="867" w:type="pct"/>
            <w:noWrap/>
            <w:vAlign w:val="center"/>
          </w:tcPr>
          <w:p w14:paraId="05BF9F3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11.42</w:t>
            </w:r>
          </w:p>
        </w:tc>
        <w:tc>
          <w:tcPr>
            <w:tcW w:w="831" w:type="pct"/>
            <w:vAlign w:val="center"/>
          </w:tcPr>
          <w:p w14:paraId="1D1A2692">
            <w:pPr>
              <w:widowControl/>
              <w:adjustRightInd w:val="0"/>
              <w:snapToGrid w:val="0"/>
              <w:spacing w:line="300" w:lineRule="exact"/>
              <w:jc w:val="center"/>
              <w:rPr>
                <w:rFonts w:hint="eastAsia" w:ascii="宋体" w:hAnsi="宋体"/>
                <w:kern w:val="0"/>
                <w:szCs w:val="21"/>
              </w:rPr>
            </w:pPr>
            <w:r>
              <w:rPr>
                <w:rFonts w:ascii="宋体" w:hAnsi="宋体"/>
                <w:kern w:val="0"/>
                <w:szCs w:val="21"/>
              </w:rPr>
              <w:t>7.48</w:t>
            </w:r>
          </w:p>
        </w:tc>
      </w:tr>
      <w:tr w14:paraId="1C1173D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1ADF2C63">
            <w:pPr>
              <w:widowControl/>
              <w:adjustRightInd w:val="0"/>
              <w:snapToGrid w:val="0"/>
              <w:spacing w:line="300" w:lineRule="exact"/>
              <w:jc w:val="center"/>
              <w:rPr>
                <w:rFonts w:hint="eastAsia" w:ascii="宋体" w:hAnsi="宋体"/>
                <w:kern w:val="0"/>
                <w:szCs w:val="21"/>
              </w:rPr>
            </w:pPr>
            <w:r>
              <w:rPr>
                <w:rFonts w:ascii="宋体" w:hAnsi="宋体"/>
                <w:kern w:val="0"/>
                <w:szCs w:val="21"/>
              </w:rPr>
              <w:t>2032</w:t>
            </w:r>
          </w:p>
        </w:tc>
        <w:tc>
          <w:tcPr>
            <w:tcW w:w="758" w:type="pct"/>
            <w:noWrap/>
            <w:vAlign w:val="center"/>
          </w:tcPr>
          <w:p w14:paraId="7EB6846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3B01D38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0.97</w:t>
            </w:r>
          </w:p>
        </w:tc>
        <w:tc>
          <w:tcPr>
            <w:tcW w:w="775" w:type="pct"/>
            <w:noWrap/>
            <w:vAlign w:val="center"/>
          </w:tcPr>
          <w:p w14:paraId="501CF520">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1.29</w:t>
            </w:r>
          </w:p>
        </w:tc>
        <w:tc>
          <w:tcPr>
            <w:tcW w:w="867" w:type="pct"/>
            <w:noWrap/>
            <w:vAlign w:val="center"/>
          </w:tcPr>
          <w:p w14:paraId="01F4BBF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9.71</w:t>
            </w:r>
          </w:p>
        </w:tc>
        <w:tc>
          <w:tcPr>
            <w:tcW w:w="831" w:type="pct"/>
            <w:vAlign w:val="center"/>
          </w:tcPr>
          <w:p w14:paraId="4C2E020C">
            <w:pPr>
              <w:widowControl/>
              <w:adjustRightInd w:val="0"/>
              <w:snapToGrid w:val="0"/>
              <w:spacing w:line="300" w:lineRule="exact"/>
              <w:jc w:val="center"/>
              <w:rPr>
                <w:rFonts w:hint="eastAsia" w:ascii="宋体" w:hAnsi="宋体"/>
                <w:kern w:val="0"/>
                <w:szCs w:val="21"/>
              </w:rPr>
            </w:pPr>
            <w:r>
              <w:rPr>
                <w:rFonts w:ascii="宋体" w:hAnsi="宋体"/>
                <w:kern w:val="0"/>
                <w:szCs w:val="21"/>
              </w:rPr>
              <w:t>8.07</w:t>
            </w:r>
          </w:p>
        </w:tc>
      </w:tr>
      <w:tr w14:paraId="0FE940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64957450">
            <w:pPr>
              <w:widowControl/>
              <w:adjustRightInd w:val="0"/>
              <w:snapToGrid w:val="0"/>
              <w:spacing w:line="300" w:lineRule="exact"/>
              <w:jc w:val="center"/>
              <w:rPr>
                <w:rFonts w:hint="eastAsia" w:ascii="宋体" w:hAnsi="宋体"/>
                <w:kern w:val="0"/>
                <w:szCs w:val="21"/>
              </w:rPr>
            </w:pPr>
            <w:r>
              <w:rPr>
                <w:rFonts w:ascii="宋体" w:hAnsi="宋体"/>
                <w:kern w:val="0"/>
                <w:szCs w:val="21"/>
              </w:rPr>
              <w:t>2033</w:t>
            </w:r>
          </w:p>
        </w:tc>
        <w:tc>
          <w:tcPr>
            <w:tcW w:w="758" w:type="pct"/>
            <w:noWrap/>
            <w:vAlign w:val="center"/>
          </w:tcPr>
          <w:p w14:paraId="549C1B45">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03CF09B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0.83</w:t>
            </w:r>
          </w:p>
        </w:tc>
        <w:tc>
          <w:tcPr>
            <w:tcW w:w="775" w:type="pct"/>
            <w:noWrap/>
            <w:vAlign w:val="center"/>
          </w:tcPr>
          <w:p w14:paraId="38B4C80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1.10</w:t>
            </w:r>
          </w:p>
        </w:tc>
        <w:tc>
          <w:tcPr>
            <w:tcW w:w="867" w:type="pct"/>
            <w:noWrap/>
            <w:vAlign w:val="center"/>
          </w:tcPr>
          <w:p w14:paraId="0A69F1B6">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8.25</w:t>
            </w:r>
          </w:p>
        </w:tc>
        <w:tc>
          <w:tcPr>
            <w:tcW w:w="831" w:type="pct"/>
            <w:vAlign w:val="center"/>
          </w:tcPr>
          <w:p w14:paraId="0A1CDA24">
            <w:pPr>
              <w:widowControl/>
              <w:adjustRightInd w:val="0"/>
              <w:snapToGrid w:val="0"/>
              <w:spacing w:line="300" w:lineRule="exact"/>
              <w:jc w:val="center"/>
              <w:rPr>
                <w:rFonts w:hint="eastAsia" w:ascii="宋体" w:hAnsi="宋体"/>
                <w:kern w:val="0"/>
                <w:szCs w:val="21"/>
              </w:rPr>
            </w:pPr>
            <w:r>
              <w:rPr>
                <w:rFonts w:ascii="宋体" w:hAnsi="宋体"/>
                <w:kern w:val="0"/>
                <w:szCs w:val="21"/>
              </w:rPr>
              <w:t>8.57</w:t>
            </w:r>
          </w:p>
        </w:tc>
      </w:tr>
      <w:tr w14:paraId="6202CF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02570CDA">
            <w:pPr>
              <w:widowControl/>
              <w:adjustRightInd w:val="0"/>
              <w:snapToGrid w:val="0"/>
              <w:spacing w:line="300" w:lineRule="exact"/>
              <w:jc w:val="center"/>
              <w:rPr>
                <w:rFonts w:hint="eastAsia" w:ascii="宋体" w:hAnsi="宋体"/>
                <w:kern w:val="0"/>
                <w:szCs w:val="21"/>
              </w:rPr>
            </w:pPr>
            <w:r>
              <w:rPr>
                <w:rFonts w:ascii="宋体" w:hAnsi="宋体"/>
                <w:kern w:val="0"/>
                <w:szCs w:val="21"/>
              </w:rPr>
              <w:t>2034</w:t>
            </w:r>
          </w:p>
        </w:tc>
        <w:tc>
          <w:tcPr>
            <w:tcW w:w="758" w:type="pct"/>
            <w:noWrap/>
            <w:vAlign w:val="center"/>
          </w:tcPr>
          <w:p w14:paraId="6094AB3C">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427A04C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0.70</w:t>
            </w:r>
          </w:p>
        </w:tc>
        <w:tc>
          <w:tcPr>
            <w:tcW w:w="775" w:type="pct"/>
            <w:noWrap/>
            <w:vAlign w:val="center"/>
          </w:tcPr>
          <w:p w14:paraId="5E16FB7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0.93</w:t>
            </w:r>
          </w:p>
        </w:tc>
        <w:tc>
          <w:tcPr>
            <w:tcW w:w="867" w:type="pct"/>
            <w:noWrap/>
            <w:vAlign w:val="center"/>
          </w:tcPr>
          <w:p w14:paraId="32B92F7D">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7.01</w:t>
            </w:r>
          </w:p>
        </w:tc>
        <w:tc>
          <w:tcPr>
            <w:tcW w:w="831" w:type="pct"/>
            <w:vAlign w:val="center"/>
          </w:tcPr>
          <w:p w14:paraId="79C3A7A1">
            <w:pPr>
              <w:widowControl/>
              <w:adjustRightInd w:val="0"/>
              <w:snapToGrid w:val="0"/>
              <w:spacing w:line="300" w:lineRule="exact"/>
              <w:jc w:val="center"/>
              <w:rPr>
                <w:rFonts w:hint="eastAsia" w:ascii="宋体" w:hAnsi="宋体"/>
                <w:kern w:val="0"/>
                <w:szCs w:val="21"/>
              </w:rPr>
            </w:pPr>
            <w:r>
              <w:rPr>
                <w:rFonts w:ascii="宋体" w:hAnsi="宋体"/>
                <w:kern w:val="0"/>
                <w:szCs w:val="21"/>
              </w:rPr>
              <w:t>9</w:t>
            </w:r>
          </w:p>
        </w:tc>
      </w:tr>
      <w:tr w14:paraId="4CDB46C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20E5701F">
            <w:pPr>
              <w:widowControl/>
              <w:adjustRightInd w:val="0"/>
              <w:snapToGrid w:val="0"/>
              <w:spacing w:line="300" w:lineRule="exact"/>
              <w:jc w:val="center"/>
              <w:rPr>
                <w:rFonts w:hint="eastAsia" w:ascii="宋体" w:hAnsi="宋体"/>
                <w:kern w:val="0"/>
                <w:szCs w:val="21"/>
              </w:rPr>
            </w:pPr>
            <w:r>
              <w:rPr>
                <w:rFonts w:ascii="宋体" w:hAnsi="宋体"/>
                <w:kern w:val="0"/>
                <w:szCs w:val="21"/>
              </w:rPr>
              <w:t>2035</w:t>
            </w:r>
          </w:p>
        </w:tc>
        <w:tc>
          <w:tcPr>
            <w:tcW w:w="758" w:type="pct"/>
            <w:noWrap/>
            <w:vAlign w:val="center"/>
          </w:tcPr>
          <w:p w14:paraId="1D0B140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4D0D18CE">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0.60</w:t>
            </w:r>
          </w:p>
        </w:tc>
        <w:tc>
          <w:tcPr>
            <w:tcW w:w="775" w:type="pct"/>
            <w:noWrap/>
            <w:vAlign w:val="center"/>
          </w:tcPr>
          <w:p w14:paraId="0A7D67C3">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0.80</w:t>
            </w:r>
          </w:p>
        </w:tc>
        <w:tc>
          <w:tcPr>
            <w:tcW w:w="867" w:type="pct"/>
            <w:noWrap/>
            <w:vAlign w:val="center"/>
          </w:tcPr>
          <w:p w14:paraId="08025DE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5.96</w:t>
            </w:r>
          </w:p>
        </w:tc>
        <w:tc>
          <w:tcPr>
            <w:tcW w:w="831" w:type="pct"/>
            <w:vAlign w:val="center"/>
          </w:tcPr>
          <w:p w14:paraId="0D49374D">
            <w:pPr>
              <w:widowControl/>
              <w:adjustRightInd w:val="0"/>
              <w:snapToGrid w:val="0"/>
              <w:spacing w:line="300" w:lineRule="exact"/>
              <w:jc w:val="center"/>
              <w:rPr>
                <w:rFonts w:hint="eastAsia" w:ascii="宋体" w:hAnsi="宋体"/>
                <w:kern w:val="0"/>
                <w:szCs w:val="21"/>
              </w:rPr>
            </w:pPr>
            <w:r>
              <w:rPr>
                <w:rFonts w:ascii="宋体" w:hAnsi="宋体"/>
                <w:kern w:val="0"/>
                <w:szCs w:val="21"/>
              </w:rPr>
              <w:t>9.36</w:t>
            </w:r>
          </w:p>
        </w:tc>
      </w:tr>
      <w:tr w14:paraId="0286891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13366CC0">
            <w:pPr>
              <w:widowControl/>
              <w:adjustRightInd w:val="0"/>
              <w:snapToGrid w:val="0"/>
              <w:spacing w:line="300" w:lineRule="exact"/>
              <w:jc w:val="center"/>
              <w:rPr>
                <w:rFonts w:hint="eastAsia" w:ascii="宋体" w:hAnsi="宋体"/>
                <w:kern w:val="0"/>
                <w:szCs w:val="21"/>
              </w:rPr>
            </w:pPr>
            <w:r>
              <w:rPr>
                <w:rFonts w:ascii="宋体" w:hAnsi="宋体"/>
                <w:kern w:val="0"/>
                <w:szCs w:val="21"/>
              </w:rPr>
              <w:t>2036</w:t>
            </w:r>
          </w:p>
        </w:tc>
        <w:tc>
          <w:tcPr>
            <w:tcW w:w="758" w:type="pct"/>
            <w:noWrap/>
            <w:vAlign w:val="center"/>
          </w:tcPr>
          <w:p w14:paraId="29F6C74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7B48049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0.51</w:t>
            </w:r>
          </w:p>
        </w:tc>
        <w:tc>
          <w:tcPr>
            <w:tcW w:w="775" w:type="pct"/>
            <w:noWrap/>
            <w:vAlign w:val="center"/>
          </w:tcPr>
          <w:p w14:paraId="14E4591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0.68</w:t>
            </w:r>
          </w:p>
        </w:tc>
        <w:tc>
          <w:tcPr>
            <w:tcW w:w="867" w:type="pct"/>
            <w:noWrap/>
            <w:vAlign w:val="center"/>
          </w:tcPr>
          <w:p w14:paraId="173996C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5.07</w:t>
            </w:r>
          </w:p>
        </w:tc>
        <w:tc>
          <w:tcPr>
            <w:tcW w:w="831" w:type="pct"/>
            <w:vAlign w:val="center"/>
          </w:tcPr>
          <w:p w14:paraId="0B1D6A60">
            <w:pPr>
              <w:widowControl/>
              <w:adjustRightInd w:val="0"/>
              <w:snapToGrid w:val="0"/>
              <w:spacing w:line="300" w:lineRule="exact"/>
              <w:jc w:val="center"/>
              <w:rPr>
                <w:rFonts w:hint="eastAsia" w:ascii="宋体" w:hAnsi="宋体"/>
                <w:kern w:val="0"/>
                <w:szCs w:val="21"/>
              </w:rPr>
            </w:pPr>
            <w:r>
              <w:rPr>
                <w:rFonts w:ascii="宋体" w:hAnsi="宋体"/>
                <w:kern w:val="0"/>
                <w:szCs w:val="21"/>
              </w:rPr>
              <w:t>9.67</w:t>
            </w:r>
          </w:p>
        </w:tc>
      </w:tr>
      <w:tr w14:paraId="3AC6A7E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7E4520BF">
            <w:pPr>
              <w:widowControl/>
              <w:adjustRightInd w:val="0"/>
              <w:snapToGrid w:val="0"/>
              <w:spacing w:line="300" w:lineRule="exact"/>
              <w:jc w:val="center"/>
              <w:rPr>
                <w:rFonts w:hint="eastAsia" w:ascii="宋体" w:hAnsi="宋体"/>
                <w:kern w:val="0"/>
                <w:szCs w:val="21"/>
              </w:rPr>
            </w:pPr>
            <w:r>
              <w:rPr>
                <w:rFonts w:ascii="宋体" w:hAnsi="宋体"/>
                <w:kern w:val="0"/>
                <w:szCs w:val="21"/>
              </w:rPr>
              <w:t>2037</w:t>
            </w:r>
          </w:p>
        </w:tc>
        <w:tc>
          <w:tcPr>
            <w:tcW w:w="758" w:type="pct"/>
            <w:noWrap/>
            <w:vAlign w:val="center"/>
          </w:tcPr>
          <w:p w14:paraId="3D063BD8">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3332B2F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0.43</w:t>
            </w:r>
          </w:p>
        </w:tc>
        <w:tc>
          <w:tcPr>
            <w:tcW w:w="775" w:type="pct"/>
            <w:noWrap/>
            <w:vAlign w:val="center"/>
          </w:tcPr>
          <w:p w14:paraId="3B09BF32">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0.57</w:t>
            </w:r>
          </w:p>
        </w:tc>
        <w:tc>
          <w:tcPr>
            <w:tcW w:w="867" w:type="pct"/>
            <w:noWrap/>
            <w:vAlign w:val="center"/>
          </w:tcPr>
          <w:p w14:paraId="7FF8C3D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4.31</w:t>
            </w:r>
          </w:p>
        </w:tc>
        <w:tc>
          <w:tcPr>
            <w:tcW w:w="831" w:type="pct"/>
            <w:vAlign w:val="center"/>
          </w:tcPr>
          <w:p w14:paraId="3465A70F">
            <w:pPr>
              <w:widowControl/>
              <w:adjustRightInd w:val="0"/>
              <w:snapToGrid w:val="0"/>
              <w:spacing w:line="300" w:lineRule="exact"/>
              <w:jc w:val="center"/>
              <w:rPr>
                <w:rFonts w:hint="eastAsia" w:ascii="宋体" w:hAnsi="宋体"/>
                <w:kern w:val="0"/>
                <w:szCs w:val="21"/>
              </w:rPr>
            </w:pPr>
            <w:r>
              <w:rPr>
                <w:rFonts w:ascii="宋体" w:hAnsi="宋体"/>
                <w:kern w:val="0"/>
                <w:szCs w:val="21"/>
              </w:rPr>
              <w:t>9.93</w:t>
            </w:r>
          </w:p>
        </w:tc>
      </w:tr>
      <w:tr w14:paraId="238C5F7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7223AD91">
            <w:pPr>
              <w:widowControl/>
              <w:adjustRightInd w:val="0"/>
              <w:snapToGrid w:val="0"/>
              <w:spacing w:line="300" w:lineRule="exact"/>
              <w:jc w:val="center"/>
              <w:rPr>
                <w:rFonts w:hint="eastAsia" w:ascii="宋体" w:hAnsi="宋体"/>
                <w:kern w:val="0"/>
                <w:szCs w:val="21"/>
              </w:rPr>
            </w:pPr>
            <w:r>
              <w:rPr>
                <w:rFonts w:ascii="宋体" w:hAnsi="宋体"/>
                <w:kern w:val="0"/>
                <w:szCs w:val="21"/>
              </w:rPr>
              <w:t>2038</w:t>
            </w:r>
          </w:p>
        </w:tc>
        <w:tc>
          <w:tcPr>
            <w:tcW w:w="758" w:type="pct"/>
            <w:noWrap/>
            <w:vAlign w:val="center"/>
          </w:tcPr>
          <w:p w14:paraId="5DC6886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246C2459">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0.37</w:t>
            </w:r>
          </w:p>
        </w:tc>
        <w:tc>
          <w:tcPr>
            <w:tcW w:w="775" w:type="pct"/>
            <w:noWrap/>
            <w:vAlign w:val="center"/>
          </w:tcPr>
          <w:p w14:paraId="63BB3C0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0.49</w:t>
            </w:r>
          </w:p>
        </w:tc>
        <w:tc>
          <w:tcPr>
            <w:tcW w:w="867" w:type="pct"/>
            <w:noWrap/>
            <w:vAlign w:val="center"/>
          </w:tcPr>
          <w:p w14:paraId="20F9CBC1">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3.66</w:t>
            </w:r>
          </w:p>
        </w:tc>
        <w:tc>
          <w:tcPr>
            <w:tcW w:w="831" w:type="pct"/>
            <w:vAlign w:val="center"/>
          </w:tcPr>
          <w:p w14:paraId="6627E516">
            <w:pPr>
              <w:widowControl/>
              <w:adjustRightInd w:val="0"/>
              <w:snapToGrid w:val="0"/>
              <w:spacing w:line="300" w:lineRule="exact"/>
              <w:jc w:val="center"/>
              <w:rPr>
                <w:rFonts w:hint="eastAsia" w:ascii="宋体" w:hAnsi="宋体"/>
                <w:kern w:val="0"/>
                <w:szCs w:val="21"/>
              </w:rPr>
            </w:pPr>
            <w:r>
              <w:rPr>
                <w:rFonts w:ascii="宋体" w:hAnsi="宋体"/>
                <w:kern w:val="0"/>
                <w:szCs w:val="21"/>
              </w:rPr>
              <w:t>10.16</w:t>
            </w:r>
          </w:p>
        </w:tc>
      </w:tr>
      <w:tr w14:paraId="152812E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758" w:type="pct"/>
            <w:vAlign w:val="center"/>
          </w:tcPr>
          <w:p w14:paraId="5B368C2D">
            <w:pPr>
              <w:widowControl/>
              <w:adjustRightInd w:val="0"/>
              <w:snapToGrid w:val="0"/>
              <w:spacing w:line="300" w:lineRule="exact"/>
              <w:jc w:val="center"/>
              <w:rPr>
                <w:rFonts w:hint="eastAsia" w:ascii="宋体" w:hAnsi="宋体"/>
                <w:kern w:val="0"/>
                <w:szCs w:val="21"/>
              </w:rPr>
            </w:pPr>
            <w:r>
              <w:rPr>
                <w:rFonts w:ascii="宋体" w:hAnsi="宋体"/>
                <w:kern w:val="0"/>
                <w:szCs w:val="21"/>
              </w:rPr>
              <w:t>2039</w:t>
            </w:r>
          </w:p>
        </w:tc>
        <w:tc>
          <w:tcPr>
            <w:tcW w:w="758" w:type="pct"/>
            <w:noWrap/>
            <w:vAlign w:val="center"/>
          </w:tcPr>
          <w:p w14:paraId="56AC8C8A">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5</w:t>
            </w:r>
          </w:p>
        </w:tc>
        <w:tc>
          <w:tcPr>
            <w:tcW w:w="1011" w:type="pct"/>
            <w:noWrap/>
            <w:vAlign w:val="center"/>
          </w:tcPr>
          <w:p w14:paraId="34985D14">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0.24</w:t>
            </w:r>
          </w:p>
        </w:tc>
        <w:tc>
          <w:tcPr>
            <w:tcW w:w="775" w:type="pct"/>
            <w:noWrap/>
            <w:vAlign w:val="center"/>
          </w:tcPr>
          <w:p w14:paraId="5437A507">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0.32</w:t>
            </w:r>
          </w:p>
        </w:tc>
        <w:tc>
          <w:tcPr>
            <w:tcW w:w="867" w:type="pct"/>
            <w:noWrap/>
            <w:vAlign w:val="center"/>
          </w:tcPr>
          <w:p w14:paraId="75C2D26F">
            <w:pPr>
              <w:widowControl/>
              <w:adjustRightInd w:val="0"/>
              <w:snapToGrid w:val="0"/>
              <w:spacing w:line="300" w:lineRule="exact"/>
              <w:jc w:val="center"/>
              <w:rPr>
                <w:rFonts w:hint="eastAsia" w:ascii="宋体" w:hAnsi="宋体" w:cs="宋体"/>
                <w:kern w:val="0"/>
                <w:szCs w:val="21"/>
              </w:rPr>
            </w:pPr>
            <w:r>
              <w:rPr>
                <w:rFonts w:hint="eastAsia" w:ascii="宋体" w:hAnsi="宋体" w:cs="宋体"/>
                <w:kern w:val="0"/>
                <w:szCs w:val="21"/>
              </w:rPr>
              <w:t>2.39</w:t>
            </w:r>
          </w:p>
        </w:tc>
        <w:tc>
          <w:tcPr>
            <w:tcW w:w="831" w:type="pct"/>
            <w:vAlign w:val="center"/>
          </w:tcPr>
          <w:p w14:paraId="40D70D5A">
            <w:pPr>
              <w:widowControl/>
              <w:adjustRightInd w:val="0"/>
              <w:snapToGrid w:val="0"/>
              <w:spacing w:line="300" w:lineRule="exact"/>
              <w:jc w:val="center"/>
              <w:rPr>
                <w:rFonts w:hint="eastAsia" w:ascii="宋体" w:hAnsi="宋体"/>
                <w:kern w:val="0"/>
                <w:szCs w:val="21"/>
              </w:rPr>
            </w:pPr>
            <w:r>
              <w:rPr>
                <w:rFonts w:ascii="宋体" w:hAnsi="宋体"/>
                <w:kern w:val="0"/>
                <w:szCs w:val="21"/>
              </w:rPr>
              <w:t>10.3</w:t>
            </w:r>
          </w:p>
        </w:tc>
      </w:tr>
    </w:tbl>
    <w:p w14:paraId="2CA704B0">
      <w:pPr>
        <w:pStyle w:val="117"/>
        <w:ind w:firstLine="480"/>
        <w:rPr>
          <w:rFonts w:hint="eastAsia"/>
        </w:rPr>
      </w:pPr>
      <w:r>
        <w:rPr>
          <w:rFonts w:hint="eastAsia"/>
        </w:rPr>
        <w:t>（7）产品方案</w:t>
      </w:r>
    </w:p>
    <w:p w14:paraId="48906308">
      <w:pPr>
        <w:pStyle w:val="117"/>
        <w:ind w:firstLine="480"/>
        <w:rPr>
          <w:rFonts w:hint="eastAsia"/>
        </w:rPr>
      </w:pPr>
      <w:r>
        <w:rPr>
          <w:rFonts w:hint="eastAsia"/>
        </w:rPr>
        <w:t>产品主要为原油和伴生气，产生量分别为</w:t>
      </w:r>
      <w:r>
        <w:rPr>
          <w:rFonts w:hint="eastAsia"/>
          <w:kern w:val="0"/>
        </w:rPr>
        <w:t>2.7×10</w:t>
      </w:r>
      <w:r>
        <w:rPr>
          <w:rFonts w:hint="eastAsia"/>
          <w:kern w:val="0"/>
          <w:vertAlign w:val="superscript"/>
        </w:rPr>
        <w:t>4</w:t>
      </w:r>
      <w:r>
        <w:rPr>
          <w:rFonts w:hint="eastAsia"/>
          <w:kern w:val="0"/>
        </w:rPr>
        <w:t>t/a</w:t>
      </w:r>
      <w:r>
        <w:rPr>
          <w:rFonts w:hint="eastAsia"/>
        </w:rPr>
        <w:t>、26.98</w:t>
      </w:r>
      <w:r>
        <w:rPr>
          <w:rFonts w:hint="eastAsia"/>
          <w:kern w:val="0"/>
        </w:rPr>
        <w:t>×10</w:t>
      </w:r>
      <w:r>
        <w:rPr>
          <w:rFonts w:hint="eastAsia"/>
          <w:kern w:val="0"/>
          <w:vertAlign w:val="superscript"/>
        </w:rPr>
        <w:t>4</w:t>
      </w:r>
      <w:r>
        <w:rPr>
          <w:rFonts w:hint="eastAsia"/>
        </w:rPr>
        <w:t>m</w:t>
      </w:r>
      <w:r>
        <w:rPr>
          <w:rFonts w:hint="eastAsia"/>
          <w:vertAlign w:val="superscript"/>
        </w:rPr>
        <w:t>3</w:t>
      </w:r>
      <w:r>
        <w:rPr>
          <w:rFonts w:hint="eastAsia"/>
        </w:rPr>
        <w:t>/a，原油管输至页岩油联合站原油处理系统处理，一期伴生气通过放空火炬燃烧放空，二期伴生气管输至页岩油联合站伴生气处理系统处理。</w:t>
      </w:r>
    </w:p>
    <w:bookmarkEnd w:id="189"/>
    <w:p w14:paraId="338E58A6">
      <w:pPr>
        <w:pStyle w:val="117"/>
        <w:adjustRightInd w:val="0"/>
        <w:snapToGrid w:val="0"/>
        <w:ind w:firstLine="480"/>
        <w:rPr>
          <w:rFonts w:hint="eastAsia"/>
        </w:rPr>
      </w:pPr>
      <w:r>
        <w:rPr>
          <w:rFonts w:hint="eastAsia"/>
        </w:rPr>
        <w:t>（8）建设周期</w:t>
      </w:r>
    </w:p>
    <w:p w14:paraId="4888E4DC">
      <w:pPr>
        <w:pStyle w:val="117"/>
        <w:adjustRightInd w:val="0"/>
        <w:snapToGrid w:val="0"/>
        <w:ind w:firstLine="480"/>
        <w:rPr>
          <w:rFonts w:hint="eastAsia"/>
        </w:rPr>
      </w:pPr>
      <w:r>
        <w:rPr>
          <w:rFonts w:hint="eastAsia"/>
        </w:rPr>
        <w:t>单井钻井周期41天，施工人数35人，钻井期设一座生活营地；地面工程建设周期为12个月，施工人数</w:t>
      </w:r>
      <w:r>
        <w:t>30</w:t>
      </w:r>
      <w:r>
        <w:rPr>
          <w:rFonts w:hint="eastAsia"/>
        </w:rPr>
        <w:t>人，地面工程施工现场不设施工营地，施工人员食宿在红旗农场。</w:t>
      </w:r>
    </w:p>
    <w:p w14:paraId="2A6377B5">
      <w:pPr>
        <w:pStyle w:val="117"/>
        <w:ind w:firstLine="480"/>
        <w:rPr>
          <w:rFonts w:hint="eastAsia"/>
        </w:rPr>
      </w:pPr>
      <w:r>
        <w:rPr>
          <w:rFonts w:hint="eastAsia"/>
        </w:rPr>
        <w:t>（9）劳动定员和工作制度</w:t>
      </w:r>
    </w:p>
    <w:p w14:paraId="44F417BF">
      <w:pPr>
        <w:pStyle w:val="117"/>
        <w:ind w:firstLine="480"/>
        <w:rPr>
          <w:rFonts w:hint="eastAsia"/>
        </w:rPr>
      </w:pPr>
      <w:r>
        <w:rPr>
          <w:rFonts w:hint="eastAsia"/>
        </w:rPr>
        <w:t>项目实施后</w:t>
      </w:r>
      <w:r>
        <w:rPr>
          <w:rFonts w:hint="eastAsia"/>
          <w:kern w:val="0"/>
        </w:rPr>
        <w:t>由吉庆油田作业区现有工作人员负责运营管理，不新增劳动定员</w:t>
      </w:r>
      <w:r>
        <w:rPr>
          <w:rFonts w:hint="eastAsia"/>
        </w:rPr>
        <w:t>。</w:t>
      </w:r>
    </w:p>
    <w:p w14:paraId="633FCEAE">
      <w:pPr>
        <w:pStyle w:val="117"/>
        <w:ind w:firstLine="480"/>
        <w:rPr>
          <w:rFonts w:hint="eastAsia"/>
        </w:rPr>
      </w:pPr>
      <w:r>
        <w:rPr>
          <w:rFonts w:hint="eastAsia"/>
        </w:rPr>
        <w:t>（10）工程投资</w:t>
      </w:r>
    </w:p>
    <w:p w14:paraId="21E8D050">
      <w:pPr>
        <w:widowControl/>
        <w:adjustRightInd w:val="0"/>
        <w:snapToGrid w:val="0"/>
        <w:spacing w:line="500" w:lineRule="exact"/>
        <w:ind w:firstLine="480" w:firstLineChars="200"/>
      </w:pPr>
      <w:bookmarkStart w:id="194" w:name="OLE_LINK397"/>
      <w:bookmarkStart w:id="195" w:name="_Hlk148004996"/>
      <w:r>
        <w:rPr>
          <w:rFonts w:hint="eastAsia" w:ascii="宋体" w:hAnsi="宋体"/>
          <w:kern w:val="0"/>
          <w:sz w:val="24"/>
          <w:szCs w:val="24"/>
        </w:rPr>
        <w:t>项目总投资18884万元</w:t>
      </w:r>
      <w:bookmarkEnd w:id="194"/>
      <w:r>
        <w:rPr>
          <w:rFonts w:hint="eastAsia" w:ascii="宋体" w:hAnsi="宋体"/>
          <w:kern w:val="0"/>
          <w:sz w:val="24"/>
          <w:szCs w:val="24"/>
        </w:rPr>
        <w:t>，环保投资约459万元，占总投资的2.43%。</w:t>
      </w:r>
    </w:p>
    <w:p w14:paraId="09067E95">
      <w:pPr>
        <w:pStyle w:val="4"/>
        <w:rPr>
          <w:rFonts w:hint="eastAsia"/>
        </w:rPr>
      </w:pPr>
      <w:r>
        <w:rPr>
          <w:rFonts w:hint="eastAsia"/>
        </w:rPr>
        <w:t>勘探开发现状及油气水性质</w:t>
      </w:r>
    </w:p>
    <w:p w14:paraId="1A6C2540">
      <w:pPr>
        <w:pStyle w:val="117"/>
        <w:ind w:firstLine="480"/>
        <w:rPr>
          <w:rFonts w:hint="eastAsia"/>
        </w:rPr>
      </w:pPr>
      <w:r>
        <w:rPr>
          <w:rFonts w:hint="eastAsia"/>
        </w:rPr>
        <w:t>（1）勘探开发概况、地质构造、层系、储层特征</w:t>
      </w:r>
    </w:p>
    <w:p w14:paraId="3C4CE6A5">
      <w:pPr>
        <w:pStyle w:val="117"/>
        <w:ind w:firstLine="480"/>
        <w:rPr>
          <w:rFonts w:hint="eastAsia" w:ascii="黑体" w:hAnsi="黑体" w:eastAsia="黑体"/>
        </w:rPr>
      </w:pPr>
      <w:r>
        <w:rPr>
          <w:rFonts w:hint="eastAsia"/>
        </w:rPr>
        <w:t>勘探开发概况、地质构造、层系、储层特征、油藏类型及开发进程见表3.2-2。</w:t>
      </w:r>
    </w:p>
    <w:p w14:paraId="069E0853">
      <w:pPr>
        <w:widowControl/>
        <w:adjustRightInd w:val="0"/>
        <w:snapToGrid w:val="0"/>
        <w:spacing w:line="500" w:lineRule="exact"/>
        <w:jc w:val="center"/>
      </w:pPr>
      <w:r>
        <w:rPr>
          <w:rFonts w:hint="eastAsia" w:ascii="黑体" w:hAnsi="黑体" w:eastAsia="黑体"/>
        </w:rPr>
        <w:t>表3</w:t>
      </w:r>
      <w:r>
        <w:rPr>
          <w:rFonts w:ascii="黑体" w:hAnsi="黑体" w:eastAsia="黑体"/>
        </w:rPr>
        <w:t>.2</w:t>
      </w:r>
      <w:r>
        <w:rPr>
          <w:rFonts w:hint="eastAsia" w:ascii="黑体" w:hAnsi="黑体" w:eastAsia="黑体"/>
        </w:rPr>
        <w:t xml:space="preserve">-2 </w:t>
      </w:r>
      <w:r>
        <w:rPr>
          <w:rFonts w:ascii="黑体" w:hAnsi="黑体" w:eastAsia="黑体"/>
        </w:rPr>
        <w:t xml:space="preserve"> </w:t>
      </w:r>
      <w:bookmarkStart w:id="196" w:name="_Hlk164170345"/>
      <w:r>
        <w:rPr>
          <w:rFonts w:hint="eastAsia" w:ascii="黑体" w:hAnsi="黑体" w:eastAsia="黑体"/>
        </w:rPr>
        <w:t>勘探开发概况、地质构造、层系、储层特征、油藏类型及开发进程一览表</w:t>
      </w:r>
    </w:p>
    <w:bookmarkEnd w:id="196"/>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26"/>
        <w:gridCol w:w="8220"/>
      </w:tblGrid>
      <w:tr w14:paraId="4F3D843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63BA29A2">
            <w:pPr>
              <w:pStyle w:val="342"/>
              <w:overflowPunct w:val="0"/>
              <w:snapToGrid w:val="0"/>
              <w:spacing w:line="300" w:lineRule="exact"/>
              <w:rPr>
                <w:rFonts w:hint="eastAsia" w:hAnsi="宋体"/>
                <w:sz w:val="21"/>
                <w:szCs w:val="21"/>
              </w:rPr>
            </w:pPr>
            <w:r>
              <w:rPr>
                <w:rFonts w:hint="eastAsia" w:hAnsi="宋体"/>
                <w:sz w:val="21"/>
                <w:szCs w:val="21"/>
              </w:rPr>
              <w:t>类别</w:t>
            </w:r>
          </w:p>
        </w:tc>
        <w:tc>
          <w:tcPr>
            <w:tcW w:w="4594" w:type="pct"/>
            <w:vAlign w:val="center"/>
          </w:tcPr>
          <w:p w14:paraId="77DC0876">
            <w:pPr>
              <w:pStyle w:val="342"/>
              <w:overflowPunct w:val="0"/>
              <w:snapToGrid w:val="0"/>
              <w:spacing w:line="300" w:lineRule="exact"/>
              <w:rPr>
                <w:rFonts w:hint="eastAsia" w:hAnsi="宋体"/>
                <w:w w:val="110"/>
                <w:sz w:val="21"/>
                <w:szCs w:val="21"/>
              </w:rPr>
            </w:pPr>
            <w:r>
              <w:rPr>
                <w:rFonts w:hint="eastAsia" w:hAnsi="宋体"/>
                <w:w w:val="110"/>
                <w:sz w:val="21"/>
                <w:szCs w:val="21"/>
              </w:rPr>
              <w:t>内容</w:t>
            </w:r>
          </w:p>
        </w:tc>
      </w:tr>
      <w:tr w14:paraId="0B64B5C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0604FFE1">
            <w:pPr>
              <w:pStyle w:val="342"/>
              <w:overflowPunct w:val="0"/>
              <w:snapToGrid w:val="0"/>
              <w:spacing w:line="300" w:lineRule="exact"/>
              <w:rPr>
                <w:rFonts w:hint="eastAsia" w:hAnsi="宋体"/>
                <w:sz w:val="21"/>
                <w:szCs w:val="21"/>
              </w:rPr>
            </w:pPr>
            <w:r>
              <w:rPr>
                <w:rFonts w:hint="eastAsia" w:hAnsi="宋体"/>
                <w:sz w:val="21"/>
                <w:szCs w:val="21"/>
              </w:rPr>
              <w:t>勘探开发概况</w:t>
            </w:r>
          </w:p>
        </w:tc>
        <w:tc>
          <w:tcPr>
            <w:tcW w:w="4594" w:type="pct"/>
            <w:vAlign w:val="center"/>
          </w:tcPr>
          <w:p w14:paraId="08D9176F">
            <w:pPr>
              <w:overflowPunct w:val="0"/>
              <w:autoSpaceDE w:val="0"/>
              <w:autoSpaceDN w:val="0"/>
              <w:adjustRightInd w:val="0"/>
              <w:snapToGrid w:val="0"/>
              <w:spacing w:line="300" w:lineRule="exact"/>
              <w:rPr>
                <w:rFonts w:hint="eastAsia" w:ascii="宋体" w:hAnsi="宋体"/>
                <w:szCs w:val="21"/>
              </w:rPr>
            </w:pPr>
            <w:r>
              <w:rPr>
                <w:rFonts w:hint="eastAsia" w:ascii="宋体" w:hAnsi="宋体" w:cs="宋体"/>
                <w:kern w:val="0"/>
                <w:szCs w:val="21"/>
              </w:rPr>
              <w:t>吉木萨尔页岩油二叠系芦草沟组2011年吉25井发现页岩油，历经勘探及开发先导试验、评价及工业化试验、示范区成立及规模化建产阶段三个阶段，实现了技术、产量、效益突破，曲折探索历程可归结为“两下三上”。</w:t>
            </w:r>
            <w:r>
              <w:rPr>
                <w:rFonts w:hint="eastAsia" w:ascii="宋体" w:hAnsi="宋体"/>
                <w:szCs w:val="21"/>
              </w:rPr>
              <w:t>2011-2015年为勘探及开发先导试验阶段，认识到满凹含油，具备效益开发潜力但有极大技术难度，开始积极探索水平井工厂化建产模式；2016-2020年为评价及工业化试验阶段，以上甜点为主体，开展200m井距水平井试验，认识到甜点强非均质性，确定密切割、高强度压裂方式，2020年1月23日国家能源局、自然资源部批复同意设立“新疆吉木萨尔国家级陆相页岩油示范区”，要求中国石油加大工作力度，努力实现示范区目标。2020年3月20日中国石油戴厚良董事长批示“示范区不仅要解决技术上可行，更要树立经济可行的目标，学习借鉴国外页岩油开发的成本倒逼机制，增强示范区的竞争力”；2020年至目前为规模化建产阶段，实现了薄层甜点可动性分级评价，落实以下甜点为建产主体。</w:t>
            </w:r>
          </w:p>
        </w:tc>
      </w:tr>
      <w:tr w14:paraId="75F2EA9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6CA90FA9">
            <w:pPr>
              <w:pStyle w:val="342"/>
              <w:overflowPunct w:val="0"/>
              <w:snapToGrid w:val="0"/>
              <w:spacing w:line="300" w:lineRule="exact"/>
              <w:rPr>
                <w:sz w:val="21"/>
                <w:szCs w:val="21"/>
              </w:rPr>
            </w:pPr>
            <w:r>
              <w:rPr>
                <w:rFonts w:hint="eastAsia"/>
                <w:sz w:val="21"/>
                <w:szCs w:val="21"/>
              </w:rPr>
              <w:t>地质</w:t>
            </w:r>
          </w:p>
          <w:p w14:paraId="745D9863">
            <w:pPr>
              <w:pStyle w:val="342"/>
              <w:overflowPunct w:val="0"/>
              <w:snapToGrid w:val="0"/>
              <w:spacing w:line="300" w:lineRule="exact"/>
              <w:rPr>
                <w:rFonts w:hint="eastAsia" w:hAnsi="宋体"/>
                <w:sz w:val="21"/>
                <w:szCs w:val="21"/>
              </w:rPr>
            </w:pPr>
            <w:r>
              <w:rPr>
                <w:rFonts w:hint="eastAsia"/>
                <w:sz w:val="21"/>
                <w:szCs w:val="21"/>
              </w:rPr>
              <w:t>构造</w:t>
            </w:r>
          </w:p>
        </w:tc>
        <w:tc>
          <w:tcPr>
            <w:tcW w:w="4594" w:type="pct"/>
            <w:vAlign w:val="center"/>
          </w:tcPr>
          <w:p w14:paraId="45AC16C9">
            <w:pPr>
              <w:pStyle w:val="342"/>
              <w:overflowPunct w:val="0"/>
              <w:snapToGrid w:val="0"/>
              <w:spacing w:line="300" w:lineRule="exact"/>
              <w:rPr>
                <w:rFonts w:hint="eastAsia" w:hAnsi="宋体"/>
                <w:sz w:val="21"/>
                <w:szCs w:val="21"/>
              </w:rPr>
            </w:pPr>
            <w:r>
              <w:rPr>
                <w:rFonts w:hint="eastAsia" w:hAnsi="宋体"/>
                <w:sz w:val="21"/>
                <w:szCs w:val="21"/>
              </w:rPr>
              <w:t>吉木萨尔凹陷二叠系芦草沟组北、西、南三个方向均被逆断裂切割控制，向东地层抬升剥蚀尖灭，总体上是一个东高西低、东陡西缓的“箕状凹陷”，芦草沟组埋深1800m～4800m，工区范围内埋深2800m～4200m，地层倾角主体3～5°，凹陷内部断裂不发育，东南部、中部区域发育部分走滑性质的小断层，断距一般小于5m，地震上难以识别，但对钻井和压裂存在一定的影响，目前实施过程中，结合随钻电测判断调整。</w:t>
            </w:r>
          </w:p>
        </w:tc>
      </w:tr>
      <w:tr w14:paraId="3720C6C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3AAAA0C7">
            <w:pPr>
              <w:pStyle w:val="342"/>
              <w:overflowPunct w:val="0"/>
              <w:snapToGrid w:val="0"/>
              <w:spacing w:line="300" w:lineRule="exact"/>
              <w:rPr>
                <w:rFonts w:hint="eastAsia" w:hAnsi="宋体"/>
                <w:sz w:val="21"/>
                <w:szCs w:val="21"/>
              </w:rPr>
            </w:pPr>
            <w:r>
              <w:rPr>
                <w:rFonts w:hint="eastAsia"/>
                <w:sz w:val="21"/>
                <w:szCs w:val="21"/>
              </w:rPr>
              <w:t>层系</w:t>
            </w:r>
          </w:p>
        </w:tc>
        <w:tc>
          <w:tcPr>
            <w:tcW w:w="4594" w:type="pct"/>
            <w:vAlign w:val="center"/>
          </w:tcPr>
          <w:p w14:paraId="3EE6CBAF">
            <w:pPr>
              <w:pStyle w:val="342"/>
              <w:overflowPunct w:val="0"/>
              <w:snapToGrid w:val="0"/>
              <w:spacing w:line="300" w:lineRule="exact"/>
              <w:rPr>
                <w:rFonts w:hint="eastAsia" w:hAnsi="宋体"/>
                <w:sz w:val="21"/>
                <w:szCs w:val="21"/>
              </w:rPr>
            </w:pPr>
            <w:r>
              <w:rPr>
                <w:rFonts w:hint="eastAsia" w:hAnsi="宋体"/>
                <w:sz w:val="21"/>
                <w:szCs w:val="21"/>
              </w:rPr>
              <w:t>P</w:t>
            </w:r>
            <w:r>
              <w:rPr>
                <w:rFonts w:hint="eastAsia" w:hAnsi="宋体"/>
                <w:sz w:val="21"/>
                <w:szCs w:val="21"/>
                <w:vertAlign w:val="subscript"/>
              </w:rPr>
              <w:t>2</w:t>
            </w:r>
            <w:r>
              <w:rPr>
                <w:rFonts w:hint="eastAsia" w:hAnsi="宋体"/>
                <w:sz w:val="21"/>
                <w:szCs w:val="21"/>
              </w:rPr>
              <w:t>l</w:t>
            </w:r>
          </w:p>
        </w:tc>
      </w:tr>
      <w:tr w14:paraId="5D98D9F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62250DF1">
            <w:pPr>
              <w:pStyle w:val="342"/>
              <w:overflowPunct w:val="0"/>
              <w:snapToGrid w:val="0"/>
              <w:spacing w:line="300" w:lineRule="exact"/>
              <w:rPr>
                <w:rFonts w:hint="eastAsia" w:hAnsi="宋体"/>
                <w:sz w:val="21"/>
                <w:szCs w:val="21"/>
              </w:rPr>
            </w:pPr>
            <w:r>
              <w:rPr>
                <w:rFonts w:hint="eastAsia"/>
                <w:sz w:val="21"/>
                <w:szCs w:val="21"/>
              </w:rPr>
              <w:t>储层特征</w:t>
            </w:r>
          </w:p>
        </w:tc>
        <w:tc>
          <w:tcPr>
            <w:tcW w:w="4594" w:type="pct"/>
            <w:vAlign w:val="center"/>
          </w:tcPr>
          <w:p w14:paraId="00F7C412">
            <w:pPr>
              <w:pStyle w:val="342"/>
              <w:overflowPunct w:val="0"/>
              <w:snapToGrid w:val="0"/>
              <w:spacing w:line="300" w:lineRule="exact"/>
              <w:jc w:val="left"/>
              <w:rPr>
                <w:rFonts w:hint="eastAsia" w:hAnsi="宋体"/>
                <w:sz w:val="21"/>
                <w:szCs w:val="21"/>
              </w:rPr>
            </w:pPr>
            <w:r>
              <w:rPr>
                <w:rFonts w:hint="eastAsia" w:hAnsi="宋体"/>
                <w:sz w:val="21"/>
                <w:szCs w:val="21"/>
              </w:rPr>
              <w:t>（1）岩性特征</w:t>
            </w:r>
          </w:p>
          <w:p w14:paraId="3C299D16">
            <w:pPr>
              <w:pStyle w:val="342"/>
              <w:overflowPunct w:val="0"/>
              <w:snapToGrid w:val="0"/>
              <w:spacing w:line="300" w:lineRule="exact"/>
              <w:jc w:val="left"/>
              <w:rPr>
                <w:rFonts w:hint="eastAsia" w:hAnsi="宋体"/>
                <w:sz w:val="21"/>
                <w:szCs w:val="21"/>
              </w:rPr>
            </w:pPr>
            <w:r>
              <w:rPr>
                <w:rFonts w:hint="eastAsia" w:hAnsi="宋体"/>
                <w:sz w:val="21"/>
                <w:szCs w:val="21"/>
              </w:rPr>
              <w:t>吉木萨尔凹陷为咸化湖相混积沉积，受机械沉积、化学沉积及生物沉积作用而形成的粉细砂、泥及碳酸盐混积岩。总体上可以归结为碎屑岩和碳酸盐两大类，储层岩性主要为粉细砂岩、云质粉砂岩、粉砂质云岩、泥晶云岩，隔夹层岩性主要为云质泥岩和粉砂质泥岩、含少量碳质泥岩。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2</w:t>
            </w:r>
            <w:r>
              <w:rPr>
                <w:rFonts w:hint="eastAsia" w:hAnsi="宋体"/>
                <w:sz w:val="21"/>
                <w:szCs w:val="21"/>
                <w:vertAlign w:val="superscript"/>
              </w:rPr>
              <w:t>2-1</w:t>
            </w:r>
            <w:r>
              <w:rPr>
                <w:rFonts w:hint="eastAsia" w:hAnsi="宋体"/>
                <w:sz w:val="21"/>
                <w:szCs w:val="21"/>
              </w:rPr>
              <w:t>储层主要发育粉砂质云岩，P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2</w:t>
            </w:r>
            <w:r>
              <w:rPr>
                <w:rFonts w:hint="eastAsia" w:hAnsi="宋体"/>
                <w:sz w:val="21"/>
                <w:szCs w:val="21"/>
                <w:vertAlign w:val="superscript"/>
              </w:rPr>
              <w:t>2-2</w:t>
            </w:r>
            <w:r>
              <w:rPr>
                <w:rFonts w:hint="eastAsia" w:hAnsi="宋体"/>
                <w:sz w:val="21"/>
                <w:szCs w:val="21"/>
              </w:rPr>
              <w:t>储层主要发育粉细砂岩和泥质粉砂岩、P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2</w:t>
            </w:r>
            <w:r>
              <w:rPr>
                <w:rFonts w:hint="eastAsia" w:hAnsi="宋体"/>
                <w:sz w:val="21"/>
                <w:szCs w:val="21"/>
                <w:vertAlign w:val="superscript"/>
              </w:rPr>
              <w:t>2-3</w:t>
            </w:r>
            <w:r>
              <w:rPr>
                <w:rFonts w:hint="eastAsia" w:hAnsi="宋体"/>
                <w:sz w:val="21"/>
                <w:szCs w:val="21"/>
              </w:rPr>
              <w:t>储层主要发育云质粉砂岩，P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1</w:t>
            </w:r>
            <w:r>
              <w:rPr>
                <w:rFonts w:hint="eastAsia" w:hAnsi="宋体"/>
                <w:sz w:val="21"/>
                <w:szCs w:val="21"/>
                <w:vertAlign w:val="superscript"/>
              </w:rPr>
              <w:t>1</w:t>
            </w:r>
            <w:r>
              <w:rPr>
                <w:rFonts w:hint="eastAsia" w:hAnsi="宋体"/>
                <w:sz w:val="21"/>
                <w:szCs w:val="21"/>
              </w:rPr>
              <w:t>主要为云质粉砂质、云质页岩，P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1</w:t>
            </w:r>
            <w:r>
              <w:rPr>
                <w:rFonts w:hint="eastAsia" w:hAnsi="宋体"/>
                <w:sz w:val="21"/>
                <w:szCs w:val="21"/>
                <w:vertAlign w:val="superscript"/>
              </w:rPr>
              <w:t>2</w:t>
            </w:r>
            <w:r>
              <w:rPr>
                <w:rFonts w:hint="eastAsia" w:hAnsi="宋体"/>
                <w:sz w:val="21"/>
                <w:szCs w:val="21"/>
              </w:rPr>
              <w:t>整体以云质粉砂岩为主。</w:t>
            </w:r>
          </w:p>
          <w:p w14:paraId="237C37D3">
            <w:pPr>
              <w:pStyle w:val="342"/>
              <w:overflowPunct w:val="0"/>
              <w:snapToGrid w:val="0"/>
              <w:spacing w:line="300" w:lineRule="exact"/>
              <w:jc w:val="left"/>
              <w:rPr>
                <w:rFonts w:hint="eastAsia" w:hAnsi="宋体"/>
                <w:sz w:val="21"/>
                <w:szCs w:val="21"/>
              </w:rPr>
            </w:pPr>
            <w:r>
              <w:rPr>
                <w:rFonts w:hint="eastAsia" w:hAnsi="宋体"/>
                <w:sz w:val="21"/>
                <w:szCs w:val="21"/>
              </w:rPr>
              <w:t>（2）物性特征</w:t>
            </w:r>
          </w:p>
          <w:p w14:paraId="7BA905C0">
            <w:pPr>
              <w:pStyle w:val="342"/>
              <w:overflowPunct w:val="0"/>
              <w:snapToGrid w:val="0"/>
              <w:spacing w:line="300" w:lineRule="exact"/>
              <w:jc w:val="left"/>
              <w:rPr>
                <w:rFonts w:hint="eastAsia" w:hAnsi="宋体"/>
                <w:sz w:val="21"/>
                <w:szCs w:val="21"/>
              </w:rPr>
            </w:pPr>
            <w:r>
              <w:rPr>
                <w:rFonts w:hint="eastAsia" w:hAnsi="宋体"/>
                <w:sz w:val="21"/>
                <w:szCs w:val="21"/>
              </w:rPr>
              <w:t>储集空间类型：芦草沟组页岩油储层储集空间以粒间溶孔为主，其次为剩余粒间孔、粒内溶孔，晶间孔、微裂缝等含量低。</w:t>
            </w:r>
          </w:p>
          <w:p w14:paraId="161AA436">
            <w:pPr>
              <w:pStyle w:val="342"/>
              <w:overflowPunct w:val="0"/>
              <w:snapToGrid w:val="0"/>
              <w:spacing w:line="300" w:lineRule="exact"/>
              <w:jc w:val="left"/>
              <w:rPr>
                <w:rFonts w:hint="eastAsia" w:hAnsi="宋体"/>
                <w:sz w:val="21"/>
                <w:szCs w:val="21"/>
              </w:rPr>
            </w:pPr>
            <w:r>
              <w:rPr>
                <w:rFonts w:hint="eastAsia" w:hAnsi="宋体"/>
                <w:sz w:val="21"/>
                <w:szCs w:val="21"/>
              </w:rPr>
              <w:t>孔喉结构特征：据压汞实验结果，吉木萨尔页岩油孔喉结构与岩性密切相关，自粉细砂岩、云质粉砂岩、砂屑云岩、泥晶云岩，最大孔喉半径、平均毛管半径、最大进汞饱和度逐渐减小，平均毛管半径分别为0.36um、0.18um、0.16um、0.09um。</w:t>
            </w:r>
          </w:p>
          <w:p w14:paraId="171A5AAD">
            <w:pPr>
              <w:pStyle w:val="342"/>
              <w:overflowPunct w:val="0"/>
              <w:snapToGrid w:val="0"/>
              <w:spacing w:line="300" w:lineRule="exact"/>
              <w:jc w:val="left"/>
              <w:rPr>
                <w:rFonts w:hint="eastAsia" w:hAnsi="宋体"/>
                <w:sz w:val="21"/>
                <w:szCs w:val="21"/>
              </w:rPr>
            </w:pPr>
            <w:r>
              <w:rPr>
                <w:rFonts w:hint="eastAsia" w:hAnsi="宋体"/>
                <w:sz w:val="21"/>
                <w:szCs w:val="21"/>
              </w:rPr>
              <w:t>（3）物性特征</w:t>
            </w:r>
          </w:p>
          <w:p w14:paraId="69155505">
            <w:pPr>
              <w:pStyle w:val="342"/>
              <w:overflowPunct w:val="0"/>
              <w:snapToGrid w:val="0"/>
              <w:spacing w:line="300" w:lineRule="exact"/>
              <w:jc w:val="left"/>
              <w:rPr>
                <w:rFonts w:hint="eastAsia" w:hAnsi="宋体"/>
                <w:sz w:val="21"/>
                <w:szCs w:val="21"/>
              </w:rPr>
            </w:pPr>
            <w:r>
              <w:rPr>
                <w:rFonts w:hint="eastAsia" w:hAnsi="宋体"/>
                <w:sz w:val="21"/>
                <w:szCs w:val="21"/>
              </w:rPr>
              <w:t>芦草沟组属于低孔超低渗的页岩储集层。粉细砂岩孔隙度最高，云质含量增加后孔隙度降低，孔隙结构与云质含量相关，相同渗透率条件下，云质含量高可动孔多。</w:t>
            </w:r>
          </w:p>
          <w:p w14:paraId="295D129E">
            <w:pPr>
              <w:pStyle w:val="342"/>
              <w:overflowPunct w:val="0"/>
              <w:snapToGrid w:val="0"/>
              <w:spacing w:line="300" w:lineRule="exact"/>
              <w:jc w:val="left"/>
              <w:rPr>
                <w:rFonts w:hint="eastAsia" w:hAnsi="宋体"/>
                <w:sz w:val="21"/>
                <w:szCs w:val="21"/>
              </w:rPr>
            </w:pPr>
            <w:r>
              <w:rPr>
                <w:rFonts w:hint="eastAsia" w:hAnsi="宋体"/>
                <w:sz w:val="21"/>
                <w:szCs w:val="21"/>
              </w:rPr>
              <w:t>（4）含油性特征</w:t>
            </w:r>
          </w:p>
          <w:p w14:paraId="4294B2B6">
            <w:pPr>
              <w:pStyle w:val="342"/>
              <w:overflowPunct w:val="0"/>
              <w:snapToGrid w:val="0"/>
              <w:spacing w:line="300" w:lineRule="exact"/>
              <w:jc w:val="left"/>
              <w:rPr>
                <w:rFonts w:hint="eastAsia" w:hAnsi="宋体"/>
                <w:sz w:val="21"/>
                <w:szCs w:val="21"/>
              </w:rPr>
            </w:pPr>
            <w:r>
              <w:rPr>
                <w:rFonts w:hint="eastAsia" w:hAnsi="宋体"/>
                <w:sz w:val="21"/>
                <w:szCs w:val="21"/>
              </w:rPr>
              <w:t>芦草沟组发育源内聚集、源储共生的页岩油，储层润湿性中性-强亲油，粉砂岩润湿性偏中性，云岩偏亲油。密闭取心分析芦草沟组储层含油饱和度中值高达73.4%，属于高饱和度油藏。但页岩油含油性表现为较强的非均质性特征，含油性主要受储层的粘土矿物含量、源储组合类型、与储层紧邻烃源岩生烃能力等因素影响。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2</w:t>
            </w:r>
            <w:r>
              <w:rPr>
                <w:rFonts w:hint="eastAsia" w:hAnsi="宋体"/>
                <w:sz w:val="21"/>
                <w:szCs w:val="21"/>
                <w:vertAlign w:val="superscript"/>
              </w:rPr>
              <w:t>2-2</w:t>
            </w:r>
            <w:r>
              <w:rPr>
                <w:rFonts w:hint="eastAsia" w:hAnsi="宋体"/>
                <w:sz w:val="21"/>
                <w:szCs w:val="21"/>
              </w:rPr>
              <w:t>为粉砂岩和泥质粉砂岩储层，没有生油能力，该层粘土矿物含量和储层物性平面变化快，层厚4m左右，源岩供烃，储层含油性受烃源岩排烃量及储层物性共同影响，因此其含油性变化较快。P</w:t>
            </w:r>
            <w:r>
              <w:rPr>
                <w:rFonts w:hint="eastAsia" w:hAnsi="宋体"/>
                <w:sz w:val="21"/>
                <w:szCs w:val="21"/>
                <w:vertAlign w:val="subscript"/>
              </w:rPr>
              <w:t>2</w:t>
            </w:r>
            <w:r>
              <w:rPr>
                <w:rFonts w:hint="eastAsia" w:hAnsi="宋体"/>
                <w:sz w:val="21"/>
                <w:szCs w:val="21"/>
              </w:rPr>
              <w:t>l</w:t>
            </w:r>
            <w:r>
              <w:rPr>
                <w:rFonts w:hint="eastAsia" w:hAnsi="宋体"/>
                <w:sz w:val="21"/>
                <w:szCs w:val="21"/>
                <w:vertAlign w:val="subscript"/>
              </w:rPr>
              <w:t>1</w:t>
            </w:r>
            <w:r>
              <w:rPr>
                <w:rFonts w:hint="eastAsia" w:hAnsi="宋体"/>
                <w:sz w:val="21"/>
                <w:szCs w:val="21"/>
                <w:vertAlign w:val="superscript"/>
              </w:rPr>
              <w:t>2-2</w:t>
            </w:r>
            <w:r>
              <w:rPr>
                <w:rFonts w:hint="eastAsia" w:hAnsi="宋体"/>
                <w:sz w:val="21"/>
                <w:szCs w:val="21"/>
              </w:rPr>
              <w:t>为云质粉砂岩储层，具有生油能力，该层低粘土含量储层平面分布范围广，层厚1-3m左右，源储共同供烃，含油性分布稳定。</w:t>
            </w:r>
          </w:p>
        </w:tc>
      </w:tr>
      <w:tr w14:paraId="499DB4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467C46B7">
            <w:pPr>
              <w:pStyle w:val="342"/>
              <w:overflowPunct w:val="0"/>
              <w:snapToGrid w:val="0"/>
              <w:spacing w:line="300" w:lineRule="exact"/>
              <w:rPr>
                <w:sz w:val="21"/>
                <w:szCs w:val="21"/>
              </w:rPr>
            </w:pPr>
            <w:r>
              <w:rPr>
                <w:rFonts w:hint="eastAsia"/>
                <w:sz w:val="21"/>
                <w:szCs w:val="21"/>
              </w:rPr>
              <w:t>油藏</w:t>
            </w:r>
          </w:p>
          <w:p w14:paraId="25B673C2">
            <w:pPr>
              <w:pStyle w:val="342"/>
              <w:overflowPunct w:val="0"/>
              <w:snapToGrid w:val="0"/>
              <w:spacing w:line="300" w:lineRule="exact"/>
              <w:rPr>
                <w:sz w:val="21"/>
                <w:szCs w:val="21"/>
              </w:rPr>
            </w:pPr>
            <w:r>
              <w:rPr>
                <w:rFonts w:hint="eastAsia"/>
                <w:sz w:val="21"/>
                <w:szCs w:val="21"/>
              </w:rPr>
              <w:t>类型</w:t>
            </w:r>
          </w:p>
        </w:tc>
        <w:tc>
          <w:tcPr>
            <w:tcW w:w="4594" w:type="pct"/>
            <w:vAlign w:val="center"/>
          </w:tcPr>
          <w:p w14:paraId="638392A5">
            <w:pPr>
              <w:pStyle w:val="342"/>
              <w:overflowPunct w:val="0"/>
              <w:snapToGrid w:val="0"/>
              <w:spacing w:line="300" w:lineRule="exact"/>
              <w:rPr>
                <w:rFonts w:hint="eastAsia" w:hAnsi="宋体"/>
                <w:sz w:val="21"/>
                <w:szCs w:val="21"/>
              </w:rPr>
            </w:pPr>
            <w:r>
              <w:rPr>
                <w:rFonts w:hint="eastAsia" w:hAnsi="宋体"/>
                <w:sz w:val="21"/>
                <w:szCs w:val="21"/>
              </w:rPr>
              <w:t>中深层常温高压常规稀油源内页岩油藏</w:t>
            </w:r>
          </w:p>
        </w:tc>
      </w:tr>
    </w:tbl>
    <w:p w14:paraId="349D0406">
      <w:pPr>
        <w:pStyle w:val="117"/>
        <w:ind w:firstLine="480"/>
        <w:rPr>
          <w:rFonts w:hint="eastAsia"/>
        </w:rPr>
      </w:pPr>
      <w:r>
        <w:rPr>
          <w:rFonts w:hint="eastAsia"/>
        </w:rPr>
        <w:t>（3）流体性质</w:t>
      </w:r>
    </w:p>
    <w:p w14:paraId="51D783B2">
      <w:pPr>
        <w:pStyle w:val="117"/>
        <w:ind w:firstLine="480"/>
        <w:rPr>
          <w:rFonts w:hint="eastAsia"/>
        </w:rPr>
      </w:pPr>
      <w:r>
        <w:rPr>
          <w:rFonts w:hint="eastAsia"/>
        </w:rPr>
        <w:t>原油性质见表3.2-3，伴生气性质见表3.2-4，伴生气硫化氢的浓度在0～254ppm；采出水性质见表3.2-5。</w:t>
      </w:r>
    </w:p>
    <w:p w14:paraId="30EC755B">
      <w:pPr>
        <w:widowControl/>
        <w:adjustRightInd w:val="0"/>
        <w:snapToGrid w:val="0"/>
        <w:spacing w:line="500" w:lineRule="exact"/>
        <w:jc w:val="center"/>
        <w:rPr>
          <w:rFonts w:hint="eastAsia" w:ascii="黑体" w:hAnsi="黑体" w:eastAsia="黑体"/>
        </w:rPr>
      </w:pPr>
      <w:r>
        <w:rPr>
          <w:rFonts w:hint="eastAsia" w:ascii="黑体" w:hAnsi="黑体" w:eastAsia="黑体"/>
        </w:rPr>
        <w:t>3.2-3  原油性质一览表</w:t>
      </w:r>
    </w:p>
    <w:bookmarkEnd w:id="195"/>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31"/>
        <w:gridCol w:w="871"/>
        <w:gridCol w:w="1307"/>
        <w:gridCol w:w="1596"/>
        <w:gridCol w:w="1020"/>
        <w:gridCol w:w="1018"/>
        <w:gridCol w:w="878"/>
        <w:gridCol w:w="714"/>
        <w:gridCol w:w="813"/>
      </w:tblGrid>
      <w:tr w14:paraId="3419406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8" w:type="pct"/>
            <w:vAlign w:val="center"/>
          </w:tcPr>
          <w:p w14:paraId="5F265537">
            <w:pPr>
              <w:pStyle w:val="342"/>
              <w:kinsoku w:val="0"/>
              <w:overflowPunct w:val="0"/>
              <w:snapToGrid w:val="0"/>
              <w:spacing w:line="300" w:lineRule="exact"/>
              <w:rPr>
                <w:rFonts w:hint="eastAsia" w:hAnsi="宋体"/>
                <w:sz w:val="21"/>
                <w:szCs w:val="21"/>
              </w:rPr>
            </w:pPr>
            <w:r>
              <w:rPr>
                <w:rFonts w:hint="eastAsia" w:hAnsi="宋体"/>
                <w:sz w:val="21"/>
                <w:szCs w:val="21"/>
              </w:rPr>
              <w:t>层位</w:t>
            </w:r>
          </w:p>
        </w:tc>
        <w:tc>
          <w:tcPr>
            <w:tcW w:w="487" w:type="pct"/>
            <w:vAlign w:val="center"/>
          </w:tcPr>
          <w:p w14:paraId="6FEF0F95">
            <w:pPr>
              <w:pStyle w:val="342"/>
              <w:kinsoku w:val="0"/>
              <w:overflowPunct w:val="0"/>
              <w:snapToGrid w:val="0"/>
              <w:spacing w:line="300" w:lineRule="exact"/>
              <w:rPr>
                <w:rFonts w:hint="eastAsia" w:hAnsi="宋体"/>
                <w:sz w:val="21"/>
                <w:szCs w:val="21"/>
              </w:rPr>
            </w:pPr>
            <w:r>
              <w:rPr>
                <w:rFonts w:hint="eastAsia" w:hAnsi="宋体"/>
                <w:sz w:val="21"/>
                <w:szCs w:val="21"/>
              </w:rPr>
              <w:t>密度</w:t>
            </w:r>
            <w:r>
              <w:rPr>
                <w:rFonts w:hAnsi="宋体"/>
                <w:sz w:val="21"/>
                <w:szCs w:val="21"/>
              </w:rPr>
              <w:t>t/m</w:t>
            </w:r>
            <w:r>
              <w:rPr>
                <w:rFonts w:hAnsi="宋体"/>
                <w:sz w:val="21"/>
                <w:szCs w:val="21"/>
                <w:vertAlign w:val="superscript"/>
              </w:rPr>
              <w:t>3</w:t>
            </w:r>
          </w:p>
        </w:tc>
        <w:tc>
          <w:tcPr>
            <w:tcW w:w="730" w:type="pct"/>
            <w:vAlign w:val="center"/>
          </w:tcPr>
          <w:p w14:paraId="451ED138">
            <w:pPr>
              <w:pStyle w:val="342"/>
              <w:kinsoku w:val="0"/>
              <w:overflowPunct w:val="0"/>
              <w:snapToGrid w:val="0"/>
              <w:spacing w:line="300" w:lineRule="exact"/>
              <w:rPr>
                <w:rFonts w:hint="eastAsia" w:hAnsi="宋体"/>
                <w:sz w:val="21"/>
                <w:szCs w:val="21"/>
              </w:rPr>
            </w:pPr>
            <w:r>
              <w:rPr>
                <w:rFonts w:hAnsi="宋体"/>
                <w:sz w:val="21"/>
                <w:szCs w:val="21"/>
              </w:rPr>
              <w:t>40℃</w:t>
            </w:r>
            <w:r>
              <w:rPr>
                <w:rFonts w:hint="eastAsia" w:hAnsi="宋体"/>
                <w:sz w:val="21"/>
                <w:szCs w:val="21"/>
              </w:rPr>
              <w:t>粘度/</w:t>
            </w:r>
            <w:r>
              <w:rPr>
                <w:rFonts w:hAnsi="宋体"/>
                <w:sz w:val="21"/>
                <w:szCs w:val="21"/>
              </w:rPr>
              <w:t>mPa•s</w:t>
            </w:r>
          </w:p>
        </w:tc>
        <w:tc>
          <w:tcPr>
            <w:tcW w:w="892" w:type="pct"/>
            <w:vAlign w:val="center"/>
          </w:tcPr>
          <w:p w14:paraId="0B763328">
            <w:pPr>
              <w:pStyle w:val="342"/>
              <w:kinsoku w:val="0"/>
              <w:overflowPunct w:val="0"/>
              <w:snapToGrid w:val="0"/>
              <w:spacing w:line="300" w:lineRule="exact"/>
              <w:rPr>
                <w:rFonts w:hint="eastAsia" w:hAnsi="宋体"/>
                <w:sz w:val="21"/>
                <w:szCs w:val="21"/>
              </w:rPr>
            </w:pPr>
            <w:r>
              <w:rPr>
                <w:rFonts w:hAnsi="宋体"/>
                <w:sz w:val="21"/>
                <w:szCs w:val="21"/>
              </w:rPr>
              <w:t>50℃</w:t>
            </w:r>
            <w:r>
              <w:rPr>
                <w:rFonts w:hint="eastAsia" w:hAnsi="宋体"/>
                <w:sz w:val="21"/>
                <w:szCs w:val="21"/>
              </w:rPr>
              <w:t>粘度/</w:t>
            </w:r>
            <w:r>
              <w:rPr>
                <w:rFonts w:hAnsi="宋体"/>
                <w:sz w:val="21"/>
                <w:szCs w:val="21"/>
              </w:rPr>
              <w:t>mPa•s</w:t>
            </w:r>
          </w:p>
        </w:tc>
        <w:tc>
          <w:tcPr>
            <w:tcW w:w="570" w:type="pct"/>
            <w:vAlign w:val="center"/>
          </w:tcPr>
          <w:p w14:paraId="0A3416D2">
            <w:pPr>
              <w:pStyle w:val="342"/>
              <w:kinsoku w:val="0"/>
              <w:overflowPunct w:val="0"/>
              <w:snapToGrid w:val="0"/>
              <w:spacing w:line="300" w:lineRule="exact"/>
              <w:rPr>
                <w:rFonts w:hint="eastAsia" w:hAnsi="宋体"/>
                <w:sz w:val="21"/>
                <w:szCs w:val="21"/>
              </w:rPr>
            </w:pPr>
            <w:r>
              <w:rPr>
                <w:rFonts w:hint="eastAsia" w:hAnsi="宋体"/>
                <w:sz w:val="21"/>
                <w:szCs w:val="21"/>
              </w:rPr>
              <w:t>含蜡量/</w:t>
            </w:r>
            <w:r>
              <w:rPr>
                <w:rFonts w:hAnsi="宋体"/>
                <w:sz w:val="21"/>
                <w:szCs w:val="21"/>
              </w:rPr>
              <w:t>%</w:t>
            </w:r>
          </w:p>
        </w:tc>
        <w:tc>
          <w:tcPr>
            <w:tcW w:w="569" w:type="pct"/>
            <w:vAlign w:val="center"/>
          </w:tcPr>
          <w:p w14:paraId="0B5C3349">
            <w:pPr>
              <w:pStyle w:val="342"/>
              <w:kinsoku w:val="0"/>
              <w:overflowPunct w:val="0"/>
              <w:snapToGrid w:val="0"/>
              <w:spacing w:line="300" w:lineRule="exact"/>
              <w:rPr>
                <w:rFonts w:hint="eastAsia" w:hAnsi="宋体"/>
                <w:sz w:val="21"/>
                <w:szCs w:val="21"/>
              </w:rPr>
            </w:pPr>
            <w:r>
              <w:rPr>
                <w:rFonts w:hint="eastAsia" w:hAnsi="宋体"/>
                <w:sz w:val="21"/>
                <w:szCs w:val="21"/>
              </w:rPr>
              <w:t>凝固点</w:t>
            </w:r>
          </w:p>
          <w:p w14:paraId="6B282573">
            <w:pPr>
              <w:pStyle w:val="342"/>
              <w:kinsoku w:val="0"/>
              <w:overflowPunct w:val="0"/>
              <w:snapToGrid w:val="0"/>
              <w:spacing w:line="300" w:lineRule="exact"/>
              <w:rPr>
                <w:rFonts w:hint="eastAsia" w:hAnsi="宋体"/>
                <w:sz w:val="21"/>
                <w:szCs w:val="21"/>
              </w:rPr>
            </w:pPr>
            <w:r>
              <w:rPr>
                <w:rFonts w:hint="eastAsia" w:hAnsi="宋体"/>
                <w:sz w:val="21"/>
                <w:szCs w:val="21"/>
              </w:rPr>
              <w:t>（℃）</w:t>
            </w:r>
          </w:p>
        </w:tc>
        <w:tc>
          <w:tcPr>
            <w:tcW w:w="491" w:type="pct"/>
            <w:vAlign w:val="center"/>
          </w:tcPr>
          <w:p w14:paraId="7E3193E0">
            <w:pPr>
              <w:pStyle w:val="342"/>
              <w:kinsoku w:val="0"/>
              <w:overflowPunct w:val="0"/>
              <w:snapToGrid w:val="0"/>
              <w:spacing w:line="300" w:lineRule="exact"/>
              <w:rPr>
                <w:rFonts w:hint="eastAsia" w:hAnsi="宋体"/>
                <w:sz w:val="21"/>
                <w:szCs w:val="21"/>
              </w:rPr>
            </w:pPr>
            <w:r>
              <w:rPr>
                <w:rFonts w:hint="eastAsia" w:hAnsi="宋体"/>
                <w:sz w:val="21"/>
                <w:szCs w:val="21"/>
              </w:rPr>
              <w:t>初馏点</w:t>
            </w:r>
          </w:p>
          <w:p w14:paraId="4F02F62E">
            <w:pPr>
              <w:pStyle w:val="342"/>
              <w:kinsoku w:val="0"/>
              <w:overflowPunct w:val="0"/>
              <w:snapToGrid w:val="0"/>
              <w:spacing w:line="300" w:lineRule="exact"/>
              <w:rPr>
                <w:rFonts w:hint="eastAsia" w:hAnsi="宋体"/>
                <w:sz w:val="21"/>
                <w:szCs w:val="21"/>
              </w:rPr>
            </w:pPr>
            <w:r>
              <w:rPr>
                <w:rFonts w:hint="eastAsia" w:hAnsi="宋体"/>
                <w:sz w:val="21"/>
                <w:szCs w:val="21"/>
              </w:rPr>
              <w:t>/℃</w:t>
            </w:r>
          </w:p>
        </w:tc>
        <w:tc>
          <w:tcPr>
            <w:tcW w:w="399" w:type="pct"/>
            <w:vAlign w:val="center"/>
          </w:tcPr>
          <w:p w14:paraId="3FAB1BA7">
            <w:pPr>
              <w:pStyle w:val="342"/>
              <w:kinsoku w:val="0"/>
              <w:overflowPunct w:val="0"/>
              <w:snapToGrid w:val="0"/>
              <w:spacing w:line="300" w:lineRule="exact"/>
              <w:rPr>
                <w:rFonts w:hint="eastAsia" w:hAnsi="宋体"/>
                <w:sz w:val="21"/>
                <w:szCs w:val="21"/>
              </w:rPr>
            </w:pPr>
            <w:r>
              <w:rPr>
                <w:rFonts w:hint="eastAsia" w:hAnsi="宋体"/>
                <w:sz w:val="21"/>
                <w:szCs w:val="21"/>
              </w:rPr>
              <w:t>闪点</w:t>
            </w:r>
          </w:p>
          <w:p w14:paraId="2250A073">
            <w:pPr>
              <w:pStyle w:val="342"/>
              <w:kinsoku w:val="0"/>
              <w:overflowPunct w:val="0"/>
              <w:snapToGrid w:val="0"/>
              <w:spacing w:line="300" w:lineRule="exact"/>
              <w:rPr>
                <w:rFonts w:hint="eastAsia" w:hAnsi="宋体"/>
                <w:sz w:val="21"/>
                <w:szCs w:val="21"/>
              </w:rPr>
            </w:pPr>
            <w:r>
              <w:rPr>
                <w:rFonts w:hint="eastAsia" w:hAnsi="宋体"/>
                <w:sz w:val="21"/>
                <w:szCs w:val="21"/>
              </w:rPr>
              <w:t>/℃</w:t>
            </w:r>
          </w:p>
        </w:tc>
        <w:tc>
          <w:tcPr>
            <w:tcW w:w="454" w:type="pct"/>
            <w:vAlign w:val="center"/>
          </w:tcPr>
          <w:p w14:paraId="3F762FEC">
            <w:pPr>
              <w:pStyle w:val="342"/>
              <w:kinsoku w:val="0"/>
              <w:overflowPunct w:val="0"/>
              <w:snapToGrid w:val="0"/>
              <w:spacing w:line="300" w:lineRule="exact"/>
              <w:rPr>
                <w:rFonts w:hint="eastAsia" w:hAnsi="宋体"/>
                <w:sz w:val="21"/>
                <w:szCs w:val="21"/>
              </w:rPr>
            </w:pPr>
            <w:r>
              <w:rPr>
                <w:rFonts w:hint="eastAsia" w:hAnsi="宋体"/>
                <w:sz w:val="21"/>
                <w:szCs w:val="21"/>
              </w:rPr>
              <w:t>析蜡点/℃</w:t>
            </w:r>
          </w:p>
        </w:tc>
      </w:tr>
      <w:tr w14:paraId="40D4780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8" w:type="pct"/>
            <w:vMerge w:val="restart"/>
            <w:vAlign w:val="center"/>
          </w:tcPr>
          <w:p w14:paraId="47C7CCAA">
            <w:pPr>
              <w:pStyle w:val="342"/>
              <w:kinsoku w:val="0"/>
              <w:overflowPunct w:val="0"/>
              <w:snapToGrid w:val="0"/>
              <w:spacing w:line="300" w:lineRule="exact"/>
              <w:rPr>
                <w:rFonts w:hint="eastAsia" w:hAnsi="宋体"/>
                <w:sz w:val="21"/>
                <w:szCs w:val="21"/>
              </w:rPr>
            </w:pPr>
            <w:r>
              <w:rPr>
                <w:rFonts w:hint="eastAsia" w:hAnsi="宋体"/>
                <w:sz w:val="21"/>
                <w:szCs w:val="21"/>
              </w:rPr>
              <w:t>上甜点</w:t>
            </w:r>
          </w:p>
        </w:tc>
        <w:tc>
          <w:tcPr>
            <w:tcW w:w="487" w:type="pct"/>
            <w:vMerge w:val="restart"/>
            <w:vAlign w:val="center"/>
          </w:tcPr>
          <w:p w14:paraId="3468EB87">
            <w:pPr>
              <w:pStyle w:val="342"/>
              <w:kinsoku w:val="0"/>
              <w:overflowPunct w:val="0"/>
              <w:snapToGrid w:val="0"/>
              <w:spacing w:line="300" w:lineRule="exact"/>
              <w:rPr>
                <w:rFonts w:hint="eastAsia" w:hAnsi="宋体"/>
                <w:sz w:val="21"/>
                <w:szCs w:val="21"/>
              </w:rPr>
            </w:pPr>
            <w:r>
              <w:rPr>
                <w:rFonts w:hAnsi="宋体"/>
                <w:sz w:val="21"/>
                <w:szCs w:val="21"/>
              </w:rPr>
              <w:t>0.8854</w:t>
            </w:r>
          </w:p>
        </w:tc>
        <w:tc>
          <w:tcPr>
            <w:tcW w:w="730" w:type="pct"/>
            <w:vAlign w:val="center"/>
          </w:tcPr>
          <w:p w14:paraId="382067D2">
            <w:pPr>
              <w:pStyle w:val="342"/>
              <w:kinsoku w:val="0"/>
              <w:overflowPunct w:val="0"/>
              <w:snapToGrid w:val="0"/>
              <w:spacing w:line="300" w:lineRule="exact"/>
              <w:rPr>
                <w:rFonts w:hint="eastAsia" w:hAnsi="宋体"/>
                <w:sz w:val="21"/>
                <w:szCs w:val="21"/>
              </w:rPr>
            </w:pPr>
            <w:r>
              <w:rPr>
                <w:rFonts w:hAnsi="宋体"/>
                <w:sz w:val="21"/>
                <w:szCs w:val="21"/>
              </w:rPr>
              <w:t>37.5</w:t>
            </w:r>
            <w:r>
              <w:rPr>
                <w:rFonts w:hint="eastAsia" w:hAnsi="宋体"/>
                <w:sz w:val="21"/>
                <w:szCs w:val="21"/>
              </w:rPr>
              <w:t>～</w:t>
            </w:r>
            <w:r>
              <w:rPr>
                <w:rFonts w:hAnsi="宋体"/>
                <w:sz w:val="21"/>
                <w:szCs w:val="21"/>
              </w:rPr>
              <w:t>202.3</w:t>
            </w:r>
          </w:p>
        </w:tc>
        <w:tc>
          <w:tcPr>
            <w:tcW w:w="892" w:type="pct"/>
            <w:vAlign w:val="center"/>
          </w:tcPr>
          <w:p w14:paraId="4E3BAB98">
            <w:pPr>
              <w:pStyle w:val="342"/>
              <w:kinsoku w:val="0"/>
              <w:overflowPunct w:val="0"/>
              <w:snapToGrid w:val="0"/>
              <w:spacing w:line="300" w:lineRule="exact"/>
              <w:rPr>
                <w:rFonts w:hint="eastAsia" w:hAnsi="宋体"/>
                <w:sz w:val="21"/>
                <w:szCs w:val="21"/>
              </w:rPr>
            </w:pPr>
            <w:r>
              <w:rPr>
                <w:rFonts w:hAnsi="宋体"/>
                <w:sz w:val="21"/>
                <w:szCs w:val="21"/>
              </w:rPr>
              <w:t>20.21</w:t>
            </w:r>
            <w:r>
              <w:rPr>
                <w:rFonts w:hint="eastAsia" w:hAnsi="宋体"/>
                <w:sz w:val="21"/>
                <w:szCs w:val="21"/>
              </w:rPr>
              <w:t>～</w:t>
            </w:r>
          </w:p>
          <w:p w14:paraId="6232CAEC">
            <w:pPr>
              <w:pStyle w:val="342"/>
              <w:kinsoku w:val="0"/>
              <w:overflowPunct w:val="0"/>
              <w:snapToGrid w:val="0"/>
              <w:spacing w:line="300" w:lineRule="exact"/>
              <w:rPr>
                <w:rFonts w:hint="eastAsia" w:hAnsi="宋体"/>
                <w:sz w:val="21"/>
                <w:szCs w:val="21"/>
              </w:rPr>
            </w:pPr>
            <w:r>
              <w:rPr>
                <w:rFonts w:hAnsi="宋体"/>
                <w:sz w:val="21"/>
                <w:szCs w:val="21"/>
              </w:rPr>
              <w:t>121.42</w:t>
            </w:r>
          </w:p>
        </w:tc>
        <w:tc>
          <w:tcPr>
            <w:tcW w:w="570" w:type="pct"/>
            <w:vAlign w:val="center"/>
          </w:tcPr>
          <w:p w14:paraId="519F9E5E">
            <w:pPr>
              <w:pStyle w:val="342"/>
              <w:kinsoku w:val="0"/>
              <w:overflowPunct w:val="0"/>
              <w:snapToGrid w:val="0"/>
              <w:spacing w:line="300" w:lineRule="exact"/>
              <w:rPr>
                <w:rFonts w:hint="eastAsia" w:hAnsi="宋体"/>
                <w:sz w:val="21"/>
                <w:szCs w:val="21"/>
              </w:rPr>
            </w:pPr>
            <w:r>
              <w:rPr>
                <w:rFonts w:hAnsi="宋体"/>
                <w:sz w:val="21"/>
                <w:szCs w:val="21"/>
              </w:rPr>
              <w:t>7.4</w:t>
            </w:r>
            <w:r>
              <w:rPr>
                <w:rFonts w:hint="eastAsia" w:hAnsi="宋体"/>
                <w:sz w:val="21"/>
                <w:szCs w:val="21"/>
              </w:rPr>
              <w:t>～</w:t>
            </w:r>
            <w:r>
              <w:rPr>
                <w:rFonts w:hAnsi="宋体"/>
                <w:sz w:val="21"/>
                <w:szCs w:val="21"/>
              </w:rPr>
              <w:t>19</w:t>
            </w:r>
          </w:p>
        </w:tc>
        <w:tc>
          <w:tcPr>
            <w:tcW w:w="569" w:type="pct"/>
            <w:vAlign w:val="center"/>
          </w:tcPr>
          <w:p w14:paraId="738B65CB">
            <w:pPr>
              <w:pStyle w:val="342"/>
              <w:kinsoku w:val="0"/>
              <w:overflowPunct w:val="0"/>
              <w:snapToGrid w:val="0"/>
              <w:spacing w:line="300" w:lineRule="exact"/>
              <w:rPr>
                <w:rFonts w:hint="eastAsia" w:hAnsi="宋体"/>
                <w:sz w:val="21"/>
                <w:szCs w:val="21"/>
              </w:rPr>
            </w:pPr>
            <w:r>
              <w:rPr>
                <w:rFonts w:hAnsi="宋体"/>
                <w:sz w:val="21"/>
                <w:szCs w:val="21"/>
              </w:rPr>
              <w:t>14</w:t>
            </w:r>
            <w:r>
              <w:rPr>
                <w:rFonts w:hint="eastAsia" w:hAnsi="宋体"/>
                <w:sz w:val="21"/>
                <w:szCs w:val="21"/>
              </w:rPr>
              <w:t>～</w:t>
            </w:r>
            <w:r>
              <w:rPr>
                <w:rFonts w:hAnsi="宋体"/>
                <w:sz w:val="21"/>
                <w:szCs w:val="21"/>
              </w:rPr>
              <w:t>26</w:t>
            </w:r>
          </w:p>
        </w:tc>
        <w:tc>
          <w:tcPr>
            <w:tcW w:w="491" w:type="pct"/>
            <w:vMerge w:val="restart"/>
            <w:vAlign w:val="center"/>
          </w:tcPr>
          <w:p w14:paraId="66838C32">
            <w:pPr>
              <w:pStyle w:val="342"/>
              <w:kinsoku w:val="0"/>
              <w:overflowPunct w:val="0"/>
              <w:snapToGrid w:val="0"/>
              <w:spacing w:line="300" w:lineRule="exact"/>
              <w:rPr>
                <w:rFonts w:hint="eastAsia" w:hAnsi="宋体"/>
                <w:sz w:val="21"/>
                <w:szCs w:val="21"/>
              </w:rPr>
            </w:pPr>
            <w:r>
              <w:rPr>
                <w:rFonts w:hAnsi="宋体"/>
                <w:sz w:val="21"/>
                <w:szCs w:val="21"/>
              </w:rPr>
              <w:t>123.30</w:t>
            </w:r>
          </w:p>
        </w:tc>
        <w:tc>
          <w:tcPr>
            <w:tcW w:w="399" w:type="pct"/>
            <w:vMerge w:val="restart"/>
            <w:vAlign w:val="center"/>
          </w:tcPr>
          <w:p w14:paraId="5FA639FF">
            <w:pPr>
              <w:pStyle w:val="342"/>
              <w:kinsoku w:val="0"/>
              <w:overflowPunct w:val="0"/>
              <w:snapToGrid w:val="0"/>
              <w:spacing w:line="300" w:lineRule="exact"/>
              <w:rPr>
                <w:rFonts w:hint="eastAsia" w:hAnsi="宋体"/>
                <w:sz w:val="21"/>
                <w:szCs w:val="21"/>
              </w:rPr>
            </w:pPr>
            <w:r>
              <w:rPr>
                <w:rFonts w:hint="eastAsia" w:hAnsi="宋体"/>
                <w:sz w:val="21"/>
                <w:szCs w:val="21"/>
              </w:rPr>
              <w:t>30</w:t>
            </w:r>
          </w:p>
        </w:tc>
        <w:tc>
          <w:tcPr>
            <w:tcW w:w="454" w:type="pct"/>
            <w:vMerge w:val="restart"/>
            <w:vAlign w:val="center"/>
          </w:tcPr>
          <w:p w14:paraId="7DB917D6">
            <w:pPr>
              <w:pStyle w:val="342"/>
              <w:kinsoku w:val="0"/>
              <w:overflowPunct w:val="0"/>
              <w:snapToGrid w:val="0"/>
              <w:spacing w:line="300" w:lineRule="exact"/>
              <w:rPr>
                <w:rFonts w:hint="eastAsia" w:hAnsi="宋体"/>
                <w:sz w:val="21"/>
                <w:szCs w:val="21"/>
              </w:rPr>
            </w:pPr>
            <w:r>
              <w:rPr>
                <w:rFonts w:hAnsi="宋体"/>
                <w:sz w:val="21"/>
                <w:szCs w:val="21"/>
              </w:rPr>
              <w:t>35.6</w:t>
            </w:r>
          </w:p>
        </w:tc>
      </w:tr>
      <w:tr w14:paraId="00AF5B6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8" w:type="pct"/>
            <w:vMerge w:val="continue"/>
            <w:vAlign w:val="center"/>
          </w:tcPr>
          <w:p w14:paraId="320DBE86">
            <w:pPr>
              <w:pStyle w:val="19"/>
              <w:kinsoku w:val="0"/>
              <w:overflowPunct w:val="0"/>
              <w:adjustRightInd w:val="0"/>
              <w:snapToGrid w:val="0"/>
              <w:spacing w:after="0" w:line="300" w:lineRule="exact"/>
              <w:jc w:val="center"/>
              <w:rPr>
                <w:rFonts w:hint="eastAsia" w:ascii="宋体" w:hAnsi="宋体"/>
                <w:szCs w:val="21"/>
              </w:rPr>
            </w:pPr>
          </w:p>
        </w:tc>
        <w:tc>
          <w:tcPr>
            <w:tcW w:w="487" w:type="pct"/>
            <w:vMerge w:val="continue"/>
            <w:vAlign w:val="center"/>
          </w:tcPr>
          <w:p w14:paraId="5452D892">
            <w:pPr>
              <w:pStyle w:val="19"/>
              <w:kinsoku w:val="0"/>
              <w:overflowPunct w:val="0"/>
              <w:adjustRightInd w:val="0"/>
              <w:snapToGrid w:val="0"/>
              <w:spacing w:after="0" w:line="300" w:lineRule="exact"/>
              <w:jc w:val="center"/>
              <w:rPr>
                <w:rFonts w:hint="eastAsia" w:ascii="宋体" w:hAnsi="宋体"/>
                <w:szCs w:val="21"/>
              </w:rPr>
            </w:pPr>
          </w:p>
        </w:tc>
        <w:tc>
          <w:tcPr>
            <w:tcW w:w="730" w:type="pct"/>
            <w:vAlign w:val="center"/>
          </w:tcPr>
          <w:p w14:paraId="094B343B">
            <w:pPr>
              <w:pStyle w:val="342"/>
              <w:kinsoku w:val="0"/>
              <w:overflowPunct w:val="0"/>
              <w:snapToGrid w:val="0"/>
              <w:spacing w:line="300" w:lineRule="exact"/>
              <w:rPr>
                <w:rFonts w:hint="eastAsia" w:hAnsi="宋体"/>
                <w:sz w:val="21"/>
                <w:szCs w:val="21"/>
              </w:rPr>
            </w:pPr>
            <w:r>
              <w:rPr>
                <w:rFonts w:hint="eastAsia" w:hAnsi="宋体"/>
                <w:sz w:val="21"/>
                <w:szCs w:val="21"/>
              </w:rPr>
              <w:t>平均：</w:t>
            </w:r>
            <w:r>
              <w:rPr>
                <w:rFonts w:hAnsi="宋体"/>
                <w:sz w:val="21"/>
                <w:szCs w:val="21"/>
              </w:rPr>
              <w:t>94.20</w:t>
            </w:r>
          </w:p>
        </w:tc>
        <w:tc>
          <w:tcPr>
            <w:tcW w:w="892" w:type="pct"/>
            <w:vAlign w:val="center"/>
          </w:tcPr>
          <w:p w14:paraId="251F7116">
            <w:pPr>
              <w:pStyle w:val="342"/>
              <w:kinsoku w:val="0"/>
              <w:overflowPunct w:val="0"/>
              <w:snapToGrid w:val="0"/>
              <w:spacing w:line="300" w:lineRule="exact"/>
              <w:rPr>
                <w:rFonts w:hint="eastAsia" w:hAnsi="宋体"/>
                <w:sz w:val="21"/>
                <w:szCs w:val="21"/>
              </w:rPr>
            </w:pPr>
            <w:r>
              <w:rPr>
                <w:rFonts w:hint="eastAsia" w:hAnsi="宋体"/>
                <w:sz w:val="21"/>
                <w:szCs w:val="21"/>
              </w:rPr>
              <w:t>平均：</w:t>
            </w:r>
            <w:r>
              <w:rPr>
                <w:rFonts w:hAnsi="宋体"/>
                <w:sz w:val="21"/>
                <w:szCs w:val="21"/>
              </w:rPr>
              <w:t>48.90</w:t>
            </w:r>
          </w:p>
        </w:tc>
        <w:tc>
          <w:tcPr>
            <w:tcW w:w="570" w:type="pct"/>
            <w:vAlign w:val="center"/>
          </w:tcPr>
          <w:p w14:paraId="42420E91">
            <w:pPr>
              <w:pStyle w:val="342"/>
              <w:kinsoku w:val="0"/>
              <w:overflowPunct w:val="0"/>
              <w:snapToGrid w:val="0"/>
              <w:spacing w:line="300" w:lineRule="exact"/>
              <w:rPr>
                <w:rFonts w:hint="eastAsia" w:hAnsi="宋体"/>
                <w:sz w:val="21"/>
                <w:szCs w:val="21"/>
              </w:rPr>
            </w:pPr>
            <w:r>
              <w:rPr>
                <w:rFonts w:hint="eastAsia" w:hAnsi="宋体"/>
                <w:sz w:val="21"/>
                <w:szCs w:val="21"/>
              </w:rPr>
              <w:t>平均：</w:t>
            </w:r>
            <w:r>
              <w:rPr>
                <w:rFonts w:hAnsi="宋体"/>
                <w:sz w:val="21"/>
                <w:szCs w:val="21"/>
              </w:rPr>
              <w:t>10.8</w:t>
            </w:r>
          </w:p>
        </w:tc>
        <w:tc>
          <w:tcPr>
            <w:tcW w:w="569" w:type="pct"/>
            <w:vAlign w:val="center"/>
          </w:tcPr>
          <w:p w14:paraId="7B35A5A4">
            <w:pPr>
              <w:pStyle w:val="342"/>
              <w:kinsoku w:val="0"/>
              <w:overflowPunct w:val="0"/>
              <w:snapToGrid w:val="0"/>
              <w:spacing w:line="300" w:lineRule="exact"/>
              <w:rPr>
                <w:rFonts w:hint="eastAsia" w:hAnsi="宋体"/>
                <w:sz w:val="21"/>
                <w:szCs w:val="21"/>
              </w:rPr>
            </w:pPr>
            <w:r>
              <w:rPr>
                <w:rFonts w:hint="eastAsia" w:hAnsi="宋体"/>
                <w:sz w:val="21"/>
                <w:szCs w:val="21"/>
              </w:rPr>
              <w:t>平均</w:t>
            </w:r>
            <w:r>
              <w:rPr>
                <w:rFonts w:hAnsi="宋体"/>
                <w:sz w:val="21"/>
                <w:szCs w:val="21"/>
              </w:rPr>
              <w:t>20.03</w:t>
            </w:r>
            <w:r>
              <w:rPr>
                <w:rFonts w:hint="eastAsia" w:hAnsi="宋体"/>
                <w:sz w:val="21"/>
                <w:szCs w:val="21"/>
              </w:rPr>
              <w:t>：</w:t>
            </w:r>
          </w:p>
        </w:tc>
        <w:tc>
          <w:tcPr>
            <w:tcW w:w="491" w:type="pct"/>
            <w:vMerge w:val="continue"/>
            <w:vAlign w:val="center"/>
          </w:tcPr>
          <w:p w14:paraId="54208408">
            <w:pPr>
              <w:pStyle w:val="19"/>
              <w:kinsoku w:val="0"/>
              <w:overflowPunct w:val="0"/>
              <w:adjustRightInd w:val="0"/>
              <w:snapToGrid w:val="0"/>
              <w:spacing w:after="0" w:line="300" w:lineRule="exact"/>
              <w:jc w:val="center"/>
              <w:rPr>
                <w:rFonts w:hint="eastAsia" w:ascii="宋体" w:hAnsi="宋体"/>
                <w:szCs w:val="21"/>
              </w:rPr>
            </w:pPr>
          </w:p>
        </w:tc>
        <w:tc>
          <w:tcPr>
            <w:tcW w:w="399" w:type="pct"/>
            <w:vMerge w:val="continue"/>
            <w:vAlign w:val="center"/>
          </w:tcPr>
          <w:p w14:paraId="7E75FFB1">
            <w:pPr>
              <w:pStyle w:val="19"/>
              <w:kinsoku w:val="0"/>
              <w:overflowPunct w:val="0"/>
              <w:adjustRightInd w:val="0"/>
              <w:snapToGrid w:val="0"/>
              <w:spacing w:after="0" w:line="300" w:lineRule="exact"/>
              <w:jc w:val="center"/>
              <w:rPr>
                <w:rFonts w:hint="eastAsia" w:ascii="宋体" w:hAnsi="宋体"/>
                <w:szCs w:val="21"/>
              </w:rPr>
            </w:pPr>
          </w:p>
        </w:tc>
        <w:tc>
          <w:tcPr>
            <w:tcW w:w="454" w:type="pct"/>
            <w:vMerge w:val="continue"/>
            <w:vAlign w:val="center"/>
          </w:tcPr>
          <w:p w14:paraId="0FDF32DF">
            <w:pPr>
              <w:pStyle w:val="19"/>
              <w:kinsoku w:val="0"/>
              <w:overflowPunct w:val="0"/>
              <w:adjustRightInd w:val="0"/>
              <w:snapToGrid w:val="0"/>
              <w:spacing w:after="0" w:line="300" w:lineRule="exact"/>
              <w:jc w:val="center"/>
              <w:rPr>
                <w:rFonts w:hint="eastAsia" w:ascii="宋体" w:hAnsi="宋体"/>
                <w:szCs w:val="21"/>
              </w:rPr>
            </w:pPr>
          </w:p>
        </w:tc>
      </w:tr>
    </w:tbl>
    <w:p w14:paraId="6B7A41A8">
      <w:pPr>
        <w:widowControl/>
        <w:adjustRightInd w:val="0"/>
        <w:snapToGrid w:val="0"/>
        <w:spacing w:line="500" w:lineRule="exact"/>
        <w:jc w:val="center"/>
      </w:pPr>
      <w:r>
        <w:rPr>
          <w:rFonts w:hint="eastAsia" w:ascii="黑体" w:hAnsi="黑体" w:eastAsia="黑体"/>
        </w:rPr>
        <w:t>表3.2-4  伴生气性质一览表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595"/>
        <w:gridCol w:w="856"/>
        <w:gridCol w:w="664"/>
        <w:gridCol w:w="645"/>
        <w:gridCol w:w="787"/>
        <w:gridCol w:w="652"/>
        <w:gridCol w:w="659"/>
        <w:gridCol w:w="652"/>
        <w:gridCol w:w="652"/>
        <w:gridCol w:w="814"/>
        <w:gridCol w:w="814"/>
        <w:gridCol w:w="492"/>
        <w:gridCol w:w="666"/>
      </w:tblGrid>
      <w:tr w14:paraId="007ECB9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333" w:type="pct"/>
            <w:vMerge w:val="restart"/>
            <w:vAlign w:val="center"/>
          </w:tcPr>
          <w:p w14:paraId="572868C3">
            <w:pPr>
              <w:pStyle w:val="342"/>
              <w:kinsoku w:val="0"/>
              <w:overflowPunct w:val="0"/>
              <w:snapToGrid w:val="0"/>
              <w:spacing w:line="300" w:lineRule="exact"/>
              <w:jc w:val="left"/>
              <w:rPr>
                <w:sz w:val="21"/>
                <w:szCs w:val="21"/>
              </w:rPr>
            </w:pPr>
            <w:bookmarkStart w:id="197" w:name="OLE_LINK323"/>
            <w:r>
              <w:rPr>
                <w:rFonts w:hint="eastAsia"/>
                <w:sz w:val="21"/>
                <w:szCs w:val="21"/>
              </w:rPr>
              <w:t>层位</w:t>
            </w:r>
          </w:p>
        </w:tc>
        <w:tc>
          <w:tcPr>
            <w:tcW w:w="478" w:type="pct"/>
            <w:vMerge w:val="restart"/>
            <w:vAlign w:val="center"/>
          </w:tcPr>
          <w:p w14:paraId="4447E2D9">
            <w:pPr>
              <w:pStyle w:val="342"/>
              <w:kinsoku w:val="0"/>
              <w:overflowPunct w:val="0"/>
              <w:snapToGrid w:val="0"/>
              <w:spacing w:line="300" w:lineRule="exact"/>
              <w:jc w:val="left"/>
              <w:rPr>
                <w:sz w:val="21"/>
                <w:szCs w:val="21"/>
              </w:rPr>
            </w:pPr>
            <w:r>
              <w:rPr>
                <w:rFonts w:hint="eastAsia"/>
                <w:sz w:val="21"/>
                <w:szCs w:val="21"/>
              </w:rPr>
              <w:t>相对密度</w:t>
            </w:r>
          </w:p>
        </w:tc>
        <w:tc>
          <w:tcPr>
            <w:tcW w:w="3816" w:type="pct"/>
            <w:gridSpan w:val="10"/>
            <w:vAlign w:val="center"/>
          </w:tcPr>
          <w:p w14:paraId="14D668CA">
            <w:pPr>
              <w:pStyle w:val="342"/>
              <w:kinsoku w:val="0"/>
              <w:overflowPunct w:val="0"/>
              <w:snapToGrid w:val="0"/>
              <w:spacing w:line="300" w:lineRule="exact"/>
              <w:rPr>
                <w:sz w:val="21"/>
                <w:szCs w:val="21"/>
              </w:rPr>
            </w:pPr>
            <w:r>
              <w:rPr>
                <w:rFonts w:hint="eastAsia"/>
                <w:sz w:val="21"/>
                <w:szCs w:val="21"/>
              </w:rPr>
              <w:t>天然气组分（</w:t>
            </w:r>
            <w:r>
              <w:rPr>
                <w:sz w:val="21"/>
                <w:szCs w:val="21"/>
              </w:rPr>
              <w:t>%</w:t>
            </w:r>
            <w:r>
              <w:rPr>
                <w:rFonts w:hint="eastAsia"/>
                <w:sz w:val="21"/>
                <w:szCs w:val="21"/>
              </w:rPr>
              <w:t>）</w:t>
            </w:r>
          </w:p>
        </w:tc>
        <w:tc>
          <w:tcPr>
            <w:tcW w:w="372" w:type="pct"/>
            <w:vMerge w:val="restart"/>
            <w:vAlign w:val="center"/>
          </w:tcPr>
          <w:p w14:paraId="75F4B237">
            <w:pPr>
              <w:pStyle w:val="342"/>
              <w:kinsoku w:val="0"/>
              <w:overflowPunct w:val="0"/>
              <w:snapToGrid w:val="0"/>
              <w:spacing w:line="300" w:lineRule="exact"/>
              <w:rPr>
                <w:sz w:val="21"/>
                <w:szCs w:val="21"/>
              </w:rPr>
            </w:pPr>
            <w:r>
              <w:rPr>
                <w:rFonts w:hint="eastAsia"/>
                <w:sz w:val="21"/>
                <w:szCs w:val="21"/>
              </w:rPr>
              <w:t>硫化氢/ppm</w:t>
            </w:r>
          </w:p>
        </w:tc>
      </w:tr>
      <w:tr w14:paraId="521DE80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333" w:type="pct"/>
            <w:vMerge w:val="continue"/>
            <w:vAlign w:val="center"/>
          </w:tcPr>
          <w:p w14:paraId="1B54971A">
            <w:pPr>
              <w:pStyle w:val="19"/>
              <w:kinsoku w:val="0"/>
              <w:overflowPunct w:val="0"/>
              <w:adjustRightInd w:val="0"/>
              <w:snapToGrid w:val="0"/>
              <w:spacing w:after="0" w:line="300" w:lineRule="exact"/>
              <w:rPr>
                <w:rFonts w:hint="eastAsia" w:ascii="宋体" w:hAnsi="宋体"/>
                <w:szCs w:val="21"/>
              </w:rPr>
            </w:pPr>
          </w:p>
        </w:tc>
        <w:tc>
          <w:tcPr>
            <w:tcW w:w="478" w:type="pct"/>
            <w:vMerge w:val="continue"/>
            <w:vAlign w:val="center"/>
          </w:tcPr>
          <w:p w14:paraId="17358BFA">
            <w:pPr>
              <w:pStyle w:val="19"/>
              <w:kinsoku w:val="0"/>
              <w:overflowPunct w:val="0"/>
              <w:adjustRightInd w:val="0"/>
              <w:snapToGrid w:val="0"/>
              <w:spacing w:after="0" w:line="300" w:lineRule="exact"/>
              <w:rPr>
                <w:rFonts w:hint="eastAsia" w:ascii="宋体" w:hAnsi="宋体"/>
                <w:szCs w:val="21"/>
              </w:rPr>
            </w:pPr>
          </w:p>
        </w:tc>
        <w:tc>
          <w:tcPr>
            <w:tcW w:w="371" w:type="pct"/>
            <w:vAlign w:val="center"/>
          </w:tcPr>
          <w:p w14:paraId="7C47B864">
            <w:pPr>
              <w:pStyle w:val="342"/>
              <w:kinsoku w:val="0"/>
              <w:overflowPunct w:val="0"/>
              <w:snapToGrid w:val="0"/>
              <w:spacing w:line="300" w:lineRule="exact"/>
              <w:rPr>
                <w:sz w:val="21"/>
                <w:szCs w:val="21"/>
              </w:rPr>
            </w:pPr>
            <w:r>
              <w:rPr>
                <w:rFonts w:hint="eastAsia"/>
                <w:sz w:val="21"/>
                <w:szCs w:val="21"/>
              </w:rPr>
              <w:t>甲烷</w:t>
            </w:r>
          </w:p>
        </w:tc>
        <w:tc>
          <w:tcPr>
            <w:tcW w:w="360" w:type="pct"/>
            <w:vAlign w:val="center"/>
          </w:tcPr>
          <w:p w14:paraId="6679D038">
            <w:pPr>
              <w:pStyle w:val="342"/>
              <w:kinsoku w:val="0"/>
              <w:overflowPunct w:val="0"/>
              <w:snapToGrid w:val="0"/>
              <w:spacing w:line="300" w:lineRule="exact"/>
              <w:rPr>
                <w:sz w:val="21"/>
                <w:szCs w:val="21"/>
              </w:rPr>
            </w:pPr>
            <w:r>
              <w:rPr>
                <w:rFonts w:hint="eastAsia"/>
                <w:sz w:val="21"/>
                <w:szCs w:val="21"/>
              </w:rPr>
              <w:t>乙烷</w:t>
            </w:r>
          </w:p>
        </w:tc>
        <w:tc>
          <w:tcPr>
            <w:tcW w:w="440" w:type="pct"/>
            <w:vAlign w:val="center"/>
          </w:tcPr>
          <w:p w14:paraId="6A35EE8D">
            <w:pPr>
              <w:pStyle w:val="342"/>
              <w:kinsoku w:val="0"/>
              <w:overflowPunct w:val="0"/>
              <w:snapToGrid w:val="0"/>
              <w:spacing w:line="300" w:lineRule="exact"/>
              <w:rPr>
                <w:sz w:val="21"/>
                <w:szCs w:val="21"/>
              </w:rPr>
            </w:pPr>
            <w:r>
              <w:rPr>
                <w:rFonts w:hint="eastAsia"/>
                <w:sz w:val="21"/>
                <w:szCs w:val="21"/>
              </w:rPr>
              <w:t>丙烷</w:t>
            </w:r>
          </w:p>
        </w:tc>
        <w:tc>
          <w:tcPr>
            <w:tcW w:w="364" w:type="pct"/>
            <w:vAlign w:val="center"/>
          </w:tcPr>
          <w:p w14:paraId="320D7AE1">
            <w:pPr>
              <w:pStyle w:val="342"/>
              <w:kinsoku w:val="0"/>
              <w:overflowPunct w:val="0"/>
              <w:snapToGrid w:val="0"/>
              <w:spacing w:line="300" w:lineRule="exact"/>
              <w:rPr>
                <w:sz w:val="21"/>
                <w:szCs w:val="21"/>
              </w:rPr>
            </w:pPr>
            <w:r>
              <w:rPr>
                <w:rFonts w:hint="eastAsia"/>
                <w:sz w:val="21"/>
                <w:szCs w:val="21"/>
              </w:rPr>
              <w:t>异丁</w:t>
            </w:r>
          </w:p>
          <w:p w14:paraId="4A2FD38B">
            <w:pPr>
              <w:pStyle w:val="342"/>
              <w:kinsoku w:val="0"/>
              <w:overflowPunct w:val="0"/>
              <w:snapToGrid w:val="0"/>
              <w:spacing w:line="300" w:lineRule="exact"/>
              <w:rPr>
                <w:sz w:val="21"/>
                <w:szCs w:val="21"/>
              </w:rPr>
            </w:pPr>
            <w:r>
              <w:rPr>
                <w:rFonts w:hint="eastAsia"/>
                <w:sz w:val="21"/>
                <w:szCs w:val="21"/>
              </w:rPr>
              <w:t>烷</w:t>
            </w:r>
          </w:p>
        </w:tc>
        <w:tc>
          <w:tcPr>
            <w:tcW w:w="368" w:type="pct"/>
            <w:vAlign w:val="center"/>
          </w:tcPr>
          <w:p w14:paraId="27D3521D">
            <w:pPr>
              <w:pStyle w:val="342"/>
              <w:kinsoku w:val="0"/>
              <w:overflowPunct w:val="0"/>
              <w:snapToGrid w:val="0"/>
              <w:spacing w:line="300" w:lineRule="exact"/>
              <w:rPr>
                <w:sz w:val="21"/>
                <w:szCs w:val="21"/>
              </w:rPr>
            </w:pPr>
            <w:r>
              <w:rPr>
                <w:rFonts w:hint="eastAsia"/>
                <w:sz w:val="21"/>
                <w:szCs w:val="21"/>
              </w:rPr>
              <w:t>正丁</w:t>
            </w:r>
          </w:p>
          <w:p w14:paraId="7101FB79">
            <w:pPr>
              <w:pStyle w:val="342"/>
              <w:kinsoku w:val="0"/>
              <w:overflowPunct w:val="0"/>
              <w:snapToGrid w:val="0"/>
              <w:spacing w:line="300" w:lineRule="exact"/>
              <w:rPr>
                <w:sz w:val="21"/>
                <w:szCs w:val="21"/>
              </w:rPr>
            </w:pPr>
            <w:r>
              <w:rPr>
                <w:rFonts w:hint="eastAsia"/>
                <w:sz w:val="21"/>
                <w:szCs w:val="21"/>
              </w:rPr>
              <w:t>烷</w:t>
            </w:r>
          </w:p>
        </w:tc>
        <w:tc>
          <w:tcPr>
            <w:tcW w:w="364" w:type="pct"/>
            <w:vAlign w:val="center"/>
          </w:tcPr>
          <w:p w14:paraId="74194219">
            <w:pPr>
              <w:pStyle w:val="342"/>
              <w:kinsoku w:val="0"/>
              <w:overflowPunct w:val="0"/>
              <w:snapToGrid w:val="0"/>
              <w:spacing w:line="300" w:lineRule="exact"/>
              <w:rPr>
                <w:sz w:val="21"/>
                <w:szCs w:val="21"/>
              </w:rPr>
            </w:pPr>
            <w:r>
              <w:rPr>
                <w:rFonts w:hint="eastAsia"/>
                <w:sz w:val="21"/>
                <w:szCs w:val="21"/>
              </w:rPr>
              <w:t>异戊</w:t>
            </w:r>
          </w:p>
          <w:p w14:paraId="08099DB7">
            <w:pPr>
              <w:pStyle w:val="342"/>
              <w:kinsoku w:val="0"/>
              <w:overflowPunct w:val="0"/>
              <w:snapToGrid w:val="0"/>
              <w:spacing w:line="300" w:lineRule="exact"/>
              <w:rPr>
                <w:sz w:val="21"/>
                <w:szCs w:val="21"/>
              </w:rPr>
            </w:pPr>
            <w:r>
              <w:rPr>
                <w:rFonts w:hint="eastAsia"/>
                <w:sz w:val="21"/>
                <w:szCs w:val="21"/>
              </w:rPr>
              <w:t>烷</w:t>
            </w:r>
          </w:p>
        </w:tc>
        <w:tc>
          <w:tcPr>
            <w:tcW w:w="364" w:type="pct"/>
            <w:vAlign w:val="center"/>
          </w:tcPr>
          <w:p w14:paraId="73F426DB">
            <w:pPr>
              <w:pStyle w:val="342"/>
              <w:kinsoku w:val="0"/>
              <w:overflowPunct w:val="0"/>
              <w:snapToGrid w:val="0"/>
              <w:spacing w:line="300" w:lineRule="exact"/>
              <w:rPr>
                <w:sz w:val="21"/>
                <w:szCs w:val="21"/>
              </w:rPr>
            </w:pPr>
            <w:r>
              <w:rPr>
                <w:rFonts w:hint="eastAsia"/>
                <w:sz w:val="21"/>
                <w:szCs w:val="21"/>
              </w:rPr>
              <w:t>正戊</w:t>
            </w:r>
          </w:p>
          <w:p w14:paraId="7883944B">
            <w:pPr>
              <w:pStyle w:val="342"/>
              <w:kinsoku w:val="0"/>
              <w:overflowPunct w:val="0"/>
              <w:snapToGrid w:val="0"/>
              <w:spacing w:line="300" w:lineRule="exact"/>
              <w:rPr>
                <w:sz w:val="21"/>
                <w:szCs w:val="21"/>
              </w:rPr>
            </w:pPr>
            <w:r>
              <w:rPr>
                <w:rFonts w:hint="eastAsia"/>
                <w:sz w:val="21"/>
                <w:szCs w:val="21"/>
              </w:rPr>
              <w:t>烷</w:t>
            </w:r>
          </w:p>
        </w:tc>
        <w:tc>
          <w:tcPr>
            <w:tcW w:w="455" w:type="pct"/>
            <w:vAlign w:val="center"/>
          </w:tcPr>
          <w:p w14:paraId="6ADD0172">
            <w:pPr>
              <w:pStyle w:val="342"/>
              <w:kinsoku w:val="0"/>
              <w:overflowPunct w:val="0"/>
              <w:snapToGrid w:val="0"/>
              <w:spacing w:line="300" w:lineRule="exact"/>
              <w:rPr>
                <w:sz w:val="21"/>
                <w:szCs w:val="21"/>
              </w:rPr>
            </w:pPr>
            <w:r>
              <w:rPr>
                <w:rFonts w:hint="eastAsia"/>
                <w:sz w:val="21"/>
                <w:szCs w:val="21"/>
              </w:rPr>
              <w:t>己烷以</w:t>
            </w:r>
          </w:p>
          <w:p w14:paraId="3B8D6A86">
            <w:pPr>
              <w:pStyle w:val="342"/>
              <w:kinsoku w:val="0"/>
              <w:overflowPunct w:val="0"/>
              <w:snapToGrid w:val="0"/>
              <w:spacing w:line="300" w:lineRule="exact"/>
              <w:rPr>
                <w:sz w:val="21"/>
                <w:szCs w:val="21"/>
              </w:rPr>
            </w:pPr>
            <w:r>
              <w:rPr>
                <w:rFonts w:hint="eastAsia"/>
                <w:sz w:val="21"/>
                <w:szCs w:val="21"/>
              </w:rPr>
              <w:t>上</w:t>
            </w:r>
          </w:p>
        </w:tc>
        <w:tc>
          <w:tcPr>
            <w:tcW w:w="455" w:type="pct"/>
            <w:vAlign w:val="center"/>
          </w:tcPr>
          <w:p w14:paraId="3B3C771D">
            <w:pPr>
              <w:pStyle w:val="342"/>
              <w:kinsoku w:val="0"/>
              <w:overflowPunct w:val="0"/>
              <w:snapToGrid w:val="0"/>
              <w:spacing w:line="300" w:lineRule="exact"/>
              <w:rPr>
                <w:sz w:val="21"/>
                <w:szCs w:val="21"/>
              </w:rPr>
            </w:pPr>
            <w:r>
              <w:rPr>
                <w:rFonts w:hint="eastAsia"/>
                <w:sz w:val="21"/>
                <w:szCs w:val="21"/>
              </w:rPr>
              <w:t>二氧化</w:t>
            </w:r>
          </w:p>
          <w:p w14:paraId="19B2649C">
            <w:pPr>
              <w:pStyle w:val="342"/>
              <w:kinsoku w:val="0"/>
              <w:overflowPunct w:val="0"/>
              <w:snapToGrid w:val="0"/>
              <w:spacing w:line="300" w:lineRule="exact"/>
              <w:rPr>
                <w:sz w:val="21"/>
                <w:szCs w:val="21"/>
              </w:rPr>
            </w:pPr>
            <w:r>
              <w:rPr>
                <w:rFonts w:hint="eastAsia"/>
                <w:sz w:val="21"/>
                <w:szCs w:val="21"/>
              </w:rPr>
              <w:t>碳</w:t>
            </w:r>
          </w:p>
        </w:tc>
        <w:tc>
          <w:tcPr>
            <w:tcW w:w="274" w:type="pct"/>
            <w:vAlign w:val="center"/>
          </w:tcPr>
          <w:p w14:paraId="6BCA7CAD">
            <w:pPr>
              <w:pStyle w:val="342"/>
              <w:kinsoku w:val="0"/>
              <w:overflowPunct w:val="0"/>
              <w:snapToGrid w:val="0"/>
              <w:spacing w:line="300" w:lineRule="exact"/>
              <w:rPr>
                <w:sz w:val="21"/>
                <w:szCs w:val="21"/>
              </w:rPr>
            </w:pPr>
            <w:r>
              <w:rPr>
                <w:rFonts w:hint="eastAsia"/>
                <w:sz w:val="21"/>
                <w:szCs w:val="21"/>
              </w:rPr>
              <w:t>氮</w:t>
            </w:r>
          </w:p>
        </w:tc>
        <w:tc>
          <w:tcPr>
            <w:tcW w:w="372" w:type="pct"/>
            <w:vMerge w:val="continue"/>
            <w:vAlign w:val="center"/>
          </w:tcPr>
          <w:p w14:paraId="297B1C6A">
            <w:pPr>
              <w:pStyle w:val="342"/>
              <w:kinsoku w:val="0"/>
              <w:overflowPunct w:val="0"/>
              <w:snapToGrid w:val="0"/>
              <w:spacing w:line="300" w:lineRule="exact"/>
              <w:rPr>
                <w:sz w:val="21"/>
                <w:szCs w:val="21"/>
              </w:rPr>
            </w:pPr>
          </w:p>
        </w:tc>
      </w:tr>
      <w:tr w14:paraId="149EBAF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333" w:type="pct"/>
            <w:vAlign w:val="center"/>
          </w:tcPr>
          <w:p w14:paraId="605BB6C0">
            <w:pPr>
              <w:pStyle w:val="342"/>
              <w:kinsoku w:val="0"/>
              <w:overflowPunct w:val="0"/>
              <w:snapToGrid w:val="0"/>
              <w:spacing w:line="300" w:lineRule="exact"/>
              <w:jc w:val="left"/>
              <w:rPr>
                <w:sz w:val="21"/>
                <w:szCs w:val="21"/>
              </w:rPr>
            </w:pPr>
            <w:r>
              <w:rPr>
                <w:sz w:val="21"/>
                <w:szCs w:val="21"/>
              </w:rPr>
              <w:t>P</w:t>
            </w:r>
            <w:r>
              <w:rPr>
                <w:sz w:val="21"/>
                <w:szCs w:val="21"/>
                <w:vertAlign w:val="subscript"/>
              </w:rPr>
              <w:t>2</w:t>
            </w:r>
            <w:r>
              <w:rPr>
                <w:sz w:val="21"/>
                <w:szCs w:val="21"/>
              </w:rPr>
              <w:t>l</w:t>
            </w:r>
            <w:r>
              <w:rPr>
                <w:sz w:val="21"/>
                <w:szCs w:val="21"/>
                <w:vertAlign w:val="subscript"/>
              </w:rPr>
              <w:t>2</w:t>
            </w:r>
          </w:p>
        </w:tc>
        <w:tc>
          <w:tcPr>
            <w:tcW w:w="478" w:type="pct"/>
            <w:vAlign w:val="center"/>
          </w:tcPr>
          <w:p w14:paraId="397ECBE7">
            <w:pPr>
              <w:pStyle w:val="342"/>
              <w:kinsoku w:val="0"/>
              <w:overflowPunct w:val="0"/>
              <w:snapToGrid w:val="0"/>
              <w:spacing w:line="300" w:lineRule="exact"/>
              <w:jc w:val="left"/>
              <w:rPr>
                <w:sz w:val="21"/>
                <w:szCs w:val="21"/>
              </w:rPr>
            </w:pPr>
            <w:r>
              <w:rPr>
                <w:sz w:val="21"/>
                <w:szCs w:val="21"/>
              </w:rPr>
              <w:t>0.750</w:t>
            </w:r>
          </w:p>
        </w:tc>
        <w:tc>
          <w:tcPr>
            <w:tcW w:w="371" w:type="pct"/>
            <w:vAlign w:val="center"/>
          </w:tcPr>
          <w:p w14:paraId="506122D3">
            <w:pPr>
              <w:pStyle w:val="342"/>
              <w:kinsoku w:val="0"/>
              <w:overflowPunct w:val="0"/>
              <w:snapToGrid w:val="0"/>
              <w:spacing w:line="300" w:lineRule="exact"/>
              <w:rPr>
                <w:sz w:val="21"/>
                <w:szCs w:val="21"/>
              </w:rPr>
            </w:pPr>
            <w:r>
              <w:rPr>
                <w:sz w:val="21"/>
                <w:szCs w:val="21"/>
              </w:rPr>
              <w:t>71.07</w:t>
            </w:r>
          </w:p>
        </w:tc>
        <w:tc>
          <w:tcPr>
            <w:tcW w:w="360" w:type="pct"/>
            <w:vAlign w:val="center"/>
          </w:tcPr>
          <w:p w14:paraId="3981E48D">
            <w:pPr>
              <w:pStyle w:val="342"/>
              <w:kinsoku w:val="0"/>
              <w:overflowPunct w:val="0"/>
              <w:snapToGrid w:val="0"/>
              <w:spacing w:line="300" w:lineRule="exact"/>
              <w:rPr>
                <w:sz w:val="21"/>
                <w:szCs w:val="21"/>
              </w:rPr>
            </w:pPr>
            <w:r>
              <w:rPr>
                <w:sz w:val="21"/>
                <w:szCs w:val="21"/>
              </w:rPr>
              <w:t>10.53</w:t>
            </w:r>
          </w:p>
        </w:tc>
        <w:tc>
          <w:tcPr>
            <w:tcW w:w="440" w:type="pct"/>
            <w:vAlign w:val="center"/>
          </w:tcPr>
          <w:p w14:paraId="4729BE47">
            <w:pPr>
              <w:pStyle w:val="342"/>
              <w:kinsoku w:val="0"/>
              <w:overflowPunct w:val="0"/>
              <w:snapToGrid w:val="0"/>
              <w:spacing w:line="300" w:lineRule="exact"/>
              <w:rPr>
                <w:sz w:val="21"/>
                <w:szCs w:val="21"/>
              </w:rPr>
            </w:pPr>
            <w:r>
              <w:rPr>
                <w:sz w:val="21"/>
                <w:szCs w:val="21"/>
              </w:rPr>
              <w:t>9.81</w:t>
            </w:r>
          </w:p>
        </w:tc>
        <w:tc>
          <w:tcPr>
            <w:tcW w:w="364" w:type="pct"/>
            <w:vAlign w:val="center"/>
          </w:tcPr>
          <w:p w14:paraId="27758775">
            <w:pPr>
              <w:pStyle w:val="342"/>
              <w:kinsoku w:val="0"/>
              <w:overflowPunct w:val="0"/>
              <w:snapToGrid w:val="0"/>
              <w:spacing w:line="300" w:lineRule="exact"/>
              <w:rPr>
                <w:sz w:val="21"/>
                <w:szCs w:val="21"/>
              </w:rPr>
            </w:pPr>
            <w:r>
              <w:rPr>
                <w:sz w:val="21"/>
                <w:szCs w:val="21"/>
              </w:rPr>
              <w:t>1.45</w:t>
            </w:r>
          </w:p>
        </w:tc>
        <w:tc>
          <w:tcPr>
            <w:tcW w:w="368" w:type="pct"/>
            <w:vAlign w:val="center"/>
          </w:tcPr>
          <w:p w14:paraId="62DA48ED">
            <w:pPr>
              <w:pStyle w:val="342"/>
              <w:kinsoku w:val="0"/>
              <w:overflowPunct w:val="0"/>
              <w:snapToGrid w:val="0"/>
              <w:spacing w:line="300" w:lineRule="exact"/>
              <w:jc w:val="left"/>
              <w:rPr>
                <w:sz w:val="21"/>
                <w:szCs w:val="21"/>
              </w:rPr>
            </w:pPr>
            <w:r>
              <w:rPr>
                <w:sz w:val="21"/>
                <w:szCs w:val="21"/>
              </w:rPr>
              <w:t>1.96</w:t>
            </w:r>
          </w:p>
        </w:tc>
        <w:tc>
          <w:tcPr>
            <w:tcW w:w="364" w:type="pct"/>
            <w:vAlign w:val="center"/>
          </w:tcPr>
          <w:p w14:paraId="6B2C997E">
            <w:pPr>
              <w:pStyle w:val="342"/>
              <w:kinsoku w:val="0"/>
              <w:overflowPunct w:val="0"/>
              <w:snapToGrid w:val="0"/>
              <w:spacing w:line="300" w:lineRule="exact"/>
              <w:rPr>
                <w:sz w:val="21"/>
                <w:szCs w:val="21"/>
              </w:rPr>
            </w:pPr>
            <w:r>
              <w:rPr>
                <w:sz w:val="21"/>
                <w:szCs w:val="21"/>
              </w:rPr>
              <w:t>0.35</w:t>
            </w:r>
          </w:p>
        </w:tc>
        <w:tc>
          <w:tcPr>
            <w:tcW w:w="364" w:type="pct"/>
            <w:vAlign w:val="center"/>
          </w:tcPr>
          <w:p w14:paraId="2909581B">
            <w:pPr>
              <w:pStyle w:val="342"/>
              <w:kinsoku w:val="0"/>
              <w:overflowPunct w:val="0"/>
              <w:snapToGrid w:val="0"/>
              <w:spacing w:line="300" w:lineRule="exact"/>
              <w:rPr>
                <w:sz w:val="21"/>
                <w:szCs w:val="21"/>
              </w:rPr>
            </w:pPr>
            <w:r>
              <w:rPr>
                <w:sz w:val="21"/>
                <w:szCs w:val="21"/>
              </w:rPr>
              <w:t>0.29</w:t>
            </w:r>
          </w:p>
        </w:tc>
        <w:tc>
          <w:tcPr>
            <w:tcW w:w="455" w:type="pct"/>
            <w:vAlign w:val="center"/>
          </w:tcPr>
          <w:p w14:paraId="6685DBD9">
            <w:pPr>
              <w:pStyle w:val="342"/>
              <w:kinsoku w:val="0"/>
              <w:overflowPunct w:val="0"/>
              <w:snapToGrid w:val="0"/>
              <w:spacing w:line="300" w:lineRule="exact"/>
              <w:rPr>
                <w:sz w:val="21"/>
                <w:szCs w:val="21"/>
              </w:rPr>
            </w:pPr>
            <w:r>
              <w:rPr>
                <w:sz w:val="21"/>
                <w:szCs w:val="21"/>
              </w:rPr>
              <w:t>0.04</w:t>
            </w:r>
          </w:p>
        </w:tc>
        <w:tc>
          <w:tcPr>
            <w:tcW w:w="455" w:type="pct"/>
            <w:vAlign w:val="center"/>
          </w:tcPr>
          <w:p w14:paraId="384FFE15">
            <w:pPr>
              <w:pStyle w:val="342"/>
              <w:kinsoku w:val="0"/>
              <w:overflowPunct w:val="0"/>
              <w:snapToGrid w:val="0"/>
              <w:spacing w:line="300" w:lineRule="exact"/>
              <w:rPr>
                <w:sz w:val="21"/>
                <w:szCs w:val="21"/>
              </w:rPr>
            </w:pPr>
            <w:r>
              <w:rPr>
                <w:sz w:val="21"/>
                <w:szCs w:val="21"/>
              </w:rPr>
              <w:t>1.00</w:t>
            </w:r>
          </w:p>
        </w:tc>
        <w:tc>
          <w:tcPr>
            <w:tcW w:w="274" w:type="pct"/>
            <w:vAlign w:val="center"/>
          </w:tcPr>
          <w:p w14:paraId="6FD334D5">
            <w:pPr>
              <w:pStyle w:val="342"/>
              <w:kinsoku w:val="0"/>
              <w:overflowPunct w:val="0"/>
              <w:snapToGrid w:val="0"/>
              <w:spacing w:line="300" w:lineRule="exact"/>
              <w:rPr>
                <w:sz w:val="21"/>
                <w:szCs w:val="21"/>
              </w:rPr>
            </w:pPr>
            <w:r>
              <w:rPr>
                <w:rFonts w:hint="eastAsia"/>
                <w:sz w:val="21"/>
                <w:szCs w:val="21"/>
              </w:rPr>
              <w:t>3.5</w:t>
            </w:r>
          </w:p>
        </w:tc>
        <w:tc>
          <w:tcPr>
            <w:tcW w:w="372" w:type="pct"/>
            <w:vAlign w:val="center"/>
          </w:tcPr>
          <w:p w14:paraId="0FBF276A">
            <w:pPr>
              <w:pStyle w:val="342"/>
              <w:kinsoku w:val="0"/>
              <w:overflowPunct w:val="0"/>
              <w:snapToGrid w:val="0"/>
              <w:spacing w:line="300" w:lineRule="exact"/>
              <w:rPr>
                <w:sz w:val="21"/>
                <w:szCs w:val="21"/>
              </w:rPr>
            </w:pPr>
            <w:r>
              <w:rPr>
                <w:rFonts w:hint="eastAsia" w:hAnsi="宋体"/>
                <w:sz w:val="21"/>
                <w:szCs w:val="21"/>
              </w:rPr>
              <w:t>0～254</w:t>
            </w:r>
          </w:p>
        </w:tc>
      </w:tr>
      <w:bookmarkEnd w:id="197"/>
    </w:tbl>
    <w:p w14:paraId="0A9ACC49">
      <w:pPr>
        <w:widowControl/>
        <w:adjustRightInd w:val="0"/>
        <w:snapToGrid w:val="0"/>
        <w:spacing w:line="500" w:lineRule="exact"/>
        <w:jc w:val="center"/>
      </w:pPr>
      <w:r>
        <w:rPr>
          <w:rFonts w:hint="eastAsia" w:ascii="黑体" w:hAnsi="黑体" w:eastAsia="黑体"/>
        </w:rPr>
        <w:t>表3.2-5  采出水性质一览表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31"/>
        <w:gridCol w:w="1161"/>
        <w:gridCol w:w="1161"/>
        <w:gridCol w:w="1161"/>
        <w:gridCol w:w="1161"/>
        <w:gridCol w:w="1163"/>
        <w:gridCol w:w="1161"/>
        <w:gridCol w:w="581"/>
        <w:gridCol w:w="666"/>
      </w:tblGrid>
      <w:tr w14:paraId="75FD98E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655" w:hRule="atLeast"/>
          <w:jc w:val="center"/>
        </w:trPr>
        <w:tc>
          <w:tcPr>
            <w:tcW w:w="408" w:type="pct"/>
            <w:vAlign w:val="center"/>
          </w:tcPr>
          <w:p w14:paraId="7AFFCF0B">
            <w:pPr>
              <w:pStyle w:val="342"/>
              <w:kinsoku w:val="0"/>
              <w:overflowPunct w:val="0"/>
              <w:snapToGrid w:val="0"/>
              <w:spacing w:line="300" w:lineRule="exact"/>
              <w:rPr>
                <w:rFonts w:hint="eastAsia" w:hAnsi="宋体"/>
                <w:sz w:val="21"/>
                <w:szCs w:val="21"/>
              </w:rPr>
            </w:pPr>
            <w:r>
              <w:rPr>
                <w:rFonts w:hint="eastAsia" w:hAnsi="宋体"/>
                <w:sz w:val="21"/>
                <w:szCs w:val="21"/>
              </w:rPr>
              <w:t>层位</w:t>
            </w:r>
          </w:p>
        </w:tc>
        <w:tc>
          <w:tcPr>
            <w:tcW w:w="649" w:type="pct"/>
            <w:vAlign w:val="center"/>
          </w:tcPr>
          <w:p w14:paraId="1D74D070">
            <w:pPr>
              <w:pStyle w:val="342"/>
              <w:kinsoku w:val="0"/>
              <w:overflowPunct w:val="0"/>
              <w:snapToGrid w:val="0"/>
              <w:spacing w:line="300" w:lineRule="exact"/>
              <w:rPr>
                <w:rFonts w:hint="eastAsia" w:hAnsi="宋体"/>
                <w:sz w:val="21"/>
                <w:szCs w:val="21"/>
                <w:vertAlign w:val="superscript"/>
              </w:rPr>
            </w:pPr>
            <w:r>
              <w:rPr>
                <w:rFonts w:hint="eastAsia" w:hAnsi="宋体"/>
                <w:sz w:val="21"/>
                <w:szCs w:val="21"/>
              </w:rPr>
              <w:t>HCO</w:t>
            </w:r>
            <w:r>
              <w:rPr>
                <w:rFonts w:hint="eastAsia" w:hAnsi="宋体"/>
                <w:sz w:val="21"/>
                <w:szCs w:val="21"/>
                <w:vertAlign w:val="subscript"/>
              </w:rPr>
              <w:t>3</w:t>
            </w:r>
            <w:r>
              <w:rPr>
                <w:rFonts w:hint="eastAsia" w:hAnsi="宋体"/>
                <w:sz w:val="21"/>
                <w:szCs w:val="21"/>
                <w:vertAlign w:val="superscript"/>
              </w:rPr>
              <w:t>-</w:t>
            </w:r>
          </w:p>
          <w:p w14:paraId="76DD4201">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649" w:type="pct"/>
            <w:vAlign w:val="center"/>
          </w:tcPr>
          <w:p w14:paraId="4F1F9F7D">
            <w:pPr>
              <w:pStyle w:val="342"/>
              <w:kinsoku w:val="0"/>
              <w:overflowPunct w:val="0"/>
              <w:snapToGrid w:val="0"/>
              <w:spacing w:line="300" w:lineRule="exact"/>
              <w:rPr>
                <w:rFonts w:hint="eastAsia" w:hAnsi="宋体"/>
                <w:sz w:val="21"/>
                <w:szCs w:val="21"/>
              </w:rPr>
            </w:pPr>
            <w:r>
              <w:rPr>
                <w:rFonts w:hAnsi="宋体"/>
                <w:sz w:val="21"/>
                <w:szCs w:val="21"/>
              </w:rPr>
              <w:t>Cl</w:t>
            </w:r>
            <w:r>
              <w:rPr>
                <w:rFonts w:hAnsi="宋体"/>
                <w:w w:val="99"/>
                <w:sz w:val="21"/>
                <w:szCs w:val="21"/>
                <w:vertAlign w:val="superscript"/>
              </w:rPr>
              <w:t>-</w:t>
            </w:r>
          </w:p>
          <w:p w14:paraId="0B3668A9">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649" w:type="pct"/>
            <w:vAlign w:val="center"/>
          </w:tcPr>
          <w:p w14:paraId="30A3AD2E">
            <w:pPr>
              <w:pStyle w:val="342"/>
              <w:kinsoku w:val="0"/>
              <w:overflowPunct w:val="0"/>
              <w:snapToGrid w:val="0"/>
              <w:spacing w:line="300" w:lineRule="exact"/>
              <w:rPr>
                <w:rFonts w:hint="eastAsia" w:hAnsi="宋体"/>
                <w:sz w:val="21"/>
                <w:szCs w:val="21"/>
              </w:rPr>
            </w:pPr>
            <w:r>
              <w:rPr>
                <w:rFonts w:hAnsi="宋体"/>
                <w:sz w:val="21"/>
                <w:szCs w:val="21"/>
              </w:rPr>
              <w:t>SO</w:t>
            </w:r>
            <w:r>
              <w:rPr>
                <w:rFonts w:hint="eastAsia" w:hAnsi="宋体"/>
                <w:sz w:val="21"/>
                <w:szCs w:val="21"/>
                <w:vertAlign w:val="subscript"/>
              </w:rPr>
              <w:t>4</w:t>
            </w:r>
            <w:r>
              <w:rPr>
                <w:rFonts w:hAnsi="宋体"/>
                <w:sz w:val="21"/>
                <w:szCs w:val="21"/>
                <w:vertAlign w:val="superscript"/>
              </w:rPr>
              <w:t>2-</w:t>
            </w:r>
          </w:p>
          <w:p w14:paraId="12379142">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649" w:type="pct"/>
            <w:vAlign w:val="center"/>
          </w:tcPr>
          <w:p w14:paraId="5275E4C4">
            <w:pPr>
              <w:pStyle w:val="342"/>
              <w:kinsoku w:val="0"/>
              <w:overflowPunct w:val="0"/>
              <w:snapToGrid w:val="0"/>
              <w:spacing w:line="300" w:lineRule="exact"/>
              <w:rPr>
                <w:rFonts w:hint="eastAsia" w:hAnsi="宋体"/>
                <w:sz w:val="21"/>
                <w:szCs w:val="21"/>
              </w:rPr>
            </w:pPr>
            <w:r>
              <w:rPr>
                <w:rFonts w:hAnsi="宋体"/>
                <w:sz w:val="21"/>
                <w:szCs w:val="21"/>
              </w:rPr>
              <w:t>Ca</w:t>
            </w:r>
            <w:r>
              <w:rPr>
                <w:rFonts w:hAnsi="宋体"/>
                <w:sz w:val="21"/>
                <w:szCs w:val="21"/>
                <w:vertAlign w:val="superscript"/>
              </w:rPr>
              <w:t>2+</w:t>
            </w:r>
          </w:p>
          <w:p w14:paraId="0FD60866">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650" w:type="pct"/>
            <w:vAlign w:val="center"/>
          </w:tcPr>
          <w:p w14:paraId="09AD444B">
            <w:pPr>
              <w:pStyle w:val="342"/>
              <w:kinsoku w:val="0"/>
              <w:overflowPunct w:val="0"/>
              <w:snapToGrid w:val="0"/>
              <w:spacing w:line="300" w:lineRule="exact"/>
              <w:rPr>
                <w:rFonts w:hint="eastAsia" w:hAnsi="宋体"/>
                <w:sz w:val="21"/>
                <w:szCs w:val="21"/>
              </w:rPr>
            </w:pPr>
            <w:r>
              <w:rPr>
                <w:rFonts w:hAnsi="宋体"/>
                <w:sz w:val="21"/>
                <w:szCs w:val="21"/>
              </w:rPr>
              <w:t>Mg</w:t>
            </w:r>
            <w:r>
              <w:rPr>
                <w:rFonts w:hAnsi="宋体"/>
                <w:sz w:val="21"/>
                <w:szCs w:val="21"/>
                <w:vertAlign w:val="superscript"/>
              </w:rPr>
              <w:t>2+</w:t>
            </w:r>
          </w:p>
          <w:p w14:paraId="5721A83E">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649" w:type="pct"/>
            <w:vAlign w:val="center"/>
          </w:tcPr>
          <w:p w14:paraId="414038CD">
            <w:pPr>
              <w:pStyle w:val="342"/>
              <w:kinsoku w:val="0"/>
              <w:overflowPunct w:val="0"/>
              <w:snapToGrid w:val="0"/>
              <w:spacing w:line="300" w:lineRule="exact"/>
              <w:rPr>
                <w:rFonts w:hint="eastAsia" w:hAnsi="宋体"/>
                <w:sz w:val="21"/>
                <w:szCs w:val="21"/>
              </w:rPr>
            </w:pPr>
            <w:r>
              <w:rPr>
                <w:rFonts w:hint="eastAsia" w:hAnsi="宋体"/>
                <w:sz w:val="21"/>
                <w:szCs w:val="21"/>
              </w:rPr>
              <w:t>矿化度</w:t>
            </w:r>
          </w:p>
          <w:p w14:paraId="57CFE7FD">
            <w:pPr>
              <w:pStyle w:val="342"/>
              <w:kinsoku w:val="0"/>
              <w:overflowPunct w:val="0"/>
              <w:snapToGrid w:val="0"/>
              <w:spacing w:line="300" w:lineRule="exact"/>
              <w:rPr>
                <w:rFonts w:hint="eastAsia" w:hAnsi="宋体"/>
                <w:sz w:val="21"/>
                <w:szCs w:val="21"/>
              </w:rPr>
            </w:pPr>
            <w:r>
              <w:rPr>
                <w:rFonts w:hint="eastAsia" w:hAnsi="宋体"/>
                <w:sz w:val="21"/>
                <w:szCs w:val="21"/>
              </w:rPr>
              <w:t>（</w:t>
            </w:r>
            <w:r>
              <w:rPr>
                <w:rFonts w:hAnsi="宋体"/>
                <w:sz w:val="21"/>
                <w:szCs w:val="21"/>
              </w:rPr>
              <w:t>mg/L</w:t>
            </w:r>
            <w:r>
              <w:rPr>
                <w:rFonts w:hint="eastAsia" w:hAnsi="宋体"/>
                <w:sz w:val="21"/>
                <w:szCs w:val="21"/>
              </w:rPr>
              <w:t>）</w:t>
            </w:r>
          </w:p>
        </w:tc>
        <w:tc>
          <w:tcPr>
            <w:tcW w:w="325" w:type="pct"/>
            <w:vAlign w:val="center"/>
          </w:tcPr>
          <w:p w14:paraId="5E03B4BE">
            <w:pPr>
              <w:pStyle w:val="342"/>
              <w:kinsoku w:val="0"/>
              <w:overflowPunct w:val="0"/>
              <w:snapToGrid w:val="0"/>
              <w:spacing w:line="300" w:lineRule="exact"/>
              <w:rPr>
                <w:rFonts w:hint="eastAsia" w:hAnsi="宋体"/>
                <w:sz w:val="21"/>
                <w:szCs w:val="21"/>
              </w:rPr>
            </w:pPr>
            <w:r>
              <w:rPr>
                <w:rFonts w:hint="eastAsia" w:hAnsi="宋体"/>
                <w:sz w:val="21"/>
                <w:szCs w:val="21"/>
              </w:rPr>
              <w:t>p</w:t>
            </w:r>
            <w:r>
              <w:rPr>
                <w:rFonts w:hAnsi="宋体"/>
                <w:sz w:val="21"/>
                <w:szCs w:val="21"/>
              </w:rPr>
              <w:t>H</w:t>
            </w:r>
            <w:r>
              <w:rPr>
                <w:rFonts w:hint="eastAsia" w:hAnsi="宋体"/>
                <w:sz w:val="21"/>
                <w:szCs w:val="21"/>
              </w:rPr>
              <w:t>值</w:t>
            </w:r>
          </w:p>
        </w:tc>
        <w:tc>
          <w:tcPr>
            <w:tcW w:w="372" w:type="pct"/>
            <w:vAlign w:val="center"/>
          </w:tcPr>
          <w:p w14:paraId="4F39C313">
            <w:pPr>
              <w:pStyle w:val="342"/>
              <w:kinsoku w:val="0"/>
              <w:overflowPunct w:val="0"/>
              <w:snapToGrid w:val="0"/>
              <w:spacing w:line="300" w:lineRule="exact"/>
              <w:rPr>
                <w:rFonts w:hint="eastAsia" w:hAnsi="宋体"/>
                <w:sz w:val="21"/>
                <w:szCs w:val="21"/>
              </w:rPr>
            </w:pPr>
            <w:r>
              <w:rPr>
                <w:rFonts w:hint="eastAsia" w:hAnsi="宋体"/>
                <w:sz w:val="21"/>
                <w:szCs w:val="21"/>
              </w:rPr>
              <w:t>水型</w:t>
            </w:r>
          </w:p>
        </w:tc>
      </w:tr>
      <w:tr w14:paraId="25A63D0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86" w:hRule="atLeast"/>
          <w:jc w:val="center"/>
        </w:trPr>
        <w:tc>
          <w:tcPr>
            <w:tcW w:w="408" w:type="pct"/>
            <w:vAlign w:val="center"/>
          </w:tcPr>
          <w:p w14:paraId="418EA545">
            <w:pPr>
              <w:pStyle w:val="342"/>
              <w:kinsoku w:val="0"/>
              <w:overflowPunct w:val="0"/>
              <w:snapToGrid w:val="0"/>
              <w:spacing w:line="300" w:lineRule="exact"/>
              <w:rPr>
                <w:rFonts w:hint="eastAsia" w:hAnsi="宋体"/>
                <w:sz w:val="21"/>
                <w:szCs w:val="21"/>
              </w:rPr>
            </w:pPr>
            <w:r>
              <w:rPr>
                <w:rFonts w:hAnsi="宋体"/>
                <w:sz w:val="21"/>
                <w:szCs w:val="21"/>
              </w:rPr>
              <w:t>P</w:t>
            </w:r>
            <w:r>
              <w:rPr>
                <w:rFonts w:hAnsi="宋体"/>
                <w:sz w:val="21"/>
                <w:szCs w:val="21"/>
                <w:vertAlign w:val="subscript"/>
              </w:rPr>
              <w:t>2</w:t>
            </w:r>
            <w:r>
              <w:rPr>
                <w:rFonts w:hAnsi="宋体"/>
                <w:sz w:val="21"/>
                <w:szCs w:val="21"/>
              </w:rPr>
              <w:t>l</w:t>
            </w:r>
            <w:r>
              <w:rPr>
                <w:rFonts w:hAnsi="宋体"/>
                <w:sz w:val="21"/>
                <w:szCs w:val="21"/>
                <w:vertAlign w:val="subscript"/>
              </w:rPr>
              <w:t>2</w:t>
            </w:r>
            <w:r>
              <w:rPr>
                <w:rFonts w:hAnsi="宋体"/>
                <w:sz w:val="21"/>
                <w:szCs w:val="21"/>
                <w:vertAlign w:val="superscript"/>
              </w:rPr>
              <w:t>2</w:t>
            </w:r>
          </w:p>
        </w:tc>
        <w:tc>
          <w:tcPr>
            <w:tcW w:w="649" w:type="pct"/>
            <w:vAlign w:val="center"/>
          </w:tcPr>
          <w:p w14:paraId="1867255B">
            <w:pPr>
              <w:pStyle w:val="342"/>
              <w:kinsoku w:val="0"/>
              <w:overflowPunct w:val="0"/>
              <w:snapToGrid w:val="0"/>
              <w:spacing w:line="300" w:lineRule="exact"/>
              <w:rPr>
                <w:rFonts w:hint="eastAsia" w:hAnsi="宋体"/>
                <w:sz w:val="21"/>
                <w:szCs w:val="21"/>
              </w:rPr>
            </w:pPr>
            <w:r>
              <w:rPr>
                <w:rFonts w:hAnsi="宋体"/>
                <w:sz w:val="21"/>
                <w:szCs w:val="21"/>
              </w:rPr>
              <w:t>2644.85</w:t>
            </w:r>
          </w:p>
        </w:tc>
        <w:tc>
          <w:tcPr>
            <w:tcW w:w="649" w:type="pct"/>
            <w:vAlign w:val="center"/>
          </w:tcPr>
          <w:p w14:paraId="4810CD01">
            <w:pPr>
              <w:pStyle w:val="342"/>
              <w:kinsoku w:val="0"/>
              <w:overflowPunct w:val="0"/>
              <w:snapToGrid w:val="0"/>
              <w:spacing w:line="300" w:lineRule="exact"/>
              <w:rPr>
                <w:rFonts w:hint="eastAsia" w:hAnsi="宋体"/>
                <w:sz w:val="21"/>
                <w:szCs w:val="21"/>
              </w:rPr>
            </w:pPr>
            <w:r>
              <w:rPr>
                <w:rFonts w:hAnsi="宋体"/>
                <w:sz w:val="21"/>
                <w:szCs w:val="21"/>
              </w:rPr>
              <w:t>2531.13</w:t>
            </w:r>
          </w:p>
        </w:tc>
        <w:tc>
          <w:tcPr>
            <w:tcW w:w="649" w:type="pct"/>
            <w:vAlign w:val="center"/>
          </w:tcPr>
          <w:p w14:paraId="47957B00">
            <w:pPr>
              <w:pStyle w:val="342"/>
              <w:kinsoku w:val="0"/>
              <w:overflowPunct w:val="0"/>
              <w:snapToGrid w:val="0"/>
              <w:spacing w:line="300" w:lineRule="exact"/>
              <w:rPr>
                <w:rFonts w:hint="eastAsia" w:hAnsi="宋体"/>
                <w:sz w:val="21"/>
                <w:szCs w:val="21"/>
              </w:rPr>
            </w:pPr>
            <w:r>
              <w:rPr>
                <w:rFonts w:hAnsi="宋体"/>
                <w:sz w:val="21"/>
                <w:szCs w:val="21"/>
              </w:rPr>
              <w:t>581.14</w:t>
            </w:r>
          </w:p>
        </w:tc>
        <w:tc>
          <w:tcPr>
            <w:tcW w:w="649" w:type="pct"/>
            <w:vAlign w:val="center"/>
          </w:tcPr>
          <w:p w14:paraId="4C9C8E75">
            <w:pPr>
              <w:pStyle w:val="342"/>
              <w:kinsoku w:val="0"/>
              <w:overflowPunct w:val="0"/>
              <w:snapToGrid w:val="0"/>
              <w:spacing w:line="300" w:lineRule="exact"/>
              <w:rPr>
                <w:rFonts w:hint="eastAsia" w:hAnsi="宋体"/>
                <w:sz w:val="21"/>
                <w:szCs w:val="21"/>
              </w:rPr>
            </w:pPr>
            <w:r>
              <w:rPr>
                <w:rFonts w:hAnsi="宋体"/>
                <w:sz w:val="21"/>
                <w:szCs w:val="21"/>
              </w:rPr>
              <w:t>20.2</w:t>
            </w:r>
          </w:p>
        </w:tc>
        <w:tc>
          <w:tcPr>
            <w:tcW w:w="650" w:type="pct"/>
            <w:vAlign w:val="center"/>
          </w:tcPr>
          <w:p w14:paraId="2D120814">
            <w:pPr>
              <w:pStyle w:val="342"/>
              <w:kinsoku w:val="0"/>
              <w:overflowPunct w:val="0"/>
              <w:snapToGrid w:val="0"/>
              <w:spacing w:line="300" w:lineRule="exact"/>
              <w:rPr>
                <w:rFonts w:hint="eastAsia" w:hAnsi="宋体"/>
                <w:sz w:val="21"/>
                <w:szCs w:val="21"/>
              </w:rPr>
            </w:pPr>
            <w:r>
              <w:rPr>
                <w:rFonts w:hAnsi="宋体"/>
                <w:sz w:val="21"/>
                <w:szCs w:val="21"/>
              </w:rPr>
              <w:t>3.06</w:t>
            </w:r>
          </w:p>
        </w:tc>
        <w:tc>
          <w:tcPr>
            <w:tcW w:w="649" w:type="pct"/>
            <w:vAlign w:val="center"/>
          </w:tcPr>
          <w:p w14:paraId="27CCBE7C">
            <w:pPr>
              <w:pStyle w:val="342"/>
              <w:kinsoku w:val="0"/>
              <w:overflowPunct w:val="0"/>
              <w:snapToGrid w:val="0"/>
              <w:spacing w:line="300" w:lineRule="exact"/>
              <w:rPr>
                <w:rFonts w:hint="eastAsia" w:hAnsi="宋体"/>
                <w:sz w:val="21"/>
                <w:szCs w:val="21"/>
              </w:rPr>
            </w:pPr>
            <w:r>
              <w:rPr>
                <w:rFonts w:hAnsi="宋体"/>
                <w:sz w:val="21"/>
                <w:szCs w:val="21"/>
              </w:rPr>
              <w:t>8668.8</w:t>
            </w:r>
          </w:p>
        </w:tc>
        <w:tc>
          <w:tcPr>
            <w:tcW w:w="325" w:type="pct"/>
            <w:vAlign w:val="center"/>
          </w:tcPr>
          <w:p w14:paraId="74B45F01">
            <w:pPr>
              <w:pStyle w:val="342"/>
              <w:kinsoku w:val="0"/>
              <w:overflowPunct w:val="0"/>
              <w:snapToGrid w:val="0"/>
              <w:spacing w:line="300" w:lineRule="exact"/>
              <w:rPr>
                <w:rFonts w:hint="eastAsia" w:hAnsi="宋体"/>
                <w:sz w:val="21"/>
                <w:szCs w:val="21"/>
              </w:rPr>
            </w:pPr>
            <w:r>
              <w:rPr>
                <w:rFonts w:hAnsi="宋体"/>
                <w:sz w:val="21"/>
                <w:szCs w:val="21"/>
              </w:rPr>
              <w:t>8.0</w:t>
            </w:r>
          </w:p>
        </w:tc>
        <w:tc>
          <w:tcPr>
            <w:tcW w:w="372" w:type="pct"/>
            <w:vAlign w:val="center"/>
          </w:tcPr>
          <w:p w14:paraId="51182091">
            <w:pPr>
              <w:pStyle w:val="342"/>
              <w:kinsoku w:val="0"/>
              <w:overflowPunct w:val="0"/>
              <w:snapToGrid w:val="0"/>
              <w:spacing w:line="300" w:lineRule="exact"/>
              <w:rPr>
                <w:rFonts w:hint="eastAsia" w:hAnsi="宋体"/>
                <w:position w:val="-9"/>
                <w:sz w:val="21"/>
                <w:szCs w:val="21"/>
              </w:rPr>
            </w:pPr>
            <w:r>
              <w:rPr>
                <w:rFonts w:hAnsi="宋体"/>
                <w:sz w:val="21"/>
                <w:szCs w:val="21"/>
              </w:rPr>
              <w:t>NaHCO</w:t>
            </w:r>
            <w:r>
              <w:rPr>
                <w:rFonts w:hint="eastAsia" w:hAnsi="宋体"/>
                <w:sz w:val="21"/>
                <w:szCs w:val="21"/>
                <w:vertAlign w:val="subscript"/>
              </w:rPr>
              <w:t>3</w:t>
            </w:r>
          </w:p>
        </w:tc>
      </w:tr>
    </w:tbl>
    <w:p w14:paraId="77AEAC3A">
      <w:pPr>
        <w:pStyle w:val="4"/>
        <w:rPr>
          <w:rFonts w:hint="eastAsia"/>
        </w:rPr>
      </w:pPr>
      <w:r>
        <w:rPr>
          <w:rFonts w:hint="eastAsia"/>
        </w:rPr>
        <w:t>建设内容</w:t>
      </w:r>
    </w:p>
    <w:p w14:paraId="33430562">
      <w:pPr>
        <w:pStyle w:val="117"/>
        <w:adjustRightInd w:val="0"/>
        <w:snapToGrid w:val="0"/>
        <w:ind w:firstLine="480"/>
        <w:rPr>
          <w:rFonts w:hint="eastAsia"/>
        </w:rPr>
      </w:pPr>
      <w:r>
        <w:rPr>
          <w:rFonts w:hint="eastAsia"/>
        </w:rPr>
        <w:t>（1）工程组成</w:t>
      </w:r>
    </w:p>
    <w:p w14:paraId="3622348A">
      <w:pPr>
        <w:pStyle w:val="117"/>
        <w:adjustRightInd w:val="0"/>
        <w:snapToGrid w:val="0"/>
        <w:ind w:firstLine="480"/>
        <w:rPr>
          <w:rFonts w:hint="eastAsia" w:ascii="黑体" w:hAnsi="黑体" w:eastAsia="黑体"/>
          <w:sz w:val="21"/>
          <w:szCs w:val="21"/>
        </w:rPr>
      </w:pPr>
      <w:r>
        <w:rPr>
          <w:rFonts w:hint="eastAsia"/>
        </w:rPr>
        <w:t>一期工程建设内容包括主体工程、公辅工程、依托工程和环保工程五个部分，组成汇总见表</w:t>
      </w:r>
      <w:bookmarkStart w:id="198" w:name="_Ref77035750"/>
      <w:r>
        <w:rPr>
          <w:rFonts w:hint="eastAsia"/>
        </w:rPr>
        <w:t>3.2-6。</w:t>
      </w:r>
    </w:p>
    <w:p w14:paraId="12CCE894">
      <w:pPr>
        <w:pStyle w:val="191"/>
        <w:ind w:firstLine="0" w:firstLineChars="0"/>
        <w:jc w:val="center"/>
        <w:rPr>
          <w:rFonts w:hint="eastAsia" w:ascii="黑体" w:hAnsi="黑体" w:eastAsia="黑体"/>
          <w:sz w:val="21"/>
          <w:szCs w:val="21"/>
          <w:lang w:bidi="ar"/>
        </w:rPr>
      </w:pPr>
      <w:bookmarkStart w:id="199" w:name="OLE_LINK27"/>
      <w:r>
        <w:rPr>
          <w:rFonts w:hint="eastAsia" w:ascii="黑体" w:hAnsi="黑体" w:eastAsia="黑体"/>
          <w:sz w:val="21"/>
          <w:szCs w:val="21"/>
        </w:rPr>
        <w:t>表</w:t>
      </w:r>
      <w:bookmarkEnd w:id="198"/>
      <w:r>
        <w:rPr>
          <w:rFonts w:ascii="黑体" w:hAnsi="黑体" w:eastAsia="黑体"/>
          <w:sz w:val="21"/>
          <w:szCs w:val="21"/>
        </w:rPr>
        <w:t>3.2</w:t>
      </w:r>
      <w:r>
        <w:rPr>
          <w:rFonts w:hint="eastAsia" w:ascii="黑体" w:hAnsi="黑体" w:eastAsia="黑体"/>
          <w:sz w:val="21"/>
          <w:szCs w:val="21"/>
        </w:rPr>
        <w:t>-6</w:t>
      </w:r>
      <w:r>
        <w:rPr>
          <w:rFonts w:ascii="黑体" w:hAnsi="黑体" w:eastAsia="黑体"/>
          <w:sz w:val="21"/>
          <w:szCs w:val="21"/>
          <w:lang w:bidi="ar"/>
        </w:rPr>
        <w:t xml:space="preserve">  </w:t>
      </w:r>
      <w:r>
        <w:rPr>
          <w:rFonts w:hint="eastAsia" w:ascii="黑体" w:hAnsi="黑体" w:eastAsia="黑体"/>
          <w:sz w:val="21"/>
          <w:szCs w:val="21"/>
          <w:lang w:bidi="ar"/>
        </w:rPr>
        <w:t>一期工程</w:t>
      </w:r>
      <w:bookmarkStart w:id="200" w:name="OLE_LINK26"/>
      <w:r>
        <w:rPr>
          <w:rFonts w:hint="eastAsia" w:ascii="黑体" w:hAnsi="黑体" w:eastAsia="黑体"/>
          <w:sz w:val="21"/>
          <w:szCs w:val="21"/>
          <w:lang w:bidi="ar"/>
        </w:rPr>
        <w:t>组</w:t>
      </w:r>
      <w:bookmarkEnd w:id="200"/>
      <w:r>
        <w:rPr>
          <w:rFonts w:hint="eastAsia" w:ascii="黑体" w:hAnsi="黑体" w:eastAsia="黑体"/>
          <w:sz w:val="21"/>
          <w:szCs w:val="21"/>
          <w:lang w:bidi="ar"/>
        </w:rPr>
        <w:t>成情况一览表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571"/>
        <w:gridCol w:w="716"/>
        <w:gridCol w:w="1140"/>
        <w:gridCol w:w="6359"/>
      </w:tblGrid>
      <w:tr w14:paraId="0FEC243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blHeader/>
          <w:jc w:val="center"/>
        </w:trPr>
        <w:tc>
          <w:tcPr>
            <w:tcW w:w="325" w:type="pct"/>
            <w:vAlign w:val="center"/>
          </w:tcPr>
          <w:p w14:paraId="5A032EEF">
            <w:pPr>
              <w:widowControl/>
              <w:overflowPunct w:val="0"/>
              <w:adjustRightInd w:val="0"/>
              <w:snapToGrid w:val="0"/>
              <w:spacing w:line="300" w:lineRule="exact"/>
              <w:jc w:val="center"/>
              <w:rPr>
                <w:rFonts w:hint="eastAsia" w:ascii="宋体" w:hAnsi="宋体"/>
                <w:snapToGrid w:val="0"/>
                <w:kern w:val="0"/>
                <w:szCs w:val="21"/>
              </w:rPr>
            </w:pPr>
            <w:bookmarkStart w:id="201" w:name="_Hlk63094264"/>
            <w:r>
              <w:rPr>
                <w:rFonts w:ascii="宋体" w:hAnsi="宋体"/>
                <w:snapToGrid w:val="0"/>
                <w:kern w:val="0"/>
                <w:szCs w:val="21"/>
              </w:rPr>
              <w:t>类别</w:t>
            </w:r>
          </w:p>
        </w:tc>
        <w:tc>
          <w:tcPr>
            <w:tcW w:w="4675" w:type="pct"/>
            <w:gridSpan w:val="3"/>
            <w:vAlign w:val="center"/>
          </w:tcPr>
          <w:p w14:paraId="472C775E">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具体内容</w:t>
            </w:r>
          </w:p>
        </w:tc>
      </w:tr>
      <w:tr w14:paraId="3A88F72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restart"/>
            <w:vAlign w:val="center"/>
          </w:tcPr>
          <w:p w14:paraId="71374938">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主体</w:t>
            </w:r>
          </w:p>
          <w:p w14:paraId="7100DC5B">
            <w:pPr>
              <w:widowControl/>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1056" w:type="pct"/>
            <w:gridSpan w:val="2"/>
            <w:tcBorders>
              <w:bottom w:val="single" w:color="auto" w:sz="4" w:space="0"/>
            </w:tcBorders>
            <w:vAlign w:val="center"/>
          </w:tcPr>
          <w:p w14:paraId="67065AFC">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钻前工程</w:t>
            </w:r>
          </w:p>
        </w:tc>
        <w:tc>
          <w:tcPr>
            <w:tcW w:w="3619" w:type="pct"/>
            <w:vAlign w:val="center"/>
          </w:tcPr>
          <w:p w14:paraId="79DD5168">
            <w:pPr>
              <w:pStyle w:val="117"/>
              <w:adjustRightInd w:val="0"/>
              <w:snapToGrid w:val="0"/>
              <w:spacing w:line="300" w:lineRule="exact"/>
              <w:ind w:firstLine="0" w:firstLineChars="0"/>
              <w:rPr>
                <w:rFonts w:hint="eastAsia"/>
                <w:snapToGrid w:val="0"/>
                <w:kern w:val="0"/>
                <w:sz w:val="21"/>
                <w:szCs w:val="21"/>
              </w:rPr>
            </w:pPr>
            <w:r>
              <w:rPr>
                <w:rFonts w:hint="eastAsia"/>
                <w:snapToGrid w:val="0"/>
                <w:kern w:val="0"/>
                <w:sz w:val="21"/>
                <w:szCs w:val="21"/>
              </w:rPr>
              <w:t>钻前工程包括井场平整、铺垫、钻机基础、探临道路等建设，以及设备进场；5口井位于1座井场内，本次新建1座采油井场、1座生活营地、探临道路200m。</w:t>
            </w:r>
          </w:p>
        </w:tc>
      </w:tr>
      <w:tr w14:paraId="01276F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75CCBFBD">
            <w:pPr>
              <w:widowControl/>
              <w:overflowPunct w:val="0"/>
              <w:adjustRightInd w:val="0"/>
              <w:snapToGrid w:val="0"/>
              <w:spacing w:line="300" w:lineRule="exact"/>
              <w:jc w:val="center"/>
              <w:rPr>
                <w:rFonts w:hint="eastAsia" w:ascii="宋体" w:hAnsi="宋体"/>
                <w:snapToGrid w:val="0"/>
                <w:kern w:val="0"/>
                <w:szCs w:val="21"/>
              </w:rPr>
            </w:pPr>
          </w:p>
        </w:tc>
        <w:tc>
          <w:tcPr>
            <w:tcW w:w="1056" w:type="pct"/>
            <w:gridSpan w:val="2"/>
            <w:tcBorders>
              <w:bottom w:val="single" w:color="auto" w:sz="4" w:space="0"/>
            </w:tcBorders>
            <w:vAlign w:val="center"/>
          </w:tcPr>
          <w:p w14:paraId="444CA395">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钻井工程</w:t>
            </w:r>
          </w:p>
        </w:tc>
        <w:tc>
          <w:tcPr>
            <w:tcW w:w="3619" w:type="pct"/>
            <w:vAlign w:val="center"/>
          </w:tcPr>
          <w:p w14:paraId="4B2C64E5">
            <w:pPr>
              <w:pStyle w:val="117"/>
              <w:adjustRightInd w:val="0"/>
              <w:snapToGrid w:val="0"/>
              <w:spacing w:line="300" w:lineRule="exact"/>
              <w:ind w:firstLine="0" w:firstLineChars="0"/>
              <w:rPr>
                <w:rFonts w:hint="eastAsia"/>
                <w:snapToGrid w:val="0"/>
                <w:kern w:val="0"/>
                <w:sz w:val="21"/>
                <w:szCs w:val="21"/>
              </w:rPr>
            </w:pPr>
            <w:r>
              <w:rPr>
                <w:rFonts w:hint="eastAsia"/>
                <w:snapToGrid w:val="0"/>
                <w:kern w:val="0"/>
                <w:sz w:val="21"/>
                <w:szCs w:val="21"/>
              </w:rPr>
              <w:t>新钻5口采油井，合计钻井进尺为</w:t>
            </w:r>
            <w:r>
              <w:rPr>
                <w:rFonts w:hint="eastAsia"/>
                <w:kern w:val="0"/>
                <w:sz w:val="21"/>
                <w:szCs w:val="21"/>
              </w:rPr>
              <w:t>27593m</w:t>
            </w:r>
            <w:r>
              <w:rPr>
                <w:rFonts w:hint="eastAsia"/>
                <w:snapToGrid w:val="0"/>
                <w:kern w:val="0"/>
                <w:sz w:val="21"/>
                <w:szCs w:val="21"/>
              </w:rPr>
              <w:t>；每口井均采用二开井身结构，一开采用水基钻井液体系，二开采用油基钻井液体系</w:t>
            </w:r>
          </w:p>
        </w:tc>
      </w:tr>
      <w:tr w14:paraId="737F3AD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50919A18">
            <w:pPr>
              <w:widowControl/>
              <w:overflowPunct w:val="0"/>
              <w:adjustRightInd w:val="0"/>
              <w:snapToGrid w:val="0"/>
              <w:spacing w:line="300" w:lineRule="exact"/>
              <w:jc w:val="center"/>
              <w:rPr>
                <w:rFonts w:hint="eastAsia" w:ascii="宋体" w:hAnsi="宋体"/>
                <w:snapToGrid w:val="0"/>
                <w:kern w:val="0"/>
                <w:szCs w:val="21"/>
              </w:rPr>
            </w:pPr>
          </w:p>
        </w:tc>
        <w:tc>
          <w:tcPr>
            <w:tcW w:w="407" w:type="pct"/>
            <w:vMerge w:val="restart"/>
            <w:tcBorders>
              <w:top w:val="single" w:color="auto" w:sz="4" w:space="0"/>
              <w:right w:val="single" w:color="auto" w:sz="4" w:space="0"/>
            </w:tcBorders>
            <w:vAlign w:val="center"/>
          </w:tcPr>
          <w:p w14:paraId="7CD158F1">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采油井场</w:t>
            </w:r>
          </w:p>
        </w:tc>
        <w:tc>
          <w:tcPr>
            <w:tcW w:w="649" w:type="pct"/>
            <w:tcBorders>
              <w:left w:val="single" w:color="auto" w:sz="4" w:space="0"/>
            </w:tcBorders>
            <w:vAlign w:val="center"/>
          </w:tcPr>
          <w:p w14:paraId="064E07AC">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采油平台</w:t>
            </w:r>
          </w:p>
        </w:tc>
        <w:tc>
          <w:tcPr>
            <w:tcW w:w="3619" w:type="pct"/>
            <w:vAlign w:val="center"/>
          </w:tcPr>
          <w:p w14:paraId="7A88F72C">
            <w:pPr>
              <w:pStyle w:val="117"/>
              <w:adjustRightInd w:val="0"/>
              <w:snapToGrid w:val="0"/>
              <w:spacing w:line="300" w:lineRule="exact"/>
              <w:ind w:firstLine="0" w:firstLineChars="0"/>
              <w:rPr>
                <w:rFonts w:hint="eastAsia"/>
                <w:snapToGrid w:val="0"/>
                <w:kern w:val="0"/>
                <w:sz w:val="21"/>
                <w:szCs w:val="21"/>
              </w:rPr>
            </w:pPr>
            <w:r>
              <w:rPr>
                <w:rFonts w:hint="eastAsia"/>
                <w:snapToGrid w:val="0"/>
                <w:kern w:val="0"/>
                <w:sz w:val="21"/>
                <w:szCs w:val="21"/>
              </w:rPr>
              <w:t>新建5井式采油平台1座，包括5口采油井。</w:t>
            </w:r>
          </w:p>
        </w:tc>
      </w:tr>
      <w:tr w14:paraId="0730547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337E23BA">
            <w:pPr>
              <w:widowControl/>
              <w:overflowPunct w:val="0"/>
              <w:adjustRightInd w:val="0"/>
              <w:snapToGrid w:val="0"/>
              <w:spacing w:line="300" w:lineRule="exact"/>
              <w:jc w:val="center"/>
              <w:rPr>
                <w:rFonts w:hint="eastAsia" w:ascii="宋体" w:hAnsi="宋体"/>
                <w:snapToGrid w:val="0"/>
                <w:kern w:val="0"/>
                <w:szCs w:val="21"/>
              </w:rPr>
            </w:pPr>
          </w:p>
        </w:tc>
        <w:tc>
          <w:tcPr>
            <w:tcW w:w="407" w:type="pct"/>
            <w:vMerge w:val="continue"/>
            <w:tcBorders>
              <w:right w:val="single" w:color="auto" w:sz="4" w:space="0"/>
            </w:tcBorders>
            <w:vAlign w:val="center"/>
          </w:tcPr>
          <w:p w14:paraId="092D75E2">
            <w:pPr>
              <w:adjustRightInd w:val="0"/>
              <w:snapToGrid w:val="0"/>
              <w:spacing w:line="300" w:lineRule="exact"/>
              <w:jc w:val="center"/>
              <w:rPr>
                <w:rFonts w:hint="eastAsia" w:ascii="宋体" w:hAnsi="宋体"/>
                <w:snapToGrid w:val="0"/>
                <w:kern w:val="0"/>
                <w:szCs w:val="21"/>
              </w:rPr>
            </w:pPr>
          </w:p>
        </w:tc>
        <w:tc>
          <w:tcPr>
            <w:tcW w:w="649" w:type="pct"/>
            <w:tcBorders>
              <w:left w:val="single" w:color="auto" w:sz="4" w:space="0"/>
            </w:tcBorders>
            <w:vAlign w:val="center"/>
          </w:tcPr>
          <w:p w14:paraId="30101460">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井口装置</w:t>
            </w:r>
          </w:p>
        </w:tc>
        <w:tc>
          <w:tcPr>
            <w:tcW w:w="3619" w:type="pct"/>
            <w:vAlign w:val="center"/>
          </w:tcPr>
          <w:p w14:paraId="73EA8655">
            <w:pPr>
              <w:pStyle w:val="191"/>
              <w:adjustRightInd w:val="0"/>
              <w:snapToGrid w:val="0"/>
              <w:spacing w:line="300" w:lineRule="exact"/>
              <w:ind w:firstLine="0" w:firstLineChars="0"/>
              <w:rPr>
                <w:rFonts w:hint="eastAsia"/>
                <w:snapToGrid w:val="0"/>
                <w:sz w:val="21"/>
                <w:szCs w:val="21"/>
              </w:rPr>
            </w:pPr>
            <w:r>
              <w:rPr>
                <w:rFonts w:hint="eastAsia"/>
                <w:snapToGrid w:val="0"/>
                <w:sz w:val="21"/>
                <w:szCs w:val="21"/>
              </w:rPr>
              <w:t>新建5座井口装置，采用DN65  105MPa采油井口，井口采用投捞式电潜螺杆泵，配套电机功率</w:t>
            </w:r>
            <w:r>
              <w:rPr>
                <w:snapToGrid w:val="0"/>
                <w:sz w:val="21"/>
                <w:szCs w:val="21"/>
              </w:rPr>
              <w:t>22kW</w:t>
            </w:r>
            <w:r>
              <w:rPr>
                <w:rFonts w:hint="eastAsia"/>
                <w:snapToGrid w:val="0"/>
                <w:sz w:val="21"/>
                <w:szCs w:val="21"/>
              </w:rPr>
              <w:t>。</w:t>
            </w:r>
          </w:p>
        </w:tc>
      </w:tr>
      <w:tr w14:paraId="4F194CF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6424BD6E">
            <w:pPr>
              <w:widowControl/>
              <w:overflowPunct w:val="0"/>
              <w:adjustRightInd w:val="0"/>
              <w:snapToGrid w:val="0"/>
              <w:spacing w:line="300" w:lineRule="exact"/>
              <w:jc w:val="center"/>
              <w:rPr>
                <w:rFonts w:hint="eastAsia" w:ascii="宋体" w:hAnsi="宋体"/>
                <w:snapToGrid w:val="0"/>
                <w:kern w:val="0"/>
                <w:szCs w:val="21"/>
              </w:rPr>
            </w:pPr>
          </w:p>
        </w:tc>
        <w:tc>
          <w:tcPr>
            <w:tcW w:w="407" w:type="pct"/>
            <w:vMerge w:val="continue"/>
            <w:tcBorders>
              <w:right w:val="single" w:color="auto" w:sz="4" w:space="0"/>
            </w:tcBorders>
            <w:vAlign w:val="center"/>
          </w:tcPr>
          <w:p w14:paraId="70841640">
            <w:pPr>
              <w:adjustRightInd w:val="0"/>
              <w:snapToGrid w:val="0"/>
              <w:spacing w:line="300" w:lineRule="exact"/>
              <w:jc w:val="center"/>
              <w:rPr>
                <w:rFonts w:hint="eastAsia" w:ascii="宋体" w:hAnsi="宋体"/>
                <w:snapToGrid w:val="0"/>
                <w:kern w:val="0"/>
                <w:szCs w:val="21"/>
              </w:rPr>
            </w:pPr>
          </w:p>
        </w:tc>
        <w:tc>
          <w:tcPr>
            <w:tcW w:w="649" w:type="pct"/>
            <w:tcBorders>
              <w:left w:val="single" w:color="auto" w:sz="4" w:space="0"/>
            </w:tcBorders>
            <w:vAlign w:val="center"/>
          </w:tcPr>
          <w:p w14:paraId="165687AB">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除硫加药装置</w:t>
            </w:r>
          </w:p>
        </w:tc>
        <w:tc>
          <w:tcPr>
            <w:tcW w:w="3619" w:type="pct"/>
            <w:vAlign w:val="center"/>
          </w:tcPr>
          <w:p w14:paraId="109F6CB0">
            <w:pPr>
              <w:pStyle w:val="191"/>
              <w:adjustRightInd w:val="0"/>
              <w:snapToGrid w:val="0"/>
              <w:spacing w:line="300" w:lineRule="exact"/>
              <w:ind w:firstLine="0" w:firstLineChars="0"/>
              <w:rPr>
                <w:rFonts w:hint="eastAsia"/>
                <w:snapToGrid w:val="0"/>
                <w:sz w:val="21"/>
                <w:szCs w:val="21"/>
              </w:rPr>
            </w:pPr>
            <w:r>
              <w:rPr>
                <w:rFonts w:hint="eastAsia"/>
                <w:snapToGrid w:val="0"/>
                <w:sz w:val="21"/>
                <w:szCs w:val="21"/>
              </w:rPr>
              <w:t>井口配套建设1座3m</w:t>
            </w:r>
            <w:r>
              <w:rPr>
                <w:rFonts w:hint="eastAsia"/>
                <w:snapToGrid w:val="0"/>
                <w:sz w:val="21"/>
                <w:szCs w:val="21"/>
                <w:vertAlign w:val="superscript"/>
              </w:rPr>
              <w:t>3</w:t>
            </w:r>
            <w:r>
              <w:rPr>
                <w:rFonts w:hint="eastAsia"/>
                <w:snapToGrid w:val="0"/>
                <w:sz w:val="21"/>
                <w:szCs w:val="21"/>
              </w:rPr>
              <w:t>除硫加药装置、1座10m</w:t>
            </w:r>
            <w:r>
              <w:rPr>
                <w:rFonts w:hint="eastAsia"/>
                <w:snapToGrid w:val="0"/>
                <w:sz w:val="21"/>
                <w:szCs w:val="21"/>
                <w:vertAlign w:val="superscript"/>
              </w:rPr>
              <w:t>3</w:t>
            </w:r>
            <w:r>
              <w:rPr>
                <w:rFonts w:hint="eastAsia"/>
                <w:snapToGrid w:val="0"/>
                <w:sz w:val="21"/>
                <w:szCs w:val="21"/>
              </w:rPr>
              <w:t>除硫加药装置。</w:t>
            </w:r>
          </w:p>
        </w:tc>
      </w:tr>
      <w:tr w14:paraId="1A76071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18A98B73">
            <w:pPr>
              <w:widowControl/>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02D8443C">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采油平台</w:t>
            </w:r>
          </w:p>
          <w:p w14:paraId="3B5782B6">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计量拉油站</w:t>
            </w:r>
          </w:p>
        </w:tc>
        <w:tc>
          <w:tcPr>
            <w:tcW w:w="3619" w:type="pct"/>
            <w:vAlign w:val="center"/>
          </w:tcPr>
          <w:p w14:paraId="273E41FB">
            <w:pPr>
              <w:pStyle w:val="191"/>
              <w:adjustRightInd w:val="0"/>
              <w:snapToGrid w:val="0"/>
              <w:spacing w:line="300" w:lineRule="exact"/>
              <w:ind w:firstLine="0" w:firstLineChars="0"/>
              <w:rPr>
                <w:rFonts w:hint="eastAsia"/>
                <w:snapToGrid w:val="0"/>
                <w:sz w:val="21"/>
                <w:szCs w:val="21"/>
              </w:rPr>
            </w:pPr>
            <w:r>
              <w:rPr>
                <w:rFonts w:hint="eastAsia"/>
                <w:snapToGrid w:val="0"/>
                <w:sz w:val="21"/>
                <w:szCs w:val="21"/>
              </w:rPr>
              <w:t>新建采油平台计量拉油站1座（17号采油平台计量拉油站），</w:t>
            </w:r>
            <w:bookmarkStart w:id="202" w:name="OLE_LINK39"/>
            <w:r>
              <w:rPr>
                <w:rFonts w:hint="eastAsia"/>
                <w:snapToGrid w:val="0"/>
                <w:sz w:val="21"/>
                <w:szCs w:val="21"/>
              </w:rPr>
              <w:t>站内设1座8井式液量含水自动计量装置、1座200kW电加热装置、1座生产分离器、5座60m</w:t>
            </w:r>
            <w:r>
              <w:rPr>
                <w:rFonts w:hint="eastAsia"/>
                <w:snapToGrid w:val="0"/>
                <w:sz w:val="21"/>
                <w:szCs w:val="21"/>
                <w:vertAlign w:val="superscript"/>
              </w:rPr>
              <w:t>3</w:t>
            </w:r>
            <w:r>
              <w:rPr>
                <w:rFonts w:hint="eastAsia"/>
                <w:snapToGrid w:val="0"/>
                <w:sz w:val="21"/>
                <w:szCs w:val="21"/>
              </w:rPr>
              <w:t>的拉油方罐、1座放空火炬。</w:t>
            </w:r>
            <w:bookmarkEnd w:id="202"/>
          </w:p>
        </w:tc>
      </w:tr>
      <w:tr w14:paraId="6C81212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4859AFBF">
            <w:pPr>
              <w:widowControl/>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33B8021D">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集输管线</w:t>
            </w:r>
          </w:p>
        </w:tc>
        <w:tc>
          <w:tcPr>
            <w:tcW w:w="3619" w:type="pct"/>
            <w:vAlign w:val="center"/>
          </w:tcPr>
          <w:p w14:paraId="3535D034">
            <w:pPr>
              <w:pStyle w:val="191"/>
              <w:adjustRightInd w:val="0"/>
              <w:snapToGrid w:val="0"/>
              <w:spacing w:line="300" w:lineRule="exact"/>
              <w:ind w:firstLine="0" w:firstLineChars="0"/>
              <w:rPr>
                <w:rFonts w:hint="eastAsia"/>
                <w:snapToGrid w:val="0"/>
                <w:sz w:val="21"/>
                <w:szCs w:val="21"/>
              </w:rPr>
            </w:pPr>
            <w:r>
              <w:rPr>
                <w:rFonts w:hint="eastAsia" w:cs="宋体"/>
                <w:snapToGrid w:val="0"/>
                <w:sz w:val="21"/>
                <w:szCs w:val="21"/>
              </w:rPr>
              <w:t>新建井口至计量站/计量装置的单井采油管线0.5km，采用D76×5/20无缝钢管。</w:t>
            </w:r>
          </w:p>
        </w:tc>
      </w:tr>
      <w:tr w14:paraId="7A78FE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76069008">
            <w:pPr>
              <w:widowControl/>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74D06762">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储层改造工程</w:t>
            </w:r>
          </w:p>
        </w:tc>
        <w:tc>
          <w:tcPr>
            <w:tcW w:w="3619" w:type="pct"/>
            <w:vAlign w:val="center"/>
          </w:tcPr>
          <w:p w14:paraId="7A1B0AC4">
            <w:pPr>
              <w:pStyle w:val="191"/>
              <w:adjustRightInd w:val="0"/>
              <w:snapToGrid w:val="0"/>
              <w:spacing w:line="300" w:lineRule="exact"/>
              <w:ind w:firstLine="0" w:firstLineChars="0"/>
              <w:rPr>
                <w:rFonts w:hint="eastAsia" w:cs="宋体"/>
                <w:snapToGrid w:val="0"/>
                <w:sz w:val="21"/>
                <w:szCs w:val="21"/>
              </w:rPr>
            </w:pPr>
            <w:r>
              <w:rPr>
                <w:rFonts w:hint="eastAsia"/>
                <w:sz w:val="21"/>
                <w:szCs w:val="21"/>
              </w:rPr>
              <w:t>储层改造是为了提高油气井产量而对储层采取的一系列工程技术措施的总称；主要包括射孔、压裂。本项目单井压裂液（包括压裂液和酸化压裂液）用量为36000m</w:t>
            </w:r>
            <w:r>
              <w:rPr>
                <w:rFonts w:hint="eastAsia"/>
                <w:sz w:val="21"/>
                <w:szCs w:val="21"/>
                <w:vertAlign w:val="superscript"/>
              </w:rPr>
              <w:t>3</w:t>
            </w:r>
            <w:r>
              <w:rPr>
                <w:rFonts w:hint="eastAsia"/>
                <w:sz w:val="21"/>
                <w:szCs w:val="21"/>
              </w:rPr>
              <w:t>，5口井合计用量180000m</w:t>
            </w:r>
            <w:r>
              <w:rPr>
                <w:rFonts w:hint="eastAsia"/>
                <w:sz w:val="21"/>
                <w:szCs w:val="21"/>
                <w:vertAlign w:val="superscript"/>
              </w:rPr>
              <w:t>3</w:t>
            </w:r>
            <w:r>
              <w:rPr>
                <w:rFonts w:hint="eastAsia"/>
                <w:sz w:val="21"/>
                <w:szCs w:val="21"/>
              </w:rPr>
              <w:t>。</w:t>
            </w:r>
          </w:p>
        </w:tc>
      </w:tr>
      <w:tr w14:paraId="0FC550D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restart"/>
            <w:vAlign w:val="center"/>
          </w:tcPr>
          <w:p w14:paraId="38D733C0">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公用</w:t>
            </w:r>
          </w:p>
          <w:p w14:paraId="32E90D90">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1056" w:type="pct"/>
            <w:gridSpan w:val="2"/>
            <w:vAlign w:val="center"/>
          </w:tcPr>
          <w:p w14:paraId="31BA2BB9">
            <w:pPr>
              <w:adjustRightInd w:val="0"/>
              <w:snapToGrid w:val="0"/>
              <w:spacing w:line="300" w:lineRule="exact"/>
              <w:jc w:val="center"/>
              <w:rPr>
                <w:rFonts w:hint="eastAsia" w:ascii="宋体" w:hAnsi="宋体"/>
                <w:snapToGrid w:val="0"/>
                <w:kern w:val="0"/>
                <w:szCs w:val="21"/>
              </w:rPr>
            </w:pPr>
            <w:r>
              <w:rPr>
                <w:rFonts w:hint="eastAsia" w:ascii="宋体" w:hAnsi="宋体" w:cs="宋体"/>
                <w:snapToGrid w:val="0"/>
                <w:kern w:val="0"/>
                <w:szCs w:val="21"/>
              </w:rPr>
              <w:t>供配电</w:t>
            </w:r>
          </w:p>
        </w:tc>
        <w:tc>
          <w:tcPr>
            <w:tcW w:w="3619" w:type="pct"/>
            <w:vAlign w:val="center"/>
          </w:tcPr>
          <w:p w14:paraId="4E2C2CF3">
            <w:pPr>
              <w:pStyle w:val="191"/>
              <w:adjustRightInd w:val="0"/>
              <w:snapToGrid w:val="0"/>
              <w:spacing w:line="300" w:lineRule="exact"/>
              <w:ind w:firstLine="0" w:firstLineChars="0"/>
              <w:rPr>
                <w:rFonts w:hint="eastAsia"/>
                <w:snapToGrid w:val="0"/>
                <w:sz w:val="21"/>
                <w:szCs w:val="21"/>
              </w:rPr>
            </w:pPr>
            <w:r>
              <w:rPr>
                <w:rFonts w:hint="eastAsia" w:cs="宋体"/>
                <w:snapToGrid w:val="0"/>
                <w:sz w:val="21"/>
                <w:szCs w:val="21"/>
              </w:rPr>
              <w:t>采用单变压器带多井的配电方式，集油区</w:t>
            </w:r>
            <w:r>
              <w:rPr>
                <w:rFonts w:cs="宋体"/>
                <w:snapToGrid w:val="0"/>
                <w:sz w:val="21"/>
                <w:szCs w:val="21"/>
              </w:rPr>
              <w:t>10kV</w:t>
            </w:r>
            <w:r>
              <w:rPr>
                <w:rFonts w:hint="eastAsia" w:cs="宋体"/>
                <w:snapToGrid w:val="0"/>
                <w:sz w:val="21"/>
                <w:szCs w:val="21"/>
              </w:rPr>
              <w:t>电网采用环网供电模式，开环运行；集油区电源引自就近的</w:t>
            </w:r>
            <w:r>
              <w:rPr>
                <w:rFonts w:cs="宋体"/>
                <w:snapToGrid w:val="0"/>
                <w:sz w:val="21"/>
                <w:szCs w:val="21"/>
              </w:rPr>
              <w:t>10kV</w:t>
            </w:r>
            <w:r>
              <w:rPr>
                <w:rFonts w:hint="eastAsia" w:cs="宋体"/>
                <w:snapToGrid w:val="0"/>
                <w:sz w:val="21"/>
                <w:szCs w:val="21"/>
              </w:rPr>
              <w:t>线路。根据地方供电部门要求，主线导线截面</w:t>
            </w:r>
            <w:r>
              <w:rPr>
                <w:rFonts w:cs="宋体"/>
                <w:snapToGrid w:val="0"/>
                <w:sz w:val="21"/>
                <w:szCs w:val="21"/>
              </w:rPr>
              <w:t>1</w:t>
            </w:r>
            <w:r>
              <w:rPr>
                <w:rFonts w:hint="eastAsia" w:cs="宋体"/>
                <w:snapToGrid w:val="0"/>
                <w:sz w:val="21"/>
                <w:szCs w:val="21"/>
              </w:rPr>
              <w:t>×</w:t>
            </w:r>
            <w:r>
              <w:rPr>
                <w:rFonts w:cs="宋体"/>
                <w:snapToGrid w:val="0"/>
                <w:sz w:val="21"/>
                <w:szCs w:val="21"/>
              </w:rPr>
              <w:t>JKLGYJ-95/20</w:t>
            </w:r>
            <w:r>
              <w:rPr>
                <w:rFonts w:hint="eastAsia" w:cs="宋体"/>
                <w:snapToGrid w:val="0"/>
                <w:sz w:val="21"/>
                <w:szCs w:val="21"/>
              </w:rPr>
              <w:t>，在线路“</w:t>
            </w:r>
            <w:r>
              <w:rPr>
                <w:rFonts w:cs="宋体"/>
                <w:snapToGrid w:val="0"/>
                <w:sz w:val="21"/>
                <w:szCs w:val="21"/>
              </w:rPr>
              <w:t>T</w:t>
            </w:r>
            <w:r>
              <w:rPr>
                <w:rFonts w:hint="eastAsia" w:cs="宋体"/>
                <w:snapToGrid w:val="0"/>
                <w:sz w:val="21"/>
                <w:szCs w:val="21"/>
              </w:rPr>
              <w:t>”接处及每隔</w:t>
            </w:r>
            <w:r>
              <w:rPr>
                <w:rFonts w:cs="宋体"/>
                <w:snapToGrid w:val="0"/>
                <w:sz w:val="21"/>
                <w:szCs w:val="21"/>
              </w:rPr>
              <w:t>2.0km</w:t>
            </w:r>
            <w:r>
              <w:rPr>
                <w:rFonts w:hint="eastAsia" w:cs="宋体"/>
                <w:snapToGrid w:val="0"/>
                <w:sz w:val="21"/>
                <w:szCs w:val="21"/>
              </w:rPr>
              <w:t>处和联络处设柱上真空断路器（附一体式隔离开关）、避雷器、短路故障指示器组。新建杆架式变电站电源引自就近的</w:t>
            </w:r>
            <w:r>
              <w:rPr>
                <w:rFonts w:cs="宋体"/>
                <w:snapToGrid w:val="0"/>
                <w:sz w:val="21"/>
                <w:szCs w:val="21"/>
              </w:rPr>
              <w:t>10kV</w:t>
            </w:r>
            <w:r>
              <w:rPr>
                <w:rFonts w:hint="eastAsia" w:cs="宋体"/>
                <w:snapToGrid w:val="0"/>
                <w:sz w:val="21"/>
                <w:szCs w:val="21"/>
              </w:rPr>
              <w:t>架空线路，变压器采用</w:t>
            </w:r>
            <w:r>
              <w:rPr>
                <w:rFonts w:cs="宋体"/>
                <w:snapToGrid w:val="0"/>
                <w:sz w:val="21"/>
                <w:szCs w:val="21"/>
              </w:rPr>
              <w:t>S13-M</w:t>
            </w:r>
            <w:r>
              <w:rPr>
                <w:rFonts w:hint="eastAsia" w:cs="宋体"/>
                <w:snapToGrid w:val="0"/>
                <w:sz w:val="21"/>
                <w:szCs w:val="21"/>
              </w:rPr>
              <w:t>节能型，杆变低压侧设置低压无功补偿装置，补偿后，功率因数在</w:t>
            </w:r>
            <w:r>
              <w:rPr>
                <w:rFonts w:cs="宋体"/>
                <w:snapToGrid w:val="0"/>
                <w:sz w:val="21"/>
                <w:szCs w:val="21"/>
              </w:rPr>
              <w:t>0.9</w:t>
            </w:r>
            <w:r>
              <w:rPr>
                <w:rFonts w:hint="eastAsia" w:cs="宋体"/>
                <w:snapToGrid w:val="0"/>
                <w:sz w:val="21"/>
                <w:szCs w:val="21"/>
              </w:rPr>
              <w:t>以上。</w:t>
            </w:r>
          </w:p>
        </w:tc>
      </w:tr>
      <w:tr w14:paraId="1586A0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1FBA93BC">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53C2480C">
            <w:pPr>
              <w:pStyle w:val="117"/>
              <w:adjustRightInd w:val="0"/>
              <w:snapToGrid w:val="0"/>
              <w:spacing w:line="300" w:lineRule="exact"/>
              <w:ind w:firstLine="0" w:firstLineChars="0"/>
              <w:jc w:val="center"/>
              <w:rPr>
                <w:rFonts w:hint="eastAsia"/>
                <w:snapToGrid w:val="0"/>
                <w:kern w:val="0"/>
                <w:sz w:val="21"/>
                <w:szCs w:val="21"/>
              </w:rPr>
            </w:pPr>
            <w:r>
              <w:rPr>
                <w:rFonts w:hint="eastAsia" w:cs="宋体"/>
                <w:snapToGrid w:val="0"/>
                <w:kern w:val="0"/>
                <w:sz w:val="21"/>
                <w:szCs w:val="21"/>
              </w:rPr>
              <w:t>给排水</w:t>
            </w:r>
          </w:p>
        </w:tc>
        <w:tc>
          <w:tcPr>
            <w:tcW w:w="3619" w:type="pct"/>
            <w:vAlign w:val="center"/>
          </w:tcPr>
          <w:p w14:paraId="5F52C967">
            <w:pPr>
              <w:pStyle w:val="117"/>
              <w:adjustRightInd w:val="0"/>
              <w:snapToGrid w:val="0"/>
              <w:spacing w:line="300" w:lineRule="exact"/>
              <w:ind w:firstLine="0" w:firstLineChars="0"/>
              <w:rPr>
                <w:rFonts w:hint="eastAsia" w:cs="宋体"/>
                <w:snapToGrid w:val="0"/>
                <w:kern w:val="0"/>
                <w:sz w:val="21"/>
                <w:szCs w:val="21"/>
              </w:rPr>
            </w:pPr>
            <w:r>
              <w:rPr>
                <w:rFonts w:hint="eastAsia" w:cs="宋体"/>
                <w:snapToGrid w:val="0"/>
                <w:kern w:val="0"/>
                <w:sz w:val="21"/>
                <w:szCs w:val="21"/>
              </w:rPr>
              <w:t>施工期给水主要为管道试压用水、混凝土养护用水、生活用水；运营期用水主要为井下作业用水。井区位于荒漠地区，周围无成熟的供水管网，用水由罐车从红旗农场拉运至用水场地。</w:t>
            </w:r>
          </w:p>
          <w:p w14:paraId="0605547B">
            <w:pPr>
              <w:pStyle w:val="117"/>
              <w:adjustRightInd w:val="0"/>
              <w:snapToGrid w:val="0"/>
              <w:spacing w:line="300" w:lineRule="exact"/>
              <w:ind w:firstLine="0" w:firstLineChars="0"/>
              <w:rPr>
                <w:rFonts w:hint="eastAsia"/>
                <w:snapToGrid w:val="0"/>
                <w:kern w:val="0"/>
                <w:sz w:val="21"/>
                <w:szCs w:val="21"/>
              </w:rPr>
            </w:pPr>
            <w:r>
              <w:rPr>
                <w:rFonts w:hint="eastAsia" w:cs="宋体"/>
                <w:snapToGrid w:val="0"/>
                <w:kern w:val="0"/>
                <w:sz w:val="21"/>
                <w:szCs w:val="21"/>
              </w:rPr>
              <w:t>施工期排水主要为混凝土养护废水、管道试压废水和生活污水，管道试压废水和混凝土养护废水的污染物主要为悬浮物，用于项目区的洒水抑尘；生活污水排至生活营地内的防渗收集池内，定期拉运至吉木萨尔县生活污水处理厂处理。运营期排水主要为洗井废水、井下作业废液，洗井废水和井下作业废液由罐车拉运至页岩油联合站压裂返排液处理系统处理，经处理后出水水质满足《压裂酸化返排液处理技术规范》（Q/SY02012-2016）标准要求中相关标准后，用于压裂液复配。</w:t>
            </w:r>
          </w:p>
        </w:tc>
      </w:tr>
      <w:tr w14:paraId="41C1915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68D80D9E">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438F53B8">
            <w:pPr>
              <w:pStyle w:val="117"/>
              <w:adjustRightInd w:val="0"/>
              <w:snapToGrid w:val="0"/>
              <w:spacing w:line="300" w:lineRule="exact"/>
              <w:ind w:firstLine="0" w:firstLineChars="0"/>
              <w:jc w:val="center"/>
              <w:rPr>
                <w:rFonts w:hint="eastAsia"/>
                <w:snapToGrid w:val="0"/>
                <w:kern w:val="0"/>
                <w:sz w:val="21"/>
                <w:szCs w:val="21"/>
              </w:rPr>
            </w:pPr>
            <w:r>
              <w:rPr>
                <w:rFonts w:hint="eastAsia" w:cs="宋体"/>
                <w:snapToGrid w:val="0"/>
                <w:kern w:val="0"/>
                <w:sz w:val="21"/>
                <w:szCs w:val="21"/>
              </w:rPr>
              <w:t>仪表自动化</w:t>
            </w:r>
          </w:p>
        </w:tc>
        <w:tc>
          <w:tcPr>
            <w:tcW w:w="3619" w:type="pct"/>
            <w:vAlign w:val="center"/>
          </w:tcPr>
          <w:p w14:paraId="6C8B9434">
            <w:pPr>
              <w:pStyle w:val="117"/>
              <w:adjustRightInd w:val="0"/>
              <w:snapToGrid w:val="0"/>
              <w:spacing w:line="300" w:lineRule="exact"/>
              <w:ind w:firstLine="0" w:firstLineChars="0"/>
              <w:rPr>
                <w:rFonts w:hint="eastAsia"/>
                <w:snapToGrid w:val="0"/>
                <w:kern w:val="0"/>
                <w:sz w:val="21"/>
                <w:szCs w:val="21"/>
              </w:rPr>
            </w:pPr>
            <w:r>
              <w:rPr>
                <w:rFonts w:hint="eastAsia" w:cs="宋体"/>
                <w:snapToGrid w:val="0"/>
                <w:kern w:val="0"/>
                <w:sz w:val="21"/>
                <w:szCs w:val="21"/>
              </w:rPr>
              <w:t>新增采油井井口仪表采用</w:t>
            </w:r>
            <w:r>
              <w:rPr>
                <w:rFonts w:cs="宋体"/>
                <w:snapToGrid w:val="0"/>
                <w:kern w:val="0"/>
                <w:sz w:val="21"/>
                <w:szCs w:val="21"/>
              </w:rPr>
              <w:t xml:space="preserve">ZigBee Pro </w:t>
            </w:r>
            <w:r>
              <w:rPr>
                <w:rFonts w:hint="eastAsia" w:cs="宋体"/>
                <w:snapToGrid w:val="0"/>
                <w:kern w:val="0"/>
                <w:sz w:val="21"/>
                <w:szCs w:val="21"/>
              </w:rPr>
              <w:t>无线仪表，井场设置</w:t>
            </w:r>
            <w:r>
              <w:rPr>
                <w:rFonts w:cs="宋体"/>
                <w:snapToGrid w:val="0"/>
                <w:kern w:val="0"/>
                <w:sz w:val="21"/>
                <w:szCs w:val="21"/>
              </w:rPr>
              <w:t>RTU</w:t>
            </w:r>
            <w:r>
              <w:rPr>
                <w:rFonts w:hint="eastAsia" w:cs="宋体"/>
                <w:snapToGrid w:val="0"/>
                <w:kern w:val="0"/>
                <w:sz w:val="21"/>
                <w:szCs w:val="21"/>
              </w:rPr>
              <w:t>和</w:t>
            </w:r>
            <w:r>
              <w:rPr>
                <w:rFonts w:cs="宋体"/>
                <w:snapToGrid w:val="0"/>
                <w:kern w:val="0"/>
                <w:sz w:val="21"/>
                <w:szCs w:val="21"/>
              </w:rPr>
              <w:t>5.8G</w:t>
            </w:r>
            <w:r>
              <w:rPr>
                <w:rFonts w:hint="eastAsia" w:cs="宋体"/>
                <w:snapToGrid w:val="0"/>
                <w:kern w:val="0"/>
                <w:sz w:val="21"/>
                <w:szCs w:val="21"/>
              </w:rPr>
              <w:t>无线网桥从站；</w:t>
            </w:r>
            <w:r>
              <w:rPr>
                <w:rFonts w:cs="宋体"/>
                <w:snapToGrid w:val="0"/>
                <w:kern w:val="0"/>
                <w:sz w:val="21"/>
                <w:szCs w:val="21"/>
              </w:rPr>
              <w:t>RTU</w:t>
            </w:r>
            <w:r>
              <w:rPr>
                <w:rFonts w:hint="eastAsia" w:cs="宋体"/>
                <w:snapToGrid w:val="0"/>
                <w:kern w:val="0"/>
                <w:sz w:val="21"/>
                <w:szCs w:val="21"/>
              </w:rPr>
              <w:t>及三相电参模块安装在物联网抽油机电控箱内弱电仓预留位置。计量站设</w:t>
            </w:r>
            <w:r>
              <w:rPr>
                <w:rFonts w:cs="宋体"/>
                <w:snapToGrid w:val="0"/>
                <w:kern w:val="0"/>
                <w:sz w:val="21"/>
                <w:szCs w:val="21"/>
              </w:rPr>
              <w:t>PCL</w:t>
            </w:r>
            <w:r>
              <w:rPr>
                <w:rFonts w:hint="eastAsia" w:cs="宋体"/>
                <w:snapToGrid w:val="0"/>
                <w:kern w:val="0"/>
                <w:sz w:val="21"/>
                <w:szCs w:val="21"/>
              </w:rPr>
              <w:t>控制箱，通过光缆接入油区</w:t>
            </w:r>
            <w:r>
              <w:rPr>
                <w:rFonts w:cs="宋体"/>
                <w:snapToGrid w:val="0"/>
                <w:kern w:val="0"/>
                <w:sz w:val="21"/>
                <w:szCs w:val="21"/>
              </w:rPr>
              <w:t>GPON</w:t>
            </w:r>
            <w:r>
              <w:rPr>
                <w:rFonts w:hint="eastAsia" w:cs="宋体"/>
                <w:snapToGrid w:val="0"/>
                <w:kern w:val="0"/>
                <w:sz w:val="21"/>
                <w:szCs w:val="21"/>
              </w:rPr>
              <w:t>数据传输网络。</w:t>
            </w:r>
          </w:p>
        </w:tc>
      </w:tr>
      <w:tr w14:paraId="2912569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39F19996">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049DE750">
            <w:pPr>
              <w:pStyle w:val="191"/>
              <w:adjustRightInd w:val="0"/>
              <w:snapToGrid w:val="0"/>
              <w:spacing w:line="300" w:lineRule="exact"/>
              <w:ind w:firstLine="0" w:firstLineChars="0"/>
              <w:jc w:val="center"/>
              <w:rPr>
                <w:rFonts w:hint="eastAsia"/>
                <w:snapToGrid w:val="0"/>
                <w:sz w:val="21"/>
                <w:szCs w:val="21"/>
              </w:rPr>
            </w:pPr>
            <w:r>
              <w:rPr>
                <w:rFonts w:hint="eastAsia" w:cs="宋体"/>
                <w:snapToGrid w:val="0"/>
                <w:sz w:val="21"/>
                <w:szCs w:val="21"/>
              </w:rPr>
              <w:t>消防</w:t>
            </w:r>
          </w:p>
        </w:tc>
        <w:tc>
          <w:tcPr>
            <w:tcW w:w="3619" w:type="pct"/>
            <w:vAlign w:val="center"/>
          </w:tcPr>
          <w:p w14:paraId="38BF970B">
            <w:pPr>
              <w:pStyle w:val="191"/>
              <w:adjustRightInd w:val="0"/>
              <w:snapToGrid w:val="0"/>
              <w:spacing w:line="300" w:lineRule="exact"/>
              <w:ind w:firstLine="0" w:firstLineChars="0"/>
              <w:rPr>
                <w:rFonts w:hint="eastAsia"/>
                <w:snapToGrid w:val="0"/>
                <w:sz w:val="21"/>
                <w:szCs w:val="21"/>
              </w:rPr>
            </w:pPr>
            <w:r>
              <w:rPr>
                <w:rFonts w:hint="eastAsia" w:cs="宋体"/>
                <w:snapToGrid w:val="0"/>
                <w:sz w:val="21"/>
                <w:szCs w:val="21"/>
              </w:rPr>
              <w:t>平台计量站设置</w:t>
            </w:r>
            <w:r>
              <w:rPr>
                <w:rFonts w:cs="宋体"/>
                <w:snapToGrid w:val="0"/>
                <w:sz w:val="21"/>
                <w:szCs w:val="21"/>
              </w:rPr>
              <w:t>4</w:t>
            </w:r>
            <w:r>
              <w:rPr>
                <w:rFonts w:hint="eastAsia" w:cs="宋体"/>
                <w:snapToGrid w:val="0"/>
                <w:sz w:val="21"/>
                <w:szCs w:val="21"/>
              </w:rPr>
              <w:t>具</w:t>
            </w:r>
            <w:r>
              <w:rPr>
                <w:rFonts w:cs="宋体"/>
                <w:snapToGrid w:val="0"/>
                <w:sz w:val="21"/>
                <w:szCs w:val="21"/>
              </w:rPr>
              <w:t>MF/ABC8</w:t>
            </w:r>
            <w:r>
              <w:rPr>
                <w:rFonts w:hint="eastAsia" w:cs="宋体"/>
                <w:snapToGrid w:val="0"/>
                <w:sz w:val="21"/>
                <w:szCs w:val="21"/>
              </w:rPr>
              <w:t>手提式磷酸铵盐干粉灭火器、</w:t>
            </w:r>
            <w:r>
              <w:rPr>
                <w:rFonts w:cs="宋体"/>
                <w:snapToGrid w:val="0"/>
                <w:sz w:val="21"/>
                <w:szCs w:val="21"/>
              </w:rPr>
              <w:t>2</w:t>
            </w:r>
            <w:r>
              <w:rPr>
                <w:rFonts w:hint="eastAsia" w:cs="宋体"/>
                <w:snapToGrid w:val="0"/>
                <w:sz w:val="21"/>
                <w:szCs w:val="21"/>
              </w:rPr>
              <w:t>具</w:t>
            </w:r>
            <w:r>
              <w:rPr>
                <w:rFonts w:cs="宋体"/>
                <w:snapToGrid w:val="0"/>
                <w:sz w:val="21"/>
                <w:szCs w:val="21"/>
              </w:rPr>
              <w:t>MT7</w:t>
            </w:r>
            <w:r>
              <w:rPr>
                <w:rFonts w:hint="eastAsia" w:cs="宋体"/>
                <w:snapToGrid w:val="0"/>
                <w:sz w:val="21"/>
                <w:szCs w:val="21"/>
              </w:rPr>
              <w:t>手提式二氧化碳灭火器。</w:t>
            </w:r>
          </w:p>
        </w:tc>
      </w:tr>
      <w:tr w14:paraId="53C5381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restart"/>
            <w:vAlign w:val="center"/>
          </w:tcPr>
          <w:p w14:paraId="52BE4F74">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环保</w:t>
            </w:r>
          </w:p>
          <w:p w14:paraId="69FAFE56">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工程</w:t>
            </w:r>
          </w:p>
        </w:tc>
        <w:tc>
          <w:tcPr>
            <w:tcW w:w="1056" w:type="pct"/>
            <w:gridSpan w:val="2"/>
            <w:vAlign w:val="center"/>
          </w:tcPr>
          <w:p w14:paraId="5CFC2A58">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废气</w:t>
            </w:r>
          </w:p>
        </w:tc>
        <w:tc>
          <w:tcPr>
            <w:tcW w:w="3619" w:type="pct"/>
            <w:vAlign w:val="center"/>
          </w:tcPr>
          <w:p w14:paraId="50F14A89">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施工期材料及临时土方采用防尘布覆盖，逸散性材料运输采用苫布遮盖；运营期计量拉油站（计量站）设置2套除硫加药装置，一期工程计量拉油站设置一根放空火炬。</w:t>
            </w:r>
          </w:p>
        </w:tc>
      </w:tr>
      <w:tr w14:paraId="584AE07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24396DC9">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4A356FB1">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噪声</w:t>
            </w:r>
          </w:p>
        </w:tc>
        <w:tc>
          <w:tcPr>
            <w:tcW w:w="3619" w:type="pct"/>
            <w:vAlign w:val="center"/>
          </w:tcPr>
          <w:p w14:paraId="7F0AB190">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井场内投捞式电潜螺杆泵设置的基础减振，井下作业时各机泵设置的基础减振。</w:t>
            </w:r>
            <w:r>
              <w:rPr>
                <w:snapToGrid w:val="0"/>
                <w:kern w:val="0"/>
                <w:sz w:val="21"/>
                <w:szCs w:val="21"/>
              </w:rPr>
              <w:t xml:space="preserve"> </w:t>
            </w:r>
          </w:p>
        </w:tc>
      </w:tr>
      <w:tr w14:paraId="4752B63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5004DD42">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65A91B32">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地下水</w:t>
            </w:r>
          </w:p>
        </w:tc>
        <w:tc>
          <w:tcPr>
            <w:tcW w:w="3619" w:type="pct"/>
            <w:vAlign w:val="center"/>
          </w:tcPr>
          <w:p w14:paraId="23852E6C">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井下作业时带罐作业；井场和计量站内的防渗措施以及井下作业过程中铺设的防渗材料。</w:t>
            </w:r>
          </w:p>
        </w:tc>
      </w:tr>
      <w:tr w14:paraId="0FAE93D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36602358">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2138C54E">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固体废物</w:t>
            </w:r>
          </w:p>
        </w:tc>
        <w:tc>
          <w:tcPr>
            <w:tcW w:w="3619" w:type="pct"/>
            <w:vAlign w:val="center"/>
          </w:tcPr>
          <w:p w14:paraId="19F60F1D">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钻井期设置的1套不落地处理系统，井场设置的岩屑方罐</w:t>
            </w:r>
          </w:p>
        </w:tc>
      </w:tr>
      <w:tr w14:paraId="48AADAC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78FEAF73">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5D9DC40A">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环境风险</w:t>
            </w:r>
          </w:p>
        </w:tc>
        <w:tc>
          <w:tcPr>
            <w:tcW w:w="3619" w:type="pct"/>
            <w:vAlign w:val="center"/>
          </w:tcPr>
          <w:p w14:paraId="087697D1">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安装防喷器和井控装置，配备的消防器材。</w:t>
            </w:r>
          </w:p>
        </w:tc>
      </w:tr>
      <w:tr w14:paraId="4B7FACA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restart"/>
            <w:vAlign w:val="center"/>
          </w:tcPr>
          <w:p w14:paraId="4B25DCD6">
            <w:pPr>
              <w:overflowPunct w:val="0"/>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依托工程</w:t>
            </w:r>
          </w:p>
        </w:tc>
        <w:tc>
          <w:tcPr>
            <w:tcW w:w="1056" w:type="pct"/>
            <w:gridSpan w:val="2"/>
            <w:vAlign w:val="center"/>
          </w:tcPr>
          <w:p w14:paraId="0695CAB3">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原油</w:t>
            </w:r>
          </w:p>
        </w:tc>
        <w:tc>
          <w:tcPr>
            <w:tcW w:w="3619" w:type="pct"/>
            <w:vAlign w:val="center"/>
          </w:tcPr>
          <w:p w14:paraId="3B8DD70C">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依托页岩油联合站内的原油处理系统处理。</w:t>
            </w:r>
          </w:p>
        </w:tc>
      </w:tr>
      <w:tr w14:paraId="1A18EB1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7C0FF6A2">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0B758EE1">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洗井废水和井下作业废液</w:t>
            </w:r>
          </w:p>
        </w:tc>
        <w:tc>
          <w:tcPr>
            <w:tcW w:w="3619" w:type="pct"/>
            <w:vAlign w:val="center"/>
          </w:tcPr>
          <w:p w14:paraId="37F7021D">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依托压裂返排液处理系统处理。</w:t>
            </w:r>
          </w:p>
        </w:tc>
      </w:tr>
      <w:tr w14:paraId="41199BC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490012BF">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22DBFC1C">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伴生气</w:t>
            </w:r>
          </w:p>
        </w:tc>
        <w:tc>
          <w:tcPr>
            <w:tcW w:w="3619" w:type="pct"/>
            <w:vAlign w:val="center"/>
          </w:tcPr>
          <w:p w14:paraId="6C638607">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二期伴生气依托页岩油联合站内的伴生气处理装置处理。</w:t>
            </w:r>
          </w:p>
        </w:tc>
      </w:tr>
      <w:tr w14:paraId="10AEB8B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62D756DE">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7A2C6028">
            <w:pPr>
              <w:adjustRightInd w:val="0"/>
              <w:snapToGrid w:val="0"/>
              <w:spacing w:line="300" w:lineRule="exact"/>
              <w:jc w:val="center"/>
              <w:rPr>
                <w:rFonts w:hint="eastAsia" w:ascii="宋体" w:hAnsi="宋体"/>
                <w:snapToGrid w:val="0"/>
                <w:kern w:val="0"/>
                <w:szCs w:val="21"/>
              </w:rPr>
            </w:pPr>
            <w:r>
              <w:rPr>
                <w:rFonts w:hint="eastAsia" w:ascii="宋体" w:hAnsi="宋体"/>
                <w:snapToGrid w:val="0"/>
                <w:kern w:val="0"/>
                <w:szCs w:val="21"/>
              </w:rPr>
              <w:t>采出液和伴生气集输</w:t>
            </w:r>
          </w:p>
        </w:tc>
        <w:tc>
          <w:tcPr>
            <w:tcW w:w="3619" w:type="pct"/>
            <w:vAlign w:val="center"/>
          </w:tcPr>
          <w:p w14:paraId="1371D2C0">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采出液和伴生气集输依托阀池至页岩油联合站的集输管线</w:t>
            </w:r>
          </w:p>
        </w:tc>
      </w:tr>
      <w:tr w14:paraId="14F5CAA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0E7AD8A0">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19D51ABD">
            <w:pPr>
              <w:adjustRightInd w:val="0"/>
              <w:snapToGrid w:val="0"/>
              <w:spacing w:line="300" w:lineRule="exact"/>
              <w:jc w:val="center"/>
              <w:rPr>
                <w:rFonts w:hint="eastAsia" w:ascii="宋体" w:hAnsi="宋体"/>
                <w:snapToGrid w:val="0"/>
                <w:kern w:val="0"/>
                <w:szCs w:val="21"/>
              </w:rPr>
            </w:pPr>
            <w:r>
              <w:rPr>
                <w:rFonts w:hint="eastAsia"/>
              </w:rPr>
              <w:t>危险废物</w:t>
            </w:r>
          </w:p>
        </w:tc>
        <w:tc>
          <w:tcPr>
            <w:tcW w:w="3619" w:type="pct"/>
            <w:vAlign w:val="center"/>
          </w:tcPr>
          <w:p w14:paraId="1F6F895F">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交由有相应危险废物处理资质的单位回收处置。</w:t>
            </w:r>
          </w:p>
        </w:tc>
      </w:tr>
      <w:tr w14:paraId="37CF649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43E9EC9B">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0026D9D1">
            <w:pPr>
              <w:adjustRightInd w:val="0"/>
              <w:snapToGrid w:val="0"/>
              <w:spacing w:line="300" w:lineRule="exact"/>
              <w:jc w:val="center"/>
            </w:pPr>
            <w:r>
              <w:rPr>
                <w:rFonts w:hint="eastAsia"/>
              </w:rPr>
              <w:t>钻井岩屑</w:t>
            </w:r>
          </w:p>
        </w:tc>
        <w:tc>
          <w:tcPr>
            <w:tcW w:w="3619" w:type="pct"/>
            <w:vAlign w:val="center"/>
          </w:tcPr>
          <w:p w14:paraId="6D7EE2CB">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依托岩屑处置单位处理</w:t>
            </w:r>
          </w:p>
        </w:tc>
      </w:tr>
      <w:tr w14:paraId="0F7ED96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1A992EE8">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01A93AA6">
            <w:pPr>
              <w:adjustRightInd w:val="0"/>
              <w:snapToGrid w:val="0"/>
              <w:spacing w:line="300" w:lineRule="exact"/>
              <w:jc w:val="center"/>
            </w:pPr>
            <w:r>
              <w:rPr>
                <w:rFonts w:hint="eastAsia"/>
              </w:rPr>
              <w:t>生活污水</w:t>
            </w:r>
          </w:p>
        </w:tc>
        <w:tc>
          <w:tcPr>
            <w:tcW w:w="3619" w:type="pct"/>
            <w:vAlign w:val="center"/>
          </w:tcPr>
          <w:p w14:paraId="543BA6E7">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依托吉木萨尔县污水处理厂处理</w:t>
            </w:r>
          </w:p>
        </w:tc>
      </w:tr>
      <w:tr w14:paraId="51A33C2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325" w:type="pct"/>
            <w:vMerge w:val="continue"/>
            <w:vAlign w:val="center"/>
          </w:tcPr>
          <w:p w14:paraId="5033B437">
            <w:pPr>
              <w:overflowPunct w:val="0"/>
              <w:adjustRightInd w:val="0"/>
              <w:snapToGrid w:val="0"/>
              <w:spacing w:line="300" w:lineRule="exact"/>
              <w:jc w:val="center"/>
              <w:rPr>
                <w:rFonts w:hint="eastAsia" w:ascii="宋体" w:hAnsi="宋体"/>
                <w:snapToGrid w:val="0"/>
                <w:kern w:val="0"/>
                <w:szCs w:val="21"/>
              </w:rPr>
            </w:pPr>
          </w:p>
        </w:tc>
        <w:tc>
          <w:tcPr>
            <w:tcW w:w="1056" w:type="pct"/>
            <w:gridSpan w:val="2"/>
            <w:vAlign w:val="center"/>
          </w:tcPr>
          <w:p w14:paraId="6A957560">
            <w:pPr>
              <w:adjustRightInd w:val="0"/>
              <w:snapToGrid w:val="0"/>
              <w:spacing w:line="300" w:lineRule="exact"/>
              <w:jc w:val="center"/>
            </w:pPr>
            <w:r>
              <w:rPr>
                <w:rFonts w:hint="eastAsia"/>
              </w:rPr>
              <w:t>生活垃圾</w:t>
            </w:r>
          </w:p>
        </w:tc>
        <w:tc>
          <w:tcPr>
            <w:tcW w:w="3619" w:type="pct"/>
            <w:vAlign w:val="center"/>
          </w:tcPr>
          <w:p w14:paraId="02C4C416">
            <w:pPr>
              <w:pStyle w:val="117"/>
              <w:adjustRightInd w:val="0"/>
              <w:snapToGrid w:val="0"/>
              <w:spacing w:line="300" w:lineRule="exact"/>
              <w:ind w:firstLine="0" w:firstLineChars="0"/>
              <w:jc w:val="left"/>
              <w:rPr>
                <w:rFonts w:hint="eastAsia"/>
                <w:snapToGrid w:val="0"/>
                <w:kern w:val="0"/>
                <w:sz w:val="21"/>
                <w:szCs w:val="21"/>
              </w:rPr>
            </w:pPr>
            <w:r>
              <w:rPr>
                <w:rFonts w:hint="eastAsia"/>
                <w:snapToGrid w:val="0"/>
                <w:kern w:val="0"/>
                <w:sz w:val="21"/>
                <w:szCs w:val="21"/>
              </w:rPr>
              <w:t>依托吉木萨尔县生活垃圾填埋场处理</w:t>
            </w:r>
          </w:p>
        </w:tc>
      </w:tr>
      <w:bookmarkEnd w:id="199"/>
      <w:bookmarkEnd w:id="201"/>
    </w:tbl>
    <w:p w14:paraId="63A717F2">
      <w:pPr>
        <w:widowControl/>
        <w:adjustRightInd w:val="0"/>
        <w:snapToGrid w:val="0"/>
        <w:spacing w:line="500" w:lineRule="exact"/>
        <w:ind w:firstLine="480" w:firstLineChars="200"/>
        <w:rPr>
          <w:rFonts w:hint="eastAsia" w:ascii="宋体" w:hAnsi="宋体"/>
          <w:kern w:val="0"/>
          <w:sz w:val="24"/>
          <w:szCs w:val="24"/>
        </w:rPr>
      </w:pPr>
      <w:bookmarkStart w:id="203" w:name="OLE_LINK31"/>
      <w:r>
        <w:rPr>
          <w:rFonts w:hint="eastAsia" w:ascii="宋体" w:hAnsi="宋体"/>
          <w:kern w:val="0"/>
          <w:sz w:val="24"/>
          <w:szCs w:val="24"/>
        </w:rPr>
        <w:t>二期工程</w:t>
      </w:r>
      <w:bookmarkStart w:id="204" w:name="OLE_LINK32"/>
      <w:r>
        <w:rPr>
          <w:rFonts w:hint="eastAsia" w:ascii="宋体" w:hAnsi="宋体"/>
          <w:kern w:val="0"/>
          <w:sz w:val="24"/>
          <w:szCs w:val="24"/>
        </w:rPr>
        <w:t>新建计量站至及已建阀室的集油干线6km，</w:t>
      </w:r>
      <w:bookmarkStart w:id="205" w:name="OLE_LINK29"/>
      <w:r>
        <w:rPr>
          <w:rFonts w:hint="eastAsia" w:ascii="宋体" w:hAnsi="宋体"/>
          <w:kern w:val="0"/>
          <w:sz w:val="24"/>
          <w:szCs w:val="24"/>
        </w:rPr>
        <w:t>采用</w:t>
      </w:r>
      <w:r>
        <w:rPr>
          <w:rFonts w:ascii="宋体" w:hAnsi="宋体"/>
          <w:kern w:val="0"/>
          <w:sz w:val="24"/>
          <w:szCs w:val="24"/>
        </w:rPr>
        <w:t>DN</w:t>
      </w:r>
      <w:r>
        <w:rPr>
          <w:rFonts w:hint="eastAsia" w:ascii="宋体" w:hAnsi="宋体"/>
          <w:kern w:val="0"/>
          <w:sz w:val="24"/>
          <w:szCs w:val="24"/>
        </w:rPr>
        <w:t>20</w:t>
      </w:r>
      <w:r>
        <w:rPr>
          <w:rFonts w:ascii="宋体" w:hAnsi="宋体"/>
          <w:kern w:val="0"/>
          <w:sz w:val="24"/>
          <w:szCs w:val="24"/>
        </w:rPr>
        <w:t xml:space="preserve">0 3.5MPa </w:t>
      </w:r>
      <w:r>
        <w:rPr>
          <w:rFonts w:hint="eastAsia" w:ascii="宋体" w:hAnsi="宋体"/>
          <w:kern w:val="0"/>
          <w:sz w:val="24"/>
          <w:szCs w:val="24"/>
        </w:rPr>
        <w:t>高压玻璃纤维管线管（耐温</w:t>
      </w:r>
      <w:r>
        <w:rPr>
          <w:rFonts w:ascii="宋体" w:hAnsi="宋体"/>
          <w:kern w:val="0"/>
          <w:sz w:val="24"/>
          <w:szCs w:val="24"/>
        </w:rPr>
        <w:t>70</w:t>
      </w:r>
      <w:r>
        <w:rPr>
          <w:rFonts w:hint="eastAsia" w:ascii="宋体" w:hAnsi="宋体"/>
          <w:kern w:val="0"/>
          <w:sz w:val="24"/>
          <w:szCs w:val="24"/>
        </w:rPr>
        <w:t>℃）</w:t>
      </w:r>
      <w:bookmarkEnd w:id="204"/>
      <w:bookmarkEnd w:id="205"/>
      <w:r>
        <w:rPr>
          <w:rFonts w:hint="eastAsia" w:ascii="宋体" w:hAnsi="宋体"/>
          <w:kern w:val="0"/>
          <w:sz w:val="24"/>
          <w:szCs w:val="24"/>
        </w:rPr>
        <w:t>；</w:t>
      </w:r>
      <w:bookmarkStart w:id="206" w:name="OLE_LINK30"/>
      <w:bookmarkStart w:id="207" w:name="OLE_LINK43"/>
      <w:r>
        <w:rPr>
          <w:rFonts w:hint="eastAsia" w:ascii="宋体" w:hAnsi="宋体"/>
          <w:kern w:val="0"/>
          <w:sz w:val="24"/>
          <w:szCs w:val="24"/>
        </w:rPr>
        <w:t>拆除一期建设的生产分离器、拉油方罐和放空火炬，将集中拉油生产改为管线密闭集输生产</w:t>
      </w:r>
      <w:bookmarkEnd w:id="206"/>
      <w:r>
        <w:rPr>
          <w:rFonts w:hint="eastAsia" w:ascii="宋体" w:hAnsi="宋体"/>
          <w:kern w:val="0"/>
          <w:sz w:val="24"/>
          <w:szCs w:val="24"/>
        </w:rPr>
        <w:t>，伴生气由管线管输至页岩油联合站伴生气处理系统处理；一期建设的采油平台计量拉油站更名为采油平台计量站。</w:t>
      </w:r>
    </w:p>
    <w:p w14:paraId="65DEE3B1">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kern w:val="0"/>
          <w:sz w:val="24"/>
          <w:szCs w:val="24"/>
        </w:rPr>
        <w:t>二期工程的公用工程主要为给排水，给水主要为施工期管道试压用水，井区位于荒漠地区，周围无成熟的供水管网，用水由罐车从红旗农场拉运至用水场地。排水主要为管道试压废水，管道试压废水的污染物主要为悬浮物，用于项目区的洒水抑尘。运营期无废水产生。</w:t>
      </w:r>
    </w:p>
    <w:bookmarkEnd w:id="203"/>
    <w:bookmarkEnd w:id="207"/>
    <w:p w14:paraId="6A5869F8">
      <w:pPr>
        <w:pStyle w:val="117"/>
        <w:adjustRightInd w:val="0"/>
        <w:snapToGrid w:val="0"/>
        <w:ind w:firstLine="480"/>
        <w:rPr>
          <w:rFonts w:hint="eastAsia"/>
        </w:rPr>
      </w:pPr>
      <w:r>
        <w:rPr>
          <w:rFonts w:hint="eastAsia"/>
        </w:rPr>
        <w:t>（2）主体工程</w:t>
      </w:r>
    </w:p>
    <w:p w14:paraId="30455B1E">
      <w:pPr>
        <w:pStyle w:val="117"/>
        <w:adjustRightInd w:val="0"/>
        <w:snapToGrid w:val="0"/>
        <w:ind w:firstLine="480"/>
        <w:rPr>
          <w:rFonts w:hint="eastAsia"/>
        </w:rPr>
      </w:pPr>
      <w:r>
        <w:rPr>
          <w:rFonts w:hint="eastAsia"/>
        </w:rPr>
        <w:t>钻前工程、钻井工程、储层改造工程、采油井场、集中计量拉油站均在一期建设，集油干线在二期建设。</w:t>
      </w:r>
    </w:p>
    <w:p w14:paraId="2B32D933">
      <w:pPr>
        <w:pStyle w:val="117"/>
        <w:adjustRightInd w:val="0"/>
        <w:snapToGrid w:val="0"/>
        <w:ind w:firstLine="480"/>
        <w:rPr>
          <w:rFonts w:hint="eastAsia"/>
        </w:rPr>
      </w:pPr>
      <w:r>
        <w:rPr>
          <w:rFonts w:hint="eastAsia"/>
        </w:rPr>
        <w:t>①钻前工程</w:t>
      </w:r>
    </w:p>
    <w:p w14:paraId="78587AA7">
      <w:pPr>
        <w:pStyle w:val="117"/>
        <w:adjustRightInd w:val="0"/>
        <w:snapToGrid w:val="0"/>
        <w:ind w:firstLine="480"/>
        <w:rPr>
          <w:rFonts w:hint="eastAsia"/>
        </w:rPr>
      </w:pPr>
      <w:r>
        <w:rPr>
          <w:rFonts w:hint="eastAsia"/>
        </w:rPr>
        <w:t>钻前工程包括井场平整、铺垫、钻机基础、探临道路等建设，以及设备进场；5口井位于1座井场内，本次新建1座采油井场、1座生活营地、200m探临道路。</w:t>
      </w:r>
    </w:p>
    <w:p w14:paraId="71276372">
      <w:pPr>
        <w:pStyle w:val="117"/>
        <w:adjustRightInd w:val="0"/>
        <w:snapToGrid w:val="0"/>
        <w:ind w:firstLine="480"/>
        <w:rPr>
          <w:rFonts w:hint="eastAsia"/>
          <w:kern w:val="0"/>
        </w:rPr>
      </w:pPr>
      <w:r>
        <w:rPr>
          <w:rFonts w:hint="eastAsia"/>
          <w:kern w:val="0"/>
        </w:rPr>
        <w:t>②钻井工程</w:t>
      </w:r>
    </w:p>
    <w:p w14:paraId="32487CC5">
      <w:pPr>
        <w:pStyle w:val="117"/>
        <w:adjustRightInd w:val="0"/>
        <w:snapToGrid w:val="0"/>
        <w:ind w:firstLine="480"/>
        <w:rPr>
          <w:rFonts w:hint="eastAsia"/>
          <w:kern w:val="0"/>
        </w:rPr>
      </w:pPr>
      <w:r>
        <w:rPr>
          <w:rFonts w:hint="eastAsia"/>
          <w:kern w:val="0"/>
        </w:rPr>
        <w:t>※井号及井位坐标</w:t>
      </w:r>
    </w:p>
    <w:p w14:paraId="6912C5B5">
      <w:pPr>
        <w:pStyle w:val="117"/>
        <w:adjustRightInd w:val="0"/>
        <w:snapToGrid w:val="0"/>
        <w:ind w:firstLine="480"/>
        <w:rPr>
          <w:rFonts w:hint="eastAsia"/>
          <w:kern w:val="0"/>
        </w:rPr>
      </w:pPr>
      <w:r>
        <w:rPr>
          <w:rFonts w:hint="eastAsia"/>
          <w:kern w:val="0"/>
        </w:rPr>
        <w:t>本次新钻5口采油井，合计钻井进尺27593m，完钻层位P</w:t>
      </w:r>
      <w:r>
        <w:rPr>
          <w:rFonts w:hint="eastAsia"/>
          <w:kern w:val="0"/>
          <w:vertAlign w:val="subscript"/>
        </w:rPr>
        <w:t>2</w:t>
      </w:r>
      <w:r>
        <w:rPr>
          <w:rFonts w:hint="eastAsia"/>
          <w:kern w:val="0"/>
        </w:rPr>
        <w:t>l</w:t>
      </w:r>
      <w:r>
        <w:rPr>
          <w:rFonts w:hint="eastAsia"/>
          <w:kern w:val="0"/>
          <w:vertAlign w:val="subscript"/>
        </w:rPr>
        <w:t>2</w:t>
      </w:r>
      <w:r>
        <w:rPr>
          <w:kern w:val="0"/>
          <w:vertAlign w:val="superscript"/>
        </w:rPr>
        <w:t>2-</w:t>
      </w:r>
      <w:r>
        <w:rPr>
          <w:rFonts w:hint="eastAsia"/>
          <w:kern w:val="0"/>
          <w:vertAlign w:val="superscript"/>
        </w:rPr>
        <w:t>3</w:t>
      </w:r>
      <w:r>
        <w:rPr>
          <w:rFonts w:hint="eastAsia"/>
          <w:kern w:val="0"/>
        </w:rPr>
        <w:t>；每口井均采用二开井身结构，井号、井位坐标、完钻井深见表3.2-7，井位分布见图3.2-2。</w:t>
      </w:r>
    </w:p>
    <w:p w14:paraId="5617C8C6">
      <w:pPr>
        <w:pStyle w:val="191"/>
        <w:ind w:firstLine="0" w:firstLineChars="0"/>
        <w:jc w:val="center"/>
        <w:rPr>
          <w:rFonts w:hint="eastAsia" w:ascii="黑体" w:hAnsi="黑体" w:eastAsia="黑体" w:cs="宋体"/>
          <w:bCs/>
          <w:sz w:val="21"/>
          <w:szCs w:val="21"/>
          <w:lang w:bidi="ar"/>
        </w:rPr>
      </w:pPr>
      <w:r>
        <w:rPr>
          <w:rFonts w:hint="eastAsia" w:ascii="黑体" w:hAnsi="黑体" w:eastAsia="黑体" w:cs="宋体"/>
          <w:bCs/>
          <w:sz w:val="21"/>
          <w:szCs w:val="21"/>
          <w:lang w:bidi="ar"/>
        </w:rPr>
        <w:t>表3.2-7  部署井号、</w:t>
      </w:r>
      <w:r>
        <w:rPr>
          <w:rFonts w:ascii="黑体" w:hAnsi="黑体" w:eastAsia="黑体" w:cs="宋体"/>
          <w:bCs/>
          <w:sz w:val="21"/>
          <w:szCs w:val="21"/>
          <w:lang w:bidi="ar"/>
        </w:rPr>
        <w:t>井位</w:t>
      </w:r>
      <w:r>
        <w:rPr>
          <w:rFonts w:hint="eastAsia" w:ascii="黑体" w:hAnsi="黑体" w:eastAsia="黑体" w:cs="宋体"/>
          <w:bCs/>
          <w:sz w:val="21"/>
          <w:szCs w:val="21"/>
          <w:lang w:bidi="ar"/>
        </w:rPr>
        <w:t>坐标、钻井进尺</w:t>
      </w:r>
      <w:r>
        <w:rPr>
          <w:rFonts w:ascii="黑体" w:hAnsi="黑体" w:eastAsia="黑体" w:cs="宋体"/>
          <w:bCs/>
          <w:sz w:val="21"/>
          <w:szCs w:val="21"/>
          <w:lang w:bidi="ar"/>
        </w:rPr>
        <w:t>等参数一览表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30"/>
        <w:gridCol w:w="1612"/>
        <w:gridCol w:w="2027"/>
        <w:gridCol w:w="2240"/>
        <w:gridCol w:w="1218"/>
        <w:gridCol w:w="1219"/>
      </w:tblGrid>
      <w:tr w14:paraId="1FE4E9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vMerge w:val="restart"/>
            <w:shd w:val="clear" w:color="auto" w:fill="auto"/>
            <w:vAlign w:val="center"/>
          </w:tcPr>
          <w:p w14:paraId="697E39FB">
            <w:pPr>
              <w:adjustRightInd w:val="0"/>
              <w:snapToGrid w:val="0"/>
              <w:spacing w:line="300" w:lineRule="exact"/>
              <w:jc w:val="center"/>
              <w:rPr>
                <w:rFonts w:hint="eastAsia" w:ascii="宋体" w:hAnsi="宋体" w:cs="宋体"/>
                <w:szCs w:val="21"/>
              </w:rPr>
            </w:pPr>
            <w:r>
              <w:rPr>
                <w:rFonts w:hint="eastAsia" w:ascii="宋体" w:hAnsi="宋体" w:cs="宋体"/>
                <w:szCs w:val="21"/>
              </w:rPr>
              <w:t>序号</w:t>
            </w:r>
          </w:p>
        </w:tc>
        <w:tc>
          <w:tcPr>
            <w:tcW w:w="901" w:type="pct"/>
            <w:vMerge w:val="restart"/>
            <w:shd w:val="clear" w:color="auto" w:fill="auto"/>
            <w:vAlign w:val="center"/>
          </w:tcPr>
          <w:p w14:paraId="2A833B29">
            <w:pPr>
              <w:adjustRightInd w:val="0"/>
              <w:snapToGrid w:val="0"/>
              <w:spacing w:line="300" w:lineRule="exact"/>
              <w:jc w:val="center"/>
              <w:rPr>
                <w:rFonts w:hint="eastAsia" w:ascii="宋体" w:hAnsi="宋体" w:cs="宋体"/>
                <w:szCs w:val="21"/>
              </w:rPr>
            </w:pPr>
            <w:r>
              <w:rPr>
                <w:rFonts w:hint="eastAsia" w:ascii="宋体" w:hAnsi="宋体" w:cs="宋体"/>
                <w:szCs w:val="21"/>
              </w:rPr>
              <w:t>井号</w:t>
            </w:r>
          </w:p>
        </w:tc>
        <w:tc>
          <w:tcPr>
            <w:tcW w:w="2385" w:type="pct"/>
            <w:gridSpan w:val="2"/>
            <w:shd w:val="clear" w:color="auto" w:fill="auto"/>
            <w:vAlign w:val="center"/>
          </w:tcPr>
          <w:p w14:paraId="085C1981">
            <w:pPr>
              <w:adjustRightInd w:val="0"/>
              <w:snapToGrid w:val="0"/>
              <w:spacing w:line="300" w:lineRule="exact"/>
              <w:jc w:val="center"/>
              <w:rPr>
                <w:rFonts w:hint="eastAsia" w:ascii="宋体" w:hAnsi="宋体" w:cs="宋体"/>
                <w:szCs w:val="21"/>
              </w:rPr>
            </w:pPr>
            <w:r>
              <w:rPr>
                <w:rFonts w:hint="eastAsia" w:ascii="宋体" w:hAnsi="宋体" w:cs="宋体"/>
                <w:szCs w:val="21"/>
              </w:rPr>
              <w:t>经纬度坐标</w:t>
            </w:r>
          </w:p>
        </w:tc>
        <w:tc>
          <w:tcPr>
            <w:tcW w:w="681" w:type="pct"/>
            <w:vMerge w:val="restart"/>
          </w:tcPr>
          <w:p w14:paraId="10D0FCED">
            <w:pPr>
              <w:adjustRightInd w:val="0"/>
              <w:snapToGrid w:val="0"/>
              <w:spacing w:line="300" w:lineRule="exact"/>
              <w:jc w:val="center"/>
              <w:rPr>
                <w:rFonts w:hint="eastAsia" w:ascii="宋体" w:hAnsi="宋体" w:cs="宋体"/>
                <w:szCs w:val="21"/>
              </w:rPr>
            </w:pPr>
            <w:r>
              <w:rPr>
                <w:rFonts w:hint="eastAsia" w:ascii="宋体" w:hAnsi="宋体" w:cs="宋体"/>
                <w:szCs w:val="21"/>
              </w:rPr>
              <w:t>水平段长（m）</w:t>
            </w:r>
          </w:p>
        </w:tc>
        <w:tc>
          <w:tcPr>
            <w:tcW w:w="681" w:type="pct"/>
            <w:vMerge w:val="restart"/>
          </w:tcPr>
          <w:p w14:paraId="504B10AD">
            <w:pPr>
              <w:adjustRightInd w:val="0"/>
              <w:snapToGrid w:val="0"/>
              <w:spacing w:line="300" w:lineRule="exact"/>
              <w:jc w:val="center"/>
              <w:rPr>
                <w:rFonts w:hint="eastAsia" w:ascii="宋体" w:hAnsi="宋体" w:cs="宋体"/>
                <w:szCs w:val="21"/>
              </w:rPr>
            </w:pPr>
            <w:r>
              <w:rPr>
                <w:rFonts w:hint="eastAsia" w:ascii="宋体" w:hAnsi="宋体" w:cs="宋体"/>
                <w:szCs w:val="21"/>
              </w:rPr>
              <w:t>井深（m）</w:t>
            </w:r>
          </w:p>
        </w:tc>
      </w:tr>
      <w:tr w14:paraId="3DEA07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vMerge w:val="continue"/>
            <w:shd w:val="clear" w:color="auto" w:fill="auto"/>
            <w:vAlign w:val="center"/>
          </w:tcPr>
          <w:p w14:paraId="2BE4D409">
            <w:pPr>
              <w:adjustRightInd w:val="0"/>
              <w:snapToGrid w:val="0"/>
              <w:spacing w:line="300" w:lineRule="exact"/>
              <w:jc w:val="center"/>
              <w:rPr>
                <w:rFonts w:hint="eastAsia" w:ascii="宋体" w:hAnsi="宋体" w:cs="宋体"/>
                <w:szCs w:val="21"/>
              </w:rPr>
            </w:pPr>
          </w:p>
        </w:tc>
        <w:tc>
          <w:tcPr>
            <w:tcW w:w="901" w:type="pct"/>
            <w:vMerge w:val="continue"/>
            <w:shd w:val="clear" w:color="auto" w:fill="auto"/>
            <w:vAlign w:val="center"/>
          </w:tcPr>
          <w:p w14:paraId="04A7165E">
            <w:pPr>
              <w:adjustRightInd w:val="0"/>
              <w:snapToGrid w:val="0"/>
              <w:spacing w:line="300" w:lineRule="exact"/>
              <w:jc w:val="center"/>
              <w:rPr>
                <w:rFonts w:hint="eastAsia" w:ascii="宋体" w:hAnsi="宋体" w:cs="宋体"/>
                <w:szCs w:val="21"/>
              </w:rPr>
            </w:pPr>
          </w:p>
        </w:tc>
        <w:tc>
          <w:tcPr>
            <w:tcW w:w="1133" w:type="pct"/>
            <w:shd w:val="clear" w:color="auto" w:fill="auto"/>
            <w:vAlign w:val="center"/>
          </w:tcPr>
          <w:p w14:paraId="2B4E468A">
            <w:pPr>
              <w:adjustRightInd w:val="0"/>
              <w:snapToGrid w:val="0"/>
              <w:spacing w:line="300" w:lineRule="exact"/>
              <w:jc w:val="center"/>
              <w:rPr>
                <w:rFonts w:hint="eastAsia" w:ascii="宋体" w:hAnsi="宋体" w:cs="宋体"/>
                <w:szCs w:val="21"/>
              </w:rPr>
            </w:pPr>
            <w:r>
              <w:rPr>
                <w:rFonts w:ascii="宋体" w:hAnsi="宋体" w:cs="宋体"/>
                <w:szCs w:val="21"/>
              </w:rPr>
              <w:t>E</w:t>
            </w:r>
          </w:p>
        </w:tc>
        <w:tc>
          <w:tcPr>
            <w:tcW w:w="1252" w:type="pct"/>
            <w:shd w:val="clear" w:color="auto" w:fill="auto"/>
            <w:vAlign w:val="center"/>
          </w:tcPr>
          <w:p w14:paraId="74F4EC4E">
            <w:pPr>
              <w:adjustRightInd w:val="0"/>
              <w:snapToGrid w:val="0"/>
              <w:spacing w:line="300" w:lineRule="exact"/>
              <w:jc w:val="center"/>
              <w:rPr>
                <w:rFonts w:hint="eastAsia" w:ascii="宋体" w:hAnsi="宋体" w:cs="宋体"/>
                <w:szCs w:val="21"/>
              </w:rPr>
            </w:pPr>
            <w:r>
              <w:rPr>
                <w:rFonts w:ascii="宋体" w:hAnsi="宋体" w:cs="宋体"/>
                <w:szCs w:val="21"/>
              </w:rPr>
              <w:t>N</w:t>
            </w:r>
          </w:p>
        </w:tc>
        <w:tc>
          <w:tcPr>
            <w:tcW w:w="681" w:type="pct"/>
            <w:vMerge w:val="continue"/>
          </w:tcPr>
          <w:p w14:paraId="2706A3A9">
            <w:pPr>
              <w:adjustRightInd w:val="0"/>
              <w:snapToGrid w:val="0"/>
              <w:spacing w:line="300" w:lineRule="exact"/>
              <w:jc w:val="center"/>
              <w:rPr>
                <w:rFonts w:hint="eastAsia" w:ascii="宋体" w:hAnsi="宋体" w:cs="宋体"/>
                <w:szCs w:val="21"/>
              </w:rPr>
            </w:pPr>
          </w:p>
        </w:tc>
        <w:tc>
          <w:tcPr>
            <w:tcW w:w="681" w:type="pct"/>
            <w:vMerge w:val="continue"/>
          </w:tcPr>
          <w:p w14:paraId="731A53CF">
            <w:pPr>
              <w:adjustRightInd w:val="0"/>
              <w:snapToGrid w:val="0"/>
              <w:spacing w:line="300" w:lineRule="exact"/>
              <w:jc w:val="center"/>
              <w:rPr>
                <w:rFonts w:hint="eastAsia" w:ascii="宋体" w:hAnsi="宋体" w:cs="宋体"/>
                <w:szCs w:val="21"/>
              </w:rPr>
            </w:pPr>
          </w:p>
        </w:tc>
      </w:tr>
      <w:tr w14:paraId="1599BE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27C0F0CC">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c>
          <w:tcPr>
            <w:tcW w:w="901" w:type="pct"/>
            <w:shd w:val="clear" w:color="auto" w:fill="auto"/>
            <w:vAlign w:val="center"/>
          </w:tcPr>
          <w:p w14:paraId="2FE282C6">
            <w:pPr>
              <w:adjustRightInd w:val="0"/>
              <w:snapToGrid w:val="0"/>
              <w:spacing w:line="300" w:lineRule="exact"/>
              <w:jc w:val="center"/>
              <w:rPr>
                <w:rFonts w:hint="eastAsia" w:ascii="宋体" w:hAnsi="宋体" w:cs="宋体"/>
                <w:szCs w:val="21"/>
              </w:rPr>
            </w:pPr>
            <w:r>
              <w:rPr>
                <w:rFonts w:hint="eastAsia" w:ascii="宋体" w:hAnsi="宋体" w:cs="宋体"/>
                <w:szCs w:val="21"/>
              </w:rPr>
              <w:t>JHW17-41</w:t>
            </w:r>
          </w:p>
        </w:tc>
        <w:tc>
          <w:tcPr>
            <w:tcW w:w="1133" w:type="pct"/>
            <w:shd w:val="clear" w:color="auto" w:fill="auto"/>
            <w:vAlign w:val="center"/>
          </w:tcPr>
          <w:p w14:paraId="688FDB37">
            <w:pPr>
              <w:adjustRightInd w:val="0"/>
              <w:snapToGrid w:val="0"/>
              <w:spacing w:line="300" w:lineRule="exact"/>
              <w:jc w:val="center"/>
              <w:rPr>
                <w:rFonts w:hint="eastAsia" w:ascii="宋体" w:hAnsi="宋体" w:cs="宋体"/>
                <w:szCs w:val="21"/>
              </w:rPr>
            </w:pPr>
            <w:r>
              <w:rPr>
                <w:rFonts w:ascii="宋体" w:hAnsi="宋体" w:cs="宋体"/>
                <w:szCs w:val="21"/>
              </w:rPr>
              <w:t>89°9'37.59"</w:t>
            </w:r>
          </w:p>
        </w:tc>
        <w:tc>
          <w:tcPr>
            <w:tcW w:w="1252" w:type="pct"/>
            <w:shd w:val="clear" w:color="auto" w:fill="auto"/>
            <w:vAlign w:val="center"/>
          </w:tcPr>
          <w:p w14:paraId="71D9B919">
            <w:pPr>
              <w:adjustRightInd w:val="0"/>
              <w:snapToGrid w:val="0"/>
              <w:spacing w:line="300" w:lineRule="exact"/>
              <w:jc w:val="center"/>
              <w:rPr>
                <w:rFonts w:hint="eastAsia" w:ascii="宋体" w:hAnsi="宋体" w:cs="宋体"/>
                <w:szCs w:val="21"/>
              </w:rPr>
            </w:pPr>
            <w:r>
              <w:rPr>
                <w:rFonts w:ascii="宋体" w:hAnsi="宋体" w:cs="宋体"/>
                <w:szCs w:val="21"/>
              </w:rPr>
              <w:t>44°11'48.72"</w:t>
            </w:r>
          </w:p>
        </w:tc>
        <w:tc>
          <w:tcPr>
            <w:tcW w:w="681" w:type="pct"/>
          </w:tcPr>
          <w:p w14:paraId="489EF868">
            <w:pPr>
              <w:adjustRightInd w:val="0"/>
              <w:snapToGrid w:val="0"/>
              <w:spacing w:line="300" w:lineRule="exact"/>
              <w:jc w:val="center"/>
              <w:rPr>
                <w:rFonts w:hint="eastAsia" w:ascii="宋体" w:hAnsi="宋体" w:cs="宋体"/>
                <w:szCs w:val="21"/>
              </w:rPr>
            </w:pPr>
            <w:r>
              <w:rPr>
                <w:rFonts w:hint="eastAsia" w:ascii="宋体" w:hAnsi="宋体"/>
                <w:szCs w:val="21"/>
              </w:rPr>
              <w:t>1600</w:t>
            </w:r>
          </w:p>
        </w:tc>
        <w:tc>
          <w:tcPr>
            <w:tcW w:w="681" w:type="pct"/>
          </w:tcPr>
          <w:p w14:paraId="15AC7F3B">
            <w:pPr>
              <w:adjustRightInd w:val="0"/>
              <w:snapToGrid w:val="0"/>
              <w:spacing w:line="300" w:lineRule="exact"/>
              <w:jc w:val="center"/>
              <w:rPr>
                <w:rFonts w:hint="eastAsia" w:ascii="宋体" w:hAnsi="宋体" w:cs="宋体"/>
                <w:szCs w:val="21"/>
              </w:rPr>
            </w:pPr>
            <w:r>
              <w:rPr>
                <w:rFonts w:hint="eastAsia" w:ascii="宋体" w:hAnsi="宋体"/>
                <w:szCs w:val="21"/>
              </w:rPr>
              <w:t>5025</w:t>
            </w:r>
          </w:p>
        </w:tc>
      </w:tr>
      <w:tr w14:paraId="666613D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65DF1F79">
            <w:pPr>
              <w:adjustRightInd w:val="0"/>
              <w:snapToGrid w:val="0"/>
              <w:spacing w:line="300" w:lineRule="exact"/>
              <w:jc w:val="center"/>
              <w:rPr>
                <w:rFonts w:hint="eastAsia" w:ascii="宋体" w:hAnsi="宋体" w:cs="宋体"/>
                <w:szCs w:val="21"/>
              </w:rPr>
            </w:pPr>
            <w:r>
              <w:rPr>
                <w:rFonts w:hint="eastAsia" w:ascii="宋体" w:hAnsi="宋体" w:cs="宋体"/>
                <w:szCs w:val="21"/>
              </w:rPr>
              <w:t>2</w:t>
            </w:r>
          </w:p>
        </w:tc>
        <w:tc>
          <w:tcPr>
            <w:tcW w:w="901" w:type="pct"/>
            <w:shd w:val="clear" w:color="auto" w:fill="auto"/>
            <w:vAlign w:val="center"/>
          </w:tcPr>
          <w:p w14:paraId="3BC75965">
            <w:pPr>
              <w:adjustRightInd w:val="0"/>
              <w:snapToGrid w:val="0"/>
              <w:spacing w:line="300" w:lineRule="exact"/>
              <w:jc w:val="center"/>
              <w:rPr>
                <w:rFonts w:hint="eastAsia" w:ascii="宋体" w:hAnsi="宋体" w:cs="宋体"/>
                <w:szCs w:val="21"/>
              </w:rPr>
            </w:pPr>
            <w:r>
              <w:rPr>
                <w:rFonts w:hint="eastAsia" w:ascii="宋体" w:hAnsi="宋体" w:cs="宋体"/>
                <w:szCs w:val="21"/>
              </w:rPr>
              <w:t>JHW17-42</w:t>
            </w:r>
          </w:p>
        </w:tc>
        <w:tc>
          <w:tcPr>
            <w:tcW w:w="1133" w:type="pct"/>
            <w:shd w:val="clear" w:color="auto" w:fill="auto"/>
            <w:vAlign w:val="center"/>
          </w:tcPr>
          <w:p w14:paraId="0F180D92">
            <w:pPr>
              <w:adjustRightInd w:val="0"/>
              <w:snapToGrid w:val="0"/>
              <w:spacing w:line="300" w:lineRule="exact"/>
              <w:jc w:val="center"/>
              <w:rPr>
                <w:rFonts w:hint="eastAsia" w:ascii="宋体" w:hAnsi="宋体" w:cs="宋体"/>
                <w:szCs w:val="21"/>
              </w:rPr>
            </w:pPr>
            <w:r>
              <w:rPr>
                <w:rFonts w:ascii="宋体" w:hAnsi="宋体" w:cs="宋体"/>
                <w:szCs w:val="21"/>
              </w:rPr>
              <w:t>89°9'37.76"</w:t>
            </w:r>
          </w:p>
        </w:tc>
        <w:tc>
          <w:tcPr>
            <w:tcW w:w="1252" w:type="pct"/>
            <w:shd w:val="clear" w:color="auto" w:fill="auto"/>
            <w:vAlign w:val="center"/>
          </w:tcPr>
          <w:p w14:paraId="28CD4F3D">
            <w:pPr>
              <w:adjustRightInd w:val="0"/>
              <w:snapToGrid w:val="0"/>
              <w:spacing w:line="300" w:lineRule="exact"/>
              <w:jc w:val="center"/>
              <w:rPr>
                <w:rFonts w:hint="eastAsia" w:ascii="宋体" w:hAnsi="宋体" w:cs="宋体"/>
                <w:szCs w:val="21"/>
              </w:rPr>
            </w:pPr>
            <w:r>
              <w:rPr>
                <w:rFonts w:ascii="宋体" w:hAnsi="宋体" w:cs="宋体"/>
                <w:szCs w:val="21"/>
              </w:rPr>
              <w:t>44°11'48.47"</w:t>
            </w:r>
          </w:p>
        </w:tc>
        <w:tc>
          <w:tcPr>
            <w:tcW w:w="681" w:type="pct"/>
          </w:tcPr>
          <w:p w14:paraId="6765AFA6">
            <w:pPr>
              <w:adjustRightInd w:val="0"/>
              <w:snapToGrid w:val="0"/>
              <w:spacing w:line="300" w:lineRule="exact"/>
              <w:jc w:val="center"/>
              <w:rPr>
                <w:rFonts w:hint="eastAsia" w:ascii="宋体" w:hAnsi="宋体" w:cs="宋体"/>
                <w:szCs w:val="21"/>
              </w:rPr>
            </w:pPr>
            <w:r>
              <w:rPr>
                <w:rFonts w:hint="eastAsia" w:ascii="宋体" w:hAnsi="宋体"/>
                <w:szCs w:val="21"/>
              </w:rPr>
              <w:t>1800</w:t>
            </w:r>
          </w:p>
        </w:tc>
        <w:tc>
          <w:tcPr>
            <w:tcW w:w="681" w:type="pct"/>
          </w:tcPr>
          <w:p w14:paraId="43106100">
            <w:pPr>
              <w:adjustRightInd w:val="0"/>
              <w:snapToGrid w:val="0"/>
              <w:spacing w:line="300" w:lineRule="exact"/>
              <w:jc w:val="center"/>
              <w:rPr>
                <w:rFonts w:hint="eastAsia" w:ascii="宋体" w:hAnsi="宋体" w:cs="宋体"/>
                <w:szCs w:val="21"/>
              </w:rPr>
            </w:pPr>
            <w:r>
              <w:rPr>
                <w:rFonts w:hint="eastAsia" w:ascii="宋体" w:hAnsi="宋体"/>
                <w:szCs w:val="21"/>
              </w:rPr>
              <w:t>5290</w:t>
            </w:r>
          </w:p>
        </w:tc>
      </w:tr>
      <w:tr w14:paraId="682A889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3F639BC9">
            <w:pPr>
              <w:adjustRightInd w:val="0"/>
              <w:snapToGrid w:val="0"/>
              <w:spacing w:line="300" w:lineRule="exact"/>
              <w:jc w:val="center"/>
              <w:rPr>
                <w:rFonts w:hint="eastAsia" w:ascii="宋体" w:hAnsi="宋体" w:cs="宋体"/>
                <w:szCs w:val="21"/>
              </w:rPr>
            </w:pPr>
            <w:r>
              <w:rPr>
                <w:rFonts w:hint="eastAsia" w:ascii="宋体" w:hAnsi="宋体" w:cs="宋体"/>
                <w:szCs w:val="21"/>
              </w:rPr>
              <w:t>3</w:t>
            </w:r>
          </w:p>
        </w:tc>
        <w:tc>
          <w:tcPr>
            <w:tcW w:w="901" w:type="pct"/>
            <w:shd w:val="clear" w:color="auto" w:fill="auto"/>
            <w:vAlign w:val="center"/>
          </w:tcPr>
          <w:p w14:paraId="6B5C4D40">
            <w:pPr>
              <w:adjustRightInd w:val="0"/>
              <w:snapToGrid w:val="0"/>
              <w:spacing w:line="300" w:lineRule="exact"/>
              <w:jc w:val="center"/>
              <w:rPr>
                <w:rFonts w:hint="eastAsia" w:ascii="宋体" w:hAnsi="宋体" w:cs="宋体"/>
                <w:szCs w:val="21"/>
              </w:rPr>
            </w:pPr>
            <w:r>
              <w:rPr>
                <w:rFonts w:hint="eastAsia" w:ascii="宋体" w:hAnsi="宋体" w:cs="宋体"/>
                <w:szCs w:val="21"/>
              </w:rPr>
              <w:t>JHW17-43</w:t>
            </w:r>
          </w:p>
        </w:tc>
        <w:tc>
          <w:tcPr>
            <w:tcW w:w="1133" w:type="pct"/>
            <w:shd w:val="clear" w:color="auto" w:fill="auto"/>
            <w:vAlign w:val="center"/>
          </w:tcPr>
          <w:p w14:paraId="7EEED13C">
            <w:pPr>
              <w:adjustRightInd w:val="0"/>
              <w:snapToGrid w:val="0"/>
              <w:spacing w:line="300" w:lineRule="exact"/>
              <w:jc w:val="center"/>
              <w:rPr>
                <w:rFonts w:hint="eastAsia" w:ascii="宋体" w:hAnsi="宋体" w:cs="宋体"/>
                <w:szCs w:val="21"/>
              </w:rPr>
            </w:pPr>
            <w:r>
              <w:rPr>
                <w:rFonts w:ascii="宋体" w:hAnsi="宋体" w:cs="宋体"/>
                <w:szCs w:val="21"/>
              </w:rPr>
              <w:t>89°9'40.05"</w:t>
            </w:r>
          </w:p>
        </w:tc>
        <w:tc>
          <w:tcPr>
            <w:tcW w:w="1252" w:type="pct"/>
            <w:shd w:val="clear" w:color="auto" w:fill="auto"/>
            <w:vAlign w:val="center"/>
          </w:tcPr>
          <w:p w14:paraId="2ADDE3A8">
            <w:pPr>
              <w:adjustRightInd w:val="0"/>
              <w:snapToGrid w:val="0"/>
              <w:spacing w:line="300" w:lineRule="exact"/>
              <w:jc w:val="center"/>
              <w:rPr>
                <w:rFonts w:hint="eastAsia" w:ascii="宋体" w:hAnsi="宋体" w:cs="宋体"/>
                <w:szCs w:val="21"/>
              </w:rPr>
            </w:pPr>
            <w:r>
              <w:rPr>
                <w:rFonts w:ascii="宋体" w:hAnsi="宋体" w:cs="宋体"/>
                <w:szCs w:val="21"/>
              </w:rPr>
              <w:t>44°11'45.75"</w:t>
            </w:r>
          </w:p>
        </w:tc>
        <w:tc>
          <w:tcPr>
            <w:tcW w:w="681" w:type="pct"/>
          </w:tcPr>
          <w:p w14:paraId="1D737D6C">
            <w:pPr>
              <w:adjustRightInd w:val="0"/>
              <w:snapToGrid w:val="0"/>
              <w:spacing w:line="300" w:lineRule="exact"/>
              <w:jc w:val="center"/>
              <w:rPr>
                <w:rFonts w:hint="eastAsia" w:ascii="宋体" w:hAnsi="宋体" w:cs="宋体"/>
                <w:szCs w:val="21"/>
              </w:rPr>
            </w:pPr>
            <w:r>
              <w:rPr>
                <w:rFonts w:hint="eastAsia" w:ascii="宋体" w:hAnsi="宋体"/>
                <w:szCs w:val="21"/>
              </w:rPr>
              <w:t>2000</w:t>
            </w:r>
          </w:p>
        </w:tc>
        <w:tc>
          <w:tcPr>
            <w:tcW w:w="681" w:type="pct"/>
          </w:tcPr>
          <w:p w14:paraId="729F6675">
            <w:pPr>
              <w:adjustRightInd w:val="0"/>
              <w:snapToGrid w:val="0"/>
              <w:spacing w:line="300" w:lineRule="exact"/>
              <w:jc w:val="center"/>
              <w:rPr>
                <w:rFonts w:hint="eastAsia" w:ascii="宋体" w:hAnsi="宋体" w:cs="宋体"/>
                <w:szCs w:val="21"/>
              </w:rPr>
            </w:pPr>
            <w:r>
              <w:rPr>
                <w:rFonts w:hint="eastAsia" w:ascii="宋体" w:hAnsi="宋体"/>
                <w:szCs w:val="21"/>
              </w:rPr>
              <w:t>5967</w:t>
            </w:r>
          </w:p>
        </w:tc>
      </w:tr>
      <w:tr w14:paraId="6DD43A1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28CD7011">
            <w:pPr>
              <w:adjustRightInd w:val="0"/>
              <w:snapToGrid w:val="0"/>
              <w:spacing w:line="300" w:lineRule="exact"/>
              <w:jc w:val="center"/>
              <w:rPr>
                <w:rFonts w:hint="eastAsia" w:ascii="宋体" w:hAnsi="宋体" w:cs="宋体"/>
                <w:szCs w:val="21"/>
              </w:rPr>
            </w:pPr>
            <w:r>
              <w:rPr>
                <w:rFonts w:hint="eastAsia" w:ascii="宋体" w:hAnsi="宋体" w:cs="宋体"/>
                <w:szCs w:val="21"/>
              </w:rPr>
              <w:t>4</w:t>
            </w:r>
          </w:p>
        </w:tc>
        <w:tc>
          <w:tcPr>
            <w:tcW w:w="901" w:type="pct"/>
            <w:shd w:val="clear" w:color="auto" w:fill="auto"/>
            <w:vAlign w:val="center"/>
          </w:tcPr>
          <w:p w14:paraId="6C510920">
            <w:pPr>
              <w:adjustRightInd w:val="0"/>
              <w:snapToGrid w:val="0"/>
              <w:spacing w:line="300" w:lineRule="exact"/>
              <w:jc w:val="center"/>
              <w:rPr>
                <w:rFonts w:hint="eastAsia" w:ascii="宋体" w:hAnsi="宋体" w:cs="宋体"/>
                <w:szCs w:val="21"/>
              </w:rPr>
            </w:pPr>
            <w:r>
              <w:rPr>
                <w:rFonts w:hint="eastAsia" w:ascii="宋体" w:hAnsi="宋体" w:cs="宋体"/>
                <w:szCs w:val="21"/>
              </w:rPr>
              <w:t>JHW17-44</w:t>
            </w:r>
          </w:p>
        </w:tc>
        <w:tc>
          <w:tcPr>
            <w:tcW w:w="1133" w:type="pct"/>
            <w:shd w:val="clear" w:color="auto" w:fill="auto"/>
            <w:vAlign w:val="center"/>
          </w:tcPr>
          <w:p w14:paraId="6B01A69E">
            <w:pPr>
              <w:adjustRightInd w:val="0"/>
              <w:snapToGrid w:val="0"/>
              <w:spacing w:line="300" w:lineRule="exact"/>
              <w:jc w:val="center"/>
              <w:rPr>
                <w:rFonts w:hint="eastAsia" w:ascii="宋体" w:hAnsi="宋体" w:cs="宋体"/>
                <w:szCs w:val="21"/>
              </w:rPr>
            </w:pPr>
            <w:r>
              <w:rPr>
                <w:rFonts w:ascii="宋体" w:hAnsi="宋体" w:cs="宋体"/>
                <w:szCs w:val="21"/>
              </w:rPr>
              <w:t>89°9'40.31"</w:t>
            </w:r>
          </w:p>
        </w:tc>
        <w:tc>
          <w:tcPr>
            <w:tcW w:w="1252" w:type="pct"/>
            <w:shd w:val="clear" w:color="auto" w:fill="auto"/>
            <w:vAlign w:val="center"/>
          </w:tcPr>
          <w:p w14:paraId="3961E426">
            <w:pPr>
              <w:adjustRightInd w:val="0"/>
              <w:snapToGrid w:val="0"/>
              <w:spacing w:line="300" w:lineRule="exact"/>
              <w:jc w:val="center"/>
              <w:rPr>
                <w:rFonts w:hint="eastAsia" w:ascii="宋体" w:hAnsi="宋体" w:cs="宋体"/>
                <w:szCs w:val="21"/>
              </w:rPr>
            </w:pPr>
            <w:r>
              <w:rPr>
                <w:rFonts w:ascii="宋体" w:hAnsi="宋体" w:cs="宋体"/>
                <w:szCs w:val="21"/>
              </w:rPr>
              <w:t>44°11'45.41"</w:t>
            </w:r>
          </w:p>
        </w:tc>
        <w:tc>
          <w:tcPr>
            <w:tcW w:w="681" w:type="pct"/>
          </w:tcPr>
          <w:p w14:paraId="7B7A5D3E">
            <w:pPr>
              <w:adjustRightInd w:val="0"/>
              <w:snapToGrid w:val="0"/>
              <w:spacing w:line="300" w:lineRule="exact"/>
              <w:jc w:val="center"/>
              <w:rPr>
                <w:rFonts w:hint="eastAsia" w:ascii="宋体" w:hAnsi="宋体" w:cs="宋体"/>
                <w:szCs w:val="21"/>
              </w:rPr>
            </w:pPr>
            <w:r>
              <w:rPr>
                <w:rFonts w:hint="eastAsia" w:ascii="宋体" w:hAnsi="宋体"/>
                <w:szCs w:val="21"/>
              </w:rPr>
              <w:t>2000</w:t>
            </w:r>
          </w:p>
        </w:tc>
        <w:tc>
          <w:tcPr>
            <w:tcW w:w="681" w:type="pct"/>
          </w:tcPr>
          <w:p w14:paraId="205812C1">
            <w:pPr>
              <w:adjustRightInd w:val="0"/>
              <w:snapToGrid w:val="0"/>
              <w:spacing w:line="300" w:lineRule="exact"/>
              <w:jc w:val="center"/>
              <w:rPr>
                <w:rFonts w:hint="eastAsia" w:ascii="宋体" w:hAnsi="宋体" w:cs="宋体"/>
                <w:szCs w:val="21"/>
              </w:rPr>
            </w:pPr>
            <w:r>
              <w:rPr>
                <w:rFonts w:hint="eastAsia" w:ascii="宋体" w:hAnsi="宋体"/>
                <w:szCs w:val="21"/>
              </w:rPr>
              <w:t>5967</w:t>
            </w:r>
          </w:p>
        </w:tc>
      </w:tr>
      <w:tr w14:paraId="7AFDB3D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56251125">
            <w:pPr>
              <w:adjustRightInd w:val="0"/>
              <w:snapToGrid w:val="0"/>
              <w:spacing w:line="300" w:lineRule="exact"/>
              <w:jc w:val="center"/>
              <w:rPr>
                <w:rFonts w:hint="eastAsia" w:ascii="宋体" w:hAnsi="宋体" w:cs="宋体"/>
                <w:szCs w:val="21"/>
              </w:rPr>
            </w:pPr>
            <w:r>
              <w:rPr>
                <w:rFonts w:hint="eastAsia" w:ascii="宋体" w:hAnsi="宋体" w:cs="宋体"/>
                <w:szCs w:val="21"/>
              </w:rPr>
              <w:t>5</w:t>
            </w:r>
          </w:p>
        </w:tc>
        <w:tc>
          <w:tcPr>
            <w:tcW w:w="901" w:type="pct"/>
            <w:shd w:val="clear" w:color="auto" w:fill="auto"/>
            <w:vAlign w:val="center"/>
          </w:tcPr>
          <w:p w14:paraId="670F8BAF">
            <w:pPr>
              <w:adjustRightInd w:val="0"/>
              <w:snapToGrid w:val="0"/>
              <w:spacing w:line="300" w:lineRule="exact"/>
              <w:jc w:val="center"/>
              <w:rPr>
                <w:rFonts w:hint="eastAsia" w:ascii="宋体" w:hAnsi="宋体" w:cs="宋体"/>
                <w:szCs w:val="21"/>
              </w:rPr>
            </w:pPr>
            <w:r>
              <w:rPr>
                <w:rFonts w:hint="eastAsia" w:ascii="宋体" w:hAnsi="宋体" w:cs="宋体"/>
                <w:szCs w:val="21"/>
              </w:rPr>
              <w:t>JHW17-45</w:t>
            </w:r>
          </w:p>
        </w:tc>
        <w:tc>
          <w:tcPr>
            <w:tcW w:w="1133" w:type="pct"/>
            <w:shd w:val="clear" w:color="auto" w:fill="auto"/>
            <w:vAlign w:val="center"/>
          </w:tcPr>
          <w:p w14:paraId="52DFC52A">
            <w:pPr>
              <w:adjustRightInd w:val="0"/>
              <w:snapToGrid w:val="0"/>
              <w:spacing w:line="300" w:lineRule="exact"/>
              <w:jc w:val="center"/>
              <w:rPr>
                <w:rFonts w:hint="eastAsia" w:ascii="宋体" w:hAnsi="宋体" w:cs="宋体"/>
                <w:szCs w:val="21"/>
              </w:rPr>
            </w:pPr>
            <w:r>
              <w:rPr>
                <w:rFonts w:ascii="宋体" w:hAnsi="宋体" w:cs="宋体"/>
                <w:szCs w:val="21"/>
              </w:rPr>
              <w:t>89°9'42.60"</w:t>
            </w:r>
          </w:p>
        </w:tc>
        <w:tc>
          <w:tcPr>
            <w:tcW w:w="1252" w:type="pct"/>
            <w:shd w:val="clear" w:color="auto" w:fill="auto"/>
            <w:vAlign w:val="center"/>
          </w:tcPr>
          <w:p w14:paraId="6D9BAB01">
            <w:pPr>
              <w:adjustRightInd w:val="0"/>
              <w:snapToGrid w:val="0"/>
              <w:spacing w:line="300" w:lineRule="exact"/>
              <w:jc w:val="center"/>
              <w:rPr>
                <w:rFonts w:hint="eastAsia" w:ascii="宋体" w:hAnsi="宋体" w:cs="宋体"/>
                <w:szCs w:val="21"/>
              </w:rPr>
            </w:pPr>
            <w:r>
              <w:rPr>
                <w:rFonts w:ascii="宋体" w:hAnsi="宋体" w:cs="宋体"/>
                <w:szCs w:val="21"/>
              </w:rPr>
              <w:t>44°11'42.56"</w:t>
            </w:r>
          </w:p>
        </w:tc>
        <w:tc>
          <w:tcPr>
            <w:tcW w:w="681" w:type="pct"/>
          </w:tcPr>
          <w:p w14:paraId="4851F8F0">
            <w:pPr>
              <w:adjustRightInd w:val="0"/>
              <w:snapToGrid w:val="0"/>
              <w:spacing w:line="300" w:lineRule="exact"/>
              <w:jc w:val="center"/>
              <w:rPr>
                <w:rFonts w:hint="eastAsia" w:ascii="宋体" w:hAnsi="宋体"/>
                <w:szCs w:val="21"/>
              </w:rPr>
            </w:pPr>
            <w:r>
              <w:rPr>
                <w:rFonts w:hint="eastAsia" w:ascii="宋体" w:hAnsi="宋体"/>
                <w:szCs w:val="21"/>
              </w:rPr>
              <w:t>1800</w:t>
            </w:r>
          </w:p>
        </w:tc>
        <w:tc>
          <w:tcPr>
            <w:tcW w:w="681" w:type="pct"/>
          </w:tcPr>
          <w:p w14:paraId="07FC41E6">
            <w:pPr>
              <w:adjustRightInd w:val="0"/>
              <w:snapToGrid w:val="0"/>
              <w:spacing w:line="300" w:lineRule="exact"/>
              <w:jc w:val="center"/>
              <w:rPr>
                <w:rFonts w:hint="eastAsia" w:ascii="宋体" w:hAnsi="宋体"/>
                <w:szCs w:val="21"/>
              </w:rPr>
            </w:pPr>
            <w:r>
              <w:rPr>
                <w:rFonts w:hint="eastAsia" w:ascii="宋体" w:hAnsi="宋体"/>
                <w:szCs w:val="21"/>
              </w:rPr>
              <w:t>5290</w:t>
            </w:r>
          </w:p>
        </w:tc>
      </w:tr>
      <w:tr w14:paraId="761C72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jc w:val="center"/>
        </w:trPr>
        <w:tc>
          <w:tcPr>
            <w:tcW w:w="352" w:type="pct"/>
            <w:shd w:val="clear" w:color="auto" w:fill="auto"/>
            <w:vAlign w:val="center"/>
          </w:tcPr>
          <w:p w14:paraId="71E8596D">
            <w:pPr>
              <w:adjustRightInd w:val="0"/>
              <w:snapToGrid w:val="0"/>
              <w:spacing w:line="300" w:lineRule="exact"/>
              <w:jc w:val="center"/>
              <w:rPr>
                <w:rFonts w:hint="eastAsia" w:ascii="宋体" w:hAnsi="宋体" w:cs="宋体"/>
                <w:szCs w:val="21"/>
              </w:rPr>
            </w:pPr>
            <w:r>
              <w:rPr>
                <w:rFonts w:hint="eastAsia" w:ascii="宋体" w:hAnsi="宋体" w:cs="宋体"/>
                <w:szCs w:val="21"/>
              </w:rPr>
              <w:t>6</w:t>
            </w:r>
          </w:p>
        </w:tc>
        <w:tc>
          <w:tcPr>
            <w:tcW w:w="901" w:type="pct"/>
            <w:shd w:val="clear" w:color="auto" w:fill="auto"/>
            <w:vAlign w:val="center"/>
          </w:tcPr>
          <w:p w14:paraId="79BB9837">
            <w:pPr>
              <w:adjustRightInd w:val="0"/>
              <w:snapToGrid w:val="0"/>
              <w:spacing w:line="300" w:lineRule="exact"/>
              <w:jc w:val="center"/>
              <w:rPr>
                <w:rFonts w:hint="eastAsia" w:ascii="宋体" w:hAnsi="宋体" w:cs="宋体"/>
                <w:szCs w:val="21"/>
              </w:rPr>
            </w:pPr>
            <w:r>
              <w:rPr>
                <w:rFonts w:hint="eastAsia" w:ascii="宋体" w:hAnsi="宋体" w:cs="宋体"/>
                <w:szCs w:val="21"/>
              </w:rPr>
              <w:t>合计</w:t>
            </w:r>
          </w:p>
        </w:tc>
        <w:tc>
          <w:tcPr>
            <w:tcW w:w="1133" w:type="pct"/>
            <w:shd w:val="clear" w:color="auto" w:fill="auto"/>
            <w:vAlign w:val="center"/>
          </w:tcPr>
          <w:p w14:paraId="739A5114">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2" w:type="pct"/>
            <w:shd w:val="clear" w:color="auto" w:fill="auto"/>
            <w:vAlign w:val="center"/>
          </w:tcPr>
          <w:p w14:paraId="022551A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81" w:type="pct"/>
          </w:tcPr>
          <w:p w14:paraId="0E3B0F1E">
            <w:pPr>
              <w:adjustRightInd w:val="0"/>
              <w:snapToGrid w:val="0"/>
              <w:spacing w:line="300" w:lineRule="exact"/>
              <w:jc w:val="center"/>
              <w:rPr>
                <w:rFonts w:hint="eastAsia" w:ascii="宋体" w:hAnsi="宋体"/>
                <w:szCs w:val="21"/>
              </w:rPr>
            </w:pPr>
            <w:r>
              <w:rPr>
                <w:rFonts w:hint="eastAsia" w:ascii="宋体" w:hAnsi="宋体"/>
                <w:szCs w:val="21"/>
              </w:rPr>
              <w:t>/</w:t>
            </w:r>
          </w:p>
        </w:tc>
        <w:tc>
          <w:tcPr>
            <w:tcW w:w="681" w:type="pct"/>
          </w:tcPr>
          <w:p w14:paraId="6CB9F7A3">
            <w:pPr>
              <w:adjustRightInd w:val="0"/>
              <w:snapToGrid w:val="0"/>
              <w:spacing w:line="300" w:lineRule="exact"/>
              <w:jc w:val="center"/>
              <w:rPr>
                <w:rFonts w:hint="eastAsia" w:ascii="宋体" w:hAnsi="宋体"/>
                <w:szCs w:val="21"/>
              </w:rPr>
            </w:pPr>
            <w:r>
              <w:rPr>
                <w:rFonts w:hint="eastAsia" w:ascii="宋体" w:hAnsi="宋体"/>
                <w:szCs w:val="21"/>
              </w:rPr>
              <w:t>27539</w:t>
            </w:r>
          </w:p>
        </w:tc>
      </w:tr>
    </w:tbl>
    <w:p w14:paraId="55980868">
      <w:pPr>
        <w:pStyle w:val="117"/>
        <w:adjustRightInd w:val="0"/>
        <w:snapToGrid w:val="0"/>
        <w:spacing w:line="360" w:lineRule="auto"/>
        <w:ind w:firstLine="0" w:firstLineChars="0"/>
        <w:rPr>
          <w:rFonts w:hint="eastAsia"/>
          <w:kern w:val="0"/>
        </w:rPr>
      </w:pPr>
      <w:r>
        <w:rPr>
          <w:kern w:val="0"/>
        </w:rPr>
        <w:drawing>
          <wp:inline distT="0" distB="0" distL="0" distR="0">
            <wp:extent cx="5543550" cy="3591560"/>
            <wp:effectExtent l="0" t="0" r="0"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543550" cy="3591560"/>
                    </a:xfrm>
                    <a:prstGeom prst="rect">
                      <a:avLst/>
                    </a:prstGeom>
                  </pic:spPr>
                </pic:pic>
              </a:graphicData>
            </a:graphic>
          </wp:inline>
        </w:drawing>
      </w:r>
    </w:p>
    <w:p w14:paraId="16D1C518">
      <w:pPr>
        <w:pStyle w:val="191"/>
        <w:ind w:firstLine="0" w:firstLineChars="0"/>
        <w:jc w:val="center"/>
        <w:rPr>
          <w:rFonts w:hint="eastAsia" w:ascii="黑体" w:hAnsi="黑体" w:eastAsia="黑体" w:cs="宋体"/>
          <w:bCs/>
          <w:sz w:val="21"/>
          <w:szCs w:val="21"/>
          <w:lang w:bidi="ar"/>
        </w:rPr>
      </w:pPr>
      <w:bookmarkStart w:id="208" w:name="OLE_LINK389"/>
      <w:r>
        <w:rPr>
          <w:rFonts w:hint="eastAsia" w:ascii="黑体" w:hAnsi="黑体" w:eastAsia="黑体" w:cs="宋体"/>
          <w:bCs/>
          <w:sz w:val="21"/>
          <w:szCs w:val="21"/>
          <w:lang w:bidi="ar"/>
        </w:rPr>
        <w:t>图3.2-2  井位分布示意图</w:t>
      </w:r>
    </w:p>
    <w:bookmarkEnd w:id="208"/>
    <w:p w14:paraId="6A4C93FA">
      <w:pPr>
        <w:pStyle w:val="117"/>
        <w:adjustRightInd w:val="0"/>
        <w:snapToGrid w:val="0"/>
        <w:ind w:firstLine="480"/>
        <w:rPr>
          <w:rFonts w:hint="eastAsia"/>
        </w:rPr>
      </w:pPr>
      <w:r>
        <w:rPr>
          <w:rFonts w:hint="eastAsia"/>
          <w:kern w:val="0"/>
        </w:rPr>
        <w:t>※井身结构</w:t>
      </w:r>
    </w:p>
    <w:p w14:paraId="241B3038">
      <w:pPr>
        <w:pStyle w:val="117"/>
        <w:adjustRightInd w:val="0"/>
        <w:snapToGrid w:val="0"/>
        <w:ind w:firstLine="480"/>
        <w:rPr>
          <w:rFonts w:hint="eastAsia"/>
        </w:rPr>
      </w:pPr>
      <w:r>
        <w:rPr>
          <w:rFonts w:hint="eastAsia"/>
        </w:rPr>
        <w:t>新钻井采用二开井身结构，井身结构设计见表3.2-8和图3.2-3。</w:t>
      </w:r>
    </w:p>
    <w:p w14:paraId="5CDCDA93">
      <w:pPr>
        <w:pStyle w:val="191"/>
        <w:ind w:firstLine="0" w:firstLineChars="0"/>
        <w:jc w:val="center"/>
        <w:rPr>
          <w:rFonts w:hint="eastAsia" w:ascii="黑体" w:hAnsi="黑体" w:eastAsia="黑体" w:cs="宋体"/>
          <w:bCs/>
          <w:sz w:val="21"/>
          <w:szCs w:val="21"/>
          <w:lang w:bidi="ar"/>
        </w:rPr>
      </w:pPr>
      <w:r>
        <w:rPr>
          <w:rFonts w:hint="eastAsia" w:ascii="黑体" w:hAnsi="黑体" w:eastAsia="黑体" w:cs="宋体"/>
          <w:bCs/>
          <w:sz w:val="21"/>
          <w:szCs w:val="21"/>
          <w:lang w:bidi="ar"/>
        </w:rPr>
        <w:t xml:space="preserve">表3.2-8 </w:t>
      </w:r>
      <w:r>
        <w:rPr>
          <w:rFonts w:ascii="黑体" w:hAnsi="黑体" w:eastAsia="黑体" w:cs="宋体"/>
          <w:bCs/>
          <w:sz w:val="21"/>
          <w:szCs w:val="21"/>
          <w:lang w:bidi="ar"/>
        </w:rPr>
        <w:t xml:space="preserve"> 井身结构设计说明</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55"/>
        <w:gridCol w:w="1056"/>
        <w:gridCol w:w="1142"/>
        <w:gridCol w:w="5933"/>
      </w:tblGrid>
      <w:tr w14:paraId="1F0262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3" w:type="pct"/>
            <w:vAlign w:val="center"/>
          </w:tcPr>
          <w:p w14:paraId="1FBA2D19">
            <w:pPr>
              <w:pStyle w:val="278"/>
              <w:adjustRightInd w:val="0"/>
              <w:snapToGrid w:val="0"/>
              <w:spacing w:line="300" w:lineRule="exact"/>
              <w:rPr>
                <w:rFonts w:hint="eastAsia" w:cs="宋体"/>
              </w:rPr>
            </w:pPr>
            <w:r>
              <w:rPr>
                <w:rFonts w:cs="宋体"/>
              </w:rPr>
              <w:t>开钻次数</w:t>
            </w:r>
          </w:p>
        </w:tc>
        <w:tc>
          <w:tcPr>
            <w:tcW w:w="601" w:type="pct"/>
            <w:vAlign w:val="center"/>
          </w:tcPr>
          <w:p w14:paraId="4460CD95">
            <w:pPr>
              <w:pStyle w:val="278"/>
              <w:adjustRightInd w:val="0"/>
              <w:snapToGrid w:val="0"/>
              <w:spacing w:line="300" w:lineRule="exact"/>
              <w:rPr>
                <w:rFonts w:hint="eastAsia" w:cs="宋体"/>
              </w:rPr>
            </w:pPr>
            <w:r>
              <w:rPr>
                <w:rFonts w:hint="eastAsia" w:cs="宋体"/>
              </w:rPr>
              <w:t>钻头尺寸（mm）</w:t>
            </w:r>
          </w:p>
        </w:tc>
        <w:tc>
          <w:tcPr>
            <w:tcW w:w="650" w:type="pct"/>
            <w:vAlign w:val="center"/>
          </w:tcPr>
          <w:p w14:paraId="50BB9B21">
            <w:pPr>
              <w:pStyle w:val="278"/>
              <w:adjustRightInd w:val="0"/>
              <w:snapToGrid w:val="0"/>
              <w:spacing w:line="300" w:lineRule="exact"/>
              <w:rPr>
                <w:rFonts w:hint="eastAsia" w:cs="宋体"/>
              </w:rPr>
            </w:pPr>
            <w:r>
              <w:rPr>
                <w:rFonts w:hint="eastAsia" w:cs="宋体"/>
              </w:rPr>
              <w:t>套管尺寸（mm）</w:t>
            </w:r>
          </w:p>
        </w:tc>
        <w:tc>
          <w:tcPr>
            <w:tcW w:w="3376" w:type="pct"/>
            <w:vAlign w:val="center"/>
          </w:tcPr>
          <w:p w14:paraId="483B1E33">
            <w:pPr>
              <w:pStyle w:val="278"/>
              <w:adjustRightInd w:val="0"/>
              <w:snapToGrid w:val="0"/>
              <w:spacing w:line="300" w:lineRule="exact"/>
              <w:rPr>
                <w:rFonts w:hint="eastAsia" w:cs="宋体"/>
              </w:rPr>
            </w:pPr>
            <w:r>
              <w:rPr>
                <w:rFonts w:hint="eastAsia" w:cs="宋体"/>
              </w:rPr>
              <w:t>设计说明</w:t>
            </w:r>
          </w:p>
        </w:tc>
      </w:tr>
      <w:tr w14:paraId="422EAD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3" w:type="pct"/>
            <w:vAlign w:val="center"/>
          </w:tcPr>
          <w:p w14:paraId="3997BE68">
            <w:pPr>
              <w:pStyle w:val="278"/>
              <w:adjustRightInd w:val="0"/>
              <w:snapToGrid w:val="0"/>
              <w:spacing w:line="300" w:lineRule="exact"/>
              <w:rPr>
                <w:rFonts w:hint="eastAsia" w:cs="宋体"/>
              </w:rPr>
            </w:pPr>
            <w:r>
              <w:rPr>
                <w:rFonts w:hint="eastAsia" w:cs="宋体"/>
              </w:rPr>
              <w:t>一开</w:t>
            </w:r>
          </w:p>
        </w:tc>
        <w:tc>
          <w:tcPr>
            <w:tcW w:w="601" w:type="pct"/>
            <w:vAlign w:val="center"/>
          </w:tcPr>
          <w:p w14:paraId="0D707ADE">
            <w:pPr>
              <w:pStyle w:val="278"/>
              <w:adjustRightInd w:val="0"/>
              <w:snapToGrid w:val="0"/>
              <w:spacing w:line="300" w:lineRule="exact"/>
              <w:rPr>
                <w:rFonts w:hint="eastAsia" w:cs="宋体"/>
              </w:rPr>
            </w:pPr>
            <w:r>
              <w:rPr>
                <w:rFonts w:hint="eastAsia" w:cs="宋体"/>
              </w:rPr>
              <w:sym w:font="Symbol" w:char="F046"/>
            </w:r>
            <w:r>
              <w:rPr>
                <w:rFonts w:hint="eastAsia" w:cs="宋体"/>
              </w:rPr>
              <w:t>311.2</w:t>
            </w:r>
          </w:p>
        </w:tc>
        <w:tc>
          <w:tcPr>
            <w:tcW w:w="650" w:type="pct"/>
            <w:vAlign w:val="center"/>
          </w:tcPr>
          <w:p w14:paraId="2F265D62">
            <w:pPr>
              <w:pStyle w:val="278"/>
              <w:adjustRightInd w:val="0"/>
              <w:snapToGrid w:val="0"/>
              <w:spacing w:line="300" w:lineRule="exact"/>
              <w:rPr>
                <w:rFonts w:hint="eastAsia" w:cs="宋体"/>
              </w:rPr>
            </w:pPr>
            <w:r>
              <w:rPr>
                <w:rFonts w:hint="eastAsia" w:cs="宋体"/>
              </w:rPr>
              <w:sym w:font="Symbol" w:char="F046"/>
            </w:r>
            <w:r>
              <w:rPr>
                <w:rFonts w:hint="eastAsia" w:cs="宋体"/>
              </w:rPr>
              <w:t>244.5</w:t>
            </w:r>
          </w:p>
        </w:tc>
        <w:tc>
          <w:tcPr>
            <w:tcW w:w="3376" w:type="pct"/>
            <w:vAlign w:val="center"/>
          </w:tcPr>
          <w:p w14:paraId="6DD93E0F">
            <w:pPr>
              <w:autoSpaceDE w:val="0"/>
              <w:autoSpaceDN w:val="0"/>
              <w:adjustRightInd w:val="0"/>
              <w:snapToGrid w:val="0"/>
              <w:spacing w:line="300" w:lineRule="exact"/>
              <w:jc w:val="left"/>
              <w:rPr>
                <w:rFonts w:hint="eastAsia" w:ascii="宋体" w:hAnsi="宋体" w:cs="宋体"/>
                <w:kern w:val="0"/>
                <w:szCs w:val="21"/>
              </w:rPr>
            </w:pPr>
            <w:r>
              <w:rPr>
                <w:rFonts w:hint="eastAsia" w:ascii="宋体" w:hAnsi="宋体" w:cs="宋体"/>
                <w:kern w:val="0"/>
                <w:szCs w:val="21"/>
              </w:rPr>
              <w:t>采用</w:t>
            </w:r>
            <w:r>
              <w:rPr>
                <w:rFonts w:hint="eastAsia" w:ascii="宋体" w:hAnsi="宋体" w:cs="宋体"/>
                <w:kern w:val="0"/>
                <w:szCs w:val="21"/>
              </w:rPr>
              <w:sym w:font="Symbol" w:char="F046"/>
            </w:r>
            <w:r>
              <w:rPr>
                <w:rFonts w:hint="eastAsia" w:ascii="宋体" w:hAnsi="宋体" w:cs="宋体"/>
                <w:kern w:val="0"/>
                <w:szCs w:val="21"/>
              </w:rPr>
              <w:t>311.2mm钻头钻穿齐古组进入头屯河组稳定泥岩段表完，即头屯河组顶部20m左右表完（井深1800m左右），下入</w:t>
            </w:r>
            <w:r>
              <w:rPr>
                <w:rFonts w:hint="eastAsia" w:ascii="宋体" w:hAnsi="宋体" w:cs="宋体"/>
                <w:kern w:val="0"/>
                <w:szCs w:val="21"/>
              </w:rPr>
              <w:sym w:font="Symbol" w:char="F046"/>
            </w:r>
            <w:r>
              <w:rPr>
                <w:rFonts w:hint="eastAsia" w:ascii="宋体" w:hAnsi="宋体" w:cs="宋体"/>
                <w:kern w:val="0"/>
                <w:szCs w:val="21"/>
              </w:rPr>
              <w:t>244.5mm表层套管，固井水泥浆返至地面。</w:t>
            </w:r>
          </w:p>
        </w:tc>
      </w:tr>
      <w:tr w14:paraId="20F281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3" w:type="pct"/>
            <w:vAlign w:val="center"/>
          </w:tcPr>
          <w:p w14:paraId="13D2327D">
            <w:pPr>
              <w:pStyle w:val="278"/>
              <w:adjustRightInd w:val="0"/>
              <w:snapToGrid w:val="0"/>
              <w:spacing w:line="300" w:lineRule="exact"/>
              <w:rPr>
                <w:rFonts w:hint="eastAsia" w:cs="宋体"/>
              </w:rPr>
            </w:pPr>
            <w:r>
              <w:rPr>
                <w:rFonts w:hint="eastAsia" w:cs="宋体"/>
              </w:rPr>
              <w:t>二开</w:t>
            </w:r>
          </w:p>
        </w:tc>
        <w:tc>
          <w:tcPr>
            <w:tcW w:w="601" w:type="pct"/>
            <w:vAlign w:val="center"/>
          </w:tcPr>
          <w:p w14:paraId="01E7A866">
            <w:pPr>
              <w:pStyle w:val="278"/>
              <w:adjustRightInd w:val="0"/>
              <w:snapToGrid w:val="0"/>
              <w:spacing w:line="300" w:lineRule="exact"/>
              <w:rPr>
                <w:rFonts w:hint="eastAsia" w:cs="宋体"/>
              </w:rPr>
            </w:pPr>
            <w:r>
              <w:rPr>
                <w:rFonts w:hint="eastAsia" w:cs="宋体"/>
              </w:rPr>
              <w:sym w:font="Symbol" w:char="F046"/>
            </w:r>
            <w:r>
              <w:rPr>
                <w:rFonts w:hint="eastAsia" w:cs="宋体"/>
              </w:rPr>
              <w:t>215.9</w:t>
            </w:r>
          </w:p>
        </w:tc>
        <w:tc>
          <w:tcPr>
            <w:tcW w:w="650" w:type="pct"/>
            <w:vAlign w:val="center"/>
          </w:tcPr>
          <w:p w14:paraId="2F34135E">
            <w:pPr>
              <w:pStyle w:val="278"/>
              <w:adjustRightInd w:val="0"/>
              <w:snapToGrid w:val="0"/>
              <w:spacing w:line="300" w:lineRule="exact"/>
              <w:rPr>
                <w:rFonts w:hint="eastAsia" w:cs="宋体"/>
              </w:rPr>
            </w:pPr>
            <w:r>
              <w:rPr>
                <w:rFonts w:hint="eastAsia" w:cs="宋体"/>
              </w:rPr>
              <w:sym w:font="Symbol" w:char="F046"/>
            </w:r>
            <w:r>
              <w:rPr>
                <w:rFonts w:hint="eastAsia" w:cs="宋体"/>
              </w:rPr>
              <w:t>139.7</w:t>
            </w:r>
          </w:p>
        </w:tc>
        <w:tc>
          <w:tcPr>
            <w:tcW w:w="3376" w:type="pct"/>
            <w:vAlign w:val="center"/>
          </w:tcPr>
          <w:p w14:paraId="7BD7CD78">
            <w:pPr>
              <w:adjustRightInd w:val="0"/>
              <w:snapToGrid w:val="0"/>
              <w:spacing w:line="300" w:lineRule="exact"/>
              <w:rPr>
                <w:rFonts w:cs="宋体"/>
              </w:rPr>
            </w:pPr>
            <w:r>
              <w:rPr>
                <w:rFonts w:hint="eastAsia" w:ascii="宋体" w:hAnsi="宋体" w:cs="宋体"/>
                <w:kern w:val="0"/>
                <w:szCs w:val="21"/>
              </w:rPr>
              <w:t>采用Φ215.9mm钻头钻至完钻井深，下入Φ139.7mm油层套管，水泥浆返至地面。</w:t>
            </w:r>
          </w:p>
        </w:tc>
      </w:tr>
    </w:tbl>
    <w:p w14:paraId="1E3F76E8">
      <w:pPr>
        <w:pStyle w:val="117"/>
        <w:adjustRightInd w:val="0"/>
        <w:snapToGrid w:val="0"/>
        <w:ind w:firstLine="480"/>
        <w:rPr>
          <w:rFonts w:hint="eastAsia"/>
        </w:rPr>
      </w:pPr>
      <w:bookmarkStart w:id="209" w:name="OLE_LINK387"/>
      <w:bookmarkStart w:id="210" w:name="OLE_LINK385"/>
      <w:r>
        <w:rPr>
          <w:rFonts w:hint="eastAsia"/>
          <w:kern w:val="0"/>
        </w:rPr>
        <w:t>※钻</w:t>
      </w:r>
      <w:bookmarkStart w:id="211" w:name="OLE_LINK386"/>
      <w:r>
        <w:rPr>
          <w:rFonts w:hint="eastAsia"/>
          <w:kern w:val="0"/>
        </w:rPr>
        <w:t>井设备</w:t>
      </w:r>
    </w:p>
    <w:p w14:paraId="03C15F80">
      <w:pPr>
        <w:pStyle w:val="117"/>
        <w:adjustRightInd w:val="0"/>
        <w:snapToGrid w:val="0"/>
        <w:ind w:firstLine="480"/>
        <w:rPr>
          <w:rFonts w:hint="eastAsia"/>
          <w:kern w:val="0"/>
        </w:rPr>
      </w:pPr>
      <w:r>
        <w:rPr>
          <w:rFonts w:hint="eastAsia"/>
          <w:kern w:val="0"/>
        </w:rPr>
        <w:t>钻井设备主要为钻井、钻井泵、发电机、储罐等设备，主要设备见表3.2-9</w:t>
      </w:r>
      <w:bookmarkEnd w:id="211"/>
      <w:r>
        <w:rPr>
          <w:rFonts w:hint="eastAsia"/>
          <w:kern w:val="0"/>
        </w:rPr>
        <w:t>。</w:t>
      </w:r>
    </w:p>
    <w:p w14:paraId="1972486C">
      <w:pPr>
        <w:pStyle w:val="117"/>
        <w:adjustRightInd w:val="0"/>
        <w:snapToGrid w:val="0"/>
        <w:ind w:firstLine="480"/>
        <w:rPr>
          <w:rFonts w:hint="eastAsia"/>
          <w:kern w:val="0"/>
        </w:rPr>
      </w:pPr>
      <w:r>
        <w:drawing>
          <wp:anchor distT="0" distB="0" distL="114300" distR="114300" simplePos="0" relativeHeight="251678720" behindDoc="0" locked="0" layoutInCell="1" allowOverlap="1">
            <wp:simplePos x="0" y="0"/>
            <wp:positionH relativeFrom="margin">
              <wp:posOffset>1536700</wp:posOffset>
            </wp:positionH>
            <wp:positionV relativeFrom="paragraph">
              <wp:posOffset>12065</wp:posOffset>
            </wp:positionV>
            <wp:extent cx="2403475" cy="3295650"/>
            <wp:effectExtent l="0" t="0" r="0" b="0"/>
            <wp:wrapNone/>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20"/>
                    <a:stretch>
                      <a:fillRect/>
                    </a:stretch>
                  </pic:blipFill>
                  <pic:spPr>
                    <a:xfrm>
                      <a:off x="0" y="0"/>
                      <a:ext cx="2403161" cy="3295650"/>
                    </a:xfrm>
                    <a:prstGeom prst="rect">
                      <a:avLst/>
                    </a:prstGeom>
                    <a:noFill/>
                    <a:ln>
                      <a:noFill/>
                    </a:ln>
                  </pic:spPr>
                </pic:pic>
              </a:graphicData>
            </a:graphic>
          </wp:anchor>
        </w:drawing>
      </w:r>
    </w:p>
    <w:p w14:paraId="4FC9FD27">
      <w:pPr>
        <w:pStyle w:val="117"/>
        <w:adjustRightInd w:val="0"/>
        <w:snapToGrid w:val="0"/>
        <w:ind w:firstLine="480"/>
        <w:rPr>
          <w:rFonts w:hint="eastAsia"/>
          <w:kern w:val="0"/>
        </w:rPr>
      </w:pPr>
    </w:p>
    <w:p w14:paraId="3A035CEC">
      <w:pPr>
        <w:pStyle w:val="117"/>
        <w:adjustRightInd w:val="0"/>
        <w:snapToGrid w:val="0"/>
        <w:ind w:firstLine="480"/>
        <w:rPr>
          <w:rFonts w:hint="eastAsia"/>
          <w:kern w:val="0"/>
        </w:rPr>
      </w:pPr>
    </w:p>
    <w:p w14:paraId="6F27F544">
      <w:pPr>
        <w:pStyle w:val="117"/>
        <w:adjustRightInd w:val="0"/>
        <w:snapToGrid w:val="0"/>
        <w:ind w:firstLine="480"/>
        <w:rPr>
          <w:rFonts w:hint="eastAsia"/>
          <w:kern w:val="0"/>
        </w:rPr>
      </w:pPr>
    </w:p>
    <w:p w14:paraId="73671556">
      <w:pPr>
        <w:pStyle w:val="117"/>
        <w:adjustRightInd w:val="0"/>
        <w:snapToGrid w:val="0"/>
        <w:ind w:firstLine="480"/>
        <w:rPr>
          <w:rFonts w:hint="eastAsia"/>
          <w:kern w:val="0"/>
        </w:rPr>
      </w:pPr>
    </w:p>
    <w:p w14:paraId="29C7FC45">
      <w:pPr>
        <w:pStyle w:val="117"/>
        <w:adjustRightInd w:val="0"/>
        <w:snapToGrid w:val="0"/>
        <w:ind w:firstLine="480"/>
        <w:rPr>
          <w:rFonts w:hint="eastAsia"/>
          <w:kern w:val="0"/>
        </w:rPr>
      </w:pPr>
    </w:p>
    <w:p w14:paraId="58E717CF">
      <w:pPr>
        <w:pStyle w:val="117"/>
        <w:adjustRightInd w:val="0"/>
        <w:snapToGrid w:val="0"/>
        <w:ind w:firstLine="480"/>
        <w:rPr>
          <w:rFonts w:hint="eastAsia"/>
          <w:kern w:val="0"/>
        </w:rPr>
      </w:pPr>
    </w:p>
    <w:p w14:paraId="105919BD">
      <w:pPr>
        <w:pStyle w:val="117"/>
        <w:adjustRightInd w:val="0"/>
        <w:snapToGrid w:val="0"/>
        <w:ind w:firstLine="480"/>
        <w:rPr>
          <w:rFonts w:hint="eastAsia"/>
          <w:kern w:val="0"/>
        </w:rPr>
      </w:pPr>
    </w:p>
    <w:p w14:paraId="54805CCD">
      <w:pPr>
        <w:pStyle w:val="117"/>
        <w:adjustRightInd w:val="0"/>
        <w:snapToGrid w:val="0"/>
        <w:ind w:firstLine="480"/>
        <w:rPr>
          <w:rFonts w:hint="eastAsia"/>
          <w:kern w:val="0"/>
        </w:rPr>
      </w:pPr>
    </w:p>
    <w:p w14:paraId="31615F57">
      <w:pPr>
        <w:pStyle w:val="117"/>
        <w:adjustRightInd w:val="0"/>
        <w:snapToGrid w:val="0"/>
        <w:ind w:firstLine="480"/>
        <w:rPr>
          <w:rFonts w:hint="eastAsia"/>
          <w:kern w:val="0"/>
        </w:rPr>
      </w:pPr>
    </w:p>
    <w:p w14:paraId="7D8FCAD0">
      <w:pPr>
        <w:snapToGrid w:val="0"/>
        <w:spacing w:line="500" w:lineRule="exact"/>
        <w:jc w:val="center"/>
        <w:rPr>
          <w:rFonts w:hint="eastAsia" w:ascii="黑体" w:hAnsi="黑体" w:eastAsia="黑体" w:cs="黑体"/>
          <w:szCs w:val="21"/>
        </w:rPr>
      </w:pPr>
      <w:r>
        <w:rPr>
          <w:rFonts w:hint="eastAsia" w:ascii="黑体" w:hAnsi="黑体" w:eastAsia="黑体" w:cs="黑体"/>
          <w:szCs w:val="21"/>
        </w:rPr>
        <w:t>图3.2-3  井身结构示意图</w:t>
      </w:r>
    </w:p>
    <w:bookmarkEnd w:id="209"/>
    <w:bookmarkEnd w:id="210"/>
    <w:p w14:paraId="3DA52717">
      <w:pPr>
        <w:snapToGrid w:val="0"/>
        <w:spacing w:line="500" w:lineRule="exact"/>
        <w:jc w:val="center"/>
        <w:rPr>
          <w:rFonts w:hint="eastAsia" w:ascii="黑体" w:hAnsi="黑体" w:eastAsia="黑体" w:cs="黑体"/>
          <w:szCs w:val="21"/>
        </w:rPr>
      </w:pPr>
      <w:r>
        <w:rPr>
          <w:rFonts w:hint="eastAsia" w:ascii="黑体" w:hAnsi="黑体" w:eastAsia="黑体" w:cs="黑体"/>
          <w:szCs w:val="21"/>
        </w:rPr>
        <w:t>表3.2-9  主要钻井设备一览表（单井）</w:t>
      </w:r>
    </w:p>
    <w:tbl>
      <w:tblPr>
        <w:tblStyle w:val="51"/>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57" w:type="dxa"/>
          <w:bottom w:w="0" w:type="dxa"/>
          <w:right w:w="57" w:type="dxa"/>
        </w:tblCellMar>
      </w:tblPr>
      <w:tblGrid>
        <w:gridCol w:w="656"/>
        <w:gridCol w:w="2332"/>
        <w:gridCol w:w="2095"/>
        <w:gridCol w:w="2823"/>
        <w:gridCol w:w="934"/>
      </w:tblGrid>
      <w:tr w14:paraId="722400F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03D965BD">
            <w:pPr>
              <w:snapToGrid w:val="0"/>
              <w:jc w:val="center"/>
              <w:rPr>
                <w:rFonts w:hint="eastAsia" w:ascii="宋体" w:hAnsi="宋体" w:cs="宋体"/>
                <w:szCs w:val="21"/>
              </w:rPr>
            </w:pPr>
            <w:r>
              <w:rPr>
                <w:rFonts w:hint="eastAsia" w:ascii="宋体" w:hAnsi="宋体" w:cs="宋体"/>
                <w:szCs w:val="21"/>
              </w:rPr>
              <w:t>序号</w:t>
            </w:r>
          </w:p>
        </w:tc>
        <w:tc>
          <w:tcPr>
            <w:tcW w:w="1319" w:type="pct"/>
            <w:vAlign w:val="center"/>
          </w:tcPr>
          <w:p w14:paraId="4620C8F8">
            <w:pPr>
              <w:snapToGrid w:val="0"/>
              <w:jc w:val="center"/>
              <w:rPr>
                <w:rFonts w:hint="eastAsia" w:ascii="宋体" w:hAnsi="宋体" w:cs="宋体"/>
                <w:szCs w:val="21"/>
              </w:rPr>
            </w:pPr>
            <w:r>
              <w:rPr>
                <w:rFonts w:hint="eastAsia" w:ascii="宋体" w:hAnsi="宋体" w:cs="宋体"/>
                <w:szCs w:val="21"/>
              </w:rPr>
              <w:t>名称</w:t>
            </w:r>
          </w:p>
        </w:tc>
        <w:tc>
          <w:tcPr>
            <w:tcW w:w="1185" w:type="pct"/>
            <w:vAlign w:val="center"/>
          </w:tcPr>
          <w:p w14:paraId="72CAAC9B">
            <w:pPr>
              <w:snapToGrid w:val="0"/>
              <w:jc w:val="center"/>
              <w:rPr>
                <w:rFonts w:hint="eastAsia" w:ascii="宋体" w:hAnsi="宋体" w:cs="宋体"/>
                <w:szCs w:val="21"/>
              </w:rPr>
            </w:pPr>
            <w:r>
              <w:rPr>
                <w:rFonts w:hint="eastAsia" w:ascii="宋体" w:hAnsi="宋体" w:cs="宋体"/>
                <w:szCs w:val="21"/>
              </w:rPr>
              <w:t>型号</w:t>
            </w:r>
          </w:p>
        </w:tc>
        <w:tc>
          <w:tcPr>
            <w:tcW w:w="1597" w:type="pct"/>
            <w:vAlign w:val="center"/>
          </w:tcPr>
          <w:p w14:paraId="644CA055">
            <w:pPr>
              <w:snapToGrid w:val="0"/>
              <w:jc w:val="center"/>
              <w:rPr>
                <w:rFonts w:hint="eastAsia" w:ascii="宋体" w:hAnsi="宋体" w:cs="宋体"/>
                <w:szCs w:val="21"/>
              </w:rPr>
            </w:pPr>
            <w:r>
              <w:rPr>
                <w:rFonts w:hint="eastAsia" w:ascii="宋体" w:hAnsi="宋体" w:cs="宋体"/>
                <w:szCs w:val="21"/>
              </w:rPr>
              <w:t>规格</w:t>
            </w:r>
          </w:p>
        </w:tc>
        <w:tc>
          <w:tcPr>
            <w:tcW w:w="529" w:type="pct"/>
            <w:vAlign w:val="center"/>
          </w:tcPr>
          <w:p w14:paraId="6AAFB79D">
            <w:pPr>
              <w:snapToGrid w:val="0"/>
              <w:jc w:val="center"/>
              <w:rPr>
                <w:rFonts w:hint="eastAsia" w:ascii="宋体" w:hAnsi="宋体" w:cs="宋体"/>
                <w:szCs w:val="21"/>
              </w:rPr>
            </w:pPr>
            <w:r>
              <w:rPr>
                <w:rFonts w:hint="eastAsia" w:ascii="宋体" w:hAnsi="宋体" w:cs="宋体"/>
                <w:szCs w:val="21"/>
              </w:rPr>
              <w:t>数量</w:t>
            </w:r>
          </w:p>
        </w:tc>
      </w:tr>
      <w:tr w14:paraId="3319E4F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6A45D207">
            <w:pPr>
              <w:snapToGrid w:val="0"/>
              <w:jc w:val="center"/>
              <w:rPr>
                <w:rFonts w:hint="eastAsia" w:ascii="宋体" w:hAnsi="宋体" w:cs="宋体"/>
                <w:szCs w:val="21"/>
              </w:rPr>
            </w:pPr>
            <w:r>
              <w:rPr>
                <w:rFonts w:hint="eastAsia" w:ascii="宋体" w:hAnsi="宋体" w:cs="宋体"/>
                <w:szCs w:val="21"/>
              </w:rPr>
              <w:t>1</w:t>
            </w:r>
          </w:p>
        </w:tc>
        <w:tc>
          <w:tcPr>
            <w:tcW w:w="1319" w:type="pct"/>
            <w:vAlign w:val="center"/>
          </w:tcPr>
          <w:p w14:paraId="13974FB4">
            <w:pPr>
              <w:snapToGrid w:val="0"/>
              <w:jc w:val="center"/>
              <w:rPr>
                <w:rFonts w:hint="eastAsia" w:ascii="宋体" w:hAnsi="宋体" w:cs="宋体"/>
                <w:szCs w:val="21"/>
              </w:rPr>
            </w:pPr>
            <w:r>
              <w:rPr>
                <w:rFonts w:hint="eastAsia" w:ascii="宋体" w:hAnsi="宋体" w:cs="宋体"/>
                <w:szCs w:val="21"/>
              </w:rPr>
              <w:t>钻机</w:t>
            </w:r>
          </w:p>
        </w:tc>
        <w:tc>
          <w:tcPr>
            <w:tcW w:w="1185" w:type="pct"/>
            <w:vAlign w:val="center"/>
          </w:tcPr>
          <w:p w14:paraId="2ED97B37">
            <w:pPr>
              <w:snapToGrid w:val="0"/>
              <w:jc w:val="center"/>
              <w:rPr>
                <w:rFonts w:hint="eastAsia" w:ascii="宋体" w:hAnsi="宋体" w:cs="宋体"/>
                <w:szCs w:val="21"/>
              </w:rPr>
            </w:pPr>
            <w:r>
              <w:rPr>
                <w:rFonts w:hint="eastAsia" w:ascii="宋体" w:hAnsi="宋体" w:cs="宋体"/>
                <w:szCs w:val="21"/>
              </w:rPr>
              <w:t>ZJ70D</w:t>
            </w:r>
          </w:p>
        </w:tc>
        <w:tc>
          <w:tcPr>
            <w:tcW w:w="1597" w:type="pct"/>
            <w:vAlign w:val="center"/>
          </w:tcPr>
          <w:p w14:paraId="6858CA1D">
            <w:pPr>
              <w:snapToGrid w:val="0"/>
              <w:jc w:val="center"/>
              <w:rPr>
                <w:rFonts w:hint="eastAsia" w:ascii="宋体" w:hAnsi="宋体" w:cs="宋体"/>
                <w:szCs w:val="21"/>
              </w:rPr>
            </w:pPr>
            <w:r>
              <w:rPr>
                <w:rFonts w:hint="eastAsia" w:ascii="宋体" w:hAnsi="宋体" w:cs="宋体"/>
                <w:szCs w:val="21"/>
              </w:rPr>
              <w:t>4500（kN）</w:t>
            </w:r>
          </w:p>
        </w:tc>
        <w:tc>
          <w:tcPr>
            <w:tcW w:w="529" w:type="pct"/>
            <w:vAlign w:val="center"/>
          </w:tcPr>
          <w:p w14:paraId="314EB246">
            <w:pPr>
              <w:snapToGrid w:val="0"/>
              <w:jc w:val="center"/>
              <w:rPr>
                <w:rFonts w:hint="eastAsia" w:ascii="宋体" w:hAnsi="宋体" w:cs="宋体"/>
                <w:szCs w:val="21"/>
              </w:rPr>
            </w:pPr>
            <w:r>
              <w:rPr>
                <w:rFonts w:hint="eastAsia" w:ascii="宋体" w:hAnsi="宋体" w:cs="宋体"/>
                <w:szCs w:val="21"/>
              </w:rPr>
              <w:t>1台</w:t>
            </w:r>
          </w:p>
        </w:tc>
      </w:tr>
      <w:tr w14:paraId="329A7D9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0370F6A1">
            <w:pPr>
              <w:snapToGrid w:val="0"/>
              <w:jc w:val="center"/>
              <w:rPr>
                <w:rFonts w:hint="eastAsia" w:ascii="宋体" w:hAnsi="宋体" w:cs="宋体"/>
                <w:szCs w:val="21"/>
              </w:rPr>
            </w:pPr>
            <w:r>
              <w:rPr>
                <w:rFonts w:hint="eastAsia" w:ascii="宋体" w:hAnsi="宋体" w:cs="宋体"/>
                <w:szCs w:val="21"/>
              </w:rPr>
              <w:t>2</w:t>
            </w:r>
          </w:p>
        </w:tc>
        <w:tc>
          <w:tcPr>
            <w:tcW w:w="1319" w:type="pct"/>
            <w:vAlign w:val="center"/>
          </w:tcPr>
          <w:p w14:paraId="1FB22262">
            <w:pPr>
              <w:snapToGrid w:val="0"/>
              <w:jc w:val="center"/>
              <w:rPr>
                <w:rFonts w:hint="eastAsia" w:ascii="宋体" w:hAnsi="宋体" w:cs="宋体"/>
                <w:szCs w:val="21"/>
              </w:rPr>
            </w:pPr>
            <w:r>
              <w:rPr>
                <w:rFonts w:hint="eastAsia" w:ascii="宋体" w:hAnsi="宋体" w:cs="宋体"/>
                <w:szCs w:val="21"/>
              </w:rPr>
              <w:t>井架</w:t>
            </w:r>
          </w:p>
        </w:tc>
        <w:tc>
          <w:tcPr>
            <w:tcW w:w="1185" w:type="pct"/>
            <w:vAlign w:val="center"/>
          </w:tcPr>
          <w:p w14:paraId="0FDDBD4E">
            <w:pPr>
              <w:jc w:val="center"/>
              <w:rPr>
                <w:rFonts w:hint="eastAsia" w:ascii="宋体" w:hAnsi="宋体" w:cs="宋体"/>
                <w:szCs w:val="21"/>
              </w:rPr>
            </w:pPr>
            <w:r>
              <w:rPr>
                <w:rFonts w:hint="eastAsia" w:ascii="宋体" w:hAnsi="宋体" w:cs="宋体"/>
                <w:szCs w:val="21"/>
              </w:rPr>
              <w:t>JJ450/45-K8</w:t>
            </w:r>
          </w:p>
        </w:tc>
        <w:tc>
          <w:tcPr>
            <w:tcW w:w="1597" w:type="pct"/>
            <w:vAlign w:val="center"/>
          </w:tcPr>
          <w:p w14:paraId="48B4198D">
            <w:pPr>
              <w:snapToGrid w:val="0"/>
              <w:jc w:val="center"/>
              <w:rPr>
                <w:rFonts w:hint="eastAsia" w:ascii="宋体" w:hAnsi="宋体" w:cs="宋体"/>
                <w:szCs w:val="21"/>
              </w:rPr>
            </w:pPr>
            <w:r>
              <w:rPr>
                <w:rFonts w:hint="eastAsia" w:ascii="宋体" w:hAnsi="宋体" w:cs="宋体"/>
                <w:szCs w:val="21"/>
              </w:rPr>
              <w:t>4500（kN）</w:t>
            </w:r>
          </w:p>
        </w:tc>
        <w:tc>
          <w:tcPr>
            <w:tcW w:w="529" w:type="pct"/>
            <w:vAlign w:val="center"/>
          </w:tcPr>
          <w:p w14:paraId="40450340">
            <w:pPr>
              <w:snapToGrid w:val="0"/>
              <w:jc w:val="center"/>
              <w:rPr>
                <w:rFonts w:hint="eastAsia" w:ascii="宋体" w:hAnsi="宋体" w:cs="宋体"/>
                <w:szCs w:val="21"/>
              </w:rPr>
            </w:pPr>
            <w:r>
              <w:rPr>
                <w:rFonts w:hint="eastAsia" w:ascii="宋体" w:hAnsi="宋体" w:cs="宋体"/>
                <w:szCs w:val="21"/>
              </w:rPr>
              <w:t>1台</w:t>
            </w:r>
          </w:p>
        </w:tc>
      </w:tr>
      <w:tr w14:paraId="67633D1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6BD13E21">
            <w:pPr>
              <w:snapToGrid w:val="0"/>
              <w:jc w:val="center"/>
              <w:rPr>
                <w:rFonts w:hint="eastAsia" w:ascii="宋体" w:hAnsi="宋体" w:cs="宋体"/>
                <w:szCs w:val="21"/>
              </w:rPr>
            </w:pPr>
            <w:r>
              <w:rPr>
                <w:rFonts w:hint="eastAsia" w:ascii="宋体" w:hAnsi="宋体" w:cs="宋体"/>
                <w:szCs w:val="21"/>
              </w:rPr>
              <w:t>3</w:t>
            </w:r>
          </w:p>
        </w:tc>
        <w:tc>
          <w:tcPr>
            <w:tcW w:w="1319" w:type="pct"/>
            <w:vAlign w:val="center"/>
          </w:tcPr>
          <w:p w14:paraId="5549793D">
            <w:pPr>
              <w:snapToGrid w:val="0"/>
              <w:jc w:val="center"/>
              <w:rPr>
                <w:rFonts w:hint="eastAsia" w:ascii="宋体" w:hAnsi="宋体" w:cs="宋体"/>
                <w:szCs w:val="21"/>
              </w:rPr>
            </w:pPr>
            <w:r>
              <w:rPr>
                <w:rFonts w:hint="eastAsia" w:ascii="宋体" w:hAnsi="宋体" w:cs="宋体"/>
                <w:szCs w:val="21"/>
              </w:rPr>
              <w:t>钻井泵</w:t>
            </w:r>
          </w:p>
        </w:tc>
        <w:tc>
          <w:tcPr>
            <w:tcW w:w="1185" w:type="pct"/>
            <w:vAlign w:val="center"/>
          </w:tcPr>
          <w:p w14:paraId="7EBCFFBC">
            <w:pPr>
              <w:jc w:val="center"/>
              <w:rPr>
                <w:rFonts w:hint="eastAsia" w:ascii="宋体" w:hAnsi="宋体" w:cs="宋体"/>
                <w:szCs w:val="21"/>
              </w:rPr>
            </w:pPr>
            <w:r>
              <w:rPr>
                <w:rFonts w:hint="eastAsia" w:ascii="宋体" w:hAnsi="宋体" w:cs="宋体"/>
                <w:szCs w:val="21"/>
              </w:rPr>
              <w:t>F-1600HL</w:t>
            </w:r>
          </w:p>
        </w:tc>
        <w:tc>
          <w:tcPr>
            <w:tcW w:w="1597" w:type="pct"/>
            <w:vAlign w:val="center"/>
          </w:tcPr>
          <w:p w14:paraId="33ABC2B0">
            <w:pPr>
              <w:snapToGrid w:val="0"/>
              <w:jc w:val="center"/>
              <w:rPr>
                <w:rFonts w:hint="eastAsia" w:ascii="宋体" w:hAnsi="宋体" w:cs="宋体"/>
                <w:szCs w:val="21"/>
              </w:rPr>
            </w:pPr>
            <w:r>
              <w:rPr>
                <w:rFonts w:hint="eastAsia" w:ascii="宋体" w:hAnsi="宋体" w:cs="宋体"/>
                <w:szCs w:val="21"/>
              </w:rPr>
              <w:t>960kw</w:t>
            </w:r>
          </w:p>
        </w:tc>
        <w:tc>
          <w:tcPr>
            <w:tcW w:w="529" w:type="pct"/>
            <w:vAlign w:val="center"/>
          </w:tcPr>
          <w:p w14:paraId="5F58A949">
            <w:pPr>
              <w:snapToGrid w:val="0"/>
              <w:jc w:val="center"/>
              <w:rPr>
                <w:rFonts w:hint="eastAsia" w:ascii="宋体" w:hAnsi="宋体" w:cs="宋体"/>
                <w:szCs w:val="21"/>
              </w:rPr>
            </w:pPr>
            <w:r>
              <w:rPr>
                <w:rFonts w:hint="eastAsia" w:ascii="宋体" w:hAnsi="宋体" w:cs="宋体"/>
                <w:szCs w:val="21"/>
              </w:rPr>
              <w:t>2台</w:t>
            </w:r>
          </w:p>
        </w:tc>
      </w:tr>
      <w:tr w14:paraId="02E510E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652AB66D">
            <w:pPr>
              <w:snapToGrid w:val="0"/>
              <w:jc w:val="center"/>
              <w:rPr>
                <w:rFonts w:hint="eastAsia" w:ascii="宋体" w:hAnsi="宋体" w:cs="宋体"/>
                <w:szCs w:val="21"/>
              </w:rPr>
            </w:pPr>
            <w:r>
              <w:rPr>
                <w:rFonts w:hint="eastAsia" w:ascii="宋体" w:hAnsi="宋体" w:cs="宋体"/>
                <w:szCs w:val="21"/>
              </w:rPr>
              <w:t>4</w:t>
            </w:r>
          </w:p>
        </w:tc>
        <w:tc>
          <w:tcPr>
            <w:tcW w:w="1319" w:type="pct"/>
            <w:vAlign w:val="center"/>
          </w:tcPr>
          <w:p w14:paraId="32A55A1A">
            <w:pPr>
              <w:snapToGrid w:val="0"/>
              <w:jc w:val="center"/>
              <w:rPr>
                <w:rFonts w:hint="eastAsia" w:ascii="宋体" w:hAnsi="宋体" w:cs="宋体"/>
                <w:szCs w:val="21"/>
              </w:rPr>
            </w:pPr>
            <w:r>
              <w:rPr>
                <w:rFonts w:hint="eastAsia" w:ascii="宋体" w:hAnsi="宋体" w:cs="宋体"/>
                <w:szCs w:val="21"/>
              </w:rPr>
              <w:t>钻井液罐</w:t>
            </w:r>
          </w:p>
        </w:tc>
        <w:tc>
          <w:tcPr>
            <w:tcW w:w="1185" w:type="pct"/>
            <w:vAlign w:val="center"/>
          </w:tcPr>
          <w:p w14:paraId="0C7E5D82">
            <w:pPr>
              <w:snapToGrid w:val="0"/>
              <w:jc w:val="center"/>
              <w:rPr>
                <w:rFonts w:hint="eastAsia" w:ascii="宋体" w:hAnsi="宋体" w:cs="宋体"/>
                <w:szCs w:val="21"/>
              </w:rPr>
            </w:pPr>
            <w:r>
              <w:rPr>
                <w:rFonts w:hint="eastAsia" w:ascii="宋体" w:hAnsi="宋体" w:cs="宋体"/>
                <w:szCs w:val="21"/>
              </w:rPr>
              <w:t>/</w:t>
            </w:r>
          </w:p>
        </w:tc>
        <w:tc>
          <w:tcPr>
            <w:tcW w:w="1597" w:type="pct"/>
            <w:vAlign w:val="center"/>
          </w:tcPr>
          <w:p w14:paraId="66D5F155">
            <w:pPr>
              <w:jc w:val="center"/>
              <w:rPr>
                <w:rFonts w:hint="eastAsia" w:ascii="宋体" w:hAnsi="宋体" w:cs="宋体"/>
                <w:szCs w:val="21"/>
              </w:rPr>
            </w:pPr>
            <w:r>
              <w:rPr>
                <w:rFonts w:hint="eastAsia" w:ascii="宋体" w:hAnsi="宋体" w:cs="宋体"/>
                <w:szCs w:val="21"/>
              </w:rPr>
              <w:t>循环罐总容积350m</w:t>
            </w:r>
            <w:r>
              <w:rPr>
                <w:rFonts w:hint="eastAsia" w:ascii="宋体" w:hAnsi="宋体" w:cs="宋体"/>
                <w:szCs w:val="21"/>
                <w:vertAlign w:val="superscript"/>
              </w:rPr>
              <w:t>3</w:t>
            </w:r>
          </w:p>
          <w:p w14:paraId="3898310E">
            <w:pPr>
              <w:jc w:val="center"/>
              <w:rPr>
                <w:rFonts w:hint="eastAsia" w:ascii="宋体" w:hAnsi="宋体" w:cs="宋体"/>
                <w:szCs w:val="21"/>
              </w:rPr>
            </w:pPr>
            <w:r>
              <w:rPr>
                <w:rFonts w:hint="eastAsia" w:ascii="宋体" w:hAnsi="宋体" w:cs="宋体"/>
                <w:szCs w:val="21"/>
              </w:rPr>
              <w:t>储备罐总容积240m</w:t>
            </w:r>
            <w:r>
              <w:rPr>
                <w:rFonts w:hint="eastAsia" w:ascii="宋体" w:hAnsi="宋体" w:cs="宋体"/>
                <w:szCs w:val="21"/>
                <w:vertAlign w:val="superscript"/>
              </w:rPr>
              <w:t>3</w:t>
            </w:r>
          </w:p>
        </w:tc>
        <w:tc>
          <w:tcPr>
            <w:tcW w:w="529" w:type="pct"/>
            <w:vAlign w:val="center"/>
          </w:tcPr>
          <w:p w14:paraId="419EC47F">
            <w:pPr>
              <w:snapToGrid w:val="0"/>
              <w:jc w:val="center"/>
              <w:rPr>
                <w:rFonts w:hint="eastAsia" w:ascii="宋体" w:hAnsi="宋体" w:cs="宋体"/>
                <w:szCs w:val="21"/>
              </w:rPr>
            </w:pPr>
            <w:r>
              <w:rPr>
                <w:rFonts w:hint="eastAsia" w:ascii="宋体" w:hAnsi="宋体" w:cs="宋体"/>
                <w:szCs w:val="21"/>
              </w:rPr>
              <w:t>1套</w:t>
            </w:r>
          </w:p>
        </w:tc>
      </w:tr>
      <w:tr w14:paraId="7BF0716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28C5724A">
            <w:pPr>
              <w:snapToGrid w:val="0"/>
              <w:jc w:val="center"/>
              <w:rPr>
                <w:rFonts w:hint="eastAsia" w:ascii="宋体" w:hAnsi="宋体" w:cs="宋体"/>
                <w:szCs w:val="21"/>
              </w:rPr>
            </w:pPr>
            <w:r>
              <w:rPr>
                <w:rFonts w:hint="eastAsia" w:ascii="宋体" w:hAnsi="宋体" w:cs="宋体"/>
                <w:szCs w:val="21"/>
              </w:rPr>
              <w:t>5</w:t>
            </w:r>
          </w:p>
        </w:tc>
        <w:tc>
          <w:tcPr>
            <w:tcW w:w="1319" w:type="pct"/>
            <w:vAlign w:val="center"/>
          </w:tcPr>
          <w:p w14:paraId="39BE3F9A">
            <w:pPr>
              <w:snapToGrid w:val="0"/>
              <w:jc w:val="center"/>
              <w:rPr>
                <w:rFonts w:hint="eastAsia" w:ascii="宋体" w:hAnsi="宋体" w:cs="宋体"/>
                <w:szCs w:val="21"/>
              </w:rPr>
            </w:pPr>
            <w:r>
              <w:rPr>
                <w:rFonts w:hint="eastAsia" w:ascii="宋体" w:hAnsi="宋体" w:cs="宋体"/>
                <w:szCs w:val="21"/>
              </w:rPr>
              <w:t>柴油机</w:t>
            </w:r>
          </w:p>
        </w:tc>
        <w:tc>
          <w:tcPr>
            <w:tcW w:w="1185" w:type="pct"/>
            <w:vAlign w:val="center"/>
          </w:tcPr>
          <w:p w14:paraId="529AC2B2">
            <w:pPr>
              <w:jc w:val="center"/>
              <w:rPr>
                <w:rFonts w:hint="eastAsia" w:ascii="宋体" w:hAnsi="宋体" w:cs="宋体"/>
                <w:szCs w:val="21"/>
              </w:rPr>
            </w:pPr>
            <w:r>
              <w:rPr>
                <w:rFonts w:hint="eastAsia" w:ascii="宋体" w:hAnsi="宋体" w:cs="宋体"/>
                <w:szCs w:val="21"/>
              </w:rPr>
              <w:t>G12V190PILG-3</w:t>
            </w:r>
          </w:p>
        </w:tc>
        <w:tc>
          <w:tcPr>
            <w:tcW w:w="1597" w:type="pct"/>
            <w:vAlign w:val="center"/>
          </w:tcPr>
          <w:p w14:paraId="162C1902">
            <w:pPr>
              <w:snapToGrid w:val="0"/>
              <w:jc w:val="center"/>
              <w:rPr>
                <w:rFonts w:hint="eastAsia" w:ascii="宋体" w:hAnsi="宋体" w:cs="宋体"/>
                <w:szCs w:val="21"/>
              </w:rPr>
            </w:pPr>
            <w:r>
              <w:rPr>
                <w:rFonts w:hint="eastAsia" w:ascii="宋体" w:hAnsi="宋体" w:cs="宋体"/>
                <w:szCs w:val="21"/>
              </w:rPr>
              <w:t>810kw</w:t>
            </w:r>
          </w:p>
        </w:tc>
        <w:tc>
          <w:tcPr>
            <w:tcW w:w="529" w:type="pct"/>
            <w:vAlign w:val="center"/>
          </w:tcPr>
          <w:p w14:paraId="34C81C3F">
            <w:pPr>
              <w:snapToGrid w:val="0"/>
              <w:jc w:val="center"/>
              <w:rPr>
                <w:rFonts w:hint="eastAsia" w:ascii="宋体" w:hAnsi="宋体" w:cs="宋体"/>
                <w:szCs w:val="21"/>
              </w:rPr>
            </w:pPr>
            <w:r>
              <w:rPr>
                <w:rFonts w:hint="eastAsia" w:ascii="宋体" w:hAnsi="宋体" w:cs="宋体"/>
                <w:szCs w:val="21"/>
              </w:rPr>
              <w:t>3台</w:t>
            </w:r>
          </w:p>
        </w:tc>
      </w:tr>
      <w:tr w14:paraId="71474CC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Merge w:val="restart"/>
            <w:vAlign w:val="center"/>
          </w:tcPr>
          <w:p w14:paraId="523B786C">
            <w:pPr>
              <w:snapToGrid w:val="0"/>
              <w:jc w:val="center"/>
              <w:rPr>
                <w:rFonts w:hint="eastAsia" w:ascii="宋体" w:hAnsi="宋体" w:cs="宋体"/>
                <w:szCs w:val="21"/>
              </w:rPr>
            </w:pPr>
            <w:r>
              <w:rPr>
                <w:rFonts w:hint="eastAsia" w:ascii="宋体" w:hAnsi="宋体" w:cs="宋体"/>
                <w:szCs w:val="21"/>
              </w:rPr>
              <w:t>6</w:t>
            </w:r>
          </w:p>
        </w:tc>
        <w:tc>
          <w:tcPr>
            <w:tcW w:w="1319" w:type="pct"/>
            <w:vMerge w:val="restart"/>
            <w:vAlign w:val="center"/>
          </w:tcPr>
          <w:p w14:paraId="4E87B8C0">
            <w:pPr>
              <w:snapToGrid w:val="0"/>
              <w:jc w:val="center"/>
              <w:rPr>
                <w:rFonts w:hint="eastAsia" w:ascii="宋体" w:hAnsi="宋体" w:cs="宋体"/>
                <w:szCs w:val="21"/>
              </w:rPr>
            </w:pPr>
            <w:r>
              <w:rPr>
                <w:rFonts w:hint="eastAsia" w:ascii="宋体" w:hAnsi="宋体" w:cs="宋体"/>
                <w:szCs w:val="21"/>
              </w:rPr>
              <w:t>发电机组</w:t>
            </w:r>
          </w:p>
        </w:tc>
        <w:tc>
          <w:tcPr>
            <w:tcW w:w="1185" w:type="pct"/>
            <w:vAlign w:val="center"/>
          </w:tcPr>
          <w:p w14:paraId="47C77EB5">
            <w:pPr>
              <w:jc w:val="center"/>
              <w:rPr>
                <w:rFonts w:hint="eastAsia" w:ascii="宋体" w:hAnsi="宋体" w:cs="宋体"/>
                <w:szCs w:val="21"/>
              </w:rPr>
            </w:pPr>
            <w:r>
              <w:rPr>
                <w:rFonts w:hint="eastAsia" w:ascii="宋体" w:hAnsi="宋体" w:cs="宋体"/>
                <w:szCs w:val="21"/>
              </w:rPr>
              <w:t>C15</w:t>
            </w:r>
          </w:p>
        </w:tc>
        <w:tc>
          <w:tcPr>
            <w:tcW w:w="1597" w:type="pct"/>
            <w:vAlign w:val="center"/>
          </w:tcPr>
          <w:p w14:paraId="4B54C13E">
            <w:pPr>
              <w:snapToGrid w:val="0"/>
              <w:jc w:val="center"/>
              <w:rPr>
                <w:rFonts w:hint="eastAsia" w:ascii="宋体" w:hAnsi="宋体" w:cs="宋体"/>
                <w:szCs w:val="21"/>
              </w:rPr>
            </w:pPr>
            <w:r>
              <w:rPr>
                <w:rFonts w:hint="eastAsia" w:ascii="宋体" w:hAnsi="宋体" w:cs="宋体"/>
                <w:szCs w:val="21"/>
              </w:rPr>
              <w:t>320kW</w:t>
            </w:r>
          </w:p>
        </w:tc>
        <w:tc>
          <w:tcPr>
            <w:tcW w:w="529" w:type="pct"/>
            <w:vAlign w:val="center"/>
          </w:tcPr>
          <w:p w14:paraId="0D86390C">
            <w:pPr>
              <w:snapToGrid w:val="0"/>
              <w:jc w:val="center"/>
              <w:rPr>
                <w:rFonts w:hint="eastAsia" w:ascii="宋体" w:hAnsi="宋体" w:cs="宋体"/>
                <w:szCs w:val="21"/>
              </w:rPr>
            </w:pPr>
            <w:r>
              <w:rPr>
                <w:rFonts w:hint="eastAsia" w:ascii="宋体" w:hAnsi="宋体" w:cs="宋体"/>
                <w:szCs w:val="21"/>
              </w:rPr>
              <w:t>1台</w:t>
            </w:r>
          </w:p>
        </w:tc>
      </w:tr>
      <w:tr w14:paraId="7914F14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Merge w:val="continue"/>
            <w:vAlign w:val="center"/>
          </w:tcPr>
          <w:p w14:paraId="575A9E07">
            <w:pPr>
              <w:snapToGrid w:val="0"/>
              <w:jc w:val="center"/>
              <w:rPr>
                <w:rFonts w:hint="eastAsia" w:ascii="宋体" w:hAnsi="宋体" w:cs="宋体"/>
                <w:szCs w:val="21"/>
              </w:rPr>
            </w:pPr>
          </w:p>
        </w:tc>
        <w:tc>
          <w:tcPr>
            <w:tcW w:w="1319" w:type="pct"/>
            <w:vMerge w:val="continue"/>
            <w:vAlign w:val="center"/>
          </w:tcPr>
          <w:p w14:paraId="4A6D640F">
            <w:pPr>
              <w:snapToGrid w:val="0"/>
              <w:jc w:val="center"/>
              <w:rPr>
                <w:rFonts w:hint="eastAsia" w:ascii="宋体" w:hAnsi="宋体" w:cs="宋体"/>
                <w:szCs w:val="21"/>
              </w:rPr>
            </w:pPr>
          </w:p>
        </w:tc>
        <w:tc>
          <w:tcPr>
            <w:tcW w:w="1185" w:type="pct"/>
            <w:vAlign w:val="center"/>
          </w:tcPr>
          <w:p w14:paraId="61A47468">
            <w:pPr>
              <w:jc w:val="center"/>
              <w:rPr>
                <w:rFonts w:hint="eastAsia" w:ascii="宋体" w:hAnsi="宋体" w:cs="宋体"/>
                <w:szCs w:val="21"/>
              </w:rPr>
            </w:pPr>
            <w:r>
              <w:rPr>
                <w:rFonts w:hint="eastAsia" w:ascii="宋体" w:hAnsi="宋体" w:cs="宋体"/>
                <w:szCs w:val="21"/>
              </w:rPr>
              <w:t>G12V190ZLD1</w:t>
            </w:r>
          </w:p>
        </w:tc>
        <w:tc>
          <w:tcPr>
            <w:tcW w:w="1597" w:type="pct"/>
            <w:vAlign w:val="center"/>
          </w:tcPr>
          <w:p w14:paraId="7D129544">
            <w:pPr>
              <w:snapToGrid w:val="0"/>
              <w:jc w:val="center"/>
              <w:rPr>
                <w:rFonts w:hint="eastAsia" w:ascii="宋体" w:hAnsi="宋体" w:cs="宋体"/>
                <w:szCs w:val="21"/>
              </w:rPr>
            </w:pPr>
            <w:r>
              <w:rPr>
                <w:rFonts w:hint="eastAsia" w:ascii="宋体" w:hAnsi="宋体" w:cs="宋体"/>
                <w:szCs w:val="21"/>
              </w:rPr>
              <w:t>700kW</w:t>
            </w:r>
          </w:p>
        </w:tc>
        <w:tc>
          <w:tcPr>
            <w:tcW w:w="529" w:type="pct"/>
            <w:vAlign w:val="center"/>
          </w:tcPr>
          <w:p w14:paraId="4CF54997">
            <w:pPr>
              <w:snapToGrid w:val="0"/>
              <w:jc w:val="center"/>
              <w:rPr>
                <w:rFonts w:hint="eastAsia" w:ascii="宋体" w:hAnsi="宋体" w:cs="宋体"/>
                <w:szCs w:val="21"/>
              </w:rPr>
            </w:pPr>
            <w:r>
              <w:rPr>
                <w:rFonts w:hint="eastAsia" w:ascii="宋体" w:hAnsi="宋体" w:cs="宋体"/>
                <w:szCs w:val="21"/>
              </w:rPr>
              <w:t>1台</w:t>
            </w:r>
          </w:p>
        </w:tc>
      </w:tr>
      <w:tr w14:paraId="5859057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Merge w:val="continue"/>
            <w:vAlign w:val="center"/>
          </w:tcPr>
          <w:p w14:paraId="337A3A2B">
            <w:pPr>
              <w:snapToGrid w:val="0"/>
              <w:jc w:val="center"/>
              <w:rPr>
                <w:rFonts w:hint="eastAsia" w:ascii="宋体" w:hAnsi="宋体" w:cs="宋体"/>
                <w:szCs w:val="21"/>
              </w:rPr>
            </w:pPr>
          </w:p>
        </w:tc>
        <w:tc>
          <w:tcPr>
            <w:tcW w:w="1319" w:type="pct"/>
            <w:vMerge w:val="continue"/>
            <w:vAlign w:val="center"/>
          </w:tcPr>
          <w:p w14:paraId="73164EC5">
            <w:pPr>
              <w:snapToGrid w:val="0"/>
              <w:jc w:val="center"/>
              <w:rPr>
                <w:rFonts w:hint="eastAsia" w:ascii="宋体" w:hAnsi="宋体" w:cs="宋体"/>
                <w:szCs w:val="21"/>
              </w:rPr>
            </w:pPr>
          </w:p>
        </w:tc>
        <w:tc>
          <w:tcPr>
            <w:tcW w:w="1185" w:type="pct"/>
            <w:vAlign w:val="center"/>
          </w:tcPr>
          <w:p w14:paraId="39D8E2E3">
            <w:pPr>
              <w:jc w:val="center"/>
              <w:rPr>
                <w:rFonts w:hint="eastAsia" w:ascii="宋体" w:hAnsi="宋体" w:cs="宋体"/>
                <w:szCs w:val="21"/>
              </w:rPr>
            </w:pPr>
            <w:r>
              <w:rPr>
                <w:rFonts w:hint="eastAsia" w:ascii="宋体" w:hAnsi="宋体" w:cs="宋体"/>
                <w:szCs w:val="21"/>
              </w:rPr>
              <w:t>G12V190ZLD1-2</w:t>
            </w:r>
          </w:p>
        </w:tc>
        <w:tc>
          <w:tcPr>
            <w:tcW w:w="1597" w:type="pct"/>
            <w:vAlign w:val="center"/>
          </w:tcPr>
          <w:p w14:paraId="5084FA1A">
            <w:pPr>
              <w:snapToGrid w:val="0"/>
              <w:jc w:val="center"/>
              <w:rPr>
                <w:rFonts w:hint="eastAsia" w:ascii="宋体" w:hAnsi="宋体" w:cs="宋体"/>
                <w:szCs w:val="21"/>
              </w:rPr>
            </w:pPr>
            <w:r>
              <w:rPr>
                <w:rFonts w:hint="eastAsia" w:ascii="宋体" w:hAnsi="宋体" w:cs="宋体"/>
                <w:szCs w:val="21"/>
              </w:rPr>
              <w:t>500kW</w:t>
            </w:r>
          </w:p>
        </w:tc>
        <w:tc>
          <w:tcPr>
            <w:tcW w:w="529" w:type="pct"/>
            <w:vAlign w:val="center"/>
          </w:tcPr>
          <w:p w14:paraId="187B96E8">
            <w:pPr>
              <w:snapToGrid w:val="0"/>
              <w:jc w:val="center"/>
              <w:rPr>
                <w:rFonts w:hint="eastAsia" w:ascii="宋体" w:hAnsi="宋体" w:cs="宋体"/>
                <w:szCs w:val="21"/>
              </w:rPr>
            </w:pPr>
            <w:r>
              <w:rPr>
                <w:rFonts w:hint="eastAsia" w:ascii="宋体" w:hAnsi="宋体" w:cs="宋体"/>
                <w:szCs w:val="21"/>
              </w:rPr>
              <w:t>1台</w:t>
            </w:r>
          </w:p>
        </w:tc>
      </w:tr>
      <w:tr w14:paraId="2D8FFC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6A3489FD">
            <w:pPr>
              <w:snapToGrid w:val="0"/>
              <w:jc w:val="center"/>
              <w:rPr>
                <w:rFonts w:hint="eastAsia" w:ascii="宋体" w:hAnsi="宋体" w:cs="宋体"/>
                <w:szCs w:val="21"/>
              </w:rPr>
            </w:pPr>
            <w:r>
              <w:rPr>
                <w:rFonts w:hint="eastAsia" w:ascii="宋体" w:hAnsi="宋体" w:cs="宋体"/>
                <w:szCs w:val="21"/>
              </w:rPr>
              <w:t>7</w:t>
            </w:r>
          </w:p>
        </w:tc>
        <w:tc>
          <w:tcPr>
            <w:tcW w:w="1319" w:type="pct"/>
            <w:vAlign w:val="center"/>
          </w:tcPr>
          <w:p w14:paraId="7C9E993B">
            <w:pPr>
              <w:snapToGrid w:val="0"/>
              <w:jc w:val="center"/>
              <w:rPr>
                <w:rFonts w:hint="eastAsia" w:ascii="宋体" w:hAnsi="宋体" w:cs="宋体"/>
                <w:szCs w:val="21"/>
              </w:rPr>
            </w:pPr>
            <w:r>
              <w:rPr>
                <w:rFonts w:hint="eastAsia" w:ascii="宋体" w:hAnsi="宋体" w:cs="宋体"/>
                <w:szCs w:val="21"/>
              </w:rPr>
              <w:t>钻井液不落地设备</w:t>
            </w:r>
          </w:p>
        </w:tc>
        <w:tc>
          <w:tcPr>
            <w:tcW w:w="1185" w:type="pct"/>
            <w:vAlign w:val="center"/>
          </w:tcPr>
          <w:p w14:paraId="6B6962F8">
            <w:pPr>
              <w:snapToGrid w:val="0"/>
              <w:jc w:val="center"/>
              <w:rPr>
                <w:rFonts w:hint="eastAsia" w:ascii="宋体" w:hAnsi="宋体" w:cs="宋体"/>
                <w:szCs w:val="21"/>
              </w:rPr>
            </w:pPr>
            <w:r>
              <w:rPr>
                <w:rFonts w:hint="eastAsia" w:ascii="宋体" w:hAnsi="宋体" w:cs="宋体"/>
                <w:szCs w:val="21"/>
              </w:rPr>
              <w:t>/</w:t>
            </w:r>
          </w:p>
        </w:tc>
        <w:tc>
          <w:tcPr>
            <w:tcW w:w="1597" w:type="pct"/>
            <w:vAlign w:val="center"/>
          </w:tcPr>
          <w:p w14:paraId="4506ABB8">
            <w:pPr>
              <w:snapToGrid w:val="0"/>
              <w:jc w:val="center"/>
              <w:rPr>
                <w:rFonts w:hint="eastAsia" w:ascii="宋体" w:hAnsi="宋体" w:cs="宋体"/>
                <w:szCs w:val="21"/>
              </w:rPr>
            </w:pPr>
            <w:r>
              <w:rPr>
                <w:rFonts w:hint="eastAsia" w:ascii="宋体" w:hAnsi="宋体" w:cs="宋体"/>
                <w:szCs w:val="21"/>
              </w:rPr>
              <w:t>/</w:t>
            </w:r>
          </w:p>
        </w:tc>
        <w:tc>
          <w:tcPr>
            <w:tcW w:w="529" w:type="pct"/>
            <w:vAlign w:val="center"/>
          </w:tcPr>
          <w:p w14:paraId="2BF693C7">
            <w:pPr>
              <w:snapToGrid w:val="0"/>
              <w:jc w:val="center"/>
              <w:rPr>
                <w:rFonts w:hint="eastAsia" w:ascii="宋体" w:hAnsi="宋体" w:cs="宋体"/>
                <w:szCs w:val="21"/>
              </w:rPr>
            </w:pPr>
            <w:r>
              <w:rPr>
                <w:rFonts w:hint="eastAsia" w:ascii="宋体" w:hAnsi="宋体" w:cs="宋体"/>
                <w:szCs w:val="21"/>
              </w:rPr>
              <w:t>1套</w:t>
            </w:r>
          </w:p>
        </w:tc>
      </w:tr>
      <w:tr w14:paraId="1361977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07CE1879">
            <w:pPr>
              <w:snapToGrid w:val="0"/>
              <w:jc w:val="center"/>
              <w:rPr>
                <w:rFonts w:hint="eastAsia" w:ascii="宋体" w:hAnsi="宋体" w:cs="宋体"/>
                <w:szCs w:val="21"/>
              </w:rPr>
            </w:pPr>
            <w:r>
              <w:rPr>
                <w:rFonts w:hint="eastAsia" w:ascii="宋体" w:hAnsi="宋体" w:cs="宋体"/>
                <w:szCs w:val="21"/>
              </w:rPr>
              <w:t>8</w:t>
            </w:r>
          </w:p>
        </w:tc>
        <w:tc>
          <w:tcPr>
            <w:tcW w:w="1319" w:type="pct"/>
            <w:vAlign w:val="center"/>
          </w:tcPr>
          <w:p w14:paraId="088D83EC">
            <w:pPr>
              <w:snapToGrid w:val="0"/>
              <w:jc w:val="center"/>
              <w:rPr>
                <w:rFonts w:hint="eastAsia" w:ascii="宋体" w:hAnsi="宋体" w:cs="宋体"/>
                <w:szCs w:val="21"/>
              </w:rPr>
            </w:pPr>
            <w:r>
              <w:rPr>
                <w:rFonts w:hint="eastAsia" w:ascii="宋体" w:hAnsi="宋体" w:cs="宋体"/>
                <w:szCs w:val="21"/>
              </w:rPr>
              <w:t>井控系统</w:t>
            </w:r>
          </w:p>
        </w:tc>
        <w:tc>
          <w:tcPr>
            <w:tcW w:w="1185" w:type="pct"/>
            <w:vAlign w:val="center"/>
          </w:tcPr>
          <w:p w14:paraId="380A9D6C">
            <w:pPr>
              <w:snapToGrid w:val="0"/>
              <w:jc w:val="center"/>
              <w:rPr>
                <w:rFonts w:hint="eastAsia" w:ascii="宋体" w:hAnsi="宋体" w:cs="宋体"/>
                <w:szCs w:val="21"/>
              </w:rPr>
            </w:pPr>
            <w:r>
              <w:rPr>
                <w:rFonts w:hint="eastAsia" w:ascii="宋体" w:hAnsi="宋体" w:cs="宋体"/>
                <w:szCs w:val="21"/>
              </w:rPr>
              <w:t>二开</w:t>
            </w:r>
          </w:p>
        </w:tc>
        <w:tc>
          <w:tcPr>
            <w:tcW w:w="1597" w:type="pct"/>
            <w:vAlign w:val="center"/>
          </w:tcPr>
          <w:p w14:paraId="0A4603EA">
            <w:pPr>
              <w:snapToGrid w:val="0"/>
              <w:jc w:val="center"/>
              <w:rPr>
                <w:rFonts w:hint="eastAsia" w:ascii="宋体" w:hAnsi="宋体" w:cs="宋体"/>
                <w:szCs w:val="21"/>
              </w:rPr>
            </w:pPr>
            <w:r>
              <w:rPr>
                <w:rFonts w:hint="eastAsia" w:ascii="宋体" w:hAnsi="宋体" w:cs="宋体"/>
                <w:szCs w:val="21"/>
              </w:rPr>
              <w:t>/</w:t>
            </w:r>
          </w:p>
        </w:tc>
        <w:tc>
          <w:tcPr>
            <w:tcW w:w="529" w:type="pct"/>
            <w:vAlign w:val="center"/>
          </w:tcPr>
          <w:p w14:paraId="3B10ED04">
            <w:pPr>
              <w:snapToGrid w:val="0"/>
              <w:jc w:val="center"/>
              <w:rPr>
                <w:rFonts w:hint="eastAsia" w:ascii="宋体" w:hAnsi="宋体" w:cs="宋体"/>
                <w:szCs w:val="21"/>
              </w:rPr>
            </w:pPr>
            <w:r>
              <w:rPr>
                <w:rFonts w:hint="eastAsia" w:ascii="宋体" w:hAnsi="宋体" w:cs="宋体"/>
                <w:szCs w:val="21"/>
              </w:rPr>
              <w:t>1套</w:t>
            </w:r>
          </w:p>
        </w:tc>
      </w:tr>
      <w:tr w14:paraId="1C61829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21FC37A7">
            <w:pPr>
              <w:snapToGrid w:val="0"/>
              <w:jc w:val="center"/>
              <w:rPr>
                <w:rFonts w:hint="eastAsia" w:ascii="宋体" w:hAnsi="宋体" w:cs="宋体"/>
                <w:szCs w:val="21"/>
              </w:rPr>
            </w:pPr>
            <w:r>
              <w:rPr>
                <w:rFonts w:hint="eastAsia" w:ascii="宋体" w:hAnsi="宋体" w:cs="宋体"/>
                <w:szCs w:val="21"/>
              </w:rPr>
              <w:t>9</w:t>
            </w:r>
          </w:p>
        </w:tc>
        <w:tc>
          <w:tcPr>
            <w:tcW w:w="1319" w:type="pct"/>
            <w:vAlign w:val="center"/>
          </w:tcPr>
          <w:p w14:paraId="63EFB478">
            <w:pPr>
              <w:snapToGrid w:val="0"/>
              <w:jc w:val="center"/>
              <w:rPr>
                <w:rFonts w:hint="eastAsia" w:ascii="宋体" w:hAnsi="宋体" w:cs="宋体"/>
                <w:szCs w:val="21"/>
              </w:rPr>
            </w:pPr>
            <w:r>
              <w:rPr>
                <w:rFonts w:hint="eastAsia" w:ascii="宋体" w:hAnsi="宋体" w:cs="宋体"/>
                <w:szCs w:val="21"/>
              </w:rPr>
              <w:t>硫化氢检测仪</w:t>
            </w:r>
          </w:p>
        </w:tc>
        <w:tc>
          <w:tcPr>
            <w:tcW w:w="1185" w:type="pct"/>
            <w:vAlign w:val="center"/>
          </w:tcPr>
          <w:p w14:paraId="7DEB3F46">
            <w:pPr>
              <w:snapToGrid w:val="0"/>
              <w:jc w:val="center"/>
              <w:rPr>
                <w:rFonts w:hint="eastAsia" w:ascii="宋体" w:hAnsi="宋体" w:cs="宋体"/>
                <w:szCs w:val="21"/>
              </w:rPr>
            </w:pPr>
            <w:r>
              <w:rPr>
                <w:rFonts w:hint="eastAsia" w:ascii="宋体" w:hAnsi="宋体" w:cs="宋体"/>
                <w:szCs w:val="21"/>
              </w:rPr>
              <w:t>/</w:t>
            </w:r>
          </w:p>
        </w:tc>
        <w:tc>
          <w:tcPr>
            <w:tcW w:w="1597" w:type="pct"/>
            <w:vAlign w:val="center"/>
          </w:tcPr>
          <w:p w14:paraId="44E75EE9">
            <w:pPr>
              <w:snapToGrid w:val="0"/>
              <w:jc w:val="center"/>
              <w:rPr>
                <w:rFonts w:hint="eastAsia" w:ascii="宋体" w:hAnsi="宋体" w:cs="宋体"/>
                <w:szCs w:val="21"/>
              </w:rPr>
            </w:pPr>
            <w:r>
              <w:rPr>
                <w:rFonts w:hint="eastAsia" w:ascii="宋体" w:hAnsi="宋体" w:cs="宋体"/>
                <w:szCs w:val="21"/>
              </w:rPr>
              <w:t>便携式</w:t>
            </w:r>
          </w:p>
        </w:tc>
        <w:tc>
          <w:tcPr>
            <w:tcW w:w="529" w:type="pct"/>
            <w:vAlign w:val="center"/>
          </w:tcPr>
          <w:p w14:paraId="7B30DB7F">
            <w:pPr>
              <w:snapToGrid w:val="0"/>
              <w:jc w:val="center"/>
              <w:rPr>
                <w:rFonts w:hint="eastAsia" w:ascii="宋体" w:hAnsi="宋体" w:cs="宋体"/>
                <w:szCs w:val="21"/>
              </w:rPr>
            </w:pPr>
            <w:r>
              <w:rPr>
                <w:rFonts w:hint="eastAsia" w:ascii="宋体" w:hAnsi="宋体" w:cs="宋体"/>
                <w:szCs w:val="21"/>
              </w:rPr>
              <w:t>1套</w:t>
            </w:r>
          </w:p>
        </w:tc>
      </w:tr>
      <w:tr w14:paraId="022384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63DB7A40">
            <w:pPr>
              <w:snapToGrid w:val="0"/>
              <w:jc w:val="center"/>
              <w:rPr>
                <w:rFonts w:hint="eastAsia" w:ascii="宋体" w:hAnsi="宋体" w:cs="宋体"/>
                <w:szCs w:val="21"/>
              </w:rPr>
            </w:pPr>
            <w:r>
              <w:rPr>
                <w:rFonts w:hint="eastAsia" w:ascii="宋体" w:hAnsi="宋体" w:cs="宋体"/>
                <w:szCs w:val="21"/>
              </w:rPr>
              <w:t>10</w:t>
            </w:r>
          </w:p>
        </w:tc>
        <w:tc>
          <w:tcPr>
            <w:tcW w:w="1319" w:type="pct"/>
            <w:vAlign w:val="center"/>
          </w:tcPr>
          <w:p w14:paraId="75EDC735">
            <w:pPr>
              <w:snapToGrid w:val="0"/>
              <w:jc w:val="center"/>
              <w:rPr>
                <w:rFonts w:hint="eastAsia" w:ascii="宋体" w:hAnsi="宋体" w:cs="宋体"/>
                <w:szCs w:val="21"/>
              </w:rPr>
            </w:pPr>
            <w:r>
              <w:rPr>
                <w:rFonts w:hint="eastAsia" w:ascii="宋体" w:hAnsi="宋体" w:cs="宋体"/>
                <w:szCs w:val="21"/>
              </w:rPr>
              <w:t>液压大钳</w:t>
            </w:r>
          </w:p>
        </w:tc>
        <w:tc>
          <w:tcPr>
            <w:tcW w:w="1185" w:type="pct"/>
            <w:vAlign w:val="center"/>
          </w:tcPr>
          <w:p w14:paraId="3E0033EA">
            <w:pPr>
              <w:pStyle w:val="26"/>
              <w:jc w:val="center"/>
              <w:rPr>
                <w:rFonts w:hint="eastAsia" w:hAnsi="宋体" w:cs="宋体"/>
                <w:sz w:val="21"/>
                <w:szCs w:val="21"/>
              </w:rPr>
            </w:pPr>
            <w:r>
              <w:rPr>
                <w:rFonts w:hint="eastAsia" w:hAnsi="宋体" w:cs="宋体"/>
                <w:sz w:val="21"/>
                <w:szCs w:val="21"/>
              </w:rPr>
              <w:t>ZQ203/125</w:t>
            </w:r>
          </w:p>
        </w:tc>
        <w:tc>
          <w:tcPr>
            <w:tcW w:w="1597" w:type="pct"/>
            <w:vAlign w:val="center"/>
          </w:tcPr>
          <w:p w14:paraId="28D474FF">
            <w:pPr>
              <w:snapToGrid w:val="0"/>
              <w:jc w:val="center"/>
              <w:rPr>
                <w:rFonts w:hint="eastAsia" w:ascii="宋体" w:hAnsi="宋体" w:cs="宋体"/>
                <w:szCs w:val="21"/>
              </w:rPr>
            </w:pPr>
            <w:r>
              <w:rPr>
                <w:rFonts w:hint="eastAsia" w:ascii="宋体" w:hAnsi="宋体" w:cs="宋体"/>
                <w:szCs w:val="21"/>
              </w:rPr>
              <w:t>/</w:t>
            </w:r>
          </w:p>
        </w:tc>
        <w:tc>
          <w:tcPr>
            <w:tcW w:w="529" w:type="pct"/>
            <w:vAlign w:val="center"/>
          </w:tcPr>
          <w:p w14:paraId="79991E12">
            <w:pPr>
              <w:snapToGrid w:val="0"/>
              <w:jc w:val="center"/>
              <w:rPr>
                <w:rFonts w:hint="eastAsia" w:ascii="宋体" w:hAnsi="宋体" w:cs="宋体"/>
                <w:szCs w:val="21"/>
              </w:rPr>
            </w:pPr>
            <w:r>
              <w:rPr>
                <w:rFonts w:hint="eastAsia" w:ascii="宋体" w:hAnsi="宋体" w:cs="宋体"/>
                <w:szCs w:val="21"/>
              </w:rPr>
              <w:t>1台</w:t>
            </w:r>
          </w:p>
        </w:tc>
      </w:tr>
      <w:tr w14:paraId="73517A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371" w:type="pct"/>
            <w:vAlign w:val="center"/>
          </w:tcPr>
          <w:p w14:paraId="27A5256E">
            <w:pPr>
              <w:snapToGrid w:val="0"/>
              <w:jc w:val="center"/>
              <w:rPr>
                <w:rFonts w:hint="eastAsia" w:ascii="宋体" w:hAnsi="宋体" w:cs="宋体"/>
                <w:szCs w:val="21"/>
              </w:rPr>
            </w:pPr>
            <w:r>
              <w:rPr>
                <w:rFonts w:hint="eastAsia" w:ascii="宋体" w:hAnsi="宋体" w:cs="宋体"/>
                <w:szCs w:val="21"/>
              </w:rPr>
              <w:t>11</w:t>
            </w:r>
          </w:p>
        </w:tc>
        <w:tc>
          <w:tcPr>
            <w:tcW w:w="1319" w:type="pct"/>
            <w:vAlign w:val="center"/>
          </w:tcPr>
          <w:p w14:paraId="0599C53C">
            <w:pPr>
              <w:snapToGrid w:val="0"/>
              <w:jc w:val="center"/>
              <w:rPr>
                <w:rFonts w:hint="eastAsia" w:ascii="宋体" w:hAnsi="宋体" w:cs="宋体"/>
                <w:szCs w:val="21"/>
              </w:rPr>
            </w:pPr>
            <w:r>
              <w:rPr>
                <w:rFonts w:hint="eastAsia" w:ascii="宋体" w:hAnsi="宋体" w:cs="宋体"/>
                <w:szCs w:val="21"/>
              </w:rPr>
              <w:t>柴油储罐</w:t>
            </w:r>
          </w:p>
        </w:tc>
        <w:tc>
          <w:tcPr>
            <w:tcW w:w="1185" w:type="pct"/>
            <w:vAlign w:val="center"/>
          </w:tcPr>
          <w:p w14:paraId="773031DC">
            <w:pPr>
              <w:snapToGrid w:val="0"/>
              <w:jc w:val="center"/>
              <w:rPr>
                <w:rFonts w:hint="eastAsia" w:ascii="宋体" w:hAnsi="宋体" w:cs="宋体"/>
                <w:szCs w:val="21"/>
              </w:rPr>
            </w:pPr>
            <w:r>
              <w:rPr>
                <w:rFonts w:hint="eastAsia" w:ascii="宋体" w:hAnsi="宋体" w:cs="宋体"/>
                <w:szCs w:val="21"/>
              </w:rPr>
              <w:t>/</w:t>
            </w:r>
          </w:p>
        </w:tc>
        <w:tc>
          <w:tcPr>
            <w:tcW w:w="1597" w:type="pct"/>
            <w:vAlign w:val="center"/>
          </w:tcPr>
          <w:p w14:paraId="0EF5C56D">
            <w:pPr>
              <w:snapToGrid w:val="0"/>
              <w:jc w:val="center"/>
              <w:rPr>
                <w:rFonts w:hint="eastAsia" w:ascii="宋体" w:hAnsi="宋体" w:cs="宋体"/>
                <w:szCs w:val="21"/>
              </w:rPr>
            </w:pPr>
            <w:r>
              <w:rPr>
                <w:rFonts w:hint="eastAsia" w:ascii="宋体" w:hAnsi="宋体" w:cs="宋体"/>
                <w:szCs w:val="21"/>
              </w:rPr>
              <w:t>最大储量20t</w:t>
            </w:r>
          </w:p>
        </w:tc>
        <w:tc>
          <w:tcPr>
            <w:tcW w:w="529" w:type="pct"/>
            <w:vAlign w:val="center"/>
          </w:tcPr>
          <w:p w14:paraId="05A3ADDC">
            <w:pPr>
              <w:snapToGrid w:val="0"/>
              <w:jc w:val="center"/>
              <w:rPr>
                <w:rFonts w:hint="eastAsia" w:ascii="宋体" w:hAnsi="宋体" w:cs="宋体"/>
                <w:szCs w:val="21"/>
              </w:rPr>
            </w:pPr>
            <w:r>
              <w:rPr>
                <w:rFonts w:hint="eastAsia" w:ascii="宋体" w:hAnsi="宋体" w:cs="宋体"/>
                <w:szCs w:val="21"/>
              </w:rPr>
              <w:t>1座</w:t>
            </w:r>
          </w:p>
        </w:tc>
      </w:tr>
    </w:tbl>
    <w:p w14:paraId="105FFC26">
      <w:pPr>
        <w:pStyle w:val="117"/>
        <w:adjustRightInd w:val="0"/>
        <w:snapToGrid w:val="0"/>
        <w:ind w:firstLine="480"/>
        <w:rPr>
          <w:rFonts w:hint="eastAsia"/>
          <w:kern w:val="0"/>
        </w:rPr>
      </w:pPr>
      <w:r>
        <w:rPr>
          <w:rFonts w:hint="eastAsia"/>
          <w:kern w:val="0"/>
        </w:rPr>
        <w:t>※钻井液体系</w:t>
      </w:r>
    </w:p>
    <w:p w14:paraId="4D58FB3F">
      <w:pPr>
        <w:pStyle w:val="117"/>
        <w:adjustRightInd w:val="0"/>
        <w:snapToGrid w:val="0"/>
        <w:ind w:firstLine="480"/>
        <w:rPr>
          <w:rFonts w:hint="eastAsia"/>
          <w:kern w:val="0"/>
        </w:rPr>
      </w:pPr>
      <w:r>
        <w:rPr>
          <w:rFonts w:hint="eastAsia"/>
          <w:kern w:val="0"/>
        </w:rPr>
        <w:t>本项目一开钻井使用钾钙基有机盐钻井液体系（主要成分为坂土、Na</w:t>
      </w:r>
      <w:r>
        <w:rPr>
          <w:rFonts w:hint="eastAsia"/>
          <w:kern w:val="0"/>
          <w:vertAlign w:val="subscript"/>
        </w:rPr>
        <w:t>2</w:t>
      </w:r>
      <w:r>
        <w:rPr>
          <w:rFonts w:hint="eastAsia"/>
          <w:kern w:val="0"/>
        </w:rPr>
        <w:t>CO</w:t>
      </w:r>
      <w:r>
        <w:rPr>
          <w:rFonts w:hint="eastAsia"/>
          <w:kern w:val="0"/>
          <w:vertAlign w:val="subscript"/>
        </w:rPr>
        <w:t>3</w:t>
      </w:r>
      <w:r>
        <w:rPr>
          <w:rFonts w:hint="eastAsia"/>
          <w:kern w:val="0"/>
        </w:rPr>
        <w:t>、重晶石、复配铵盐等），用量共计820m</w:t>
      </w:r>
      <w:r>
        <w:rPr>
          <w:rFonts w:hint="eastAsia"/>
          <w:kern w:val="0"/>
          <w:vertAlign w:val="superscript"/>
        </w:rPr>
        <w:t>3</w:t>
      </w:r>
      <w:r>
        <w:rPr>
          <w:rFonts w:hint="eastAsia"/>
          <w:kern w:val="0"/>
        </w:rPr>
        <w:t>；二开使用油基钻井完井液体系（主要成分为白油、乳化剂、有机土等），用量共计1610m</w:t>
      </w:r>
      <w:r>
        <w:rPr>
          <w:rFonts w:hint="eastAsia"/>
          <w:kern w:val="0"/>
          <w:vertAlign w:val="superscript"/>
        </w:rPr>
        <w:t>3</w:t>
      </w:r>
      <w:r>
        <w:rPr>
          <w:rFonts w:hint="eastAsia"/>
          <w:kern w:val="0"/>
        </w:rPr>
        <w:t>。各井钻井液体系及用量见表3.2-10。</w:t>
      </w:r>
    </w:p>
    <w:p w14:paraId="688D5801">
      <w:pPr>
        <w:snapToGrid w:val="0"/>
        <w:spacing w:line="500" w:lineRule="exact"/>
        <w:jc w:val="center"/>
        <w:rPr>
          <w:rFonts w:hint="eastAsia" w:ascii="黑体" w:hAnsi="黑体" w:eastAsia="黑体" w:cs="黑体"/>
          <w:szCs w:val="21"/>
        </w:rPr>
      </w:pPr>
    </w:p>
    <w:p w14:paraId="69AB77A0">
      <w:pPr>
        <w:snapToGrid w:val="0"/>
        <w:spacing w:line="500" w:lineRule="exact"/>
        <w:jc w:val="center"/>
        <w:rPr>
          <w:rFonts w:hint="eastAsia" w:ascii="黑体" w:hAnsi="黑体" w:eastAsia="黑体" w:cs="黑体"/>
          <w:szCs w:val="21"/>
        </w:rPr>
      </w:pPr>
      <w:r>
        <w:rPr>
          <w:rFonts w:hint="eastAsia" w:ascii="黑体" w:hAnsi="黑体" w:eastAsia="黑体" w:cs="黑体"/>
          <w:szCs w:val="21"/>
        </w:rPr>
        <w:t>表3.2-10  各井钻井液用量表</w:t>
      </w:r>
    </w:p>
    <w:tbl>
      <w:tblPr>
        <w:tblStyle w:val="5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1291"/>
        <w:gridCol w:w="1006"/>
        <w:gridCol w:w="1722"/>
        <w:gridCol w:w="2729"/>
        <w:gridCol w:w="2092"/>
      </w:tblGrid>
      <w:tr w14:paraId="532257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30" w:type="pct"/>
            <w:vAlign w:val="center"/>
          </w:tcPr>
          <w:p w14:paraId="721929DC">
            <w:pPr>
              <w:snapToGrid w:val="0"/>
              <w:jc w:val="center"/>
              <w:rPr>
                <w:rFonts w:hint="eastAsia" w:ascii="宋体" w:hAnsi="宋体" w:cs="宋体"/>
                <w:szCs w:val="21"/>
              </w:rPr>
            </w:pPr>
            <w:r>
              <w:rPr>
                <w:rFonts w:hint="eastAsia" w:ascii="宋体" w:hAnsi="宋体" w:cs="宋体"/>
                <w:szCs w:val="21"/>
              </w:rPr>
              <w:t>钻井液性质</w:t>
            </w:r>
          </w:p>
        </w:tc>
        <w:tc>
          <w:tcPr>
            <w:tcW w:w="569" w:type="pct"/>
            <w:vAlign w:val="center"/>
          </w:tcPr>
          <w:p w14:paraId="4A67DCF9">
            <w:pPr>
              <w:snapToGrid w:val="0"/>
              <w:jc w:val="center"/>
              <w:rPr>
                <w:rFonts w:hint="eastAsia" w:ascii="宋体" w:hAnsi="宋体" w:cs="宋体"/>
                <w:szCs w:val="21"/>
              </w:rPr>
            </w:pPr>
            <w:r>
              <w:rPr>
                <w:rFonts w:hint="eastAsia" w:ascii="宋体" w:hAnsi="宋体" w:cs="宋体"/>
                <w:szCs w:val="21"/>
              </w:rPr>
              <w:t>开钻次序</w:t>
            </w:r>
          </w:p>
        </w:tc>
        <w:tc>
          <w:tcPr>
            <w:tcW w:w="974" w:type="pct"/>
            <w:vAlign w:val="center"/>
          </w:tcPr>
          <w:p w14:paraId="0D9526A2">
            <w:pPr>
              <w:snapToGrid w:val="0"/>
              <w:jc w:val="center"/>
              <w:rPr>
                <w:rFonts w:hint="eastAsia" w:ascii="宋体" w:hAnsi="宋体" w:cs="宋体"/>
                <w:szCs w:val="21"/>
              </w:rPr>
            </w:pPr>
            <w:r>
              <w:rPr>
                <w:rFonts w:hint="eastAsia" w:ascii="宋体" w:hAnsi="宋体" w:cs="宋体"/>
                <w:szCs w:val="21"/>
              </w:rPr>
              <w:t>钻井液体系</w:t>
            </w:r>
          </w:p>
        </w:tc>
        <w:tc>
          <w:tcPr>
            <w:tcW w:w="1543" w:type="pct"/>
            <w:vAlign w:val="center"/>
          </w:tcPr>
          <w:p w14:paraId="2DF7D717">
            <w:pPr>
              <w:snapToGrid w:val="0"/>
              <w:jc w:val="center"/>
              <w:rPr>
                <w:rFonts w:hint="eastAsia" w:ascii="宋体" w:hAnsi="宋体" w:cs="宋体"/>
                <w:szCs w:val="21"/>
              </w:rPr>
            </w:pPr>
            <w:r>
              <w:rPr>
                <w:rFonts w:hint="eastAsia" w:ascii="宋体" w:hAnsi="宋体" w:cs="宋体"/>
                <w:szCs w:val="21"/>
              </w:rPr>
              <w:t>单井钻井液用量（m</w:t>
            </w:r>
            <w:r>
              <w:rPr>
                <w:rFonts w:hint="eastAsia" w:ascii="宋体" w:hAnsi="宋体" w:cs="宋体"/>
                <w:szCs w:val="21"/>
                <w:vertAlign w:val="superscript"/>
              </w:rPr>
              <w:t>3</w:t>
            </w:r>
            <w:r>
              <w:rPr>
                <w:rFonts w:hint="eastAsia" w:ascii="宋体" w:hAnsi="宋体" w:cs="宋体"/>
                <w:szCs w:val="21"/>
              </w:rPr>
              <w:t>）</w:t>
            </w:r>
          </w:p>
        </w:tc>
        <w:tc>
          <w:tcPr>
            <w:tcW w:w="1183" w:type="pct"/>
            <w:vAlign w:val="center"/>
          </w:tcPr>
          <w:p w14:paraId="180356B7">
            <w:pPr>
              <w:snapToGrid w:val="0"/>
              <w:jc w:val="center"/>
              <w:rPr>
                <w:rFonts w:hint="eastAsia" w:ascii="宋体" w:hAnsi="宋体" w:cs="宋体"/>
                <w:szCs w:val="21"/>
              </w:rPr>
            </w:pPr>
            <w:r>
              <w:rPr>
                <w:rFonts w:hint="eastAsia" w:ascii="宋体" w:hAnsi="宋体" w:cs="宋体"/>
                <w:szCs w:val="21"/>
              </w:rPr>
              <w:t>5口井合计（m</w:t>
            </w:r>
            <w:r>
              <w:rPr>
                <w:rFonts w:hint="eastAsia" w:ascii="宋体" w:hAnsi="宋体" w:cs="宋体"/>
                <w:szCs w:val="21"/>
                <w:vertAlign w:val="superscript"/>
              </w:rPr>
              <w:t>3</w:t>
            </w:r>
            <w:r>
              <w:rPr>
                <w:rFonts w:hint="eastAsia" w:ascii="宋体" w:hAnsi="宋体" w:cs="宋体"/>
                <w:szCs w:val="21"/>
              </w:rPr>
              <w:t>）</w:t>
            </w:r>
          </w:p>
        </w:tc>
      </w:tr>
      <w:tr w14:paraId="78977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30" w:type="pct"/>
            <w:vAlign w:val="center"/>
          </w:tcPr>
          <w:p w14:paraId="677B7D2F">
            <w:pPr>
              <w:snapToGrid w:val="0"/>
              <w:jc w:val="center"/>
              <w:rPr>
                <w:rFonts w:hint="eastAsia" w:ascii="宋体" w:hAnsi="宋体" w:cs="宋体"/>
                <w:szCs w:val="21"/>
              </w:rPr>
            </w:pPr>
            <w:r>
              <w:rPr>
                <w:rFonts w:hint="eastAsia" w:ascii="宋体" w:hAnsi="宋体" w:cs="宋体"/>
                <w:szCs w:val="21"/>
              </w:rPr>
              <w:t>水基钻井液</w:t>
            </w:r>
          </w:p>
        </w:tc>
        <w:tc>
          <w:tcPr>
            <w:tcW w:w="569" w:type="pct"/>
            <w:vAlign w:val="center"/>
          </w:tcPr>
          <w:p w14:paraId="077E62F9">
            <w:pPr>
              <w:snapToGrid w:val="0"/>
              <w:jc w:val="center"/>
              <w:rPr>
                <w:rFonts w:hint="eastAsia" w:ascii="宋体" w:hAnsi="宋体" w:cs="宋体"/>
                <w:szCs w:val="21"/>
              </w:rPr>
            </w:pPr>
            <w:r>
              <w:rPr>
                <w:rFonts w:hint="eastAsia" w:ascii="宋体" w:hAnsi="宋体" w:cs="宋体"/>
                <w:szCs w:val="21"/>
              </w:rPr>
              <w:t>一开</w:t>
            </w:r>
          </w:p>
        </w:tc>
        <w:tc>
          <w:tcPr>
            <w:tcW w:w="974" w:type="pct"/>
            <w:vAlign w:val="center"/>
          </w:tcPr>
          <w:p w14:paraId="16A79758">
            <w:pPr>
              <w:snapToGrid w:val="0"/>
              <w:jc w:val="center"/>
              <w:rPr>
                <w:rFonts w:hint="eastAsia" w:ascii="宋体" w:hAnsi="宋体" w:cs="宋体"/>
                <w:szCs w:val="21"/>
              </w:rPr>
            </w:pPr>
            <w:r>
              <w:rPr>
                <w:rFonts w:hint="eastAsia" w:ascii="宋体" w:hAnsi="宋体" w:cs="宋体"/>
                <w:szCs w:val="21"/>
              </w:rPr>
              <w:t>坂土+CMC</w:t>
            </w:r>
          </w:p>
        </w:tc>
        <w:tc>
          <w:tcPr>
            <w:tcW w:w="1543" w:type="pct"/>
            <w:vAlign w:val="center"/>
          </w:tcPr>
          <w:p w14:paraId="3665B6E1">
            <w:pPr>
              <w:widowControl/>
              <w:jc w:val="center"/>
              <w:rPr>
                <w:rFonts w:hint="eastAsia" w:ascii="宋体" w:hAnsi="宋体" w:cs="宋体"/>
                <w:szCs w:val="21"/>
              </w:rPr>
            </w:pPr>
            <w:r>
              <w:rPr>
                <w:rFonts w:hint="eastAsia" w:ascii="宋体" w:hAnsi="宋体" w:cs="宋体"/>
                <w:szCs w:val="21"/>
              </w:rPr>
              <w:t>164</w:t>
            </w:r>
          </w:p>
        </w:tc>
        <w:tc>
          <w:tcPr>
            <w:tcW w:w="1183" w:type="pct"/>
            <w:vAlign w:val="center"/>
          </w:tcPr>
          <w:p w14:paraId="77259A25">
            <w:pPr>
              <w:snapToGrid w:val="0"/>
              <w:jc w:val="center"/>
              <w:rPr>
                <w:rFonts w:hint="eastAsia" w:ascii="宋体" w:hAnsi="宋体" w:cs="宋体"/>
                <w:szCs w:val="21"/>
              </w:rPr>
            </w:pPr>
            <w:r>
              <w:rPr>
                <w:rFonts w:hint="eastAsia" w:ascii="宋体" w:hAnsi="宋体" w:cs="宋体"/>
                <w:szCs w:val="21"/>
              </w:rPr>
              <w:t>820</w:t>
            </w:r>
          </w:p>
        </w:tc>
      </w:tr>
      <w:tr w14:paraId="6A53E7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30" w:type="pct"/>
            <w:vAlign w:val="center"/>
          </w:tcPr>
          <w:p w14:paraId="65CD5F58">
            <w:pPr>
              <w:snapToGrid w:val="0"/>
              <w:jc w:val="center"/>
              <w:rPr>
                <w:rFonts w:hint="eastAsia" w:ascii="宋体" w:hAnsi="宋体" w:cs="宋体"/>
                <w:szCs w:val="21"/>
              </w:rPr>
            </w:pPr>
            <w:r>
              <w:rPr>
                <w:rFonts w:hint="eastAsia" w:ascii="宋体" w:hAnsi="宋体" w:cs="宋体"/>
                <w:szCs w:val="21"/>
              </w:rPr>
              <w:t>油基钻井液</w:t>
            </w:r>
          </w:p>
        </w:tc>
        <w:tc>
          <w:tcPr>
            <w:tcW w:w="569" w:type="pct"/>
            <w:vAlign w:val="center"/>
          </w:tcPr>
          <w:p w14:paraId="12CFAF94">
            <w:pPr>
              <w:snapToGrid w:val="0"/>
              <w:jc w:val="center"/>
              <w:rPr>
                <w:rFonts w:hint="eastAsia" w:ascii="宋体" w:hAnsi="宋体" w:cs="宋体"/>
                <w:szCs w:val="21"/>
              </w:rPr>
            </w:pPr>
            <w:r>
              <w:rPr>
                <w:rFonts w:hint="eastAsia" w:ascii="宋体" w:hAnsi="宋体" w:cs="宋体"/>
                <w:szCs w:val="21"/>
              </w:rPr>
              <w:t>二开</w:t>
            </w:r>
          </w:p>
        </w:tc>
        <w:tc>
          <w:tcPr>
            <w:tcW w:w="974" w:type="pct"/>
            <w:vAlign w:val="center"/>
          </w:tcPr>
          <w:p w14:paraId="448F76DD">
            <w:pPr>
              <w:snapToGrid w:val="0"/>
              <w:jc w:val="center"/>
              <w:rPr>
                <w:rFonts w:hint="eastAsia" w:ascii="宋体" w:hAnsi="宋体" w:cs="宋体"/>
                <w:szCs w:val="21"/>
              </w:rPr>
            </w:pPr>
            <w:r>
              <w:rPr>
                <w:rFonts w:hint="eastAsia" w:ascii="宋体" w:hAnsi="宋体" w:cs="宋体"/>
                <w:szCs w:val="21"/>
              </w:rPr>
              <w:t>油基钻井液体系</w:t>
            </w:r>
          </w:p>
        </w:tc>
        <w:tc>
          <w:tcPr>
            <w:tcW w:w="1543" w:type="pct"/>
            <w:vAlign w:val="center"/>
          </w:tcPr>
          <w:p w14:paraId="4ECFDBAB">
            <w:pPr>
              <w:widowControl/>
              <w:jc w:val="center"/>
              <w:rPr>
                <w:rFonts w:hint="eastAsia" w:ascii="宋体" w:hAnsi="宋体" w:cs="宋体"/>
                <w:szCs w:val="21"/>
              </w:rPr>
            </w:pPr>
            <w:r>
              <w:rPr>
                <w:rFonts w:hint="eastAsia" w:ascii="宋体" w:hAnsi="宋体" w:cs="宋体"/>
                <w:szCs w:val="21"/>
              </w:rPr>
              <w:t>322</w:t>
            </w:r>
          </w:p>
        </w:tc>
        <w:tc>
          <w:tcPr>
            <w:tcW w:w="1183" w:type="pct"/>
            <w:vAlign w:val="center"/>
          </w:tcPr>
          <w:p w14:paraId="172B11BB">
            <w:pPr>
              <w:snapToGrid w:val="0"/>
              <w:jc w:val="center"/>
              <w:rPr>
                <w:rFonts w:hint="eastAsia" w:ascii="宋体" w:hAnsi="宋体" w:cs="宋体"/>
                <w:szCs w:val="21"/>
              </w:rPr>
            </w:pPr>
            <w:r>
              <w:rPr>
                <w:rFonts w:hint="eastAsia" w:ascii="宋体" w:hAnsi="宋体" w:cs="宋体"/>
                <w:szCs w:val="21"/>
              </w:rPr>
              <w:t>1610</w:t>
            </w:r>
          </w:p>
        </w:tc>
      </w:tr>
    </w:tbl>
    <w:p w14:paraId="12981D9F">
      <w:pPr>
        <w:pStyle w:val="117"/>
        <w:ind w:firstLine="480"/>
        <w:rPr>
          <w:rFonts w:hint="eastAsia"/>
        </w:rPr>
      </w:pPr>
      <w:r>
        <w:rPr>
          <w:rFonts w:hint="eastAsia"/>
          <w:kern w:val="0"/>
        </w:rPr>
        <w:t>※</w:t>
      </w:r>
      <w:r>
        <w:rPr>
          <w:rFonts w:hint="eastAsia"/>
        </w:rPr>
        <w:t>钻井井场平面布置</w:t>
      </w:r>
    </w:p>
    <w:p w14:paraId="70B52152">
      <w:pPr>
        <w:pStyle w:val="191"/>
        <w:ind w:firstLine="480"/>
        <w:rPr>
          <w:rFonts w:hint="eastAsia"/>
        </w:rPr>
      </w:pPr>
      <w:r>
        <w:rPr>
          <w:rFonts w:hint="eastAsia"/>
        </w:rPr>
        <w:t>钻井期井场布置有值班房、钳工房、录井房、发电房、钻井液不落地系统、放喷管线和应急放喷池，井场平面布置见图</w:t>
      </w:r>
      <w:r>
        <w:t>3.2</w:t>
      </w:r>
      <w:r>
        <w:rPr>
          <w:rFonts w:hint="eastAsia"/>
        </w:rPr>
        <w:t>-</w:t>
      </w:r>
      <w:r>
        <w:t>4</w:t>
      </w:r>
      <w:r>
        <w:rPr>
          <w:rFonts w:hint="eastAsia"/>
        </w:rPr>
        <w:t>。</w:t>
      </w:r>
    </w:p>
    <w:p w14:paraId="2FAC2BB6">
      <w:pPr>
        <w:pStyle w:val="191"/>
        <w:spacing w:line="360" w:lineRule="auto"/>
        <w:ind w:firstLine="0" w:firstLineChars="0"/>
        <w:rPr>
          <w:rFonts w:hint="eastAsia"/>
        </w:rPr>
      </w:pPr>
      <w:r>
        <w:drawing>
          <wp:inline distT="0" distB="0" distL="0" distR="0">
            <wp:extent cx="5301615" cy="3825875"/>
            <wp:effectExtent l="0" t="0" r="0" b="3175"/>
            <wp:docPr id="1161" name="图片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图片 11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321729" cy="3840261"/>
                    </a:xfrm>
                    <a:prstGeom prst="rect">
                      <a:avLst/>
                    </a:prstGeom>
                    <a:noFill/>
                    <a:ln>
                      <a:noFill/>
                    </a:ln>
                  </pic:spPr>
                </pic:pic>
              </a:graphicData>
            </a:graphic>
          </wp:inline>
        </w:drawing>
      </w:r>
    </w:p>
    <w:p w14:paraId="7B15AD45">
      <w:pPr>
        <w:pStyle w:val="15"/>
        <w:rPr>
          <w:rFonts w:hint="eastAsia"/>
        </w:rPr>
      </w:pPr>
      <w:r>
        <w:rPr>
          <w:rFonts w:hint="eastAsia"/>
        </w:rPr>
        <w:t>图</w:t>
      </w:r>
      <w:r>
        <w:t>3.2</w:t>
      </w:r>
      <w:r>
        <w:rPr>
          <w:rFonts w:hint="eastAsia"/>
        </w:rPr>
        <w:t>-</w:t>
      </w:r>
      <w:r>
        <w:t xml:space="preserve">4  </w:t>
      </w:r>
      <w:r>
        <w:rPr>
          <w:rFonts w:hint="eastAsia"/>
        </w:rPr>
        <w:t>钻井期井场平面布置示意图</w:t>
      </w:r>
    </w:p>
    <w:p w14:paraId="35F40A7C">
      <w:pPr>
        <w:pStyle w:val="117"/>
        <w:adjustRightInd w:val="0"/>
        <w:snapToGrid w:val="0"/>
        <w:ind w:firstLine="480"/>
        <w:rPr>
          <w:rFonts w:hint="eastAsia"/>
        </w:rPr>
      </w:pPr>
      <w:r>
        <w:rPr>
          <w:rFonts w:hint="eastAsia"/>
          <w:kern w:val="0"/>
        </w:rPr>
        <w:t>※</w:t>
      </w:r>
      <w:r>
        <w:rPr>
          <w:rFonts w:hint="eastAsia" w:cs="宋体"/>
        </w:rPr>
        <w:t>单井钻井期41天，施工人数35人。</w:t>
      </w:r>
    </w:p>
    <w:p w14:paraId="582679C9">
      <w:pPr>
        <w:pStyle w:val="117"/>
        <w:adjustRightInd w:val="0"/>
        <w:snapToGrid w:val="0"/>
        <w:ind w:firstLine="480"/>
        <w:rPr>
          <w:rFonts w:hint="eastAsia" w:cs="宋体"/>
        </w:rPr>
      </w:pPr>
      <w:r>
        <w:rPr>
          <w:rFonts w:hint="eastAsia"/>
        </w:rPr>
        <w:t>③</w:t>
      </w:r>
      <w:r>
        <w:rPr>
          <w:rFonts w:hint="eastAsia" w:cs="宋体"/>
        </w:rPr>
        <w:t>储层改造工程</w:t>
      </w:r>
    </w:p>
    <w:p w14:paraId="571B078F">
      <w:pPr>
        <w:pStyle w:val="117"/>
        <w:ind w:firstLine="480"/>
        <w:rPr>
          <w:rFonts w:hint="eastAsia"/>
        </w:rPr>
      </w:pPr>
      <w:r>
        <w:rPr>
          <w:rFonts w:hint="eastAsia"/>
        </w:rPr>
        <w:t>储层改造是为了提高油气井产量而对储层采取的一系列工程技术措施的总称；主要包括射孔、压裂。本项目单井压裂液（包括压裂液和酸化压裂液）用量为36000m</w:t>
      </w:r>
      <w:r>
        <w:rPr>
          <w:rFonts w:hint="eastAsia"/>
          <w:vertAlign w:val="superscript"/>
        </w:rPr>
        <w:t>3</w:t>
      </w:r>
      <w:r>
        <w:rPr>
          <w:rFonts w:hint="eastAsia"/>
        </w:rPr>
        <w:t>，5口井合计用量180000m</w:t>
      </w:r>
      <w:r>
        <w:rPr>
          <w:rFonts w:hint="eastAsia"/>
          <w:vertAlign w:val="superscript"/>
        </w:rPr>
        <w:t>3</w:t>
      </w:r>
      <w:r>
        <w:rPr>
          <w:rFonts w:hint="eastAsia"/>
        </w:rPr>
        <w:t>。射孔、压裂的主要设备见表3.2-11。</w:t>
      </w:r>
    </w:p>
    <w:p w14:paraId="42FDD63C">
      <w:pPr>
        <w:pStyle w:val="15"/>
        <w:contextualSpacing/>
        <w:rPr>
          <w:rFonts w:hint="eastAsia"/>
        </w:rPr>
      </w:pPr>
      <w:r>
        <w:rPr>
          <w:rFonts w:hint="eastAsia"/>
        </w:rPr>
        <w:t>表3.2-11  射孔、压裂工艺主要设备一览表</w:t>
      </w:r>
    </w:p>
    <w:p w14:paraId="1F109B1C">
      <w:pPr>
        <w:spacing w:line="32" w:lineRule="exact"/>
      </w:pPr>
    </w:p>
    <w:tbl>
      <w:tblPr>
        <w:tblStyle w:val="51"/>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41"/>
        <w:gridCol w:w="3022"/>
        <w:gridCol w:w="2182"/>
        <w:gridCol w:w="2182"/>
      </w:tblGrid>
      <w:tr w14:paraId="0A8D45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tcBorders>
              <w:top w:val="single" w:color="000000" w:sz="12" w:space="0"/>
              <w:left w:val="nil"/>
              <w:bottom w:val="single" w:color="000000" w:sz="2" w:space="0"/>
            </w:tcBorders>
            <w:vAlign w:val="center"/>
          </w:tcPr>
          <w:p w14:paraId="5B1B3672">
            <w:pPr>
              <w:adjustRightInd w:val="0"/>
              <w:snapToGrid w:val="0"/>
              <w:spacing w:line="300" w:lineRule="exact"/>
              <w:jc w:val="center"/>
              <w:rPr>
                <w:rFonts w:hint="eastAsia" w:ascii="宋体" w:hAnsi="宋体" w:cs="宋体"/>
                <w:szCs w:val="21"/>
              </w:rPr>
            </w:pPr>
            <w:r>
              <w:rPr>
                <w:rFonts w:hint="eastAsia" w:ascii="宋体" w:hAnsi="宋体" w:cs="宋体"/>
                <w:szCs w:val="21"/>
              </w:rPr>
              <w:t>阶段</w:t>
            </w:r>
          </w:p>
        </w:tc>
        <w:tc>
          <w:tcPr>
            <w:tcW w:w="1731" w:type="pct"/>
            <w:tcBorders>
              <w:top w:val="single" w:color="000000" w:sz="12" w:space="0"/>
              <w:bottom w:val="single" w:color="000000" w:sz="2" w:space="0"/>
            </w:tcBorders>
            <w:vAlign w:val="center"/>
          </w:tcPr>
          <w:p w14:paraId="3E0492E0">
            <w:pPr>
              <w:adjustRightInd w:val="0"/>
              <w:snapToGrid w:val="0"/>
              <w:spacing w:line="300" w:lineRule="exact"/>
              <w:jc w:val="center"/>
              <w:rPr>
                <w:rFonts w:hint="eastAsia" w:ascii="宋体" w:hAnsi="宋体" w:cs="宋体"/>
                <w:szCs w:val="21"/>
              </w:rPr>
            </w:pPr>
            <w:r>
              <w:rPr>
                <w:rFonts w:hint="eastAsia" w:ascii="宋体" w:hAnsi="宋体" w:cs="宋体"/>
                <w:szCs w:val="21"/>
              </w:rPr>
              <w:t>设备名称</w:t>
            </w:r>
          </w:p>
        </w:tc>
        <w:tc>
          <w:tcPr>
            <w:tcW w:w="1250" w:type="pct"/>
            <w:tcBorders>
              <w:top w:val="single" w:color="000000" w:sz="12" w:space="0"/>
              <w:bottom w:val="single" w:color="000000" w:sz="2" w:space="0"/>
            </w:tcBorders>
            <w:vAlign w:val="center"/>
          </w:tcPr>
          <w:p w14:paraId="50835E96">
            <w:pPr>
              <w:adjustRightInd w:val="0"/>
              <w:snapToGrid w:val="0"/>
              <w:spacing w:line="300" w:lineRule="exact"/>
              <w:jc w:val="center"/>
              <w:rPr>
                <w:rFonts w:hint="eastAsia" w:ascii="宋体" w:hAnsi="宋体" w:cs="宋体"/>
                <w:szCs w:val="21"/>
              </w:rPr>
            </w:pPr>
            <w:r>
              <w:rPr>
                <w:rFonts w:hint="eastAsia" w:ascii="宋体" w:hAnsi="宋体" w:cs="宋体"/>
                <w:szCs w:val="21"/>
              </w:rPr>
              <w:t>主要型号</w:t>
            </w:r>
          </w:p>
        </w:tc>
        <w:tc>
          <w:tcPr>
            <w:tcW w:w="1250" w:type="pct"/>
            <w:tcBorders>
              <w:top w:val="single" w:color="000000" w:sz="12" w:space="0"/>
              <w:bottom w:val="single" w:color="000000" w:sz="2" w:space="0"/>
              <w:right w:val="nil"/>
            </w:tcBorders>
            <w:vAlign w:val="center"/>
          </w:tcPr>
          <w:p w14:paraId="5AD077B5">
            <w:pPr>
              <w:adjustRightInd w:val="0"/>
              <w:snapToGrid w:val="0"/>
              <w:spacing w:line="300" w:lineRule="exact"/>
              <w:jc w:val="center"/>
              <w:rPr>
                <w:rFonts w:hint="eastAsia" w:ascii="宋体" w:hAnsi="宋体" w:cs="宋体"/>
                <w:szCs w:val="21"/>
              </w:rPr>
            </w:pPr>
            <w:r>
              <w:rPr>
                <w:rFonts w:hint="eastAsia" w:ascii="宋体" w:hAnsi="宋体" w:cs="宋体"/>
                <w:szCs w:val="21"/>
              </w:rPr>
              <w:t>数量（台/座）</w:t>
            </w:r>
          </w:p>
        </w:tc>
      </w:tr>
      <w:tr w14:paraId="63E6C5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restart"/>
            <w:tcBorders>
              <w:top w:val="single" w:color="000000" w:sz="2" w:space="0"/>
              <w:left w:val="nil"/>
              <w:bottom w:val="single" w:color="000000" w:sz="2" w:space="0"/>
            </w:tcBorders>
            <w:vAlign w:val="center"/>
          </w:tcPr>
          <w:p w14:paraId="689FE070">
            <w:pPr>
              <w:adjustRightInd w:val="0"/>
              <w:snapToGrid w:val="0"/>
              <w:spacing w:line="300" w:lineRule="exact"/>
              <w:jc w:val="center"/>
              <w:rPr>
                <w:rFonts w:hint="eastAsia" w:ascii="宋体" w:hAnsi="宋体" w:cs="宋体"/>
                <w:szCs w:val="21"/>
              </w:rPr>
            </w:pPr>
            <w:r>
              <w:rPr>
                <w:rFonts w:hint="eastAsia" w:ascii="宋体" w:hAnsi="宋体" w:cs="宋体"/>
                <w:szCs w:val="21"/>
              </w:rPr>
              <w:t>储层改造</w:t>
            </w:r>
          </w:p>
        </w:tc>
        <w:tc>
          <w:tcPr>
            <w:tcW w:w="1731" w:type="pct"/>
            <w:tcBorders>
              <w:top w:val="single" w:color="000000" w:sz="2" w:space="0"/>
              <w:bottom w:val="single" w:color="000000" w:sz="2" w:space="0"/>
            </w:tcBorders>
            <w:vAlign w:val="center"/>
          </w:tcPr>
          <w:p w14:paraId="5872102A">
            <w:pPr>
              <w:adjustRightInd w:val="0"/>
              <w:snapToGrid w:val="0"/>
              <w:spacing w:line="300" w:lineRule="exact"/>
              <w:jc w:val="center"/>
              <w:rPr>
                <w:rFonts w:hint="eastAsia" w:ascii="宋体" w:hAnsi="宋体" w:cs="宋体"/>
                <w:szCs w:val="21"/>
              </w:rPr>
            </w:pPr>
            <w:r>
              <w:rPr>
                <w:rFonts w:hint="eastAsia" w:ascii="宋体" w:hAnsi="宋体" w:cs="宋体"/>
                <w:szCs w:val="21"/>
              </w:rPr>
              <w:t>压裂车</w:t>
            </w:r>
          </w:p>
        </w:tc>
        <w:tc>
          <w:tcPr>
            <w:tcW w:w="1250" w:type="pct"/>
            <w:tcBorders>
              <w:top w:val="single" w:color="000000" w:sz="2" w:space="0"/>
              <w:bottom w:val="single" w:color="000000" w:sz="2" w:space="0"/>
            </w:tcBorders>
            <w:vAlign w:val="center"/>
          </w:tcPr>
          <w:p w14:paraId="2AE2EF2E">
            <w:pPr>
              <w:adjustRightInd w:val="0"/>
              <w:snapToGrid w:val="0"/>
              <w:spacing w:line="300" w:lineRule="exact"/>
              <w:jc w:val="center"/>
              <w:rPr>
                <w:rFonts w:hint="eastAsia" w:ascii="宋体" w:hAnsi="宋体" w:cs="宋体"/>
                <w:szCs w:val="21"/>
              </w:rPr>
            </w:pPr>
            <w:r>
              <w:rPr>
                <w:rFonts w:hint="eastAsia" w:ascii="宋体" w:hAnsi="宋体" w:cs="宋体"/>
                <w:szCs w:val="21"/>
              </w:rPr>
              <w:t>2500 型</w:t>
            </w:r>
          </w:p>
        </w:tc>
        <w:tc>
          <w:tcPr>
            <w:tcW w:w="1250" w:type="pct"/>
            <w:tcBorders>
              <w:top w:val="single" w:color="000000" w:sz="2" w:space="0"/>
              <w:bottom w:val="single" w:color="000000" w:sz="2" w:space="0"/>
              <w:right w:val="nil"/>
            </w:tcBorders>
            <w:vAlign w:val="center"/>
          </w:tcPr>
          <w:p w14:paraId="5EFE7BF8">
            <w:pPr>
              <w:adjustRightInd w:val="0"/>
              <w:snapToGrid w:val="0"/>
              <w:spacing w:line="300" w:lineRule="exact"/>
              <w:jc w:val="center"/>
              <w:rPr>
                <w:rFonts w:hint="eastAsia" w:ascii="宋体" w:hAnsi="宋体" w:cs="宋体"/>
                <w:szCs w:val="21"/>
              </w:rPr>
            </w:pPr>
            <w:r>
              <w:rPr>
                <w:rFonts w:hint="eastAsia" w:ascii="宋体" w:hAnsi="宋体" w:cs="宋体"/>
                <w:szCs w:val="21"/>
              </w:rPr>
              <w:t>20</w:t>
            </w:r>
          </w:p>
        </w:tc>
      </w:tr>
      <w:tr w14:paraId="4BDD82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2725CD12">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703900F4">
            <w:pPr>
              <w:adjustRightInd w:val="0"/>
              <w:snapToGrid w:val="0"/>
              <w:spacing w:line="300" w:lineRule="exact"/>
              <w:jc w:val="center"/>
              <w:rPr>
                <w:rFonts w:hint="eastAsia" w:ascii="宋体" w:hAnsi="宋体" w:cs="宋体"/>
                <w:szCs w:val="21"/>
              </w:rPr>
            </w:pPr>
            <w:r>
              <w:rPr>
                <w:rFonts w:hint="eastAsia" w:ascii="宋体" w:hAnsi="宋体" w:cs="宋体"/>
                <w:szCs w:val="21"/>
              </w:rPr>
              <w:t>混砂车</w:t>
            </w:r>
          </w:p>
        </w:tc>
        <w:tc>
          <w:tcPr>
            <w:tcW w:w="1250" w:type="pct"/>
            <w:tcBorders>
              <w:top w:val="single" w:color="000000" w:sz="2" w:space="0"/>
              <w:bottom w:val="single" w:color="000000" w:sz="2" w:space="0"/>
            </w:tcBorders>
            <w:vAlign w:val="center"/>
          </w:tcPr>
          <w:p w14:paraId="55E6938A">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09B6FB90">
            <w:pPr>
              <w:adjustRightInd w:val="0"/>
              <w:snapToGrid w:val="0"/>
              <w:spacing w:line="300" w:lineRule="exact"/>
              <w:jc w:val="center"/>
              <w:rPr>
                <w:rFonts w:hint="eastAsia" w:ascii="宋体" w:hAnsi="宋体" w:cs="宋体"/>
                <w:szCs w:val="21"/>
              </w:rPr>
            </w:pPr>
            <w:r>
              <w:rPr>
                <w:rFonts w:hint="eastAsia" w:ascii="宋体" w:hAnsi="宋体" w:cs="宋体"/>
                <w:szCs w:val="21"/>
              </w:rPr>
              <w:t>2</w:t>
            </w:r>
          </w:p>
        </w:tc>
      </w:tr>
      <w:tr w14:paraId="19D5C8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0BE08103">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3EC21087">
            <w:pPr>
              <w:adjustRightInd w:val="0"/>
              <w:snapToGrid w:val="0"/>
              <w:spacing w:line="300" w:lineRule="exact"/>
              <w:jc w:val="center"/>
              <w:rPr>
                <w:rFonts w:hint="eastAsia" w:ascii="宋体" w:hAnsi="宋体" w:cs="宋体"/>
                <w:szCs w:val="21"/>
              </w:rPr>
            </w:pPr>
            <w:r>
              <w:rPr>
                <w:rFonts w:hint="eastAsia" w:ascii="宋体" w:hAnsi="宋体" w:cs="宋体"/>
                <w:szCs w:val="21"/>
              </w:rPr>
              <w:t>仪表车</w:t>
            </w:r>
          </w:p>
        </w:tc>
        <w:tc>
          <w:tcPr>
            <w:tcW w:w="1250" w:type="pct"/>
            <w:tcBorders>
              <w:top w:val="single" w:color="000000" w:sz="2" w:space="0"/>
              <w:bottom w:val="single" w:color="000000" w:sz="2" w:space="0"/>
            </w:tcBorders>
            <w:vAlign w:val="center"/>
          </w:tcPr>
          <w:p w14:paraId="3600ECFA">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5C8FF5CE">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5C41A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397A19EA">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1C40F50F">
            <w:pPr>
              <w:adjustRightInd w:val="0"/>
              <w:snapToGrid w:val="0"/>
              <w:spacing w:line="300" w:lineRule="exact"/>
              <w:jc w:val="center"/>
              <w:rPr>
                <w:rFonts w:hint="eastAsia" w:ascii="宋体" w:hAnsi="宋体" w:cs="宋体"/>
                <w:szCs w:val="21"/>
              </w:rPr>
            </w:pPr>
            <w:r>
              <w:rPr>
                <w:rFonts w:hint="eastAsia" w:ascii="宋体" w:hAnsi="宋体" w:cs="宋体"/>
                <w:szCs w:val="21"/>
              </w:rPr>
              <w:t>砂罐车</w:t>
            </w:r>
          </w:p>
        </w:tc>
        <w:tc>
          <w:tcPr>
            <w:tcW w:w="1250" w:type="pct"/>
            <w:tcBorders>
              <w:top w:val="single" w:color="000000" w:sz="2" w:space="0"/>
              <w:bottom w:val="single" w:color="000000" w:sz="2" w:space="0"/>
            </w:tcBorders>
            <w:vAlign w:val="center"/>
          </w:tcPr>
          <w:p w14:paraId="03060C21">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1A0C1300">
            <w:pPr>
              <w:adjustRightInd w:val="0"/>
              <w:snapToGrid w:val="0"/>
              <w:spacing w:line="300" w:lineRule="exact"/>
              <w:jc w:val="center"/>
              <w:rPr>
                <w:rFonts w:hint="eastAsia" w:ascii="宋体" w:hAnsi="宋体" w:cs="宋体"/>
                <w:szCs w:val="21"/>
              </w:rPr>
            </w:pPr>
            <w:r>
              <w:rPr>
                <w:rFonts w:hint="eastAsia" w:ascii="宋体" w:hAnsi="宋体" w:cs="宋体"/>
                <w:szCs w:val="21"/>
              </w:rPr>
              <w:t>4</w:t>
            </w:r>
          </w:p>
        </w:tc>
      </w:tr>
      <w:tr w14:paraId="02DCC7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5D7C6FB9">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09D702AC">
            <w:pPr>
              <w:adjustRightInd w:val="0"/>
              <w:snapToGrid w:val="0"/>
              <w:spacing w:line="300" w:lineRule="exact"/>
              <w:jc w:val="center"/>
              <w:rPr>
                <w:rFonts w:hint="eastAsia" w:ascii="宋体" w:hAnsi="宋体" w:cs="宋体"/>
                <w:szCs w:val="21"/>
              </w:rPr>
            </w:pPr>
            <w:r>
              <w:rPr>
                <w:rFonts w:hint="eastAsia" w:ascii="宋体" w:hAnsi="宋体" w:cs="宋体"/>
                <w:szCs w:val="21"/>
              </w:rPr>
              <w:t>连续输砂撬</w:t>
            </w:r>
          </w:p>
        </w:tc>
        <w:tc>
          <w:tcPr>
            <w:tcW w:w="1250" w:type="pct"/>
            <w:tcBorders>
              <w:top w:val="single" w:color="000000" w:sz="2" w:space="0"/>
              <w:bottom w:val="single" w:color="000000" w:sz="2" w:space="0"/>
            </w:tcBorders>
            <w:vAlign w:val="center"/>
          </w:tcPr>
          <w:p w14:paraId="188E3AA2">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236C0A88">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65CDDF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6AD65173">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3AFF9461">
            <w:pPr>
              <w:adjustRightInd w:val="0"/>
              <w:snapToGrid w:val="0"/>
              <w:spacing w:line="300" w:lineRule="exact"/>
              <w:jc w:val="center"/>
              <w:rPr>
                <w:rFonts w:hint="eastAsia" w:ascii="宋体" w:hAnsi="宋体" w:cs="宋体"/>
                <w:szCs w:val="21"/>
              </w:rPr>
            </w:pPr>
            <w:r>
              <w:rPr>
                <w:rFonts w:hint="eastAsia" w:ascii="宋体" w:hAnsi="宋体" w:cs="宋体"/>
                <w:szCs w:val="21"/>
              </w:rPr>
              <w:t>柔性储水罐</w:t>
            </w:r>
          </w:p>
        </w:tc>
        <w:tc>
          <w:tcPr>
            <w:tcW w:w="1250" w:type="pct"/>
            <w:tcBorders>
              <w:top w:val="single" w:color="000000" w:sz="2" w:space="0"/>
              <w:bottom w:val="single" w:color="000000" w:sz="2" w:space="0"/>
            </w:tcBorders>
            <w:vAlign w:val="center"/>
          </w:tcPr>
          <w:p w14:paraId="79EC117F">
            <w:pPr>
              <w:adjustRightInd w:val="0"/>
              <w:snapToGrid w:val="0"/>
              <w:spacing w:line="300" w:lineRule="exact"/>
              <w:jc w:val="center"/>
              <w:rPr>
                <w:rFonts w:hint="eastAsia" w:ascii="宋体" w:hAnsi="宋体" w:cs="宋体"/>
                <w:szCs w:val="21"/>
              </w:rPr>
            </w:pPr>
            <w:r>
              <w:rPr>
                <w:rFonts w:hint="eastAsia" w:ascii="宋体" w:hAnsi="宋体" w:cs="宋体"/>
                <w:szCs w:val="21"/>
              </w:rPr>
              <w:t>200m</w:t>
            </w:r>
            <w:r>
              <w:rPr>
                <w:rFonts w:hint="eastAsia" w:ascii="宋体" w:hAnsi="宋体" w:cs="宋体"/>
                <w:szCs w:val="21"/>
                <w:vertAlign w:val="superscript"/>
              </w:rPr>
              <w:t>3</w:t>
            </w:r>
          </w:p>
        </w:tc>
        <w:tc>
          <w:tcPr>
            <w:tcW w:w="1250" w:type="pct"/>
            <w:tcBorders>
              <w:top w:val="single" w:color="000000" w:sz="2" w:space="0"/>
              <w:bottom w:val="single" w:color="000000" w:sz="2" w:space="0"/>
              <w:right w:val="nil"/>
            </w:tcBorders>
            <w:vAlign w:val="center"/>
          </w:tcPr>
          <w:p w14:paraId="7068212E">
            <w:pPr>
              <w:adjustRightInd w:val="0"/>
              <w:snapToGrid w:val="0"/>
              <w:spacing w:line="300" w:lineRule="exact"/>
              <w:jc w:val="center"/>
              <w:rPr>
                <w:rFonts w:hint="eastAsia" w:ascii="宋体" w:hAnsi="宋体" w:cs="宋体"/>
                <w:szCs w:val="21"/>
              </w:rPr>
            </w:pPr>
            <w:r>
              <w:rPr>
                <w:rFonts w:hint="eastAsia" w:ascii="宋体" w:hAnsi="宋体" w:cs="宋体"/>
                <w:szCs w:val="21"/>
              </w:rPr>
              <w:t>8</w:t>
            </w:r>
          </w:p>
        </w:tc>
      </w:tr>
      <w:tr w14:paraId="1E2961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25F9246A">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61F6AB68">
            <w:pPr>
              <w:adjustRightInd w:val="0"/>
              <w:snapToGrid w:val="0"/>
              <w:spacing w:line="300" w:lineRule="exact"/>
              <w:jc w:val="center"/>
              <w:rPr>
                <w:rFonts w:hint="eastAsia" w:ascii="宋体" w:hAnsi="宋体" w:cs="宋体"/>
                <w:szCs w:val="21"/>
              </w:rPr>
            </w:pPr>
            <w:r>
              <w:rPr>
                <w:rFonts w:hint="eastAsia" w:ascii="宋体" w:hAnsi="宋体" w:cs="宋体"/>
                <w:szCs w:val="21"/>
              </w:rPr>
              <w:t>地面储水池</w:t>
            </w:r>
          </w:p>
        </w:tc>
        <w:tc>
          <w:tcPr>
            <w:tcW w:w="1250" w:type="pct"/>
            <w:tcBorders>
              <w:top w:val="single" w:color="000000" w:sz="2" w:space="0"/>
              <w:bottom w:val="single" w:color="000000" w:sz="2" w:space="0"/>
            </w:tcBorders>
            <w:vAlign w:val="center"/>
          </w:tcPr>
          <w:p w14:paraId="4F1A97C3">
            <w:pPr>
              <w:adjustRightInd w:val="0"/>
              <w:snapToGrid w:val="0"/>
              <w:spacing w:line="300" w:lineRule="exact"/>
              <w:jc w:val="center"/>
              <w:rPr>
                <w:rFonts w:hint="eastAsia" w:ascii="宋体" w:hAnsi="宋体" w:cs="宋体"/>
                <w:szCs w:val="21"/>
              </w:rPr>
            </w:pPr>
            <w:r>
              <w:rPr>
                <w:rFonts w:hint="eastAsia" w:ascii="宋体" w:hAnsi="宋体" w:cs="宋体"/>
                <w:szCs w:val="21"/>
              </w:rPr>
              <w:t>800m</w:t>
            </w:r>
            <w:r>
              <w:rPr>
                <w:rFonts w:hint="eastAsia" w:ascii="宋体" w:hAnsi="宋体" w:cs="宋体"/>
                <w:szCs w:val="21"/>
                <w:vertAlign w:val="superscript"/>
              </w:rPr>
              <w:t>3</w:t>
            </w:r>
          </w:p>
        </w:tc>
        <w:tc>
          <w:tcPr>
            <w:tcW w:w="1250" w:type="pct"/>
            <w:tcBorders>
              <w:top w:val="single" w:color="000000" w:sz="2" w:space="0"/>
              <w:bottom w:val="single" w:color="000000" w:sz="2" w:space="0"/>
              <w:right w:val="nil"/>
            </w:tcBorders>
            <w:vAlign w:val="center"/>
          </w:tcPr>
          <w:p w14:paraId="4A3CEBA8">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15195A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restart"/>
            <w:tcBorders>
              <w:top w:val="single" w:color="000000" w:sz="2" w:space="0"/>
              <w:left w:val="nil"/>
              <w:bottom w:val="single" w:color="000000" w:sz="2" w:space="0"/>
            </w:tcBorders>
            <w:vAlign w:val="center"/>
          </w:tcPr>
          <w:p w14:paraId="34897572">
            <w:pPr>
              <w:adjustRightInd w:val="0"/>
              <w:snapToGrid w:val="0"/>
              <w:spacing w:line="300" w:lineRule="exact"/>
              <w:jc w:val="center"/>
              <w:rPr>
                <w:rFonts w:hint="eastAsia" w:ascii="宋体" w:hAnsi="宋体" w:cs="宋体"/>
                <w:szCs w:val="21"/>
              </w:rPr>
            </w:pPr>
            <w:r>
              <w:rPr>
                <w:rFonts w:hint="eastAsia" w:ascii="宋体" w:hAnsi="宋体" w:cs="宋体"/>
                <w:szCs w:val="21"/>
              </w:rPr>
              <w:t>射孔</w:t>
            </w:r>
          </w:p>
        </w:tc>
        <w:tc>
          <w:tcPr>
            <w:tcW w:w="1731" w:type="pct"/>
            <w:tcBorders>
              <w:top w:val="single" w:color="000000" w:sz="2" w:space="0"/>
              <w:bottom w:val="single" w:color="000000" w:sz="2" w:space="0"/>
            </w:tcBorders>
            <w:vAlign w:val="center"/>
          </w:tcPr>
          <w:p w14:paraId="186B5A87">
            <w:pPr>
              <w:adjustRightInd w:val="0"/>
              <w:snapToGrid w:val="0"/>
              <w:spacing w:line="300" w:lineRule="exact"/>
              <w:jc w:val="center"/>
              <w:rPr>
                <w:rFonts w:hint="eastAsia" w:ascii="宋体" w:hAnsi="宋体" w:cs="宋体"/>
                <w:szCs w:val="21"/>
              </w:rPr>
            </w:pPr>
            <w:r>
              <w:rPr>
                <w:rFonts w:hint="eastAsia" w:ascii="宋体" w:hAnsi="宋体" w:cs="宋体"/>
                <w:szCs w:val="21"/>
              </w:rPr>
              <w:t>射孔车</w:t>
            </w:r>
          </w:p>
        </w:tc>
        <w:tc>
          <w:tcPr>
            <w:tcW w:w="1250" w:type="pct"/>
            <w:tcBorders>
              <w:top w:val="single" w:color="000000" w:sz="2" w:space="0"/>
              <w:bottom w:val="single" w:color="000000" w:sz="2" w:space="0"/>
            </w:tcBorders>
            <w:vAlign w:val="center"/>
          </w:tcPr>
          <w:p w14:paraId="697CA4CA">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6DCAB89D">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49F192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08A121E9">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289E920E">
            <w:pPr>
              <w:adjustRightInd w:val="0"/>
              <w:snapToGrid w:val="0"/>
              <w:spacing w:line="300" w:lineRule="exact"/>
              <w:jc w:val="center"/>
              <w:rPr>
                <w:rFonts w:hint="eastAsia" w:ascii="宋体" w:hAnsi="宋体" w:cs="宋体"/>
                <w:szCs w:val="21"/>
              </w:rPr>
            </w:pPr>
            <w:r>
              <w:rPr>
                <w:rFonts w:hint="eastAsia" w:ascii="宋体" w:hAnsi="宋体" w:cs="宋体"/>
                <w:szCs w:val="21"/>
              </w:rPr>
              <w:t>射孔工具车</w:t>
            </w:r>
          </w:p>
        </w:tc>
        <w:tc>
          <w:tcPr>
            <w:tcW w:w="1250" w:type="pct"/>
            <w:tcBorders>
              <w:top w:val="single" w:color="000000" w:sz="2" w:space="0"/>
              <w:bottom w:val="single" w:color="000000" w:sz="2" w:space="0"/>
            </w:tcBorders>
            <w:vAlign w:val="center"/>
          </w:tcPr>
          <w:p w14:paraId="6655F594">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1250" w:type="pct"/>
            <w:tcBorders>
              <w:top w:val="single" w:color="000000" w:sz="2" w:space="0"/>
              <w:bottom w:val="single" w:color="000000" w:sz="2" w:space="0"/>
              <w:right w:val="nil"/>
            </w:tcBorders>
            <w:vAlign w:val="center"/>
          </w:tcPr>
          <w:p w14:paraId="0ABB2E72">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778ADD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2" w:space="0"/>
            </w:tcBorders>
            <w:vAlign w:val="center"/>
          </w:tcPr>
          <w:p w14:paraId="5394A05B">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2" w:space="0"/>
            </w:tcBorders>
            <w:vAlign w:val="center"/>
          </w:tcPr>
          <w:p w14:paraId="07D8B507">
            <w:pPr>
              <w:adjustRightInd w:val="0"/>
              <w:snapToGrid w:val="0"/>
              <w:spacing w:line="300" w:lineRule="exact"/>
              <w:jc w:val="center"/>
              <w:rPr>
                <w:rFonts w:hint="eastAsia" w:ascii="宋体" w:hAnsi="宋体" w:cs="宋体"/>
                <w:szCs w:val="21"/>
              </w:rPr>
            </w:pPr>
            <w:r>
              <w:rPr>
                <w:rFonts w:hint="eastAsia" w:ascii="宋体" w:hAnsi="宋体" w:cs="宋体"/>
                <w:szCs w:val="21"/>
              </w:rPr>
              <w:t>BOP井口防喷器</w:t>
            </w:r>
          </w:p>
        </w:tc>
        <w:tc>
          <w:tcPr>
            <w:tcW w:w="1250" w:type="pct"/>
            <w:tcBorders>
              <w:top w:val="single" w:color="000000" w:sz="2" w:space="0"/>
              <w:bottom w:val="single" w:color="000000" w:sz="2" w:space="0"/>
            </w:tcBorders>
            <w:vAlign w:val="center"/>
          </w:tcPr>
          <w:p w14:paraId="1FA58B96">
            <w:pPr>
              <w:adjustRightInd w:val="0"/>
              <w:snapToGrid w:val="0"/>
              <w:spacing w:line="300" w:lineRule="exact"/>
              <w:jc w:val="center"/>
              <w:rPr>
                <w:rFonts w:hint="eastAsia" w:ascii="宋体" w:hAnsi="宋体" w:cs="宋体"/>
                <w:szCs w:val="21"/>
              </w:rPr>
            </w:pPr>
            <w:r>
              <w:rPr>
                <w:rFonts w:hint="eastAsia" w:ascii="宋体" w:hAnsi="宋体" w:cs="宋体"/>
                <w:szCs w:val="21"/>
              </w:rPr>
              <w:t>105MPa</w:t>
            </w:r>
          </w:p>
        </w:tc>
        <w:tc>
          <w:tcPr>
            <w:tcW w:w="1250" w:type="pct"/>
            <w:tcBorders>
              <w:top w:val="single" w:color="000000" w:sz="2" w:space="0"/>
              <w:bottom w:val="single" w:color="000000" w:sz="2" w:space="0"/>
              <w:right w:val="nil"/>
            </w:tcBorders>
            <w:vAlign w:val="center"/>
          </w:tcPr>
          <w:p w14:paraId="2CE8BC41">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r w14:paraId="2FC2D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768" w:type="pct"/>
            <w:vMerge w:val="continue"/>
            <w:tcBorders>
              <w:top w:val="single" w:color="000000" w:sz="2" w:space="0"/>
              <w:left w:val="nil"/>
              <w:bottom w:val="single" w:color="000000" w:sz="12" w:space="0"/>
            </w:tcBorders>
            <w:vAlign w:val="center"/>
          </w:tcPr>
          <w:p w14:paraId="255BD54A">
            <w:pPr>
              <w:adjustRightInd w:val="0"/>
              <w:snapToGrid w:val="0"/>
              <w:spacing w:line="300" w:lineRule="exact"/>
              <w:jc w:val="center"/>
              <w:rPr>
                <w:rFonts w:hint="eastAsia" w:ascii="宋体" w:hAnsi="宋体" w:cs="宋体"/>
                <w:szCs w:val="21"/>
              </w:rPr>
            </w:pPr>
          </w:p>
        </w:tc>
        <w:tc>
          <w:tcPr>
            <w:tcW w:w="1731" w:type="pct"/>
            <w:tcBorders>
              <w:top w:val="single" w:color="000000" w:sz="2" w:space="0"/>
              <w:bottom w:val="single" w:color="000000" w:sz="12" w:space="0"/>
            </w:tcBorders>
            <w:vAlign w:val="center"/>
          </w:tcPr>
          <w:p w14:paraId="4F1245E2">
            <w:pPr>
              <w:adjustRightInd w:val="0"/>
              <w:snapToGrid w:val="0"/>
              <w:spacing w:line="300" w:lineRule="exact"/>
              <w:jc w:val="center"/>
              <w:rPr>
                <w:rFonts w:hint="eastAsia" w:ascii="宋体" w:hAnsi="宋体" w:cs="宋体"/>
                <w:szCs w:val="21"/>
              </w:rPr>
            </w:pPr>
            <w:r>
              <w:rPr>
                <w:rFonts w:hint="eastAsia" w:ascii="宋体" w:hAnsi="宋体" w:cs="宋体"/>
                <w:szCs w:val="21"/>
              </w:rPr>
              <w:t>防喷管</w:t>
            </w:r>
          </w:p>
        </w:tc>
        <w:tc>
          <w:tcPr>
            <w:tcW w:w="1250" w:type="pct"/>
            <w:tcBorders>
              <w:top w:val="single" w:color="000000" w:sz="2" w:space="0"/>
              <w:bottom w:val="single" w:color="000000" w:sz="12" w:space="0"/>
            </w:tcBorders>
            <w:vAlign w:val="center"/>
          </w:tcPr>
          <w:p w14:paraId="0B0FCC51">
            <w:pPr>
              <w:adjustRightInd w:val="0"/>
              <w:snapToGrid w:val="0"/>
              <w:spacing w:line="300" w:lineRule="exact"/>
              <w:jc w:val="center"/>
              <w:rPr>
                <w:rFonts w:hint="eastAsia" w:ascii="宋体" w:hAnsi="宋体" w:cs="宋体"/>
                <w:szCs w:val="21"/>
              </w:rPr>
            </w:pPr>
            <w:r>
              <w:rPr>
                <w:rFonts w:hint="eastAsia" w:ascii="宋体" w:hAnsi="宋体" w:cs="宋体"/>
                <w:szCs w:val="21"/>
              </w:rPr>
              <w:t>105MPa</w:t>
            </w:r>
          </w:p>
        </w:tc>
        <w:tc>
          <w:tcPr>
            <w:tcW w:w="1250" w:type="pct"/>
            <w:tcBorders>
              <w:top w:val="single" w:color="000000" w:sz="2" w:space="0"/>
              <w:bottom w:val="single" w:color="000000" w:sz="12" w:space="0"/>
              <w:right w:val="nil"/>
            </w:tcBorders>
            <w:vAlign w:val="center"/>
          </w:tcPr>
          <w:p w14:paraId="781DF166">
            <w:pPr>
              <w:adjustRightInd w:val="0"/>
              <w:snapToGrid w:val="0"/>
              <w:spacing w:line="300" w:lineRule="exact"/>
              <w:jc w:val="center"/>
              <w:rPr>
                <w:rFonts w:hint="eastAsia" w:ascii="宋体" w:hAnsi="宋体" w:cs="宋体"/>
                <w:szCs w:val="21"/>
              </w:rPr>
            </w:pPr>
            <w:r>
              <w:rPr>
                <w:rFonts w:hint="eastAsia" w:ascii="宋体" w:hAnsi="宋体" w:cs="宋体"/>
                <w:szCs w:val="21"/>
              </w:rPr>
              <w:t>1</w:t>
            </w:r>
          </w:p>
        </w:tc>
      </w:tr>
    </w:tbl>
    <w:p w14:paraId="2A669B13">
      <w:pPr>
        <w:pStyle w:val="117"/>
        <w:adjustRightInd w:val="0"/>
        <w:snapToGrid w:val="0"/>
        <w:ind w:firstLine="480"/>
        <w:rPr>
          <w:rFonts w:hint="eastAsia"/>
        </w:rPr>
      </w:pPr>
      <w:r>
        <w:rPr>
          <w:rFonts w:hint="eastAsia"/>
        </w:rPr>
        <w:t>③采油井场</w:t>
      </w:r>
    </w:p>
    <w:p w14:paraId="51F9E1DE">
      <w:pPr>
        <w:pStyle w:val="117"/>
        <w:adjustRightInd w:val="0"/>
        <w:snapToGrid w:val="0"/>
        <w:ind w:firstLine="480"/>
        <w:rPr>
          <w:rFonts w:hint="eastAsia"/>
        </w:rPr>
      </w:pPr>
      <w:r>
        <w:rPr>
          <w:rFonts w:hint="eastAsia"/>
        </w:rPr>
        <w:t>※采油平台</w:t>
      </w:r>
    </w:p>
    <w:p w14:paraId="4EA1C4A4">
      <w:pPr>
        <w:pStyle w:val="117"/>
        <w:adjustRightInd w:val="0"/>
        <w:snapToGrid w:val="0"/>
        <w:ind w:firstLine="480"/>
        <w:rPr>
          <w:rFonts w:hint="eastAsia" w:ascii="黑体" w:hAnsi="黑体" w:eastAsia="黑体"/>
        </w:rPr>
      </w:pPr>
      <w:r>
        <w:rPr>
          <w:rFonts w:hint="eastAsia"/>
        </w:rPr>
        <w:t>新建</w:t>
      </w:r>
      <w:r>
        <w:rPr>
          <w:rFonts w:hint="eastAsia"/>
          <w:kern w:val="0"/>
        </w:rPr>
        <w:t>5井式采油平台1座，采油平台包含井号及井数见表3.2-12。</w:t>
      </w:r>
    </w:p>
    <w:p w14:paraId="3889454C">
      <w:pPr>
        <w:widowControl/>
        <w:adjustRightInd w:val="0"/>
        <w:snapToGrid w:val="0"/>
        <w:spacing w:line="500" w:lineRule="exact"/>
        <w:jc w:val="center"/>
        <w:rPr>
          <w:rFonts w:hint="eastAsia" w:ascii="黑体" w:hAnsi="黑体" w:eastAsia="黑体"/>
        </w:rPr>
      </w:pPr>
      <w:r>
        <w:rPr>
          <w:rFonts w:hint="eastAsia" w:ascii="黑体" w:hAnsi="黑体" w:eastAsia="黑体"/>
        </w:rPr>
        <w:t>表3.2-12  每座采油平台包含井号及井数一览表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308"/>
        <w:gridCol w:w="871"/>
        <w:gridCol w:w="5375"/>
        <w:gridCol w:w="1392"/>
      </w:tblGrid>
      <w:tr w14:paraId="7A975D7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20" w:hRule="atLeast"/>
          <w:jc w:val="center"/>
        </w:trPr>
        <w:tc>
          <w:tcPr>
            <w:tcW w:w="731" w:type="pct"/>
            <w:vAlign w:val="center"/>
          </w:tcPr>
          <w:p w14:paraId="558BAEA4">
            <w:pPr>
              <w:pStyle w:val="342"/>
              <w:kinsoku w:val="0"/>
              <w:overflowPunct w:val="0"/>
              <w:snapToGrid w:val="0"/>
              <w:spacing w:line="300" w:lineRule="exact"/>
              <w:rPr>
                <w:rFonts w:hint="eastAsia" w:hAnsi="宋体"/>
                <w:sz w:val="21"/>
                <w:szCs w:val="21"/>
              </w:rPr>
            </w:pPr>
            <w:r>
              <w:rPr>
                <w:rFonts w:hint="eastAsia" w:hAnsi="宋体"/>
                <w:sz w:val="21"/>
                <w:szCs w:val="21"/>
              </w:rPr>
              <w:t>井区</w:t>
            </w:r>
          </w:p>
        </w:tc>
        <w:tc>
          <w:tcPr>
            <w:tcW w:w="487" w:type="pct"/>
            <w:vAlign w:val="center"/>
          </w:tcPr>
          <w:p w14:paraId="46D41618">
            <w:pPr>
              <w:pStyle w:val="342"/>
              <w:kinsoku w:val="0"/>
              <w:overflowPunct w:val="0"/>
              <w:snapToGrid w:val="0"/>
              <w:spacing w:line="300" w:lineRule="exact"/>
              <w:rPr>
                <w:rFonts w:hint="eastAsia" w:hAnsi="宋体"/>
                <w:sz w:val="21"/>
                <w:szCs w:val="21"/>
              </w:rPr>
            </w:pPr>
            <w:r>
              <w:rPr>
                <w:rFonts w:hint="eastAsia" w:hAnsi="宋体"/>
                <w:sz w:val="21"/>
                <w:szCs w:val="21"/>
              </w:rPr>
              <w:t>平台号</w:t>
            </w:r>
          </w:p>
        </w:tc>
        <w:tc>
          <w:tcPr>
            <w:tcW w:w="3004" w:type="pct"/>
            <w:vAlign w:val="center"/>
          </w:tcPr>
          <w:p w14:paraId="5160688A">
            <w:pPr>
              <w:pStyle w:val="342"/>
              <w:kinsoku w:val="0"/>
              <w:overflowPunct w:val="0"/>
              <w:snapToGrid w:val="0"/>
              <w:spacing w:line="300" w:lineRule="exact"/>
              <w:rPr>
                <w:rFonts w:hint="eastAsia" w:hAnsi="宋体"/>
                <w:sz w:val="21"/>
                <w:szCs w:val="21"/>
              </w:rPr>
            </w:pPr>
            <w:r>
              <w:rPr>
                <w:rFonts w:hint="eastAsia" w:hAnsi="宋体"/>
                <w:sz w:val="21"/>
                <w:szCs w:val="21"/>
              </w:rPr>
              <w:t>井号</w:t>
            </w:r>
          </w:p>
        </w:tc>
        <w:tc>
          <w:tcPr>
            <w:tcW w:w="778" w:type="pct"/>
            <w:vAlign w:val="center"/>
          </w:tcPr>
          <w:p w14:paraId="332EEDF8">
            <w:pPr>
              <w:pStyle w:val="342"/>
              <w:kinsoku w:val="0"/>
              <w:overflowPunct w:val="0"/>
              <w:snapToGrid w:val="0"/>
              <w:spacing w:line="300" w:lineRule="exact"/>
              <w:rPr>
                <w:rFonts w:hint="eastAsia" w:hAnsi="宋体"/>
                <w:sz w:val="21"/>
                <w:szCs w:val="21"/>
              </w:rPr>
            </w:pPr>
            <w:r>
              <w:rPr>
                <w:rFonts w:hint="eastAsia" w:hAnsi="宋体"/>
                <w:sz w:val="21"/>
                <w:szCs w:val="21"/>
              </w:rPr>
              <w:t>数量（口）</w:t>
            </w:r>
          </w:p>
        </w:tc>
      </w:tr>
      <w:tr w14:paraId="598577B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17" w:hRule="atLeast"/>
          <w:jc w:val="center"/>
        </w:trPr>
        <w:tc>
          <w:tcPr>
            <w:tcW w:w="731" w:type="pct"/>
            <w:vAlign w:val="center"/>
          </w:tcPr>
          <w:p w14:paraId="2415F9C0">
            <w:pPr>
              <w:pStyle w:val="342"/>
              <w:kinsoku w:val="0"/>
              <w:overflowPunct w:val="0"/>
              <w:snapToGrid w:val="0"/>
              <w:spacing w:line="300" w:lineRule="exact"/>
              <w:rPr>
                <w:rFonts w:hint="eastAsia" w:hAnsi="宋体"/>
                <w:sz w:val="21"/>
                <w:szCs w:val="21"/>
              </w:rPr>
            </w:pPr>
            <w:r>
              <w:rPr>
                <w:rFonts w:hAnsi="宋体"/>
                <w:sz w:val="21"/>
                <w:szCs w:val="21"/>
              </w:rPr>
              <w:t>J10031-</w:t>
            </w:r>
            <w:r>
              <w:rPr>
                <w:rFonts w:hint="eastAsia" w:hAnsi="宋体"/>
                <w:sz w:val="21"/>
                <w:szCs w:val="21"/>
              </w:rPr>
              <w:t>吉</w:t>
            </w:r>
            <w:r>
              <w:rPr>
                <w:rFonts w:hAnsi="宋体"/>
                <w:sz w:val="21"/>
                <w:szCs w:val="21"/>
              </w:rPr>
              <w:t>179</w:t>
            </w:r>
            <w:r>
              <w:rPr>
                <w:rFonts w:hint="eastAsia" w:hAnsi="宋体"/>
                <w:sz w:val="21"/>
                <w:szCs w:val="21"/>
              </w:rPr>
              <w:t>井区</w:t>
            </w:r>
          </w:p>
        </w:tc>
        <w:tc>
          <w:tcPr>
            <w:tcW w:w="487" w:type="pct"/>
            <w:vAlign w:val="center"/>
          </w:tcPr>
          <w:p w14:paraId="1BE93DDA">
            <w:pPr>
              <w:pStyle w:val="342"/>
              <w:kinsoku w:val="0"/>
              <w:overflowPunct w:val="0"/>
              <w:snapToGrid w:val="0"/>
              <w:spacing w:line="300" w:lineRule="exact"/>
              <w:rPr>
                <w:rFonts w:hint="eastAsia" w:hAnsi="宋体"/>
                <w:sz w:val="21"/>
                <w:szCs w:val="21"/>
              </w:rPr>
            </w:pPr>
            <w:r>
              <w:rPr>
                <w:rFonts w:hint="eastAsia" w:hAnsi="宋体"/>
                <w:sz w:val="21"/>
                <w:szCs w:val="21"/>
              </w:rPr>
              <w:t>17号</w:t>
            </w:r>
          </w:p>
        </w:tc>
        <w:tc>
          <w:tcPr>
            <w:tcW w:w="3004" w:type="pct"/>
            <w:vAlign w:val="center"/>
          </w:tcPr>
          <w:p w14:paraId="5DF6A0D8">
            <w:pPr>
              <w:pStyle w:val="342"/>
              <w:kinsoku w:val="0"/>
              <w:overflowPunct w:val="0"/>
              <w:snapToGrid w:val="0"/>
              <w:spacing w:line="300" w:lineRule="exact"/>
              <w:rPr>
                <w:rFonts w:hint="eastAsia" w:hAnsi="宋体"/>
                <w:sz w:val="21"/>
                <w:szCs w:val="21"/>
              </w:rPr>
            </w:pPr>
            <w:r>
              <w:rPr>
                <w:rFonts w:hAnsi="宋体"/>
                <w:sz w:val="21"/>
                <w:szCs w:val="21"/>
              </w:rPr>
              <w:t>JHW17-41</w:t>
            </w:r>
            <w:r>
              <w:rPr>
                <w:rFonts w:hint="eastAsia" w:hAnsi="宋体"/>
                <w:sz w:val="21"/>
                <w:szCs w:val="21"/>
              </w:rPr>
              <w:t>、</w:t>
            </w:r>
            <w:r>
              <w:rPr>
                <w:rFonts w:hAnsi="宋体"/>
                <w:sz w:val="21"/>
                <w:szCs w:val="21"/>
              </w:rPr>
              <w:t>JHW17-42</w:t>
            </w:r>
            <w:r>
              <w:rPr>
                <w:rFonts w:hint="eastAsia" w:hAnsi="宋体"/>
                <w:sz w:val="21"/>
                <w:szCs w:val="21"/>
              </w:rPr>
              <w:t>、</w:t>
            </w:r>
            <w:r>
              <w:rPr>
                <w:rFonts w:hAnsi="宋体"/>
                <w:sz w:val="21"/>
                <w:szCs w:val="21"/>
              </w:rPr>
              <w:t>JHW17-43</w:t>
            </w:r>
            <w:r>
              <w:rPr>
                <w:rFonts w:hint="eastAsia" w:hAnsi="宋体"/>
                <w:sz w:val="21"/>
                <w:szCs w:val="21"/>
              </w:rPr>
              <w:t>、</w:t>
            </w:r>
            <w:r>
              <w:rPr>
                <w:rFonts w:hAnsi="宋体"/>
                <w:sz w:val="21"/>
                <w:szCs w:val="21"/>
              </w:rPr>
              <w:t>JHW17-44</w:t>
            </w:r>
            <w:r>
              <w:rPr>
                <w:rFonts w:hint="eastAsia" w:hAnsi="宋体"/>
                <w:sz w:val="21"/>
                <w:szCs w:val="21"/>
              </w:rPr>
              <w:t>、</w:t>
            </w:r>
            <w:r>
              <w:rPr>
                <w:rFonts w:hAnsi="宋体"/>
                <w:sz w:val="21"/>
                <w:szCs w:val="21"/>
              </w:rPr>
              <w:t>HW17-45</w:t>
            </w:r>
          </w:p>
        </w:tc>
        <w:tc>
          <w:tcPr>
            <w:tcW w:w="778" w:type="pct"/>
            <w:vAlign w:val="center"/>
          </w:tcPr>
          <w:p w14:paraId="0D93D18C">
            <w:pPr>
              <w:pStyle w:val="342"/>
              <w:kinsoku w:val="0"/>
              <w:overflowPunct w:val="0"/>
              <w:snapToGrid w:val="0"/>
              <w:spacing w:line="300" w:lineRule="exact"/>
              <w:rPr>
                <w:rFonts w:hint="eastAsia" w:hAnsi="宋体"/>
                <w:sz w:val="21"/>
                <w:szCs w:val="21"/>
              </w:rPr>
            </w:pPr>
            <w:r>
              <w:rPr>
                <w:rFonts w:hint="eastAsia" w:hAnsi="宋体"/>
                <w:sz w:val="21"/>
                <w:szCs w:val="21"/>
              </w:rPr>
              <w:t>5</w:t>
            </w:r>
          </w:p>
        </w:tc>
      </w:tr>
    </w:tbl>
    <w:p w14:paraId="1992E2AD">
      <w:pPr>
        <w:pStyle w:val="117"/>
        <w:adjustRightInd w:val="0"/>
        <w:snapToGrid w:val="0"/>
        <w:ind w:firstLine="480"/>
        <w:rPr>
          <w:rFonts w:hint="eastAsia"/>
          <w:kern w:val="0"/>
        </w:rPr>
      </w:pPr>
      <w:r>
        <w:rPr>
          <w:rFonts w:hint="eastAsia"/>
          <w:kern w:val="0"/>
        </w:rPr>
        <w:t>※井口装置</w:t>
      </w:r>
    </w:p>
    <w:p w14:paraId="6981609C">
      <w:pPr>
        <w:pStyle w:val="117"/>
        <w:adjustRightInd w:val="0"/>
        <w:snapToGrid w:val="0"/>
        <w:ind w:firstLine="480"/>
        <w:rPr>
          <w:rFonts w:hint="eastAsia"/>
          <w:kern w:val="0"/>
        </w:rPr>
      </w:pPr>
      <w:r>
        <w:rPr>
          <w:rFonts w:hint="eastAsia"/>
          <w:kern w:val="0"/>
        </w:rPr>
        <w:t>新建5座井口装置，采用DN65  105MPa采油井口，井口采用投捞式电潜螺杆泵，配套电机功率</w:t>
      </w:r>
      <w:r>
        <w:rPr>
          <w:kern w:val="0"/>
        </w:rPr>
        <w:t>22kW</w:t>
      </w:r>
      <w:r>
        <w:rPr>
          <w:rFonts w:hint="eastAsia"/>
          <w:kern w:val="0"/>
        </w:rPr>
        <w:t>。井口采用保温盒保温，保温盒内设</w:t>
      </w:r>
      <w:r>
        <w:rPr>
          <w:kern w:val="0"/>
        </w:rPr>
        <w:t>300W</w:t>
      </w:r>
      <w:r>
        <w:rPr>
          <w:rFonts w:hint="eastAsia"/>
          <w:kern w:val="0"/>
        </w:rPr>
        <w:t>防爆电加热器，同时设置热洗清蜡接口及安全标示牌。</w:t>
      </w:r>
    </w:p>
    <w:p w14:paraId="5705AF76">
      <w:pPr>
        <w:pStyle w:val="117"/>
        <w:adjustRightInd w:val="0"/>
        <w:snapToGrid w:val="0"/>
        <w:ind w:firstLine="480"/>
        <w:rPr>
          <w:rFonts w:hint="eastAsia"/>
          <w:kern w:val="0"/>
        </w:rPr>
      </w:pPr>
      <w:r>
        <w:rPr>
          <w:rFonts w:hint="eastAsia"/>
          <w:kern w:val="0"/>
        </w:rPr>
        <w:t>※除硫加药装置</w:t>
      </w:r>
    </w:p>
    <w:p w14:paraId="158B7F09">
      <w:pPr>
        <w:pStyle w:val="117"/>
        <w:adjustRightInd w:val="0"/>
        <w:snapToGrid w:val="0"/>
        <w:ind w:firstLine="480"/>
        <w:rPr>
          <w:rFonts w:hint="eastAsia"/>
          <w:kern w:val="0"/>
        </w:rPr>
      </w:pPr>
      <w:r>
        <w:rPr>
          <w:rFonts w:hint="eastAsia"/>
          <w:kern w:val="0"/>
        </w:rPr>
        <w:t>因伴生气中含有硫化氢，故在计量拉油站（计量站）设置除硫加药装置，因</w:t>
      </w:r>
      <w:r>
        <w:rPr>
          <w:kern w:val="0"/>
        </w:rPr>
        <w:t>3m</w:t>
      </w:r>
      <w:r>
        <w:rPr>
          <w:kern w:val="0"/>
          <w:vertAlign w:val="superscript"/>
        </w:rPr>
        <w:t>3</w:t>
      </w:r>
      <w:r>
        <w:rPr>
          <w:rFonts w:hint="eastAsia"/>
          <w:kern w:val="0"/>
        </w:rPr>
        <w:t>除硫加药装置为</w:t>
      </w:r>
      <w:r>
        <w:rPr>
          <w:kern w:val="0"/>
        </w:rPr>
        <w:t>1</w:t>
      </w:r>
      <w:r>
        <w:rPr>
          <w:rFonts w:hint="eastAsia"/>
          <w:kern w:val="0"/>
        </w:rPr>
        <w:t>口井加药，</w:t>
      </w:r>
      <w:r>
        <w:rPr>
          <w:kern w:val="0"/>
        </w:rPr>
        <w:t>10m</w:t>
      </w:r>
      <w:r>
        <w:rPr>
          <w:kern w:val="0"/>
          <w:vertAlign w:val="superscript"/>
        </w:rPr>
        <w:t>3</w:t>
      </w:r>
      <w:r>
        <w:rPr>
          <w:rFonts w:hint="eastAsia"/>
          <w:kern w:val="0"/>
        </w:rPr>
        <w:t>除硫剂加药装置为</w:t>
      </w:r>
      <w:r>
        <w:rPr>
          <w:kern w:val="0"/>
        </w:rPr>
        <w:t>4</w:t>
      </w:r>
      <w:r>
        <w:rPr>
          <w:rFonts w:hint="eastAsia"/>
          <w:kern w:val="0"/>
        </w:rPr>
        <w:t>口井加药，本项目部署5口井，故本次新建1座</w:t>
      </w:r>
      <w:r>
        <w:rPr>
          <w:kern w:val="0"/>
        </w:rPr>
        <w:t>3m</w:t>
      </w:r>
      <w:r>
        <w:rPr>
          <w:kern w:val="0"/>
          <w:vertAlign w:val="superscript"/>
        </w:rPr>
        <w:t>3</w:t>
      </w:r>
      <w:r>
        <w:rPr>
          <w:rFonts w:hint="eastAsia"/>
          <w:kern w:val="0"/>
        </w:rPr>
        <w:t>除硫加药装置、1座</w:t>
      </w:r>
      <w:r>
        <w:rPr>
          <w:kern w:val="0"/>
        </w:rPr>
        <w:t>10m</w:t>
      </w:r>
      <w:r>
        <w:rPr>
          <w:kern w:val="0"/>
          <w:vertAlign w:val="superscript"/>
        </w:rPr>
        <w:t>3</w:t>
      </w:r>
      <w:r>
        <w:rPr>
          <w:rFonts w:hint="eastAsia"/>
          <w:kern w:val="0"/>
        </w:rPr>
        <w:t>除硫加药装置。</w:t>
      </w:r>
    </w:p>
    <w:p w14:paraId="70C53A28">
      <w:pPr>
        <w:pStyle w:val="117"/>
        <w:ind w:firstLine="480"/>
        <w:rPr>
          <w:rFonts w:hint="eastAsia" w:ascii="黑体" w:hAnsi="黑体" w:eastAsia="黑体"/>
          <w:sz w:val="21"/>
          <w:szCs w:val="21"/>
        </w:rPr>
      </w:pPr>
      <w:r>
        <w:rPr>
          <w:rFonts w:hint="eastAsia"/>
          <w:kern w:val="0"/>
        </w:rPr>
        <w:t>本次采用第三代三嗪类硫化氢处硫剂</w:t>
      </w:r>
      <w:r>
        <w:rPr>
          <w:rFonts w:hint="eastAsia" w:cs="宋体"/>
        </w:rPr>
        <w:t>。</w:t>
      </w:r>
      <w:r>
        <w:rPr>
          <w:rFonts w:hint="eastAsia"/>
        </w:rPr>
        <w:t>三嗪类硫化氢处理剂是一种非再生型新型高效硫化氢处理剂</w:t>
      </w:r>
      <w:r>
        <w:t>，通常为无色或淡黄色透明</w:t>
      </w:r>
      <w:r>
        <w:rPr>
          <w:rFonts w:hint="eastAsia"/>
        </w:rPr>
        <w:t>粘</w:t>
      </w:r>
      <w:r>
        <w:t>稠状液体，无</w:t>
      </w:r>
      <w:r>
        <w:rPr>
          <w:rFonts w:hint="eastAsia"/>
        </w:rPr>
        <w:t>刺激性</w:t>
      </w:r>
      <w:r>
        <w:t>气味。三嗪化合物是一种大分子活性剂，分子链上富含氮原子，并且含有活泼氢原子，能与</w:t>
      </w:r>
      <w:r>
        <w:rPr>
          <w:rFonts w:hint="eastAsia"/>
        </w:rPr>
        <w:t>H</w:t>
      </w:r>
      <w:r>
        <w:rPr>
          <w:rFonts w:hint="eastAsia"/>
          <w:vertAlign w:val="subscript"/>
        </w:rPr>
        <w:t>2</w:t>
      </w:r>
      <w:r>
        <w:rPr>
          <w:rFonts w:hint="eastAsia"/>
        </w:rPr>
        <w:t>S</w:t>
      </w:r>
      <w:r>
        <w:t>里的S</w:t>
      </w:r>
      <w:r>
        <w:rPr>
          <w:vertAlign w:val="superscript"/>
        </w:rPr>
        <w:t>2-</w:t>
      </w:r>
      <w:r>
        <w:t>发生不可逆化学反应生成噻二嗪，从而达到</w:t>
      </w:r>
      <w:r>
        <w:rPr>
          <w:rFonts w:hint="eastAsia"/>
        </w:rPr>
        <w:t>去</w:t>
      </w:r>
      <w:r>
        <w:t>除天然气中H</w:t>
      </w:r>
      <w:r>
        <w:rPr>
          <w:vertAlign w:val="subscript"/>
        </w:rPr>
        <w:t>2</w:t>
      </w:r>
      <w:r>
        <w:t>S的目的。</w:t>
      </w:r>
      <w:r>
        <w:rPr>
          <w:rFonts w:hint="eastAsia" w:cs="宋体"/>
        </w:rPr>
        <w:t>该除硫剂及其脱硫产物均为水溶性液体，安全性高，而且不需回收，同采出物由管线管输至页岩油联合站进行处理。井场不储存除硫剂，由工作人员根据每个除硫加药装置除硫剂的使用情况进行添加。除硫剂技术指标见表3.2-13。本项目除硫剂消耗量为3686m</w:t>
      </w:r>
      <w:r>
        <w:rPr>
          <w:rFonts w:hint="eastAsia" w:cs="宋体"/>
          <w:vertAlign w:val="superscript"/>
        </w:rPr>
        <w:t>3</w:t>
      </w:r>
      <w:r>
        <w:rPr>
          <w:rFonts w:hint="eastAsia" w:cs="宋体"/>
        </w:rPr>
        <w:t>/a。</w:t>
      </w:r>
    </w:p>
    <w:p w14:paraId="72155704">
      <w:pPr>
        <w:pStyle w:val="117"/>
        <w:adjustRightInd w:val="0"/>
        <w:snapToGrid w:val="0"/>
        <w:ind w:firstLine="0" w:firstLineChars="0"/>
        <w:jc w:val="center"/>
        <w:rPr>
          <w:rFonts w:hint="eastAsia" w:ascii="黑体" w:hAnsi="黑体" w:eastAsia="黑体"/>
          <w:sz w:val="21"/>
          <w:szCs w:val="21"/>
        </w:rPr>
      </w:pPr>
      <w:r>
        <w:rPr>
          <w:rFonts w:hint="eastAsia" w:ascii="黑体" w:hAnsi="黑体" w:eastAsia="黑体"/>
          <w:sz w:val="21"/>
          <w:szCs w:val="21"/>
        </w:rPr>
        <w:t>表3.2-13  硫化氢处理剂技术指标</w:t>
      </w:r>
    </w:p>
    <w:tbl>
      <w:tblPr>
        <w:tblStyle w:val="51"/>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21"/>
        <w:gridCol w:w="4423"/>
      </w:tblGrid>
      <w:tr w14:paraId="1BF01E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37B830E9">
            <w:pPr>
              <w:pStyle w:val="286"/>
              <w:adjustRightInd w:val="0"/>
              <w:snapToGrid w:val="0"/>
              <w:rPr>
                <w:rFonts w:hint="eastAsia"/>
              </w:rPr>
            </w:pPr>
            <w:r>
              <w:rPr>
                <w:rFonts w:hint="eastAsia"/>
              </w:rPr>
              <w:t>项目</w:t>
            </w:r>
          </w:p>
        </w:tc>
        <w:tc>
          <w:tcPr>
            <w:tcW w:w="2472" w:type="pct"/>
            <w:vAlign w:val="center"/>
          </w:tcPr>
          <w:p w14:paraId="3039293F">
            <w:pPr>
              <w:pStyle w:val="286"/>
              <w:adjustRightInd w:val="0"/>
              <w:snapToGrid w:val="0"/>
              <w:rPr>
                <w:rFonts w:hint="eastAsia"/>
              </w:rPr>
            </w:pPr>
            <w:r>
              <w:rPr>
                <w:rFonts w:hint="eastAsia"/>
              </w:rPr>
              <w:t>指标</w:t>
            </w:r>
          </w:p>
        </w:tc>
      </w:tr>
      <w:tr w14:paraId="0E67DA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65C042A2">
            <w:pPr>
              <w:pStyle w:val="286"/>
              <w:adjustRightInd w:val="0"/>
              <w:snapToGrid w:val="0"/>
              <w:rPr>
                <w:rFonts w:hint="eastAsia"/>
              </w:rPr>
            </w:pPr>
            <w:r>
              <w:rPr>
                <w:rFonts w:hint="eastAsia"/>
              </w:rPr>
              <w:t>外观</w:t>
            </w:r>
          </w:p>
        </w:tc>
        <w:tc>
          <w:tcPr>
            <w:tcW w:w="2472" w:type="pct"/>
            <w:vAlign w:val="center"/>
          </w:tcPr>
          <w:p w14:paraId="1BC9239C">
            <w:pPr>
              <w:pStyle w:val="286"/>
              <w:adjustRightInd w:val="0"/>
              <w:snapToGrid w:val="0"/>
              <w:rPr>
                <w:rFonts w:hint="eastAsia"/>
              </w:rPr>
            </w:pPr>
            <w:r>
              <w:rPr>
                <w:rFonts w:hint="eastAsia"/>
              </w:rPr>
              <w:t>均匀液体</w:t>
            </w:r>
          </w:p>
        </w:tc>
      </w:tr>
      <w:tr w14:paraId="14A46D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413967D6">
            <w:pPr>
              <w:pStyle w:val="286"/>
              <w:adjustRightInd w:val="0"/>
              <w:snapToGrid w:val="0"/>
              <w:rPr>
                <w:rFonts w:hint="eastAsia"/>
              </w:rPr>
            </w:pPr>
            <w:r>
              <w:rPr>
                <w:rFonts w:hint="eastAsia"/>
              </w:rPr>
              <w:t>pH值</w:t>
            </w:r>
          </w:p>
        </w:tc>
        <w:tc>
          <w:tcPr>
            <w:tcW w:w="2472" w:type="pct"/>
            <w:vAlign w:val="center"/>
          </w:tcPr>
          <w:p w14:paraId="52515130">
            <w:pPr>
              <w:pStyle w:val="286"/>
              <w:adjustRightInd w:val="0"/>
              <w:snapToGrid w:val="0"/>
              <w:rPr>
                <w:rFonts w:hint="eastAsia"/>
              </w:rPr>
            </w:pPr>
            <w:r>
              <w:rPr>
                <w:rFonts w:hint="eastAsia"/>
              </w:rPr>
              <w:t>6.0～9.0</w:t>
            </w:r>
          </w:p>
        </w:tc>
      </w:tr>
      <w:tr w14:paraId="46755E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02FAC0BD">
            <w:pPr>
              <w:pStyle w:val="286"/>
              <w:adjustRightInd w:val="0"/>
              <w:snapToGrid w:val="0"/>
              <w:rPr>
                <w:rFonts w:hint="eastAsia"/>
              </w:rPr>
            </w:pPr>
            <w:r>
              <w:rPr>
                <w:rFonts w:hint="eastAsia"/>
              </w:rPr>
              <w:t>密度（</w:t>
            </w:r>
            <w:r>
              <w:t>20℃），g/cm</w:t>
            </w:r>
            <w:r>
              <w:rPr>
                <w:vertAlign w:val="superscript"/>
              </w:rPr>
              <w:t>3</w:t>
            </w:r>
          </w:p>
        </w:tc>
        <w:tc>
          <w:tcPr>
            <w:tcW w:w="2472" w:type="pct"/>
            <w:vAlign w:val="center"/>
          </w:tcPr>
          <w:p w14:paraId="68C0C5E9">
            <w:pPr>
              <w:pStyle w:val="286"/>
              <w:adjustRightInd w:val="0"/>
              <w:snapToGrid w:val="0"/>
              <w:rPr>
                <w:rFonts w:hint="eastAsia"/>
              </w:rPr>
            </w:pPr>
            <w:r>
              <w:t>1.0</w:t>
            </w:r>
            <w:r>
              <w:rPr>
                <w:rFonts w:hint="eastAsia"/>
              </w:rPr>
              <w:t>0</w:t>
            </w:r>
            <w:r>
              <w:t>～1.2</w:t>
            </w:r>
            <w:r>
              <w:rPr>
                <w:rFonts w:hint="eastAsia"/>
              </w:rPr>
              <w:t>0</w:t>
            </w:r>
          </w:p>
        </w:tc>
      </w:tr>
      <w:tr w14:paraId="7DDC9C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1FC1CEB0">
            <w:pPr>
              <w:pStyle w:val="286"/>
              <w:adjustRightInd w:val="0"/>
              <w:snapToGrid w:val="0"/>
              <w:rPr>
                <w:rFonts w:hint="eastAsia"/>
              </w:rPr>
            </w:pPr>
            <w:r>
              <w:rPr>
                <w:rFonts w:hint="eastAsia"/>
              </w:rPr>
              <w:t>残余硫化氢，mg/m</w:t>
            </w:r>
            <w:r>
              <w:rPr>
                <w:rFonts w:hint="eastAsia"/>
                <w:vertAlign w:val="superscript"/>
              </w:rPr>
              <w:t>3</w:t>
            </w:r>
          </w:p>
        </w:tc>
        <w:tc>
          <w:tcPr>
            <w:tcW w:w="2472" w:type="pct"/>
            <w:vAlign w:val="center"/>
          </w:tcPr>
          <w:p w14:paraId="6922F9F8">
            <w:pPr>
              <w:pStyle w:val="286"/>
              <w:adjustRightInd w:val="0"/>
              <w:snapToGrid w:val="0"/>
              <w:rPr>
                <w:rFonts w:hint="eastAsia"/>
              </w:rPr>
            </w:pPr>
            <w:r>
              <w:rPr>
                <w:rFonts w:hint="eastAsia"/>
              </w:rPr>
              <w:t>≤5</w:t>
            </w:r>
          </w:p>
        </w:tc>
      </w:tr>
      <w:tr w14:paraId="0CDE30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13707CF1">
            <w:pPr>
              <w:pStyle w:val="286"/>
              <w:adjustRightInd w:val="0"/>
              <w:snapToGrid w:val="0"/>
              <w:rPr>
                <w:rFonts w:hint="eastAsia"/>
              </w:rPr>
            </w:pPr>
            <w:r>
              <w:rPr>
                <w:rFonts w:hint="eastAsia"/>
              </w:rPr>
              <w:t>可溶性硫化物去除率，%</w:t>
            </w:r>
          </w:p>
        </w:tc>
        <w:tc>
          <w:tcPr>
            <w:tcW w:w="2472" w:type="pct"/>
            <w:vAlign w:val="center"/>
          </w:tcPr>
          <w:p w14:paraId="5D75D7A1">
            <w:pPr>
              <w:pStyle w:val="286"/>
              <w:adjustRightInd w:val="0"/>
              <w:snapToGrid w:val="0"/>
              <w:rPr>
                <w:rFonts w:hint="eastAsia"/>
              </w:rPr>
            </w:pPr>
            <w:r>
              <w:rPr>
                <w:rFonts w:hint="eastAsia"/>
              </w:rPr>
              <w:t>≥95</w:t>
            </w:r>
          </w:p>
        </w:tc>
      </w:tr>
      <w:tr w14:paraId="489EFF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27" w:type="pct"/>
            <w:vAlign w:val="center"/>
          </w:tcPr>
          <w:p w14:paraId="42F87A3E">
            <w:pPr>
              <w:pStyle w:val="286"/>
              <w:adjustRightInd w:val="0"/>
              <w:snapToGrid w:val="0"/>
              <w:rPr>
                <w:rFonts w:hint="eastAsia"/>
              </w:rPr>
            </w:pPr>
            <w:r>
              <w:rPr>
                <w:rFonts w:hint="eastAsia"/>
              </w:rPr>
              <w:t>硫容，mg/L</w:t>
            </w:r>
          </w:p>
        </w:tc>
        <w:tc>
          <w:tcPr>
            <w:tcW w:w="2472" w:type="pct"/>
            <w:vAlign w:val="center"/>
          </w:tcPr>
          <w:p w14:paraId="51767623">
            <w:pPr>
              <w:pStyle w:val="286"/>
              <w:adjustRightInd w:val="0"/>
              <w:snapToGrid w:val="0"/>
              <w:rPr>
                <w:rFonts w:hint="eastAsia"/>
              </w:rPr>
            </w:pPr>
            <w:r>
              <w:rPr>
                <w:rFonts w:hint="eastAsia"/>
              </w:rPr>
              <w:t>≥50</w:t>
            </w:r>
          </w:p>
        </w:tc>
      </w:tr>
    </w:tbl>
    <w:p w14:paraId="53601A67">
      <w:pPr>
        <w:pStyle w:val="117"/>
        <w:adjustRightInd w:val="0"/>
        <w:snapToGrid w:val="0"/>
        <w:ind w:firstLine="480" w:firstLineChars="0"/>
        <w:rPr>
          <w:rFonts w:hint="eastAsia"/>
          <w:kern w:val="0"/>
        </w:rPr>
      </w:pPr>
      <w:r>
        <w:rPr>
          <w:rFonts w:hint="eastAsia"/>
          <w:kern w:val="0"/>
        </w:rPr>
        <w:t>④</w:t>
      </w:r>
      <w:bookmarkStart w:id="212" w:name="OLE_LINK36"/>
      <w:bookmarkStart w:id="213" w:name="OLE_LINK37"/>
      <w:r>
        <w:rPr>
          <w:rFonts w:hint="eastAsia"/>
          <w:kern w:val="0"/>
        </w:rPr>
        <w:t>采油平台集中计量拉油站</w:t>
      </w:r>
      <w:bookmarkEnd w:id="212"/>
    </w:p>
    <w:bookmarkEnd w:id="213"/>
    <w:p w14:paraId="130318C1">
      <w:pPr>
        <w:pStyle w:val="117"/>
        <w:adjustRightInd w:val="0"/>
        <w:snapToGrid w:val="0"/>
        <w:ind w:firstLine="480" w:firstLineChars="0"/>
        <w:rPr>
          <w:rFonts w:hint="eastAsia"/>
          <w:kern w:val="0"/>
        </w:rPr>
      </w:pPr>
      <w:bookmarkStart w:id="214" w:name="OLE_LINK38"/>
      <w:r>
        <w:rPr>
          <w:rFonts w:hint="eastAsia"/>
          <w:kern w:val="0"/>
        </w:rPr>
        <w:t>新建采油平台集中计量拉油站1座，</w:t>
      </w:r>
      <w:bookmarkEnd w:id="214"/>
      <w:r>
        <w:rPr>
          <w:rFonts w:hint="eastAsia"/>
          <w:kern w:val="0"/>
        </w:rPr>
        <w:t>站内设有1座8井式液量含水自动计量装置、1</w:t>
      </w:r>
      <w:bookmarkStart w:id="215" w:name="OLE_LINK40"/>
      <w:r>
        <w:rPr>
          <w:rFonts w:hint="eastAsia"/>
          <w:kern w:val="0"/>
        </w:rPr>
        <w:t>座</w:t>
      </w:r>
      <w:bookmarkEnd w:id="215"/>
      <w:r>
        <w:rPr>
          <w:rFonts w:hint="eastAsia"/>
          <w:kern w:val="0"/>
        </w:rPr>
        <w:t>200kW的电加热装置、</w:t>
      </w:r>
      <w:bookmarkStart w:id="216" w:name="OLE_LINK41"/>
      <w:r>
        <w:rPr>
          <w:rFonts w:hint="eastAsia"/>
          <w:kern w:val="0"/>
        </w:rPr>
        <w:t>1座</w:t>
      </w:r>
      <w:r>
        <w:rPr>
          <w:kern w:val="0"/>
        </w:rPr>
        <w:t>LE0.8</w:t>
      </w:r>
      <w:r>
        <w:rPr>
          <w:rFonts w:hint="eastAsia"/>
          <w:kern w:val="0"/>
        </w:rPr>
        <w:t>×</w:t>
      </w:r>
      <w:r>
        <w:rPr>
          <w:kern w:val="0"/>
        </w:rPr>
        <w:t>2.4-1.6</w:t>
      </w:r>
      <w:r>
        <w:rPr>
          <w:rFonts w:hint="eastAsia"/>
          <w:kern w:val="0"/>
        </w:rPr>
        <w:t>生产分离器、5座60m</w:t>
      </w:r>
      <w:r>
        <w:rPr>
          <w:rFonts w:hint="eastAsia"/>
          <w:kern w:val="0"/>
          <w:vertAlign w:val="superscript"/>
        </w:rPr>
        <w:t>3</w:t>
      </w:r>
      <w:r>
        <w:rPr>
          <w:rFonts w:hint="eastAsia"/>
          <w:kern w:val="0"/>
        </w:rPr>
        <w:t>的撬装拉油方罐、1座DN50 高度为8m的放空火炬</w:t>
      </w:r>
      <w:bookmarkEnd w:id="216"/>
      <w:r>
        <w:rPr>
          <w:rFonts w:hint="eastAsia"/>
          <w:kern w:val="0"/>
        </w:rPr>
        <w:t>。平面布置见图3.2-4。</w:t>
      </w:r>
    </w:p>
    <w:p w14:paraId="39870333">
      <w:pPr>
        <w:pStyle w:val="117"/>
        <w:adjustRightInd w:val="0"/>
        <w:snapToGrid w:val="0"/>
        <w:ind w:firstLine="480"/>
        <w:rPr>
          <w:rFonts w:hint="eastAsia"/>
        </w:rPr>
      </w:pPr>
      <w:r>
        <w:rPr>
          <w:rFonts w:hint="eastAsia"/>
        </w:rPr>
        <w:t>⑤集输管线</w:t>
      </w:r>
    </w:p>
    <w:p w14:paraId="72E3CA00">
      <w:pPr>
        <w:pStyle w:val="117"/>
        <w:adjustRightInd w:val="0"/>
        <w:snapToGrid w:val="0"/>
        <w:ind w:firstLine="480"/>
        <w:rPr>
          <w:rFonts w:hint="eastAsia" w:cs="宋体"/>
          <w:kern w:val="0"/>
        </w:rPr>
      </w:pPr>
      <w:r>
        <w:rPr>
          <w:rFonts w:hint="eastAsia"/>
        </w:rPr>
        <w:t>一期工程新建井口至</w:t>
      </w:r>
      <w:bookmarkStart w:id="217" w:name="OLE_LINK42"/>
      <w:r>
        <w:rPr>
          <w:rFonts w:hint="eastAsia"/>
        </w:rPr>
        <w:t>计量</w:t>
      </w:r>
      <w:bookmarkEnd w:id="217"/>
      <w:r>
        <w:rPr>
          <w:rFonts w:hint="eastAsia"/>
        </w:rPr>
        <w:t>拉油站的单井采油管线0.5km，采用D76×5/20无缝钢管，管道保温后埋地敷设，保温层采用30mm厚聚氨酯泡沫塑料，防护层采用高密度聚乙烯塑料，管底埋深-1.7m</w:t>
      </w:r>
      <w:r>
        <w:rPr>
          <w:rFonts w:hint="eastAsia" w:cs="宋体"/>
          <w:kern w:val="0"/>
        </w:rPr>
        <w:t>。</w:t>
      </w:r>
    </w:p>
    <w:p w14:paraId="5F6A05DE">
      <w:pPr>
        <w:widowControl/>
        <w:adjustRightInd w:val="0"/>
        <w:snapToGrid w:val="0"/>
        <w:spacing w:line="500" w:lineRule="exact"/>
        <w:ind w:firstLine="480" w:firstLineChars="200"/>
        <w:rPr>
          <w:rFonts w:hint="eastAsia" w:ascii="宋体" w:hAnsi="宋体"/>
          <w:kern w:val="0"/>
          <w:sz w:val="24"/>
          <w:szCs w:val="24"/>
        </w:rPr>
      </w:pPr>
      <w:bookmarkStart w:id="218" w:name="OLE_LINK44"/>
      <w:r>
        <w:rPr>
          <w:rFonts w:hint="eastAsia" w:ascii="宋体" w:hAnsi="宋体"/>
          <w:kern w:val="0"/>
          <w:sz w:val="24"/>
          <w:szCs w:val="24"/>
        </w:rPr>
        <w:t>二期工程新建集油干线6</w:t>
      </w:r>
      <w:r>
        <w:rPr>
          <w:rFonts w:ascii="宋体" w:hAnsi="宋体"/>
          <w:kern w:val="0"/>
          <w:sz w:val="24"/>
          <w:szCs w:val="24"/>
        </w:rPr>
        <w:t>km</w:t>
      </w:r>
      <w:r>
        <w:rPr>
          <w:rFonts w:hint="eastAsia" w:ascii="宋体" w:hAnsi="宋体"/>
          <w:kern w:val="0"/>
          <w:sz w:val="24"/>
          <w:szCs w:val="24"/>
        </w:rPr>
        <w:t>，采用</w:t>
      </w:r>
      <w:r>
        <w:rPr>
          <w:rFonts w:ascii="宋体" w:hAnsi="宋体"/>
          <w:kern w:val="0"/>
          <w:sz w:val="24"/>
          <w:szCs w:val="24"/>
        </w:rPr>
        <w:t>DN</w:t>
      </w:r>
      <w:r>
        <w:rPr>
          <w:rFonts w:hint="eastAsia" w:ascii="宋体" w:hAnsi="宋体"/>
          <w:kern w:val="0"/>
          <w:sz w:val="24"/>
          <w:szCs w:val="24"/>
        </w:rPr>
        <w:t>20</w:t>
      </w:r>
      <w:r>
        <w:rPr>
          <w:rFonts w:ascii="宋体" w:hAnsi="宋体"/>
          <w:kern w:val="0"/>
          <w:sz w:val="24"/>
          <w:szCs w:val="24"/>
        </w:rPr>
        <w:t xml:space="preserve">0 3.5MPa </w:t>
      </w:r>
      <w:r>
        <w:rPr>
          <w:rFonts w:hint="eastAsia" w:ascii="宋体" w:hAnsi="宋体"/>
          <w:kern w:val="0"/>
          <w:sz w:val="24"/>
          <w:szCs w:val="24"/>
        </w:rPr>
        <w:t>高压玻璃纤维管线管（耐温</w:t>
      </w:r>
      <w:r>
        <w:rPr>
          <w:rFonts w:ascii="宋体" w:hAnsi="宋体"/>
          <w:kern w:val="0"/>
          <w:sz w:val="24"/>
          <w:szCs w:val="24"/>
        </w:rPr>
        <w:t>70</w:t>
      </w:r>
      <w:r>
        <w:rPr>
          <w:rFonts w:hint="eastAsia" w:ascii="宋体" w:hAnsi="宋体"/>
          <w:kern w:val="0"/>
          <w:sz w:val="24"/>
          <w:szCs w:val="24"/>
        </w:rPr>
        <w:t>℃）。拆除一期建设的生产分离器、拉油方罐和放空火炬，将集中拉油生产改为管线密闭集输生产；一期建设的采油平台计量拉油站更名为采油平台计量站。</w:t>
      </w:r>
    </w:p>
    <w:bookmarkEnd w:id="218"/>
    <w:p w14:paraId="3C605986">
      <w:pPr>
        <w:pStyle w:val="117"/>
        <w:adjustRightInd w:val="0"/>
        <w:snapToGrid w:val="0"/>
        <w:spacing w:line="360" w:lineRule="auto"/>
        <w:ind w:firstLine="0" w:firstLineChars="0"/>
        <w:rPr>
          <w:rFonts w:hint="eastAsia" w:cs="宋体"/>
          <w:kern w:val="0"/>
        </w:rPr>
      </w:pPr>
      <w:r>
        <w:rPr>
          <w:rFonts w:hint="eastAsia" w:cs="宋体"/>
          <w:kern w:val="0"/>
        </w:rPr>
        <w:drawing>
          <wp:inline distT="0" distB="0" distL="0" distR="0">
            <wp:extent cx="5543550" cy="2663825"/>
            <wp:effectExtent l="19050" t="19050" r="19050" b="22225"/>
            <wp:docPr id="1795163498" name="图片 3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163498" name="图片 39" descr="图示&#10;&#10;描述已自动生成"/>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43550" cy="2663825"/>
                    </a:xfrm>
                    <a:prstGeom prst="rect">
                      <a:avLst/>
                    </a:prstGeom>
                    <a:ln w="6350">
                      <a:solidFill>
                        <a:schemeClr val="tx1"/>
                      </a:solidFill>
                    </a:ln>
                  </pic:spPr>
                </pic:pic>
              </a:graphicData>
            </a:graphic>
          </wp:inline>
        </w:drawing>
      </w:r>
    </w:p>
    <w:p w14:paraId="4BA34185">
      <w:pPr>
        <w:pStyle w:val="117"/>
        <w:adjustRightInd w:val="0"/>
        <w:snapToGrid w:val="0"/>
        <w:ind w:firstLine="0" w:firstLineChars="0"/>
        <w:jc w:val="center"/>
        <w:rPr>
          <w:rFonts w:hint="eastAsia" w:ascii="黑体" w:hAnsi="黑体" w:eastAsia="黑体"/>
          <w:sz w:val="21"/>
          <w:szCs w:val="21"/>
        </w:rPr>
      </w:pPr>
      <w:bookmarkStart w:id="219" w:name="OLE_LINK391"/>
      <w:r>
        <w:rPr>
          <w:rFonts w:hint="eastAsia" w:ascii="黑体" w:hAnsi="黑体" w:eastAsia="黑体"/>
          <w:sz w:val="21"/>
          <w:szCs w:val="21"/>
        </w:rPr>
        <w:t>图3.2-4  拉油计量站平面布置示意图</w:t>
      </w:r>
    </w:p>
    <w:bookmarkEnd w:id="219"/>
    <w:p w14:paraId="68A598BC">
      <w:pPr>
        <w:pStyle w:val="117"/>
        <w:adjustRightInd w:val="0"/>
        <w:snapToGrid w:val="0"/>
        <w:ind w:firstLine="480"/>
        <w:rPr>
          <w:rFonts w:hint="eastAsia" w:cs="宋体"/>
          <w:kern w:val="0"/>
        </w:rPr>
      </w:pPr>
      <w:r>
        <w:rPr>
          <w:rFonts w:hint="eastAsia" w:cs="宋体"/>
          <w:kern w:val="0"/>
        </w:rPr>
        <w:t>为了减少占地，距离相近井采用平台井布设，在平台旁新建采油平台计量拉油站，集输干线尽量沿已建道路敷设，拟部署井、计量站位置及各类管线走向见图3.2-5。</w:t>
      </w:r>
    </w:p>
    <w:p w14:paraId="47FA83D0">
      <w:pPr>
        <w:widowControl/>
        <w:adjustRightInd w:val="0"/>
        <w:snapToGrid w:val="0"/>
        <w:spacing w:line="360" w:lineRule="auto"/>
        <w:jc w:val="center"/>
        <w:rPr>
          <w:rFonts w:hint="eastAsia" w:ascii="黑体" w:hAnsi="黑体" w:eastAsia="黑体"/>
        </w:rPr>
      </w:pPr>
      <w:r>
        <w:rPr>
          <w:rFonts w:ascii="黑体" w:hAnsi="黑体" w:eastAsia="黑体"/>
        </w:rPr>
        <w:drawing>
          <wp:inline distT="0" distB="0" distL="0" distR="0">
            <wp:extent cx="5543550" cy="3780790"/>
            <wp:effectExtent l="0" t="0" r="0" b="0"/>
            <wp:docPr id="922" name="图片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92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543550" cy="3780790"/>
                    </a:xfrm>
                    <a:prstGeom prst="rect">
                      <a:avLst/>
                    </a:prstGeom>
                  </pic:spPr>
                </pic:pic>
              </a:graphicData>
            </a:graphic>
          </wp:inline>
        </w:drawing>
      </w:r>
    </w:p>
    <w:p w14:paraId="5384822E">
      <w:pPr>
        <w:widowControl/>
        <w:adjustRightInd w:val="0"/>
        <w:snapToGrid w:val="0"/>
        <w:spacing w:line="500" w:lineRule="exact"/>
        <w:jc w:val="center"/>
        <w:rPr>
          <w:rFonts w:hint="eastAsia" w:ascii="黑体" w:hAnsi="黑体" w:eastAsia="黑体"/>
        </w:rPr>
      </w:pPr>
      <w:r>
        <w:rPr>
          <w:rFonts w:hint="eastAsia" w:ascii="黑体" w:hAnsi="黑体" w:eastAsia="黑体"/>
        </w:rPr>
        <w:t>图3.2-5  拟部署井、计量站位置和集油干线走向示意图</w:t>
      </w:r>
    </w:p>
    <w:p w14:paraId="41F10395">
      <w:pPr>
        <w:pStyle w:val="191"/>
        <w:ind w:firstLine="480"/>
        <w:rPr>
          <w:rFonts w:hint="eastAsia" w:cs="宋体"/>
        </w:rPr>
      </w:pPr>
      <w:r>
        <w:rPr>
          <w:rFonts w:hint="eastAsia" w:cs="宋体"/>
        </w:rPr>
        <w:t>（2）公辅工程</w:t>
      </w:r>
    </w:p>
    <w:p w14:paraId="6B5BB52E">
      <w:pPr>
        <w:pStyle w:val="117"/>
        <w:adjustRightInd w:val="0"/>
        <w:snapToGrid w:val="0"/>
        <w:ind w:firstLine="480"/>
        <w:rPr>
          <w:rFonts w:hint="eastAsia" w:cs="宋体"/>
          <w:kern w:val="0"/>
        </w:rPr>
      </w:pPr>
      <w:r>
        <w:rPr>
          <w:rFonts w:hint="eastAsia" w:cs="宋体"/>
          <w:kern w:val="0"/>
        </w:rPr>
        <w:t>①供配电</w:t>
      </w:r>
    </w:p>
    <w:p w14:paraId="061B99EC">
      <w:pPr>
        <w:pStyle w:val="117"/>
        <w:adjustRightInd w:val="0"/>
        <w:snapToGrid w:val="0"/>
        <w:ind w:firstLine="480"/>
        <w:rPr>
          <w:rFonts w:hint="eastAsia" w:cs="宋体"/>
          <w:kern w:val="0"/>
        </w:rPr>
      </w:pPr>
      <w:r>
        <w:rPr>
          <w:rFonts w:hint="eastAsia" w:cs="宋体"/>
          <w:kern w:val="0"/>
        </w:rPr>
        <w:t>本次采用单变压器带多井的配电方式，新建</w:t>
      </w:r>
      <w:r>
        <w:rPr>
          <w:rFonts w:cs="宋体"/>
          <w:kern w:val="0"/>
        </w:rPr>
        <w:t>10kV</w:t>
      </w:r>
      <w:r>
        <w:rPr>
          <w:rFonts w:hint="eastAsia" w:cs="宋体"/>
          <w:kern w:val="0"/>
        </w:rPr>
        <w:t>架空线路根据井场分布情况架设，集油区</w:t>
      </w:r>
      <w:r>
        <w:rPr>
          <w:rFonts w:cs="宋体"/>
          <w:kern w:val="0"/>
        </w:rPr>
        <w:t>10kV</w:t>
      </w:r>
      <w:r>
        <w:rPr>
          <w:rFonts w:hint="eastAsia" w:cs="宋体"/>
          <w:kern w:val="0"/>
        </w:rPr>
        <w:t>电网采用环网供电模式，开环运行；集油区电源引自就近的</w:t>
      </w:r>
      <w:r>
        <w:rPr>
          <w:rFonts w:cs="宋体"/>
          <w:kern w:val="0"/>
        </w:rPr>
        <w:t>10kV</w:t>
      </w:r>
      <w:r>
        <w:rPr>
          <w:rFonts w:hint="eastAsia" w:cs="宋体"/>
          <w:kern w:val="0"/>
        </w:rPr>
        <w:t>线路。根据地方供电部门要求，主线导线截面</w:t>
      </w:r>
      <w:r>
        <w:rPr>
          <w:rFonts w:cs="宋体"/>
          <w:kern w:val="0"/>
        </w:rPr>
        <w:t>1</w:t>
      </w:r>
      <w:r>
        <w:rPr>
          <w:rFonts w:hint="eastAsia" w:cs="宋体"/>
          <w:kern w:val="0"/>
        </w:rPr>
        <w:t>×</w:t>
      </w:r>
      <w:r>
        <w:rPr>
          <w:rFonts w:cs="宋体"/>
          <w:kern w:val="0"/>
        </w:rPr>
        <w:t>JKLGYJ-95/20</w:t>
      </w:r>
      <w:r>
        <w:rPr>
          <w:rFonts w:hint="eastAsia" w:cs="宋体"/>
          <w:kern w:val="0"/>
        </w:rPr>
        <w:t>，在线路“</w:t>
      </w:r>
      <w:r>
        <w:rPr>
          <w:rFonts w:cs="宋体"/>
          <w:kern w:val="0"/>
        </w:rPr>
        <w:t>T</w:t>
      </w:r>
      <w:r>
        <w:rPr>
          <w:rFonts w:hint="eastAsia" w:cs="宋体"/>
          <w:kern w:val="0"/>
        </w:rPr>
        <w:t>”接处及每隔</w:t>
      </w:r>
      <w:r>
        <w:rPr>
          <w:rFonts w:cs="宋体"/>
          <w:kern w:val="0"/>
        </w:rPr>
        <w:t>2.0km</w:t>
      </w:r>
      <w:r>
        <w:rPr>
          <w:rFonts w:hint="eastAsia" w:cs="宋体"/>
          <w:kern w:val="0"/>
        </w:rPr>
        <w:t>处和联络处设柱上真空断路器（附一体式隔离开关）、避雷器、短路故障指示器组。新建杆架式变电站电源引自就近的</w:t>
      </w:r>
      <w:r>
        <w:rPr>
          <w:rFonts w:cs="宋体"/>
          <w:kern w:val="0"/>
        </w:rPr>
        <w:t>10kV</w:t>
      </w:r>
      <w:r>
        <w:rPr>
          <w:rFonts w:hint="eastAsia" w:cs="宋体"/>
          <w:kern w:val="0"/>
        </w:rPr>
        <w:t>架空线路，变压器采用</w:t>
      </w:r>
      <w:r>
        <w:rPr>
          <w:rFonts w:cs="宋体"/>
          <w:kern w:val="0"/>
        </w:rPr>
        <w:t>S13-M</w:t>
      </w:r>
      <w:r>
        <w:rPr>
          <w:rFonts w:hint="eastAsia" w:cs="宋体"/>
          <w:kern w:val="0"/>
        </w:rPr>
        <w:t>节能型，杆变低压侧设置低压无功补偿装置，补偿后，功率因数在</w:t>
      </w:r>
      <w:r>
        <w:rPr>
          <w:rFonts w:cs="宋体"/>
          <w:kern w:val="0"/>
        </w:rPr>
        <w:t>0.9</w:t>
      </w:r>
      <w:r>
        <w:rPr>
          <w:rFonts w:hint="eastAsia" w:cs="宋体"/>
          <w:kern w:val="0"/>
        </w:rPr>
        <w:t>以上，本次新建10kV的架空线路5km。</w:t>
      </w:r>
    </w:p>
    <w:p w14:paraId="395C6871">
      <w:pPr>
        <w:pStyle w:val="117"/>
        <w:adjustRightInd w:val="0"/>
        <w:snapToGrid w:val="0"/>
        <w:ind w:firstLine="480"/>
        <w:rPr>
          <w:rFonts w:hint="eastAsia" w:cs="宋体"/>
          <w:kern w:val="0"/>
        </w:rPr>
      </w:pPr>
      <w:r>
        <w:rPr>
          <w:rFonts w:hint="eastAsia" w:cs="宋体"/>
          <w:kern w:val="0"/>
        </w:rPr>
        <w:t>②给排水</w:t>
      </w:r>
    </w:p>
    <w:p w14:paraId="78F57F47">
      <w:pPr>
        <w:pStyle w:val="117"/>
        <w:adjustRightInd w:val="0"/>
        <w:snapToGrid w:val="0"/>
        <w:ind w:firstLine="480"/>
        <w:rPr>
          <w:rFonts w:hint="eastAsia" w:cs="宋体"/>
          <w:kern w:val="0"/>
        </w:rPr>
      </w:pPr>
      <w:r>
        <w:rPr>
          <w:rFonts w:hint="eastAsia" w:cs="宋体"/>
          <w:kern w:val="0"/>
        </w:rPr>
        <w:t>施工期给水主要为管道试压用水、混凝土养护用水和生活用水；运营期用水主要为井下作业用水。井区位于荒漠地区，周围无成熟的供水管网，用水由罐车从红旗农场拉运至用水场地。</w:t>
      </w:r>
    </w:p>
    <w:p w14:paraId="377B2DC9">
      <w:pPr>
        <w:pStyle w:val="117"/>
        <w:adjustRightInd w:val="0"/>
        <w:snapToGrid w:val="0"/>
        <w:ind w:firstLine="480"/>
        <w:rPr>
          <w:rFonts w:hint="eastAsia" w:cs="宋体"/>
          <w:kern w:val="0"/>
        </w:rPr>
      </w:pPr>
      <w:r>
        <w:rPr>
          <w:rFonts w:hint="eastAsia" w:cs="宋体"/>
          <w:kern w:val="0"/>
        </w:rPr>
        <w:t>施工期排水主要为混凝土养护废水、管道试压废水和生活污水，管道试压废水和混凝土养护废水的污染物主要为悬浮物，用于项目区的洒水抑尘，生活污水排至防渗收集池中，定期拉运至吉木萨尔县生活污水处理厂处理。运营期排水主要为洗井废水、井下作业废液，洗井废水和井下作业废液由罐车拉运至页岩油联合站压裂返排液处理系统处理，经处理后出水水质满足</w:t>
      </w:r>
      <w:r>
        <w:rPr>
          <w:rFonts w:hint="eastAsia"/>
          <w:szCs w:val="21"/>
          <w:lang w:val="zh-CN"/>
        </w:rPr>
        <w:t>《压裂酸化返排液处理技术规范》（</w:t>
      </w:r>
      <w:r>
        <w:rPr>
          <w:szCs w:val="21"/>
          <w:lang w:val="zh-CN"/>
        </w:rPr>
        <w:t>Q/SY02012-2016</w:t>
      </w:r>
      <w:r>
        <w:rPr>
          <w:rFonts w:hint="eastAsia"/>
          <w:szCs w:val="21"/>
          <w:lang w:val="zh-CN"/>
        </w:rPr>
        <w:t>）</w:t>
      </w:r>
      <w:r>
        <w:rPr>
          <w:rFonts w:hint="eastAsia" w:cs="宋体"/>
          <w:kern w:val="0"/>
        </w:rPr>
        <w:t>中相关标准后，用于压裂液复配，不外排。</w:t>
      </w:r>
    </w:p>
    <w:p w14:paraId="7CB67BC1">
      <w:pPr>
        <w:pStyle w:val="117"/>
        <w:adjustRightInd w:val="0"/>
        <w:snapToGrid w:val="0"/>
        <w:ind w:firstLine="480"/>
        <w:rPr>
          <w:rFonts w:hint="eastAsia" w:cs="宋体"/>
          <w:kern w:val="0"/>
        </w:rPr>
      </w:pPr>
      <w:r>
        <w:rPr>
          <w:rFonts w:hint="eastAsia" w:cs="宋体"/>
          <w:kern w:val="0"/>
        </w:rPr>
        <w:t>③仪表自动化</w:t>
      </w:r>
    </w:p>
    <w:p w14:paraId="24391C1E">
      <w:pPr>
        <w:pStyle w:val="117"/>
        <w:adjustRightInd w:val="0"/>
        <w:snapToGrid w:val="0"/>
        <w:ind w:firstLine="480"/>
        <w:rPr>
          <w:rFonts w:hint="eastAsia" w:cs="宋体"/>
          <w:kern w:val="0"/>
        </w:rPr>
      </w:pPr>
      <w:r>
        <w:rPr>
          <w:rFonts w:hint="eastAsia" w:cs="宋体"/>
          <w:kern w:val="0"/>
        </w:rPr>
        <w:t>新增采油井井口仪表采用</w:t>
      </w:r>
      <w:r>
        <w:rPr>
          <w:rFonts w:cs="宋体"/>
          <w:kern w:val="0"/>
        </w:rPr>
        <w:t xml:space="preserve">ZigBee Pro </w:t>
      </w:r>
      <w:r>
        <w:rPr>
          <w:rFonts w:hint="eastAsia" w:cs="宋体"/>
          <w:kern w:val="0"/>
        </w:rPr>
        <w:t>无线仪表，井场设置</w:t>
      </w:r>
      <w:r>
        <w:rPr>
          <w:rFonts w:cs="宋体"/>
          <w:kern w:val="0"/>
        </w:rPr>
        <w:t>RTU</w:t>
      </w:r>
      <w:r>
        <w:rPr>
          <w:rFonts w:hint="eastAsia" w:cs="宋体"/>
          <w:kern w:val="0"/>
        </w:rPr>
        <w:t>和</w:t>
      </w:r>
      <w:r>
        <w:rPr>
          <w:rFonts w:cs="宋体"/>
          <w:kern w:val="0"/>
        </w:rPr>
        <w:t>5.8G</w:t>
      </w:r>
      <w:r>
        <w:rPr>
          <w:rFonts w:hint="eastAsia" w:cs="宋体"/>
          <w:kern w:val="0"/>
        </w:rPr>
        <w:t>无线网桥从站；</w:t>
      </w:r>
      <w:r>
        <w:rPr>
          <w:rFonts w:cs="宋体"/>
          <w:kern w:val="0"/>
        </w:rPr>
        <w:t>RTU</w:t>
      </w:r>
      <w:r>
        <w:rPr>
          <w:rFonts w:hint="eastAsia" w:cs="宋体"/>
          <w:kern w:val="0"/>
        </w:rPr>
        <w:t>及三相电参模块安装在物联网抽油机电控箱内弱电仓预留位置。井场数据经</w:t>
      </w:r>
      <w:r>
        <w:rPr>
          <w:rFonts w:cs="宋体"/>
          <w:kern w:val="0"/>
        </w:rPr>
        <w:t>RTU</w:t>
      </w:r>
      <w:r>
        <w:rPr>
          <w:rFonts w:hint="eastAsia" w:cs="宋体"/>
          <w:kern w:val="0"/>
        </w:rPr>
        <w:t>内配置的</w:t>
      </w:r>
      <w:r>
        <w:rPr>
          <w:rFonts w:cs="宋体"/>
          <w:kern w:val="0"/>
        </w:rPr>
        <w:t xml:space="preserve">Zigbee Pro </w:t>
      </w:r>
      <w:r>
        <w:rPr>
          <w:rFonts w:hint="eastAsia" w:cs="宋体"/>
          <w:kern w:val="0"/>
        </w:rPr>
        <w:t>数据采集模块汇聚后通过新建</w:t>
      </w:r>
      <w:r>
        <w:rPr>
          <w:rFonts w:cs="宋体"/>
          <w:kern w:val="0"/>
        </w:rPr>
        <w:t>5.8G</w:t>
      </w:r>
      <w:r>
        <w:rPr>
          <w:rFonts w:hint="eastAsia" w:cs="宋体"/>
          <w:kern w:val="0"/>
        </w:rPr>
        <w:t>无线网桥从站上传至吉庆油田作业区生产监控平台进行集中监控、管理。计量站设</w:t>
      </w:r>
      <w:r>
        <w:rPr>
          <w:rFonts w:cs="宋体"/>
          <w:kern w:val="0"/>
        </w:rPr>
        <w:t>PCL</w:t>
      </w:r>
      <w:r>
        <w:rPr>
          <w:rFonts w:hint="eastAsia" w:cs="宋体"/>
          <w:kern w:val="0"/>
        </w:rPr>
        <w:t>控制箱，通过光缆接入油区</w:t>
      </w:r>
      <w:r>
        <w:rPr>
          <w:rFonts w:cs="宋体"/>
          <w:kern w:val="0"/>
        </w:rPr>
        <w:t>GPON</w:t>
      </w:r>
      <w:r>
        <w:rPr>
          <w:rFonts w:hint="eastAsia" w:cs="宋体"/>
          <w:kern w:val="0"/>
        </w:rPr>
        <w:t>数据传输网络，最终传至吉庆油田作业区生产调度中心已建</w:t>
      </w:r>
      <w:r>
        <w:rPr>
          <w:rFonts w:cs="宋体"/>
          <w:kern w:val="0"/>
        </w:rPr>
        <w:t>SCADA</w:t>
      </w:r>
      <w:r>
        <w:rPr>
          <w:rFonts w:hint="eastAsia" w:cs="宋体"/>
          <w:kern w:val="0"/>
        </w:rPr>
        <w:t>系统进行集中监控。</w:t>
      </w:r>
    </w:p>
    <w:p w14:paraId="5B34672F">
      <w:pPr>
        <w:pStyle w:val="117"/>
        <w:adjustRightInd w:val="0"/>
        <w:snapToGrid w:val="0"/>
        <w:ind w:firstLine="480"/>
        <w:rPr>
          <w:rFonts w:hint="eastAsia" w:cs="宋体"/>
          <w:kern w:val="0"/>
        </w:rPr>
      </w:pPr>
      <w:r>
        <w:rPr>
          <w:rFonts w:hint="eastAsia" w:cs="宋体"/>
          <w:kern w:val="0"/>
        </w:rPr>
        <w:t>④消防</w:t>
      </w:r>
    </w:p>
    <w:p w14:paraId="6E5741C3">
      <w:pPr>
        <w:pStyle w:val="117"/>
        <w:adjustRightInd w:val="0"/>
        <w:snapToGrid w:val="0"/>
        <w:ind w:firstLine="480"/>
        <w:rPr>
          <w:rFonts w:hint="eastAsia" w:cs="宋体"/>
          <w:kern w:val="0"/>
        </w:rPr>
      </w:pPr>
      <w:r>
        <w:rPr>
          <w:rFonts w:hint="eastAsia" w:cs="宋体"/>
          <w:kern w:val="0"/>
        </w:rPr>
        <w:t>平台计量站设置</w:t>
      </w:r>
      <w:r>
        <w:rPr>
          <w:rFonts w:cs="宋体"/>
          <w:kern w:val="0"/>
        </w:rPr>
        <w:t>4</w:t>
      </w:r>
      <w:r>
        <w:rPr>
          <w:rFonts w:hint="eastAsia" w:cs="宋体"/>
          <w:kern w:val="0"/>
        </w:rPr>
        <w:t>具</w:t>
      </w:r>
      <w:r>
        <w:rPr>
          <w:rFonts w:cs="宋体"/>
          <w:kern w:val="0"/>
        </w:rPr>
        <w:t>MF/ABC8</w:t>
      </w:r>
      <w:r>
        <w:rPr>
          <w:rFonts w:hint="eastAsia" w:cs="宋体"/>
          <w:kern w:val="0"/>
        </w:rPr>
        <w:t>手提式磷酸铵盐干粉灭火器、</w:t>
      </w:r>
      <w:r>
        <w:rPr>
          <w:rFonts w:cs="宋体"/>
          <w:kern w:val="0"/>
        </w:rPr>
        <w:t>2</w:t>
      </w:r>
      <w:r>
        <w:rPr>
          <w:rFonts w:hint="eastAsia" w:cs="宋体"/>
          <w:kern w:val="0"/>
        </w:rPr>
        <w:t>具</w:t>
      </w:r>
      <w:r>
        <w:rPr>
          <w:rFonts w:cs="宋体"/>
          <w:kern w:val="0"/>
        </w:rPr>
        <w:t>MT7</w:t>
      </w:r>
      <w:r>
        <w:rPr>
          <w:rFonts w:hint="eastAsia" w:cs="宋体"/>
          <w:kern w:val="0"/>
        </w:rPr>
        <w:t>手提式二氧化碳灭火器。</w:t>
      </w:r>
    </w:p>
    <w:p w14:paraId="206CA8D3">
      <w:pPr>
        <w:pStyle w:val="117"/>
        <w:adjustRightInd w:val="0"/>
        <w:snapToGrid w:val="0"/>
        <w:ind w:firstLine="480"/>
        <w:rPr>
          <w:rFonts w:hint="eastAsia" w:cs="宋体"/>
          <w:kern w:val="0"/>
        </w:rPr>
      </w:pPr>
      <w:r>
        <w:rPr>
          <w:rFonts w:hint="eastAsia" w:cs="宋体"/>
          <w:kern w:val="0"/>
        </w:rPr>
        <w:t>⑤道路</w:t>
      </w:r>
    </w:p>
    <w:p w14:paraId="1E7175D4">
      <w:pPr>
        <w:pStyle w:val="117"/>
        <w:adjustRightInd w:val="0"/>
        <w:snapToGrid w:val="0"/>
        <w:ind w:firstLine="480"/>
        <w:rPr>
          <w:rFonts w:hint="eastAsia" w:cs="宋体"/>
          <w:kern w:val="0"/>
        </w:rPr>
      </w:pPr>
      <w:r>
        <w:rPr>
          <w:rFonts w:hint="eastAsia" w:cs="宋体"/>
          <w:kern w:val="0"/>
        </w:rPr>
        <w:t>新建200m探临道路，路宽6.5m，路面结构采用</w:t>
      </w:r>
      <w:r>
        <w:rPr>
          <w:rFonts w:cs="宋体"/>
          <w:kern w:val="0"/>
        </w:rPr>
        <w:t>25cm</w:t>
      </w:r>
      <w:r>
        <w:rPr>
          <w:rFonts w:hint="eastAsia" w:cs="宋体"/>
          <w:kern w:val="0"/>
        </w:rPr>
        <w:t>厚天然砂砾，砂石料自周边料场购买。</w:t>
      </w:r>
    </w:p>
    <w:p w14:paraId="751818B0">
      <w:pPr>
        <w:pStyle w:val="117"/>
        <w:adjustRightInd w:val="0"/>
        <w:snapToGrid w:val="0"/>
        <w:ind w:firstLine="480"/>
        <w:rPr>
          <w:rFonts w:hint="eastAsia" w:cs="宋体"/>
          <w:kern w:val="0"/>
        </w:rPr>
      </w:pPr>
      <w:bookmarkStart w:id="220" w:name="_Ref494273744"/>
      <w:bookmarkStart w:id="221" w:name="_Hlk33456988"/>
      <w:r>
        <w:rPr>
          <w:rFonts w:hint="eastAsia" w:cs="宋体"/>
          <w:kern w:val="0"/>
        </w:rPr>
        <w:t>（3）环保工程</w:t>
      </w:r>
    </w:p>
    <w:p w14:paraId="38781212">
      <w:pPr>
        <w:pStyle w:val="117"/>
        <w:adjustRightInd w:val="0"/>
        <w:snapToGrid w:val="0"/>
        <w:ind w:firstLine="480"/>
        <w:rPr>
          <w:rFonts w:hint="eastAsia" w:cs="宋体"/>
          <w:kern w:val="0"/>
        </w:rPr>
      </w:pPr>
      <w:r>
        <w:rPr>
          <w:rFonts w:hint="eastAsia" w:cs="宋体"/>
          <w:kern w:val="0"/>
        </w:rPr>
        <w:t>环保工程主要为施工期材料及临时土方采用防尘布覆盖，逸散性材料运输采用苫布遮盖；运营期井口设置除硫加药装置；井场内投捞式电潜螺杆泵设置的基础减振，井下作业时各机泵设置的基础减振。井下作业时带罐作业；井场和计量站内的防渗措施以及井下作业过程中铺设的防渗材料；安装防喷器和井控装置，配备的消防器材。</w:t>
      </w:r>
    </w:p>
    <w:p w14:paraId="0719E344">
      <w:pPr>
        <w:pStyle w:val="191"/>
        <w:ind w:firstLine="480"/>
        <w:rPr>
          <w:rFonts w:hint="eastAsia"/>
        </w:rPr>
      </w:pPr>
      <w:bookmarkStart w:id="222" w:name="_Hlk147581420"/>
      <w:r>
        <w:rPr>
          <w:rFonts w:hint="eastAsia"/>
        </w:rPr>
        <w:t>（4）依托工程</w:t>
      </w:r>
    </w:p>
    <w:p w14:paraId="3C47AB9D">
      <w:pPr>
        <w:pStyle w:val="191"/>
        <w:ind w:firstLine="480"/>
        <w:rPr>
          <w:rFonts w:hint="eastAsia"/>
        </w:rPr>
      </w:pPr>
      <w:r>
        <w:rPr>
          <w:rFonts w:hint="eastAsia"/>
        </w:rPr>
        <w:t>原油依托页岩油联合站原油处理系统处理，原油处理系统分离出的采出水、洗井废水和井下作业废液依托页岩油联合站压裂返排液处理系统处理，伴生气依托页岩油联合站内的伴生气处理装置处理，处理合格后的净化油依托现有净化油外输系统外输至北三台油库；清罐底泥、废润滑油、废润滑油油桶、含油废抹布劳保用品和沾油废防渗材料交由有相应危险废物处理资质的单位回收处置，生活污水依托吉木萨尔县生活污水处理厂处理，生活垃圾依托吉木萨尔县生活垃圾填埋场处理。各依托工程环保手续见表3.2-14，依托可行性分析如下：</w:t>
      </w:r>
      <w:bookmarkStart w:id="223" w:name="_Ref160048321"/>
    </w:p>
    <w:p w14:paraId="06D4ADCB">
      <w:pPr>
        <w:pStyle w:val="15"/>
        <w:rPr>
          <w:rFonts w:hint="eastAsia"/>
        </w:rPr>
      </w:pPr>
      <w:r>
        <w:t>表</w:t>
      </w:r>
      <w:bookmarkEnd w:id="223"/>
      <w:r>
        <w:rPr>
          <w:rFonts w:hint="eastAsia"/>
        </w:rPr>
        <w:t>3.2-14</w:t>
      </w:r>
      <w:r>
        <w:t xml:space="preserve">  </w:t>
      </w:r>
      <w:r>
        <w:rPr>
          <w:rFonts w:hint="eastAsia"/>
        </w:rPr>
        <w:t>项目依托工程环保手续履行情况一览表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43"/>
        <w:gridCol w:w="3157"/>
        <w:gridCol w:w="2871"/>
        <w:gridCol w:w="1667"/>
      </w:tblGrid>
      <w:tr w14:paraId="341C3D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tcBorders>
              <w:top w:val="single" w:color="auto" w:sz="12" w:space="0"/>
              <w:left w:val="nil"/>
              <w:bottom w:val="single" w:color="auto" w:sz="4" w:space="0"/>
              <w:right w:val="single" w:color="auto" w:sz="4" w:space="0"/>
            </w:tcBorders>
            <w:vAlign w:val="center"/>
          </w:tcPr>
          <w:p w14:paraId="281BF9F2">
            <w:pPr>
              <w:pStyle w:val="278"/>
              <w:spacing w:line="300" w:lineRule="exact"/>
              <w:rPr>
                <w:rFonts w:hint="eastAsia"/>
              </w:rPr>
            </w:pPr>
            <w:r>
              <w:rPr>
                <w:rFonts w:hint="eastAsia"/>
              </w:rPr>
              <w:t>类别</w:t>
            </w:r>
          </w:p>
        </w:tc>
        <w:tc>
          <w:tcPr>
            <w:tcW w:w="1786" w:type="pc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14:paraId="54509167">
            <w:pPr>
              <w:pStyle w:val="278"/>
              <w:spacing w:line="300" w:lineRule="exact"/>
              <w:rPr>
                <w:rFonts w:hint="eastAsia"/>
              </w:rPr>
            </w:pPr>
            <w:r>
              <w:rPr>
                <w:rFonts w:hint="eastAsia"/>
              </w:rPr>
              <w:t>环评文件名称</w:t>
            </w:r>
          </w:p>
        </w:tc>
        <w:tc>
          <w:tcPr>
            <w:tcW w:w="1624" w:type="pc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14:paraId="31E70A1D">
            <w:pPr>
              <w:pStyle w:val="278"/>
              <w:spacing w:line="300" w:lineRule="exact"/>
              <w:rPr>
                <w:rFonts w:hint="eastAsia"/>
              </w:rPr>
            </w:pPr>
            <w:r>
              <w:rPr>
                <w:rFonts w:hint="eastAsia"/>
              </w:rPr>
              <w:t>环评批复机关、文号及时间</w:t>
            </w:r>
          </w:p>
        </w:tc>
        <w:tc>
          <w:tcPr>
            <w:tcW w:w="942" w:type="pct"/>
            <w:tcBorders>
              <w:top w:val="single" w:color="auto" w:sz="12" w:space="0"/>
              <w:left w:val="single" w:color="auto" w:sz="4" w:space="0"/>
              <w:bottom w:val="single" w:color="auto" w:sz="4" w:space="0"/>
              <w:right w:val="nil"/>
            </w:tcBorders>
            <w:tcMar>
              <w:top w:w="0" w:type="dxa"/>
              <w:left w:w="0" w:type="dxa"/>
              <w:bottom w:w="0" w:type="dxa"/>
              <w:right w:w="0" w:type="dxa"/>
            </w:tcMar>
            <w:vAlign w:val="center"/>
          </w:tcPr>
          <w:p w14:paraId="077BD161">
            <w:pPr>
              <w:pStyle w:val="278"/>
              <w:spacing w:line="300" w:lineRule="exact"/>
              <w:rPr>
                <w:rFonts w:hint="eastAsia"/>
              </w:rPr>
            </w:pPr>
            <w:r>
              <w:rPr>
                <w:rFonts w:hint="eastAsia"/>
              </w:rPr>
              <w:t>验收批复机关、文号及时间</w:t>
            </w:r>
          </w:p>
        </w:tc>
      </w:tr>
      <w:tr w14:paraId="44F86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vMerge w:val="restart"/>
            <w:tcBorders>
              <w:top w:val="single" w:color="auto" w:sz="4" w:space="0"/>
              <w:left w:val="nil"/>
              <w:bottom w:val="single" w:color="auto" w:sz="4" w:space="0"/>
              <w:right w:val="single" w:color="auto" w:sz="4" w:space="0"/>
            </w:tcBorders>
            <w:vAlign w:val="center"/>
          </w:tcPr>
          <w:p w14:paraId="3A78A09F">
            <w:pPr>
              <w:pStyle w:val="278"/>
              <w:spacing w:line="300" w:lineRule="exact"/>
              <w:rPr>
                <w:rFonts w:hint="eastAsia"/>
              </w:rPr>
            </w:pPr>
            <w:r>
              <w:rPr>
                <w:rFonts w:hint="eastAsia"/>
              </w:rPr>
              <w:t>原油、伴生气、采出水、洗井废水和井下作业废液</w:t>
            </w: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40B6D95D">
            <w:pPr>
              <w:pStyle w:val="278"/>
              <w:spacing w:line="300" w:lineRule="exact"/>
              <w:rPr>
                <w:rFonts w:hint="eastAsia"/>
              </w:rPr>
            </w:pPr>
            <w:r>
              <w:rPr>
                <w:rFonts w:hint="eastAsia"/>
              </w:rPr>
              <w:t>吉木萨尔凹陷芦草沟组油藏吉305-吉17-吉37井区联合站建设工程重大变更环境影响报告表</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41BDAA50">
            <w:pPr>
              <w:pStyle w:val="278"/>
              <w:spacing w:line="300" w:lineRule="exact"/>
              <w:rPr>
                <w:rFonts w:hint="eastAsia"/>
              </w:rPr>
            </w:pPr>
            <w:r>
              <w:rPr>
                <w:rFonts w:hint="eastAsia"/>
              </w:rPr>
              <w:t>第六师五家渠市生态环境局</w:t>
            </w:r>
          </w:p>
          <w:p w14:paraId="243B9DA0">
            <w:pPr>
              <w:pStyle w:val="278"/>
              <w:spacing w:line="300" w:lineRule="exact"/>
              <w:rPr>
                <w:rFonts w:hint="eastAsia"/>
              </w:rPr>
            </w:pPr>
            <w:r>
              <w:rPr>
                <w:rFonts w:hint="eastAsia"/>
              </w:rPr>
              <w:t>市环监函</w:t>
            </w:r>
            <w:bookmarkStart w:id="224" w:name="OLE_LINK1"/>
            <w:r>
              <w:rPr>
                <w:rFonts w:hint="eastAsia"/>
              </w:rPr>
              <w:t>〔2019〕38</w:t>
            </w:r>
            <w:bookmarkEnd w:id="224"/>
            <w:r>
              <w:rPr>
                <w:rFonts w:hint="eastAsia"/>
              </w:rPr>
              <w:t>号</w:t>
            </w:r>
          </w:p>
          <w:p w14:paraId="1E1ABF72">
            <w:pPr>
              <w:pStyle w:val="278"/>
              <w:spacing w:line="300" w:lineRule="exact"/>
              <w:rPr>
                <w:rFonts w:hint="eastAsia"/>
              </w:rPr>
            </w:pPr>
            <w:r>
              <w:rPr>
                <w:rFonts w:hint="eastAsia"/>
              </w:rPr>
              <w:t>2019年06月17日</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032F345C">
            <w:pPr>
              <w:pStyle w:val="278"/>
              <w:spacing w:line="300" w:lineRule="exact"/>
              <w:rPr>
                <w:rFonts w:hint="eastAsia"/>
              </w:rPr>
            </w:pPr>
            <w:r>
              <w:rPr>
                <w:rFonts w:hint="eastAsia"/>
              </w:rPr>
              <w:t>2021年10月28日通过了企业自主竣工环境保护验收</w:t>
            </w:r>
          </w:p>
        </w:tc>
      </w:tr>
      <w:tr w14:paraId="0A323E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tcBorders>
              <w:top w:val="single" w:color="auto" w:sz="4" w:space="0"/>
              <w:left w:val="nil"/>
              <w:bottom w:val="single" w:color="auto" w:sz="4" w:space="0"/>
              <w:right w:val="single" w:color="auto" w:sz="4" w:space="0"/>
            </w:tcBorders>
            <w:vAlign w:val="center"/>
          </w:tcPr>
          <w:p w14:paraId="0976148A">
            <w:pPr>
              <w:widowControl/>
              <w:jc w:val="left"/>
              <w:rPr>
                <w:rFonts w:hint="eastAsia" w:ascii="宋体" w:hAnsi="宋体"/>
                <w:kern w:val="0"/>
                <w:szCs w:val="21"/>
              </w:rPr>
            </w:pP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11FEB4F9">
            <w:pPr>
              <w:pStyle w:val="278"/>
              <w:spacing w:line="300" w:lineRule="exact"/>
              <w:rPr>
                <w:rFonts w:hint="eastAsia"/>
              </w:rPr>
            </w:pPr>
            <w:r>
              <w:rPr>
                <w:rFonts w:hint="eastAsia"/>
              </w:rPr>
              <w:t>新疆油田昌吉油田吉305-吉17井区芦草沟组页岩油产能建设项目（页岩油联合站二期扩建工程）</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37168D4">
            <w:pPr>
              <w:pStyle w:val="278"/>
              <w:spacing w:line="300" w:lineRule="exact"/>
              <w:rPr>
                <w:rFonts w:hint="eastAsia"/>
              </w:rPr>
            </w:pPr>
            <w:r>
              <w:rPr>
                <w:rFonts w:hint="eastAsia"/>
              </w:rPr>
              <w:t>新疆生产建设兵团生态环境局</w:t>
            </w:r>
          </w:p>
          <w:p w14:paraId="60CF8BF1">
            <w:pPr>
              <w:pStyle w:val="278"/>
              <w:spacing w:line="300" w:lineRule="exact"/>
              <w:rPr>
                <w:rFonts w:hint="eastAsia"/>
              </w:rPr>
            </w:pPr>
            <w:r>
              <w:rPr>
                <w:rFonts w:hint="eastAsia"/>
              </w:rPr>
              <w:t>兵环审〔2024〕16号</w:t>
            </w:r>
          </w:p>
          <w:p w14:paraId="1538915E">
            <w:pPr>
              <w:pStyle w:val="278"/>
              <w:spacing w:line="300" w:lineRule="exact"/>
              <w:rPr>
                <w:rFonts w:hint="eastAsia"/>
              </w:rPr>
            </w:pPr>
            <w:r>
              <w:rPr>
                <w:rFonts w:hint="eastAsia"/>
              </w:rPr>
              <w:t>2024年06月14日</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362D7D72">
            <w:pPr>
              <w:pStyle w:val="278"/>
              <w:spacing w:line="300" w:lineRule="exact"/>
              <w:rPr>
                <w:rFonts w:hint="eastAsia"/>
              </w:rPr>
            </w:pPr>
            <w:r>
              <w:rPr>
                <w:rFonts w:hint="eastAsia"/>
              </w:rPr>
              <w:t>正在建设</w:t>
            </w:r>
          </w:p>
        </w:tc>
      </w:tr>
      <w:tr w14:paraId="235F0E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tcBorders>
              <w:top w:val="single" w:color="auto" w:sz="4" w:space="0"/>
              <w:left w:val="nil"/>
              <w:bottom w:val="single" w:color="auto" w:sz="4" w:space="0"/>
              <w:right w:val="single" w:color="auto" w:sz="4" w:space="0"/>
            </w:tcBorders>
            <w:vAlign w:val="center"/>
          </w:tcPr>
          <w:p w14:paraId="4482748D">
            <w:pPr>
              <w:pStyle w:val="278"/>
              <w:spacing w:line="300" w:lineRule="exact"/>
              <w:rPr>
                <w:rFonts w:hint="eastAsia"/>
              </w:rPr>
            </w:pPr>
            <w:r>
              <w:rPr>
                <w:rFonts w:hint="eastAsia"/>
              </w:rPr>
              <w:t>净化油外输系统</w:t>
            </w: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5BBE0F2D">
            <w:pPr>
              <w:pStyle w:val="278"/>
              <w:spacing w:line="300" w:lineRule="exact"/>
              <w:jc w:val="both"/>
              <w:rPr>
                <w:rFonts w:hint="eastAsia"/>
              </w:rPr>
            </w:pPr>
            <w:r>
              <w:rPr>
                <w:rFonts w:hint="eastAsia"/>
              </w:rPr>
              <w:t>北三台油库扩建工程及吉305-吉17-吉37井区联合站至北三台油库输油管线（吉木萨尔县、阜康市境内）建设项目</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255915E7">
            <w:pPr>
              <w:pStyle w:val="278"/>
              <w:spacing w:line="300" w:lineRule="exact"/>
              <w:rPr>
                <w:rFonts w:hint="eastAsia"/>
              </w:rPr>
            </w:pPr>
            <w:r>
              <w:rPr>
                <w:rFonts w:hint="eastAsia"/>
              </w:rPr>
              <w:t>昌吉回族自治州生态环境局</w:t>
            </w:r>
          </w:p>
          <w:p w14:paraId="65AA0F9D">
            <w:pPr>
              <w:pStyle w:val="278"/>
              <w:spacing w:line="300" w:lineRule="exact"/>
              <w:rPr>
                <w:rFonts w:hint="eastAsia"/>
              </w:rPr>
            </w:pPr>
            <w:r>
              <w:rPr>
                <w:rFonts w:hint="eastAsia"/>
              </w:rPr>
              <w:t>昌州环评〔2019〕32号</w:t>
            </w:r>
          </w:p>
          <w:p w14:paraId="4825EBED">
            <w:pPr>
              <w:pStyle w:val="278"/>
              <w:spacing w:line="300" w:lineRule="exact"/>
              <w:rPr>
                <w:rFonts w:hint="eastAsia"/>
              </w:rPr>
            </w:pPr>
            <w:r>
              <w:rPr>
                <w:rFonts w:hint="eastAsia"/>
              </w:rPr>
              <w:t>2019年5月7日</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71D8C088">
            <w:pPr>
              <w:pStyle w:val="278"/>
              <w:spacing w:line="300" w:lineRule="exact"/>
              <w:rPr>
                <w:rFonts w:hint="eastAsia"/>
              </w:rPr>
            </w:pPr>
            <w:r>
              <w:rPr>
                <w:rFonts w:hint="eastAsia"/>
              </w:rPr>
              <w:t>2021年10月27日通过了企业自主竣工环境保护验收</w:t>
            </w:r>
          </w:p>
        </w:tc>
      </w:tr>
      <w:tr w14:paraId="1F5B6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tcBorders>
              <w:top w:val="single" w:color="auto" w:sz="4" w:space="0"/>
              <w:left w:val="nil"/>
              <w:bottom w:val="single" w:color="auto" w:sz="4" w:space="0"/>
              <w:right w:val="single" w:color="auto" w:sz="4" w:space="0"/>
            </w:tcBorders>
            <w:vAlign w:val="center"/>
          </w:tcPr>
          <w:p w14:paraId="10C1F037">
            <w:pPr>
              <w:pStyle w:val="278"/>
              <w:spacing w:line="300" w:lineRule="exact"/>
              <w:rPr>
                <w:rFonts w:hint="eastAsia"/>
              </w:rPr>
            </w:pPr>
            <w:r>
              <w:rPr>
                <w:rFonts w:hint="eastAsia"/>
              </w:rPr>
              <w:t>吉祥联合站危险废物临时贮存点</w:t>
            </w: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B2935C2">
            <w:pPr>
              <w:pStyle w:val="278"/>
              <w:spacing w:line="300" w:lineRule="exact"/>
              <w:rPr>
                <w:rFonts w:hint="eastAsia"/>
              </w:rPr>
            </w:pPr>
            <w:r>
              <w:rPr>
                <w:rFonts w:hint="eastAsia"/>
              </w:rPr>
              <w:t>昌吉油田吉7井梧桐沟组中深层稠油油藏常规水驱开发建设项目</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7005420">
            <w:pPr>
              <w:pStyle w:val="278"/>
              <w:spacing w:line="300" w:lineRule="exact"/>
              <w:rPr>
                <w:rFonts w:hint="eastAsia"/>
              </w:rPr>
            </w:pPr>
            <w:r>
              <w:rPr>
                <w:rFonts w:hint="eastAsia"/>
              </w:rPr>
              <w:t>原自治区环境保护厅</w:t>
            </w:r>
          </w:p>
          <w:p w14:paraId="62A84B2E">
            <w:pPr>
              <w:pStyle w:val="278"/>
              <w:spacing w:line="300" w:lineRule="exact"/>
              <w:rPr>
                <w:rFonts w:hint="eastAsia"/>
              </w:rPr>
            </w:pPr>
            <w:r>
              <w:rPr>
                <w:rFonts w:hint="eastAsia"/>
              </w:rPr>
              <w:t>新环函〔2014〕918号</w:t>
            </w:r>
          </w:p>
          <w:p w14:paraId="6D5911C7">
            <w:pPr>
              <w:pStyle w:val="278"/>
              <w:spacing w:line="300" w:lineRule="exact"/>
              <w:rPr>
                <w:rFonts w:hint="eastAsia"/>
              </w:rPr>
            </w:pPr>
            <w:r>
              <w:rPr>
                <w:rFonts w:hint="eastAsia"/>
              </w:rPr>
              <w:t>2014年07月31日</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0D0BF8FB">
            <w:pPr>
              <w:pStyle w:val="278"/>
              <w:spacing w:line="300" w:lineRule="exact"/>
              <w:rPr>
                <w:rFonts w:hint="eastAsia"/>
              </w:rPr>
            </w:pPr>
            <w:r>
              <w:rPr>
                <w:rFonts w:hint="eastAsia"/>
              </w:rPr>
              <w:t>2018年8月19日通过了企业自主竣工环境保护验收</w:t>
            </w:r>
          </w:p>
        </w:tc>
      </w:tr>
      <w:tr w14:paraId="2BF9CB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tcBorders>
              <w:top w:val="single" w:color="auto" w:sz="4" w:space="0"/>
              <w:left w:val="nil"/>
              <w:bottom w:val="single" w:color="auto" w:sz="4" w:space="0"/>
              <w:right w:val="single" w:color="auto" w:sz="4" w:space="0"/>
            </w:tcBorders>
            <w:vAlign w:val="center"/>
          </w:tcPr>
          <w:p w14:paraId="1ECCC6E7">
            <w:pPr>
              <w:pStyle w:val="278"/>
              <w:spacing w:line="300" w:lineRule="exact"/>
              <w:rPr>
                <w:rFonts w:hint="eastAsia"/>
              </w:rPr>
            </w:pPr>
            <w:r>
              <w:rPr>
                <w:rFonts w:hint="eastAsia"/>
              </w:rPr>
              <w:t>生活污水</w:t>
            </w: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30F74F48">
            <w:pPr>
              <w:pStyle w:val="278"/>
              <w:spacing w:line="300" w:lineRule="exact"/>
              <w:rPr>
                <w:rFonts w:hint="eastAsia"/>
              </w:rPr>
            </w:pPr>
            <w:r>
              <w:rPr>
                <w:rFonts w:hint="eastAsia"/>
              </w:rPr>
              <w:t>吉木萨尔县污水处理厂工程</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15FC9477">
            <w:pPr>
              <w:pStyle w:val="278"/>
              <w:spacing w:line="300" w:lineRule="exact"/>
              <w:rPr>
                <w:rFonts w:hint="eastAsia" w:cs="宋体"/>
              </w:rPr>
            </w:pPr>
            <w:r>
              <w:rPr>
                <w:rFonts w:hint="eastAsia"/>
              </w:rPr>
              <w:t>原</w:t>
            </w:r>
            <w:r>
              <w:rPr>
                <w:rFonts w:hint="eastAsia" w:cs="宋体"/>
              </w:rPr>
              <w:t>昌吉回族自治州环境保护局</w:t>
            </w:r>
          </w:p>
          <w:p w14:paraId="15D84A3D">
            <w:pPr>
              <w:pStyle w:val="278"/>
              <w:spacing w:line="300" w:lineRule="exact"/>
              <w:rPr>
                <w:rFonts w:hint="eastAsia" w:cs="宋体"/>
              </w:rPr>
            </w:pPr>
            <w:r>
              <w:rPr>
                <w:rFonts w:hint="eastAsia" w:cs="宋体"/>
              </w:rPr>
              <w:t>昌州环评〔2015〕48号</w:t>
            </w:r>
          </w:p>
          <w:p w14:paraId="1AA93BF3">
            <w:pPr>
              <w:pStyle w:val="278"/>
              <w:spacing w:line="300" w:lineRule="exact"/>
              <w:rPr>
                <w:rFonts w:hint="eastAsia"/>
              </w:rPr>
            </w:pPr>
            <w:r>
              <w:rPr>
                <w:rFonts w:hint="eastAsia" w:cs="宋体"/>
              </w:rPr>
              <w:t>2015年6月1日</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696D94FE">
            <w:pPr>
              <w:pStyle w:val="278"/>
              <w:spacing w:line="300" w:lineRule="exact"/>
              <w:rPr>
                <w:rFonts w:hint="eastAsia"/>
              </w:rPr>
            </w:pPr>
            <w:r>
              <w:rPr>
                <w:rFonts w:hint="eastAsia" w:cs="宋体"/>
              </w:rPr>
              <w:t>2018年9月14日通过了竣工环保验收。</w:t>
            </w:r>
          </w:p>
        </w:tc>
      </w:tr>
      <w:tr w14:paraId="561A2E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7" w:type="pct"/>
            <w:tcBorders>
              <w:top w:val="single" w:color="auto" w:sz="4" w:space="0"/>
              <w:left w:val="nil"/>
              <w:bottom w:val="single" w:color="auto" w:sz="4" w:space="0"/>
              <w:right w:val="single" w:color="auto" w:sz="4" w:space="0"/>
            </w:tcBorders>
            <w:vAlign w:val="center"/>
          </w:tcPr>
          <w:p w14:paraId="5E3CE5C2">
            <w:pPr>
              <w:pStyle w:val="278"/>
              <w:spacing w:line="300" w:lineRule="exact"/>
              <w:rPr>
                <w:rFonts w:hint="eastAsia"/>
              </w:rPr>
            </w:pPr>
            <w:r>
              <w:rPr>
                <w:rFonts w:hint="eastAsia"/>
              </w:rPr>
              <w:t>生活垃圾</w:t>
            </w:r>
          </w:p>
        </w:tc>
        <w:tc>
          <w:tcPr>
            <w:tcW w:w="178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61473225">
            <w:pPr>
              <w:pStyle w:val="278"/>
              <w:spacing w:line="300" w:lineRule="exact"/>
              <w:rPr>
                <w:rFonts w:hint="eastAsia"/>
              </w:rPr>
            </w:pPr>
            <w:r>
              <w:rPr>
                <w:rFonts w:hint="eastAsia" w:cs="宋体"/>
              </w:rPr>
              <w:t>吉木萨尔县生活垃圾处理工程</w:t>
            </w:r>
          </w:p>
        </w:tc>
        <w:tc>
          <w:tcPr>
            <w:tcW w:w="1624"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31C744A9">
            <w:pPr>
              <w:pStyle w:val="278"/>
              <w:spacing w:line="300" w:lineRule="exact"/>
              <w:rPr>
                <w:rFonts w:hint="eastAsia" w:cs="宋体"/>
              </w:rPr>
            </w:pPr>
            <w:r>
              <w:rPr>
                <w:rFonts w:hint="eastAsia" w:cs="宋体"/>
              </w:rPr>
              <w:t>原新疆维吾尔自治区环境保护厅</w:t>
            </w:r>
          </w:p>
          <w:p w14:paraId="44A1D0D3">
            <w:pPr>
              <w:pStyle w:val="278"/>
              <w:spacing w:line="300" w:lineRule="exact"/>
              <w:rPr>
                <w:rFonts w:hint="eastAsia" w:cs="宋体"/>
              </w:rPr>
            </w:pPr>
            <w:r>
              <w:rPr>
                <w:rFonts w:hint="eastAsia" w:cs="宋体"/>
              </w:rPr>
              <w:t>新环监函〔2008〕537号</w:t>
            </w:r>
          </w:p>
          <w:p w14:paraId="035B9A26">
            <w:pPr>
              <w:pStyle w:val="278"/>
              <w:spacing w:line="300" w:lineRule="exact"/>
              <w:rPr>
                <w:rFonts w:hint="eastAsia"/>
              </w:rPr>
            </w:pPr>
            <w:r>
              <w:rPr>
                <w:rFonts w:hint="eastAsia" w:cs="宋体"/>
              </w:rPr>
              <w:t>2008年12月</w:t>
            </w:r>
          </w:p>
        </w:tc>
        <w:tc>
          <w:tcPr>
            <w:tcW w:w="942" w:type="pct"/>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14:paraId="1DBF1AEE">
            <w:pPr>
              <w:pStyle w:val="278"/>
              <w:spacing w:line="300" w:lineRule="exact"/>
              <w:rPr>
                <w:rFonts w:hint="eastAsia" w:cs="宋体"/>
              </w:rPr>
            </w:pPr>
            <w:r>
              <w:rPr>
                <w:rFonts w:hint="eastAsia"/>
              </w:rPr>
              <w:t>原</w:t>
            </w:r>
            <w:r>
              <w:rPr>
                <w:rFonts w:hint="eastAsia" w:cs="宋体"/>
              </w:rPr>
              <w:t>昌吉回族自治州环境保护局</w:t>
            </w:r>
          </w:p>
          <w:p w14:paraId="4778E55E">
            <w:pPr>
              <w:pStyle w:val="278"/>
              <w:spacing w:line="300" w:lineRule="exact"/>
              <w:rPr>
                <w:rFonts w:hint="eastAsia" w:cs="宋体"/>
              </w:rPr>
            </w:pPr>
            <w:r>
              <w:rPr>
                <w:rFonts w:hint="eastAsia" w:cs="宋体"/>
              </w:rPr>
              <w:t>昌州环函〔2015〕358号</w:t>
            </w:r>
          </w:p>
          <w:p w14:paraId="6C355C13">
            <w:pPr>
              <w:pStyle w:val="278"/>
              <w:spacing w:line="300" w:lineRule="exact"/>
              <w:rPr>
                <w:rFonts w:hint="eastAsia"/>
              </w:rPr>
            </w:pPr>
            <w:r>
              <w:rPr>
                <w:rFonts w:hint="eastAsia" w:cs="宋体"/>
              </w:rPr>
              <w:t>2015年9月29日</w:t>
            </w:r>
          </w:p>
        </w:tc>
      </w:tr>
      <w:tr w14:paraId="61C22F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4"/>
            <w:tcBorders>
              <w:top w:val="single" w:color="auto" w:sz="4" w:space="0"/>
              <w:left w:val="nil"/>
              <w:bottom w:val="single" w:color="auto" w:sz="12" w:space="0"/>
              <w:right w:val="nil"/>
            </w:tcBorders>
            <w:vAlign w:val="center"/>
          </w:tcPr>
          <w:p w14:paraId="10B3EE1B">
            <w:pPr>
              <w:pStyle w:val="278"/>
              <w:spacing w:line="300" w:lineRule="exact"/>
              <w:jc w:val="left"/>
              <w:rPr>
                <w:rFonts w:hint="eastAsia"/>
              </w:rPr>
            </w:pPr>
            <w:r>
              <w:rPr>
                <w:rFonts w:hint="eastAsia"/>
              </w:rPr>
              <w:t>备注：压裂返排液处理装置及15万方压裂液暂存池均包含在吉木萨尔凹陷芦草沟组油藏吉305-吉17-吉37井区联合站建设工程重大变更中。</w:t>
            </w:r>
          </w:p>
        </w:tc>
      </w:tr>
    </w:tbl>
    <w:p w14:paraId="25ACE6EE">
      <w:pPr>
        <w:pStyle w:val="191"/>
        <w:ind w:firstLine="480" w:firstLineChars="0"/>
        <w:rPr>
          <w:rFonts w:hint="eastAsia"/>
        </w:rPr>
      </w:pPr>
      <w:r>
        <w:rPr>
          <w:rFonts w:hint="eastAsia"/>
        </w:rPr>
        <w:t>①原油处理依托可行性分析</w:t>
      </w:r>
    </w:p>
    <w:p w14:paraId="49185A1C">
      <w:pPr>
        <w:pStyle w:val="191"/>
        <w:ind w:firstLine="472"/>
        <w:rPr>
          <w:rFonts w:hint="eastAsia"/>
          <w:spacing w:val="-4"/>
        </w:rPr>
      </w:pPr>
      <w:r>
        <w:rPr>
          <w:rFonts w:hint="eastAsia"/>
          <w:spacing w:val="-4"/>
        </w:rPr>
        <w:t>页岩油联合站主要负责处理页岩油井区采出物，原油处理系统设计规模</w:t>
      </w:r>
      <w:r>
        <w:rPr>
          <w:spacing w:val="-4"/>
        </w:rPr>
        <w:t>100</w:t>
      </w:r>
      <w:r>
        <w:rPr>
          <w:rFonts w:hint="eastAsia"/>
          <w:spacing w:val="-4"/>
        </w:rPr>
        <w:t>×</w:t>
      </w:r>
      <w:r>
        <w:rPr>
          <w:spacing w:val="-4"/>
        </w:rPr>
        <w:t>10</w:t>
      </w:r>
      <w:r>
        <w:rPr>
          <w:spacing w:val="-4"/>
          <w:vertAlign w:val="superscript"/>
        </w:rPr>
        <w:t>4</w:t>
      </w:r>
      <w:r>
        <w:rPr>
          <w:spacing w:val="-4"/>
        </w:rPr>
        <w:t>t/a</w:t>
      </w:r>
      <w:r>
        <w:rPr>
          <w:rFonts w:hint="eastAsia"/>
          <w:spacing w:val="-4"/>
        </w:rPr>
        <w:t>（有</w:t>
      </w:r>
      <w:r>
        <w:rPr>
          <w:spacing w:val="-4"/>
        </w:rPr>
        <w:t>1.2</w:t>
      </w:r>
      <w:r>
        <w:rPr>
          <w:rFonts w:hint="eastAsia"/>
          <w:spacing w:val="-4"/>
        </w:rPr>
        <w:t>倍的弹性系数，最大处理能力可达</w:t>
      </w:r>
      <w:r>
        <w:rPr>
          <w:spacing w:val="-4"/>
        </w:rPr>
        <w:t>120</w:t>
      </w:r>
      <w:r>
        <w:rPr>
          <w:rFonts w:hint="eastAsia"/>
          <w:spacing w:val="-4"/>
        </w:rPr>
        <w:t>×</w:t>
      </w:r>
      <w:r>
        <w:rPr>
          <w:spacing w:val="-4"/>
        </w:rPr>
        <w:t>10</w:t>
      </w:r>
      <w:r>
        <w:rPr>
          <w:spacing w:val="-4"/>
          <w:vertAlign w:val="superscript"/>
        </w:rPr>
        <w:t>4</w:t>
      </w:r>
      <w:r>
        <w:rPr>
          <w:spacing w:val="-4"/>
        </w:rPr>
        <w:t>t/a</w:t>
      </w:r>
      <w:r>
        <w:rPr>
          <w:rFonts w:hint="eastAsia"/>
          <w:spacing w:val="-4"/>
        </w:rPr>
        <w:t>），目前处理量为</w:t>
      </w:r>
      <w:r>
        <w:rPr>
          <w:spacing w:val="-4"/>
        </w:rPr>
        <w:t>71</w:t>
      </w:r>
      <w:r>
        <w:rPr>
          <w:rFonts w:hint="eastAsia"/>
          <w:spacing w:val="-4"/>
        </w:rPr>
        <w:t>×</w:t>
      </w:r>
      <w:r>
        <w:rPr>
          <w:spacing w:val="-4"/>
        </w:rPr>
        <w:t>10</w:t>
      </w:r>
      <w:r>
        <w:rPr>
          <w:spacing w:val="-4"/>
          <w:vertAlign w:val="superscript"/>
        </w:rPr>
        <w:t>4</w:t>
      </w:r>
      <w:r>
        <w:rPr>
          <w:spacing w:val="-4"/>
        </w:rPr>
        <w:t>t/a</w:t>
      </w:r>
      <w:r>
        <w:rPr>
          <w:rFonts w:hint="eastAsia"/>
          <w:spacing w:val="-4"/>
        </w:rPr>
        <w:t>。原油处理采用“热电化学沉降脱水”工艺，集油区气液密闭混输进站（</w:t>
      </w:r>
      <w:r>
        <w:rPr>
          <w:spacing w:val="-4"/>
        </w:rPr>
        <w:t>40</w:t>
      </w:r>
      <w:r>
        <w:rPr>
          <w:rFonts w:hint="eastAsia"/>
          <w:spacing w:val="-4"/>
        </w:rPr>
        <w:t>℃～</w:t>
      </w:r>
      <w:r>
        <w:rPr>
          <w:spacing w:val="-4"/>
        </w:rPr>
        <w:t>45</w:t>
      </w:r>
      <w:r>
        <w:rPr>
          <w:rFonts w:hint="eastAsia"/>
          <w:spacing w:val="-4"/>
        </w:rPr>
        <w:t>℃，</w:t>
      </w:r>
      <w:r>
        <w:rPr>
          <w:spacing w:val="-4"/>
        </w:rPr>
        <w:t>0.4MPa</w:t>
      </w:r>
      <w:r>
        <w:rPr>
          <w:rFonts w:hint="eastAsia"/>
          <w:spacing w:val="-4"/>
        </w:rPr>
        <w:t>）与卸油缓冲罐来液（</w:t>
      </w:r>
      <w:r>
        <w:rPr>
          <w:spacing w:val="-4"/>
        </w:rPr>
        <w:t>40</w:t>
      </w:r>
      <w:r>
        <w:rPr>
          <w:rFonts w:hint="eastAsia"/>
          <w:spacing w:val="-4"/>
        </w:rPr>
        <w:t>℃～</w:t>
      </w:r>
      <w:r>
        <w:rPr>
          <w:spacing w:val="-4"/>
        </w:rPr>
        <w:t>45</w:t>
      </w:r>
      <w:r>
        <w:rPr>
          <w:rFonts w:hint="eastAsia"/>
          <w:spacing w:val="-4"/>
        </w:rPr>
        <w:t>℃，</w:t>
      </w:r>
      <w:r>
        <w:rPr>
          <w:spacing w:val="-4"/>
        </w:rPr>
        <w:t>0.4MPa</w:t>
      </w:r>
      <w:r>
        <w:rPr>
          <w:rFonts w:hint="eastAsia"/>
          <w:spacing w:val="-4"/>
        </w:rPr>
        <w:t>）在进站管汇混合后，先进三相分离器，分离出来的低含水原油（</w:t>
      </w:r>
      <w:r>
        <w:rPr>
          <w:spacing w:val="-4"/>
        </w:rPr>
        <w:t>40</w:t>
      </w:r>
      <w:r>
        <w:rPr>
          <w:rFonts w:hint="eastAsia"/>
          <w:spacing w:val="-4"/>
        </w:rPr>
        <w:t>℃～</w:t>
      </w:r>
      <w:r>
        <w:rPr>
          <w:spacing w:val="-4"/>
        </w:rPr>
        <w:t>45</w:t>
      </w:r>
      <w:r>
        <w:rPr>
          <w:rFonts w:hint="eastAsia"/>
          <w:spacing w:val="-4"/>
        </w:rPr>
        <w:t>℃）添加破乳剂后进入多功能处理装置。原油在多功能处理装置内经加热（</w:t>
      </w:r>
      <w:r>
        <w:rPr>
          <w:spacing w:val="-4"/>
        </w:rPr>
        <w:t>60</w:t>
      </w:r>
      <w:r>
        <w:rPr>
          <w:rFonts w:hint="eastAsia"/>
          <w:spacing w:val="-4"/>
        </w:rPr>
        <w:t>℃）、化学脱水和电脱水后出净化油进入外输系统。三相分离器及多功能处理油气水分离段分离出的伴生气经除油器除油、天然气处理装置处理后供站内使用。三相器分离出的水去压裂返排液处理装置，处理合格后用于压裂液复配；多功能处理装置分离出的水与卸油台来液在卸油缓冲罐混合后回掺至进站管汇。</w:t>
      </w:r>
    </w:p>
    <w:p w14:paraId="245B71ED">
      <w:pPr>
        <w:pStyle w:val="191"/>
        <w:ind w:firstLine="472"/>
        <w:rPr>
          <w:rFonts w:hint="eastAsia"/>
        </w:rPr>
      </w:pPr>
      <w:r>
        <w:rPr>
          <w:rFonts w:hint="eastAsia"/>
          <w:spacing w:val="-4"/>
        </w:rPr>
        <w:t>原油处理系统设计规模</w:t>
      </w:r>
      <w:r>
        <w:rPr>
          <w:spacing w:val="-4"/>
        </w:rPr>
        <w:t>100</w:t>
      </w:r>
      <w:r>
        <w:rPr>
          <w:rFonts w:hint="eastAsia"/>
          <w:spacing w:val="-4"/>
        </w:rPr>
        <w:t>×</w:t>
      </w:r>
      <w:r>
        <w:rPr>
          <w:spacing w:val="-4"/>
        </w:rPr>
        <w:t>10</w:t>
      </w:r>
      <w:r>
        <w:rPr>
          <w:spacing w:val="-4"/>
          <w:vertAlign w:val="superscript"/>
        </w:rPr>
        <w:t>4</w:t>
      </w:r>
      <w:r>
        <w:rPr>
          <w:spacing w:val="-4"/>
        </w:rPr>
        <w:t>t/a</w:t>
      </w:r>
      <w:r>
        <w:rPr>
          <w:rFonts w:hint="eastAsia"/>
          <w:spacing w:val="-4"/>
        </w:rPr>
        <w:t>（有</w:t>
      </w:r>
      <w:r>
        <w:rPr>
          <w:spacing w:val="-4"/>
        </w:rPr>
        <w:t>1.2</w:t>
      </w:r>
      <w:r>
        <w:rPr>
          <w:rFonts w:hint="eastAsia"/>
          <w:spacing w:val="-4"/>
        </w:rPr>
        <w:t>倍的弹性系数，最大处理能力可达</w:t>
      </w:r>
      <w:r>
        <w:rPr>
          <w:spacing w:val="-4"/>
        </w:rPr>
        <w:t>120</w:t>
      </w:r>
      <w:r>
        <w:rPr>
          <w:rFonts w:hint="eastAsia"/>
          <w:spacing w:val="-4"/>
        </w:rPr>
        <w:t>×</w:t>
      </w:r>
      <w:r>
        <w:rPr>
          <w:spacing w:val="-4"/>
        </w:rPr>
        <w:t>10</w:t>
      </w:r>
      <w:r>
        <w:rPr>
          <w:spacing w:val="-4"/>
          <w:vertAlign w:val="superscript"/>
        </w:rPr>
        <w:t>4</w:t>
      </w:r>
      <w:r>
        <w:rPr>
          <w:spacing w:val="-4"/>
        </w:rPr>
        <w:t>t/a</w:t>
      </w:r>
      <w:r>
        <w:rPr>
          <w:rFonts w:hint="eastAsia"/>
          <w:spacing w:val="-4"/>
        </w:rPr>
        <w:t>），目前处理量为</w:t>
      </w:r>
      <w:r>
        <w:rPr>
          <w:spacing w:val="-4"/>
        </w:rPr>
        <w:t>71</w:t>
      </w:r>
      <w:r>
        <w:rPr>
          <w:rFonts w:hint="eastAsia"/>
          <w:spacing w:val="-4"/>
        </w:rPr>
        <w:t>×</w:t>
      </w:r>
      <w:r>
        <w:rPr>
          <w:spacing w:val="-4"/>
        </w:rPr>
        <w:t>10</w:t>
      </w:r>
      <w:r>
        <w:rPr>
          <w:spacing w:val="-4"/>
          <w:vertAlign w:val="superscript"/>
        </w:rPr>
        <w:t>4</w:t>
      </w:r>
      <w:r>
        <w:rPr>
          <w:spacing w:val="-4"/>
        </w:rPr>
        <w:t>t/a</w:t>
      </w:r>
      <w:r>
        <w:rPr>
          <w:rFonts w:hint="eastAsia"/>
          <w:spacing w:val="-4"/>
        </w:rPr>
        <w:t>，富余处理能力为29×</w:t>
      </w:r>
      <w:r>
        <w:rPr>
          <w:spacing w:val="-4"/>
        </w:rPr>
        <w:t>10</w:t>
      </w:r>
      <w:r>
        <w:rPr>
          <w:spacing w:val="-4"/>
          <w:vertAlign w:val="superscript"/>
        </w:rPr>
        <w:t>4</w:t>
      </w:r>
      <w:r>
        <w:rPr>
          <w:spacing w:val="-4"/>
        </w:rPr>
        <w:t>t/a</w:t>
      </w:r>
      <w:r>
        <w:rPr>
          <w:rFonts w:hint="eastAsia"/>
          <w:spacing w:val="-4"/>
        </w:rPr>
        <w:t>，</w:t>
      </w:r>
      <w:r>
        <w:rPr>
          <w:rFonts w:hint="eastAsia"/>
        </w:rPr>
        <w:t>本项目新增产能为2.7×10</w:t>
      </w:r>
      <w:r>
        <w:rPr>
          <w:rFonts w:hint="eastAsia"/>
          <w:vertAlign w:val="superscript"/>
        </w:rPr>
        <w:t>4</w:t>
      </w:r>
      <w:r>
        <w:rPr>
          <w:rFonts w:hint="eastAsia"/>
        </w:rPr>
        <w:t>t/a，可满足需求，依托可行。</w:t>
      </w:r>
    </w:p>
    <w:p w14:paraId="305E53EF">
      <w:pPr>
        <w:pStyle w:val="191"/>
        <w:ind w:firstLine="480"/>
        <w:rPr>
          <w:rFonts w:hint="eastAsia"/>
        </w:rPr>
      </w:pPr>
      <w:r>
        <w:rPr>
          <w:rFonts w:hint="eastAsia"/>
        </w:rPr>
        <w:t>另外吉庆油田作业区正在实施《新疆油田昌吉油田吉305-吉17井区芦草沟组页岩油产能建设项目（页岩油联合站二期扩建工程）》，该工程中拟在页岩油联合站内新建</w:t>
      </w:r>
      <w:r>
        <w:rPr>
          <w:rFonts w:hint="eastAsia"/>
          <w:spacing w:val="-2"/>
        </w:rPr>
        <w:t>1列5</w:t>
      </w:r>
      <w:r>
        <w:rPr>
          <w:spacing w:val="-2"/>
        </w:rPr>
        <w:t>0</w:t>
      </w:r>
      <w:r>
        <w:rPr>
          <w:rFonts w:hint="eastAsia"/>
          <w:spacing w:val="-2"/>
        </w:rPr>
        <w:t>×</w:t>
      </w:r>
      <w:r>
        <w:rPr>
          <w:spacing w:val="-2"/>
        </w:rPr>
        <w:t>10</w:t>
      </w:r>
      <w:r>
        <w:rPr>
          <w:spacing w:val="-2"/>
          <w:vertAlign w:val="superscript"/>
        </w:rPr>
        <w:t>4</w:t>
      </w:r>
      <w:r>
        <w:rPr>
          <w:rFonts w:hint="eastAsia"/>
          <w:spacing w:val="-2"/>
        </w:rPr>
        <w:t>t</w:t>
      </w:r>
      <w:r>
        <w:rPr>
          <w:spacing w:val="-2"/>
        </w:rPr>
        <w:t>/a</w:t>
      </w:r>
      <w:r>
        <w:rPr>
          <w:rFonts w:hint="eastAsia"/>
          <w:spacing w:val="-2"/>
        </w:rPr>
        <w:t>的原油处理系统，</w:t>
      </w:r>
      <w:r>
        <w:rPr>
          <w:rFonts w:hint="eastAsia"/>
        </w:rPr>
        <w:t>建成后站内原油处理系统设计处理规模将达到</w:t>
      </w:r>
      <w:r>
        <w:rPr>
          <w:rFonts w:hint="eastAsia"/>
          <w:spacing w:val="-2"/>
        </w:rPr>
        <w:t>15</w:t>
      </w:r>
      <w:r>
        <w:rPr>
          <w:spacing w:val="-2"/>
        </w:rPr>
        <w:t>0</w:t>
      </w:r>
      <w:r>
        <w:rPr>
          <w:rFonts w:hint="eastAsia"/>
          <w:spacing w:val="-2"/>
        </w:rPr>
        <w:t>×</w:t>
      </w:r>
      <w:r>
        <w:rPr>
          <w:spacing w:val="-2"/>
        </w:rPr>
        <w:t>10</w:t>
      </w:r>
      <w:r>
        <w:rPr>
          <w:spacing w:val="-2"/>
          <w:vertAlign w:val="superscript"/>
        </w:rPr>
        <w:t>4</w:t>
      </w:r>
      <w:r>
        <w:rPr>
          <w:rFonts w:hint="eastAsia"/>
          <w:spacing w:val="-2"/>
        </w:rPr>
        <w:t>t</w:t>
      </w:r>
      <w:r>
        <w:rPr>
          <w:spacing w:val="-2"/>
        </w:rPr>
        <w:t>/a</w:t>
      </w:r>
      <w:r>
        <w:rPr>
          <w:rFonts w:hint="eastAsia"/>
          <w:spacing w:val="-2"/>
        </w:rPr>
        <w:t>，新建处理系统原油处理工艺与现有工程一致，油气分离及原油脱水采用密闭流程，脱水工艺选择热化学沉降脱水和电化学处理组合脱水工艺。目前页岩油联合站扩建工</w:t>
      </w:r>
      <w:r>
        <w:rPr>
          <w:rFonts w:hint="eastAsia"/>
        </w:rPr>
        <w:t>程已取得新疆生产建设兵团生态环境局出具的《关于新疆油田昌吉油田吉305-吉17井区芦草沟组页岩油产能建设项目（页岩油联合站二期扩建工程）环境影响报告书的批复》兵环审〔2024〕16号，目前正在准备建设。</w:t>
      </w:r>
    </w:p>
    <w:p w14:paraId="2DC6BC29">
      <w:pPr>
        <w:pStyle w:val="191"/>
        <w:ind w:firstLine="480"/>
        <w:rPr>
          <w:rFonts w:hint="eastAsia"/>
        </w:rPr>
      </w:pPr>
      <w:r>
        <w:rPr>
          <w:rFonts w:hint="eastAsia"/>
        </w:rPr>
        <w:t>页岩油联合站内燃气设施燃烧烟气、厂界无组织非甲烷总烃、硫化氢和噪声均可实现达标排放（具体分析详见3.1.5环境影响回顾章节）。综上所述，页岩油联合站内原油处理系统可满足本项目需求，依托可行。</w:t>
      </w:r>
    </w:p>
    <w:p w14:paraId="0E972CFB">
      <w:pPr>
        <w:pStyle w:val="191"/>
        <w:ind w:firstLine="480"/>
        <w:rPr>
          <w:rFonts w:hint="eastAsia"/>
        </w:rPr>
      </w:pPr>
      <w:r>
        <w:rPr>
          <w:rFonts w:hint="eastAsia"/>
        </w:rPr>
        <w:t>②伴生气处理依托可行性分析</w:t>
      </w:r>
    </w:p>
    <w:p w14:paraId="1977B741">
      <w:pPr>
        <w:pStyle w:val="191"/>
        <w:ind w:firstLine="480"/>
        <w:rPr>
          <w:rFonts w:hint="eastAsia"/>
        </w:rPr>
      </w:pPr>
      <w:r>
        <w:rPr>
          <w:rFonts w:hint="eastAsia"/>
        </w:rPr>
        <w:t>油区页岩油联合站天然气处理系统采用“分子筛脱水</w:t>
      </w:r>
      <w:r>
        <w:t>+</w:t>
      </w:r>
      <w:r>
        <w:rPr>
          <w:rFonts w:hint="eastAsia"/>
        </w:rPr>
        <w:t>丙烷外冷”工艺。原油处理系统三相分离器分离出的伴生气（</w:t>
      </w:r>
      <w:r>
        <w:t>0.15</w:t>
      </w:r>
      <w:r>
        <w:rPr>
          <w:rFonts w:hint="eastAsia"/>
        </w:rPr>
        <w:t>～</w:t>
      </w:r>
      <w:r>
        <w:t>0.25MPa</w:t>
      </w:r>
      <w:r>
        <w:rPr>
          <w:rFonts w:hint="eastAsia"/>
        </w:rPr>
        <w:t>，</w:t>
      </w:r>
      <w:r>
        <w:t>20</w:t>
      </w:r>
      <w:r>
        <w:rPr>
          <w:rFonts w:hint="eastAsia"/>
        </w:rPr>
        <w:t>～</w:t>
      </w:r>
      <w:r>
        <w:t>40</w:t>
      </w:r>
      <w:r>
        <w:rPr>
          <w:rFonts w:hint="eastAsia"/>
        </w:rPr>
        <w:t>℃）经分离器分离出所携带液滴后，进入螺杆压缩机进行增压，增压后的伴生气依次进入脱硫橇、分子筛脱水橇进行脱硫脱水处理，脱水后的干气进混烃回收橇与低温干气换热，进丙烷外冷橇制冷后进入混烃回收橇低温分离器进行气液分离，分离出的低温干气与分子筛出口原料气换热，复热后的干气优先去自用气计量调压橇计量调压后供站内自用；剩余部分通过已建天然气外输管道（D114×6/20G，长8km）输送至东三线1</w:t>
      </w:r>
      <w:r>
        <w:t>1</w:t>
      </w:r>
      <w:r>
        <w:rPr>
          <w:rFonts w:hint="eastAsia"/>
        </w:rPr>
        <w:t>号阀室。目前，因天然气处理系统来气仅能满足站内自用，无多余净化气输至东三线天然气管道，故往复式压缩机橇及外输气计量橇暂未投运。混烃回收橇内低温分离器分离出来的液相进入橇内脱乙烷塔，塔顶富气去自用气调压计量橇，与调压后的自用气汇合，经计量去站内自用气装置，塔底混烃进混烃储罐橇，定期经定量装车橇装车外售。</w:t>
      </w:r>
    </w:p>
    <w:p w14:paraId="447AB93E">
      <w:pPr>
        <w:pStyle w:val="191"/>
        <w:ind w:firstLine="480"/>
        <w:rPr>
          <w:rFonts w:hint="eastAsia"/>
        </w:rPr>
      </w:pPr>
      <w:r>
        <w:rPr>
          <w:rFonts w:hint="eastAsia"/>
        </w:rPr>
        <w:t>天然气处理系统设计处理规模3×</w:t>
      </w:r>
      <w:r>
        <w:t>10</w:t>
      </w:r>
      <w:r>
        <w:rPr>
          <w:vertAlign w:val="superscript"/>
        </w:rPr>
        <w:t>4</w:t>
      </w:r>
      <w:r>
        <w:t>Nm</w:t>
      </w:r>
      <w:r>
        <w:rPr>
          <w:vertAlign w:val="superscript"/>
        </w:rPr>
        <w:t>3</w:t>
      </w:r>
      <w:r>
        <w:t>/d</w:t>
      </w:r>
      <w:r>
        <w:rPr>
          <w:rFonts w:hint="eastAsia"/>
        </w:rPr>
        <w:t>，目前实际处理气量约为2.24×</w:t>
      </w:r>
      <w:r>
        <w:t>10</w:t>
      </w:r>
      <w:r>
        <w:rPr>
          <w:vertAlign w:val="superscript"/>
        </w:rPr>
        <w:t>4</w:t>
      </w:r>
      <w:r>
        <w:t>m</w:t>
      </w:r>
      <w:r>
        <w:rPr>
          <w:vertAlign w:val="superscript"/>
        </w:rPr>
        <w:t>3</w:t>
      </w:r>
      <w:r>
        <w:t>/d</w:t>
      </w:r>
      <w:r>
        <w:rPr>
          <w:rFonts w:hint="eastAsia"/>
        </w:rPr>
        <w:t>，富余处理能力为0.76×</w:t>
      </w:r>
      <w:r>
        <w:t>10</w:t>
      </w:r>
      <w:r>
        <w:rPr>
          <w:vertAlign w:val="superscript"/>
        </w:rPr>
        <w:t>4</w:t>
      </w:r>
      <w:r>
        <w:t>Nm</w:t>
      </w:r>
      <w:r>
        <w:rPr>
          <w:vertAlign w:val="superscript"/>
        </w:rPr>
        <w:t>3</w:t>
      </w:r>
      <w:r>
        <w:t>/d</w:t>
      </w:r>
      <w:r>
        <w:rPr>
          <w:rFonts w:hint="eastAsia"/>
        </w:rPr>
        <w:t>，本项目新增伴生气量为0.082×</w:t>
      </w:r>
      <w:r>
        <w:t>10</w:t>
      </w:r>
      <w:r>
        <w:rPr>
          <w:vertAlign w:val="superscript"/>
        </w:rPr>
        <w:t>4</w:t>
      </w:r>
      <w:r>
        <w:t>Nm</w:t>
      </w:r>
      <w:r>
        <w:rPr>
          <w:vertAlign w:val="superscript"/>
        </w:rPr>
        <w:t>3</w:t>
      </w:r>
      <w:r>
        <w:t>/d</w:t>
      </w:r>
      <w:r>
        <w:rPr>
          <w:rFonts w:hint="eastAsia"/>
        </w:rPr>
        <w:t>（26.98×</w:t>
      </w:r>
      <w:r>
        <w:t>10</w:t>
      </w:r>
      <w:r>
        <w:rPr>
          <w:vertAlign w:val="superscript"/>
        </w:rPr>
        <w:t>4</w:t>
      </w:r>
      <w:r>
        <w:t>Nm</w:t>
      </w:r>
      <w:r>
        <w:rPr>
          <w:vertAlign w:val="superscript"/>
        </w:rPr>
        <w:t>3</w:t>
      </w:r>
      <w:r>
        <w:t>/</w:t>
      </w:r>
      <w:r>
        <w:rPr>
          <w:rFonts w:hint="eastAsia"/>
        </w:rPr>
        <w:t>a），富余处理能力可满足需求，依托可行。</w:t>
      </w:r>
    </w:p>
    <w:p w14:paraId="1C10A5AA">
      <w:pPr>
        <w:pStyle w:val="191"/>
        <w:ind w:firstLine="480"/>
        <w:rPr>
          <w:rFonts w:hint="eastAsia"/>
        </w:rPr>
      </w:pPr>
      <w:r>
        <w:rPr>
          <w:rFonts w:hint="eastAsia"/>
        </w:rPr>
        <w:t>③废水依托可行性分析</w:t>
      </w:r>
    </w:p>
    <w:p w14:paraId="15FE4E79">
      <w:pPr>
        <w:pStyle w:val="191"/>
        <w:ind w:firstLine="480"/>
        <w:rPr>
          <w:rFonts w:hint="eastAsia"/>
        </w:rPr>
      </w:pPr>
      <w:r>
        <w:rPr>
          <w:rFonts w:hint="eastAsia"/>
        </w:rPr>
        <w:t>压裂返排液暂存在处理区的1座15万方暂存池，吉庆油田作业区压裂返排液处理目前委托第三方处置单位进行处理，处理区位于页岩油联合站南侧约60m处。</w:t>
      </w:r>
    </w:p>
    <w:p w14:paraId="648FC33B">
      <w:pPr>
        <w:pStyle w:val="191"/>
        <w:ind w:firstLine="480"/>
        <w:rPr>
          <w:rFonts w:hint="eastAsia"/>
        </w:rPr>
      </w:pPr>
      <w:r>
        <w:rPr>
          <w:rFonts w:hint="eastAsia"/>
        </w:rPr>
        <w:t>压裂返排液处理装置负责处理联合站站内来水及罐车拉运来的压裂返排液，采用氧化破胶+两级气浮+过滤处理工艺，在混凝沉淀箱中分别投加pH调整剂、破胶剂、有机混凝絮凝剂等通过沉淀去除污水中的悬浮物和浮油，再通过两级气浮进一步去除乳化油和悬浮物，出水进双滤料过滤器进一步处理后出水，出水计划优先回用于压裂液复配，页岩油联合站至吉祥联合站采出水外输规模设计为4500m</w:t>
      </w:r>
      <w:r>
        <w:rPr>
          <w:rFonts w:hint="eastAsia"/>
          <w:vertAlign w:val="superscript"/>
        </w:rPr>
        <w:t>3</w:t>
      </w:r>
      <w:r>
        <w:rPr>
          <w:rFonts w:hint="eastAsia"/>
        </w:rPr>
        <w:t>/d，出水水质满足</w:t>
      </w:r>
      <w:r>
        <w:rPr>
          <w:rFonts w:hint="eastAsia"/>
          <w:szCs w:val="21"/>
          <w:lang w:val="zh-CN"/>
        </w:rPr>
        <w:t>《压裂酸化返排液处理技术规范》（</w:t>
      </w:r>
      <w:r>
        <w:rPr>
          <w:szCs w:val="21"/>
          <w:lang w:val="zh-CN"/>
        </w:rPr>
        <w:t>Q/SY02012-2016</w:t>
      </w:r>
      <w:r>
        <w:rPr>
          <w:rFonts w:hint="eastAsia"/>
          <w:szCs w:val="21"/>
          <w:lang w:val="zh-CN"/>
        </w:rPr>
        <w:t>）中的相关标准后用于压裂液的复配</w:t>
      </w:r>
      <w:r>
        <w:rPr>
          <w:rFonts w:hint="eastAsia"/>
        </w:rPr>
        <w:t>。</w:t>
      </w:r>
    </w:p>
    <w:p w14:paraId="40FB389E">
      <w:pPr>
        <w:pStyle w:val="191"/>
        <w:ind w:firstLine="480"/>
        <w:rPr>
          <w:rFonts w:hint="eastAsia"/>
        </w:rPr>
      </w:pPr>
      <w:r>
        <w:rPr>
          <w:rFonts w:hint="eastAsia"/>
        </w:rPr>
        <w:t>压裂返排液处理装置设计处理规模为4500m</w:t>
      </w:r>
      <w:r>
        <w:rPr>
          <w:rFonts w:hint="eastAsia"/>
          <w:vertAlign w:val="superscript"/>
        </w:rPr>
        <w:t>3</w:t>
      </w:r>
      <w:r>
        <w:rPr>
          <w:rFonts w:hint="eastAsia"/>
        </w:rPr>
        <w:t>/d，目前实际处理量为2500m</w:t>
      </w:r>
      <w:r>
        <w:rPr>
          <w:rFonts w:hint="eastAsia"/>
          <w:vertAlign w:val="superscript"/>
        </w:rPr>
        <w:t>3</w:t>
      </w:r>
      <w:r>
        <w:rPr>
          <w:rFonts w:hint="eastAsia"/>
        </w:rPr>
        <w:t>/d，富余处理量为2000m</w:t>
      </w:r>
      <w:r>
        <w:rPr>
          <w:rFonts w:hint="eastAsia"/>
          <w:vertAlign w:val="superscript"/>
        </w:rPr>
        <w:t>3</w:t>
      </w:r>
      <w:r>
        <w:rPr>
          <w:rFonts w:hint="eastAsia"/>
        </w:rPr>
        <w:t>/d，本项目新增采出水量17.34×10</w:t>
      </w:r>
      <w:r>
        <w:rPr>
          <w:rFonts w:hint="eastAsia"/>
          <w:vertAlign w:val="superscript"/>
        </w:rPr>
        <w:t>4</w:t>
      </w:r>
      <w:r>
        <w:rPr>
          <w:rFonts w:hint="eastAsia"/>
        </w:rPr>
        <w:t>m</w:t>
      </w:r>
      <w:r>
        <w:rPr>
          <w:rFonts w:hint="eastAsia"/>
          <w:vertAlign w:val="superscript"/>
        </w:rPr>
        <w:t>3</w:t>
      </w:r>
      <w:r>
        <w:rPr>
          <w:rFonts w:hint="eastAsia"/>
        </w:rPr>
        <w:t>/a（525.5m</w:t>
      </w:r>
      <w:r>
        <w:rPr>
          <w:rFonts w:hint="eastAsia"/>
          <w:vertAlign w:val="superscript"/>
        </w:rPr>
        <w:t>3</w:t>
      </w:r>
      <w:r>
        <w:rPr>
          <w:rFonts w:hint="eastAsia"/>
        </w:rPr>
        <w:t>/d）、洗井废水和井下作业废液合计量为178.06m</w:t>
      </w:r>
      <w:r>
        <w:rPr>
          <w:rFonts w:hint="eastAsia"/>
          <w:vertAlign w:val="superscript"/>
        </w:rPr>
        <w:t>3</w:t>
      </w:r>
      <w:r>
        <w:rPr>
          <w:rFonts w:hint="eastAsia"/>
        </w:rPr>
        <w:t>/d（1780.6m</w:t>
      </w:r>
      <w:r>
        <w:rPr>
          <w:rFonts w:hint="eastAsia"/>
          <w:vertAlign w:val="superscript"/>
        </w:rPr>
        <w:t>3</w:t>
      </w:r>
      <w:r>
        <w:rPr>
          <w:rFonts w:hint="eastAsia"/>
        </w:rPr>
        <w:t>/a），富余处理能力可满足需求，依托可行。</w:t>
      </w:r>
    </w:p>
    <w:p w14:paraId="582C9D27">
      <w:pPr>
        <w:pStyle w:val="191"/>
        <w:ind w:firstLine="480"/>
        <w:rPr>
          <w:rFonts w:hint="eastAsia"/>
        </w:rPr>
      </w:pPr>
      <w:r>
        <w:rPr>
          <w:rFonts w:hint="eastAsia"/>
        </w:rPr>
        <w:t>另外吉庆油田作业区正在实施《新疆油田昌吉油田吉305-吉17井区芦草沟组页岩油产能建设项目（页岩油联合站二期扩建工程）》，该工程中拟在页岩油联合站内新建1套3000m</w:t>
      </w:r>
      <w:r>
        <w:rPr>
          <w:rFonts w:hint="eastAsia"/>
          <w:vertAlign w:val="superscript"/>
        </w:rPr>
        <w:t>3</w:t>
      </w:r>
      <w:r>
        <w:rPr>
          <w:rFonts w:hint="eastAsia"/>
        </w:rPr>
        <w:t>/d压裂返排液处理系统，建成后站内分离出的采出水全部进入新建系统处理，同时还可承担部分压裂返排液的处理任务，采用重力除油+电化学处理+生物处理的组合处理工艺。该工程已取得新疆生产建设兵团生态环境局出具的《关于新疆油田昌吉油田吉305-吉17井区芦草沟组页岩油产能建设项目（页岩油联合站二期扩建工程）环境影响报告书的批复》兵环审〔2024〕16号，目前正在准备建设。现有及现有压裂返排液处理装置可满足本项目处理需求。</w:t>
      </w:r>
    </w:p>
    <w:p w14:paraId="7FE8507E">
      <w:pPr>
        <w:pStyle w:val="191"/>
        <w:ind w:firstLine="480"/>
        <w:rPr>
          <w:rFonts w:hint="eastAsia"/>
        </w:rPr>
      </w:pPr>
      <w:r>
        <w:rPr>
          <w:rFonts w:hint="eastAsia"/>
        </w:rPr>
        <w:t>④危险废物贮存依托可行性分析</w:t>
      </w:r>
    </w:p>
    <w:p w14:paraId="0E64F7F9">
      <w:pPr>
        <w:pStyle w:val="191"/>
        <w:ind w:firstLine="480"/>
        <w:rPr>
          <w:rFonts w:hint="eastAsia" w:cs="宋体"/>
          <w:lang w:val="zh-CN"/>
        </w:rPr>
      </w:pPr>
      <w:r>
        <w:rPr>
          <w:rFonts w:hint="eastAsia"/>
        </w:rPr>
        <w:t>清罐底泥、废润滑油、废润滑油油桶、含油废抹布劳保用品和沾油废防渗材料贮存依托</w:t>
      </w:r>
      <w:r>
        <w:rPr>
          <w:rFonts w:hint="eastAsia" w:cs="宋体"/>
          <w:lang w:val="zh-CN"/>
        </w:rPr>
        <w:t>吉祥联合站</w:t>
      </w:r>
      <w:bookmarkStart w:id="225" w:name="OLE_LINK3"/>
      <w:r>
        <w:rPr>
          <w:rFonts w:hint="eastAsia" w:cs="宋体"/>
          <w:lang w:val="zh-CN"/>
        </w:rPr>
        <w:t>危险废物临时贮存点</w:t>
      </w:r>
      <w:bookmarkEnd w:id="225"/>
      <w:r>
        <w:rPr>
          <w:rFonts w:hint="eastAsia" w:cs="宋体"/>
          <w:lang w:val="zh-CN"/>
        </w:rPr>
        <w:t>。危险废物临时贮存点占地尺寸为24m×12m，采取防渗措施，本项目危险废物产生量相对较少，现有危险废物临时贮存点可满足贮存需求。</w:t>
      </w:r>
    </w:p>
    <w:p w14:paraId="60CDB55D">
      <w:pPr>
        <w:pStyle w:val="191"/>
        <w:ind w:firstLine="480"/>
        <w:rPr>
          <w:rFonts w:hint="eastAsia"/>
        </w:rPr>
      </w:pPr>
      <w:r>
        <w:rPr>
          <w:rFonts w:hint="eastAsia" w:cs="宋体"/>
          <w:lang w:val="zh-CN"/>
        </w:rPr>
        <w:t>另外</w:t>
      </w:r>
      <w:r>
        <w:rPr>
          <w:rFonts w:hint="eastAsia"/>
        </w:rPr>
        <w:t>吉庆油田作业区正在实施《新疆油田昌吉油田吉305-吉17井区芦草沟组页岩油产能建设项目（页岩油联合站二期扩建工程）》中新建1座</w:t>
      </w:r>
      <w:r>
        <w:rPr>
          <w:rFonts w:hint="eastAsia"/>
          <w:spacing w:val="-2"/>
        </w:rPr>
        <w:t>占地1200m</w:t>
      </w:r>
      <w:r>
        <w:rPr>
          <w:rFonts w:hint="eastAsia"/>
          <w:spacing w:val="-2"/>
          <w:vertAlign w:val="superscript"/>
        </w:rPr>
        <w:t>2</w:t>
      </w:r>
      <w:r>
        <w:rPr>
          <w:rFonts w:hint="eastAsia"/>
          <w:spacing w:val="-2"/>
        </w:rPr>
        <w:t>的危险废物暂存场，</w:t>
      </w:r>
      <w:r>
        <w:rPr>
          <w:rFonts w:hint="eastAsia"/>
        </w:rPr>
        <w:t>新建危废暂存设施为棚式设计，为单层门钢架结构，三面建设钢混墙（高1m），一面为钢铁门，方便运输车辆进出；顶部加盖彩钢板顶棚，具备防风、防雨、防晒功能，配套建设渗滤液收集池，池体、暂存场基础、地面及围墙采用人工防渗材料+抗渗混凝土，抗渗等级设计为P8，总体防渗系数小于10</w:t>
      </w:r>
      <w:r>
        <w:rPr>
          <w:rFonts w:hint="eastAsia"/>
          <w:vertAlign w:val="superscript"/>
        </w:rPr>
        <w:t>-10</w:t>
      </w:r>
      <w:r>
        <w:rPr>
          <w:rFonts w:hint="eastAsia"/>
        </w:rPr>
        <w:t>cm/s，危险废物暂存场满足《危险废物贮存污染控制标准》（GB18597-2023）中相关要求。该工程已取得新疆生产建设兵团生态环境局出具的《关于新疆油田昌吉油田吉305-吉17井区芦草沟组页岩油产能建设项目（页岩油联合站二期扩建工程）环境影响报告书的批复》兵环审〔2024〕16号，目前正在准备建设。现有危险废物暂存设施和拟建危险废物暂存场可满足本项目危险废物的贮存需求，依托可行。</w:t>
      </w:r>
    </w:p>
    <w:p w14:paraId="28DF47C4">
      <w:pPr>
        <w:pStyle w:val="191"/>
        <w:ind w:firstLine="480"/>
        <w:rPr>
          <w:rFonts w:hint="eastAsia"/>
        </w:rPr>
      </w:pPr>
      <w:r>
        <w:rPr>
          <w:rFonts w:hint="eastAsia"/>
        </w:rPr>
        <w:t>⑤危险废物处置依托可行性分析</w:t>
      </w:r>
    </w:p>
    <w:p w14:paraId="6A2FC91F">
      <w:pPr>
        <w:pStyle w:val="191"/>
        <w:spacing w:line="480" w:lineRule="exact"/>
        <w:ind w:firstLine="480"/>
        <w:rPr>
          <w:rFonts w:hint="eastAsia"/>
        </w:rPr>
      </w:pPr>
      <w:bookmarkStart w:id="226" w:name="OLE_LINK50"/>
      <w:r>
        <w:t>2024</w:t>
      </w:r>
      <w:r>
        <w:rPr>
          <w:rFonts w:hint="eastAsia"/>
        </w:rPr>
        <w:t>年吉庆油田作业区与克拉玛依博达生态环保科技有限责任公司签订了危废处置协议。</w:t>
      </w:r>
      <w:bookmarkEnd w:id="226"/>
      <w:r>
        <w:rPr>
          <w:rFonts w:hint="eastAsia"/>
        </w:rPr>
        <w:t>克拉玛依博达生态环保科技有限责任公司（危险废物经营许可证编号：</w:t>
      </w:r>
      <w:r>
        <w:t>65020</w:t>
      </w:r>
      <w:r>
        <w:rPr>
          <w:rFonts w:hint="eastAsia"/>
        </w:rPr>
        <w:t>40117，有效期2022年2月11日—2027年2月10日）经营危险废物类别包括HW08废矿物油与含矿物油废物、HW13有机树脂类废物和HW49其他废物，具体类别包括本工程产生的</w:t>
      </w:r>
      <w:r>
        <w:t>900-214-08</w:t>
      </w:r>
      <w:r>
        <w:rPr>
          <w:rFonts w:hint="eastAsia"/>
        </w:rPr>
        <w:t>、</w:t>
      </w:r>
      <w:r>
        <w:t>071-001-08</w:t>
      </w:r>
      <w:r>
        <w:rPr>
          <w:rFonts w:hint="eastAsia"/>
        </w:rPr>
        <w:t>、</w:t>
      </w:r>
      <w:r>
        <w:t>900-249-08</w:t>
      </w:r>
      <w:r>
        <w:rPr>
          <w:rFonts w:hint="eastAsia"/>
        </w:rPr>
        <w:t>、</w:t>
      </w:r>
      <w:r>
        <w:t>900-041-49</w:t>
      </w:r>
      <w:r>
        <w:rPr>
          <w:rFonts w:hint="eastAsia"/>
        </w:rPr>
        <w:t>。总经营规模138.5万吨/年（其中，含油污泥30万吨/年，含油泥废液34万吨/年，干化油泥及废矿物油40.5万吨/年、含油钻井废弃物10.5万吨/年、废防渗膜和废树脂3.5万吨/年，废油基泥浆20万吨/年）。</w:t>
      </w:r>
    </w:p>
    <w:p w14:paraId="46439CAD">
      <w:pPr>
        <w:pStyle w:val="191"/>
        <w:spacing w:line="480" w:lineRule="exact"/>
        <w:ind w:firstLine="480"/>
        <w:rPr>
          <w:rFonts w:hint="eastAsia"/>
        </w:rPr>
      </w:pPr>
      <w:r>
        <w:rPr>
          <w:rFonts w:hint="eastAsia"/>
        </w:rPr>
        <w:t>本工程H</w:t>
      </w:r>
      <w:r>
        <w:t>W08</w:t>
      </w:r>
      <w:r>
        <w:rPr>
          <w:rFonts w:hint="eastAsia"/>
        </w:rPr>
        <w:t>类危废产生总量约0.62t</w:t>
      </w:r>
      <w:r>
        <w:t>/a</w:t>
      </w:r>
      <w:r>
        <w:rPr>
          <w:rFonts w:hint="eastAsia"/>
        </w:rPr>
        <w:t>，HW49类危险废物约0.01t/a，相较于克拉玛依博达生态环保科技有限责任公司总体处理能力占比很小。此外，克拉玛依市附近多家具有相应处理资质及处理能力的危废处理单位，吉庆油田作业区可根据需求及各危废处置单位接纳能力选择满足本工程及各项依托设施的危险废物处理需要。综上所述，项目危废处置依托可行。</w:t>
      </w:r>
    </w:p>
    <w:p w14:paraId="74540EB4">
      <w:pPr>
        <w:pStyle w:val="191"/>
        <w:spacing w:line="480" w:lineRule="exact"/>
        <w:ind w:firstLine="480"/>
        <w:rPr>
          <w:rFonts w:hint="eastAsia"/>
        </w:rPr>
      </w:pPr>
      <w:r>
        <w:rPr>
          <w:rFonts w:hint="eastAsia"/>
        </w:rPr>
        <w:t>⑥生活污水依托可行性分析</w:t>
      </w:r>
    </w:p>
    <w:p w14:paraId="73F269B0">
      <w:pPr>
        <w:snapToGrid w:val="0"/>
        <w:spacing w:line="500" w:lineRule="exact"/>
        <w:ind w:firstLine="480" w:firstLineChars="200"/>
        <w:rPr>
          <w:rFonts w:ascii="Times New Roman" w:hAnsi="Times New Roman"/>
          <w:sz w:val="24"/>
          <w:szCs w:val="24"/>
        </w:rPr>
      </w:pPr>
      <w:r>
        <w:rPr>
          <w:rFonts w:hint="eastAsia" w:ascii="宋体" w:hAnsi="宋体" w:cs="宋体"/>
          <w:kern w:val="0"/>
          <w:sz w:val="24"/>
          <w:szCs w:val="24"/>
        </w:rPr>
        <w:t>吉木萨尔县污水处理厂位于吉木萨尔县城东北15km处（张家庄子村北侧500m），设计污水处理规模为3万m</w:t>
      </w:r>
      <w:r>
        <w:rPr>
          <w:rFonts w:hint="eastAsia" w:ascii="宋体" w:hAnsi="宋体" w:cs="宋体"/>
          <w:kern w:val="0"/>
          <w:sz w:val="24"/>
          <w:szCs w:val="24"/>
          <w:vertAlign w:val="superscript"/>
        </w:rPr>
        <w:t>3</w:t>
      </w:r>
      <w:r>
        <w:rPr>
          <w:rFonts w:hint="eastAsia" w:ascii="宋体" w:hAnsi="宋体" w:cs="宋体"/>
          <w:kern w:val="0"/>
          <w:sz w:val="24"/>
          <w:szCs w:val="24"/>
        </w:rPr>
        <w:t>/d，实际处理规模约1万m</w:t>
      </w:r>
      <w:r>
        <w:rPr>
          <w:rFonts w:hint="eastAsia" w:ascii="宋体" w:hAnsi="宋体" w:cs="宋体"/>
          <w:kern w:val="0"/>
          <w:sz w:val="24"/>
          <w:szCs w:val="24"/>
          <w:vertAlign w:val="superscript"/>
        </w:rPr>
        <w:t>3</w:t>
      </w:r>
      <w:r>
        <w:rPr>
          <w:rFonts w:hint="eastAsia" w:ascii="宋体" w:hAnsi="宋体" w:cs="宋体"/>
          <w:kern w:val="0"/>
          <w:sz w:val="24"/>
          <w:szCs w:val="24"/>
        </w:rPr>
        <w:t>/d，采用“强化脱氮改良A</w:t>
      </w:r>
      <w:r>
        <w:rPr>
          <w:rFonts w:hint="eastAsia" w:ascii="宋体" w:hAnsi="宋体" w:cs="宋体"/>
          <w:kern w:val="0"/>
          <w:sz w:val="24"/>
          <w:szCs w:val="24"/>
          <w:vertAlign w:val="superscript"/>
        </w:rPr>
        <w:t>2</w:t>
      </w:r>
      <w:r>
        <w:rPr>
          <w:rFonts w:hint="eastAsia" w:ascii="宋体" w:hAnsi="宋体" w:cs="宋体"/>
          <w:kern w:val="0"/>
          <w:sz w:val="24"/>
          <w:szCs w:val="24"/>
        </w:rPr>
        <w:t>/O+絮凝沉淀滤布滤池工艺”，目前正常运行，该厂可处理服务范围内的生活污水和工业企业污水，出水符合《城镇污水处理厂污染物排放标准》（GB18918-2002）表1中的一级A标准的要求。本项目生活污水单次最大拉运量约30m</w:t>
      </w:r>
      <w:r>
        <w:rPr>
          <w:rFonts w:hint="eastAsia" w:ascii="宋体" w:hAnsi="宋体" w:cs="宋体"/>
          <w:kern w:val="0"/>
          <w:sz w:val="24"/>
          <w:szCs w:val="24"/>
          <w:vertAlign w:val="superscript"/>
        </w:rPr>
        <w:t>3</w:t>
      </w:r>
      <w:r>
        <w:rPr>
          <w:rFonts w:hint="eastAsia" w:ascii="宋体" w:hAnsi="宋体" w:cs="宋体"/>
          <w:kern w:val="0"/>
          <w:sz w:val="24"/>
          <w:szCs w:val="24"/>
        </w:rPr>
        <w:t>，</w:t>
      </w:r>
      <w:r>
        <w:rPr>
          <w:rFonts w:hint="eastAsia" w:ascii="宋体" w:hAnsi="宋体" w:cs="宋体"/>
          <w:sz w:val="24"/>
          <w:szCs w:val="24"/>
        </w:rPr>
        <w:t>该污水处理厂富余处理能力可以满足项目处理需求，依托可行。</w:t>
      </w:r>
    </w:p>
    <w:p w14:paraId="1182AE8F">
      <w:pPr>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⑦生活垃圾依托可行性分析</w:t>
      </w:r>
    </w:p>
    <w:p w14:paraId="6CF9BBE2">
      <w:pPr>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吉木萨尔县生活垃圾填埋场位于吉木萨尔县新地乡，中心地理坐标为东经89°04′15.8″，北纬43°59′10.1″，近期工程生活垃圾清运处理量100t/d，总库容63×10</w:t>
      </w:r>
      <w:r>
        <w:rPr>
          <w:rFonts w:hint="eastAsia" w:ascii="宋体" w:hAnsi="宋体" w:cs="宋体"/>
          <w:sz w:val="24"/>
          <w:szCs w:val="24"/>
          <w:vertAlign w:val="superscript"/>
        </w:rPr>
        <w:t>4</w:t>
      </w:r>
      <w:r>
        <w:rPr>
          <w:rFonts w:hint="eastAsia" w:ascii="宋体" w:hAnsi="宋体" w:cs="宋体"/>
          <w:sz w:val="24"/>
          <w:szCs w:val="24"/>
        </w:rPr>
        <w:t>m</w:t>
      </w:r>
      <w:r>
        <w:rPr>
          <w:rFonts w:hint="eastAsia" w:ascii="宋体" w:hAnsi="宋体" w:cs="宋体"/>
          <w:sz w:val="24"/>
          <w:szCs w:val="24"/>
          <w:vertAlign w:val="superscript"/>
        </w:rPr>
        <w:t>3</w:t>
      </w:r>
      <w:r>
        <w:rPr>
          <w:rFonts w:hint="eastAsia" w:ascii="宋体" w:hAnsi="宋体" w:cs="宋体"/>
          <w:sz w:val="24"/>
          <w:szCs w:val="24"/>
        </w:rPr>
        <w:t>，服务年限11年；远期工程生活垃圾清运处理量130t/d，总库容94.5×10</w:t>
      </w:r>
      <w:r>
        <w:rPr>
          <w:rFonts w:hint="eastAsia" w:ascii="宋体" w:hAnsi="宋体" w:cs="宋体"/>
          <w:sz w:val="24"/>
          <w:szCs w:val="24"/>
          <w:vertAlign w:val="superscript"/>
        </w:rPr>
        <w:t>4</w:t>
      </w:r>
      <w:r>
        <w:rPr>
          <w:rFonts w:hint="eastAsia" w:ascii="宋体" w:hAnsi="宋体" w:cs="宋体"/>
          <w:sz w:val="24"/>
          <w:szCs w:val="24"/>
        </w:rPr>
        <w:t>m</w:t>
      </w:r>
      <w:r>
        <w:rPr>
          <w:rFonts w:hint="eastAsia" w:ascii="宋体" w:hAnsi="宋体" w:cs="宋体"/>
          <w:sz w:val="24"/>
          <w:szCs w:val="24"/>
          <w:vertAlign w:val="superscript"/>
        </w:rPr>
        <w:t>3</w:t>
      </w:r>
      <w:r>
        <w:rPr>
          <w:rFonts w:hint="eastAsia" w:ascii="宋体" w:hAnsi="宋体" w:cs="宋体"/>
          <w:sz w:val="24"/>
          <w:szCs w:val="24"/>
        </w:rPr>
        <w:t>，服务年限12年，采用卫生填埋工艺，主要处置城镇生活垃圾，不作为工业固体废物和危险废弃物处置场所。本项目施工期生活垃圾产生量为3.5t，生活垃圾填埋场富余处理规模可满足项目需求，依托可行。</w:t>
      </w:r>
    </w:p>
    <w:bookmarkEnd w:id="220"/>
    <w:bookmarkEnd w:id="221"/>
    <w:bookmarkEnd w:id="222"/>
    <w:p w14:paraId="0E10F7F5">
      <w:pPr>
        <w:pStyle w:val="4"/>
        <w:rPr>
          <w:rFonts w:hint="eastAsia"/>
        </w:rPr>
      </w:pPr>
      <w:r>
        <w:rPr>
          <w:rFonts w:hint="eastAsia"/>
        </w:rPr>
        <w:t>主要技术经济指标</w:t>
      </w:r>
    </w:p>
    <w:p w14:paraId="0DC00099">
      <w:pPr>
        <w:pStyle w:val="117"/>
        <w:ind w:firstLine="480"/>
        <w:rPr>
          <w:rFonts w:hint="eastAsia" w:ascii="黑体" w:hAnsi="黑体" w:eastAsia="黑体"/>
          <w:sz w:val="21"/>
          <w:szCs w:val="21"/>
        </w:rPr>
      </w:pPr>
      <w:r>
        <w:rPr>
          <w:rFonts w:hint="eastAsia"/>
        </w:rPr>
        <w:t>主要技术经济指标见表</w:t>
      </w:r>
      <w:r>
        <w:t>3.2</w:t>
      </w:r>
      <w:r>
        <w:rPr>
          <w:rFonts w:hint="eastAsia"/>
        </w:rPr>
        <w:t>-15。</w:t>
      </w:r>
    </w:p>
    <w:p w14:paraId="44556879">
      <w:pPr>
        <w:pStyle w:val="191"/>
        <w:ind w:firstLine="0" w:firstLineChars="0"/>
        <w:jc w:val="center"/>
        <w:rPr>
          <w:rFonts w:hint="eastAsia" w:ascii="黑体" w:hAnsi="黑体" w:eastAsia="黑体"/>
          <w:sz w:val="21"/>
          <w:szCs w:val="21"/>
        </w:rPr>
      </w:pPr>
      <w:r>
        <w:rPr>
          <w:rFonts w:hint="eastAsia" w:ascii="黑体" w:hAnsi="黑体" w:eastAsia="黑体"/>
          <w:sz w:val="21"/>
          <w:szCs w:val="21"/>
        </w:rPr>
        <w:t>表3</w:t>
      </w:r>
      <w:r>
        <w:rPr>
          <w:rFonts w:ascii="黑体" w:hAnsi="黑体" w:eastAsia="黑体"/>
          <w:sz w:val="21"/>
          <w:szCs w:val="21"/>
        </w:rPr>
        <w:t>.2</w:t>
      </w:r>
      <w:r>
        <w:rPr>
          <w:rFonts w:hint="eastAsia" w:ascii="黑体" w:hAnsi="黑体" w:eastAsia="黑体"/>
          <w:sz w:val="21"/>
          <w:szCs w:val="21"/>
        </w:rPr>
        <w:t xml:space="preserve">-15 </w:t>
      </w:r>
      <w:r>
        <w:rPr>
          <w:rFonts w:ascii="黑体" w:hAnsi="黑体" w:eastAsia="黑体"/>
          <w:sz w:val="21"/>
          <w:szCs w:val="21"/>
        </w:rPr>
        <w:t xml:space="preserve"> </w:t>
      </w:r>
      <w:r>
        <w:rPr>
          <w:rFonts w:hint="eastAsia" w:ascii="黑体" w:hAnsi="黑体" w:eastAsia="黑体"/>
          <w:sz w:val="21"/>
          <w:szCs w:val="21"/>
        </w:rPr>
        <w:t>主要技术经济指标一览表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1916"/>
        <w:gridCol w:w="2792"/>
        <w:gridCol w:w="2283"/>
        <w:gridCol w:w="1795"/>
      </w:tblGrid>
      <w:tr w14:paraId="542C235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1B95B975">
            <w:pPr>
              <w:widowControl/>
              <w:overflowPunct w:val="0"/>
              <w:adjustRightInd w:val="0"/>
              <w:snapToGrid w:val="0"/>
              <w:spacing w:line="300" w:lineRule="exact"/>
              <w:jc w:val="center"/>
              <w:rPr>
                <w:rFonts w:hint="eastAsia" w:ascii="宋体" w:hAnsi="宋体"/>
                <w:szCs w:val="21"/>
              </w:rPr>
            </w:pPr>
            <w:r>
              <w:rPr>
                <w:rFonts w:hint="eastAsia" w:ascii="宋体" w:hAnsi="宋体"/>
                <w:szCs w:val="21"/>
              </w:rPr>
              <w:t>类别</w:t>
            </w:r>
          </w:p>
        </w:tc>
        <w:tc>
          <w:tcPr>
            <w:tcW w:w="1589" w:type="pct"/>
            <w:vAlign w:val="center"/>
          </w:tcPr>
          <w:p w14:paraId="59F88CA0">
            <w:pPr>
              <w:overflowPunct w:val="0"/>
              <w:adjustRightInd w:val="0"/>
              <w:snapToGrid w:val="0"/>
              <w:spacing w:line="300" w:lineRule="exact"/>
              <w:jc w:val="center"/>
              <w:rPr>
                <w:rFonts w:hint="eastAsia" w:ascii="宋体" w:hAnsi="宋体"/>
                <w:szCs w:val="21"/>
              </w:rPr>
            </w:pPr>
            <w:r>
              <w:rPr>
                <w:rFonts w:hint="eastAsia" w:ascii="宋体" w:hAnsi="宋体"/>
                <w:szCs w:val="21"/>
              </w:rPr>
              <w:t>数量</w:t>
            </w:r>
          </w:p>
        </w:tc>
        <w:tc>
          <w:tcPr>
            <w:tcW w:w="1299" w:type="pct"/>
            <w:vAlign w:val="center"/>
          </w:tcPr>
          <w:p w14:paraId="2F37CF23">
            <w:pPr>
              <w:overflowPunct w:val="0"/>
              <w:adjustRightInd w:val="0"/>
              <w:snapToGrid w:val="0"/>
              <w:spacing w:line="300" w:lineRule="exact"/>
              <w:jc w:val="center"/>
              <w:rPr>
                <w:rFonts w:hint="eastAsia" w:ascii="宋体" w:hAnsi="宋体"/>
                <w:szCs w:val="21"/>
              </w:rPr>
            </w:pPr>
            <w:r>
              <w:rPr>
                <w:rFonts w:hint="eastAsia" w:ascii="宋体" w:hAnsi="宋体"/>
                <w:szCs w:val="21"/>
              </w:rPr>
              <w:t>类别</w:t>
            </w:r>
          </w:p>
        </w:tc>
        <w:tc>
          <w:tcPr>
            <w:tcW w:w="1022" w:type="pct"/>
            <w:vAlign w:val="center"/>
          </w:tcPr>
          <w:p w14:paraId="0B12329B">
            <w:pPr>
              <w:overflowPunct w:val="0"/>
              <w:adjustRightInd w:val="0"/>
              <w:snapToGrid w:val="0"/>
              <w:spacing w:line="300" w:lineRule="exact"/>
              <w:jc w:val="center"/>
              <w:rPr>
                <w:rFonts w:hint="eastAsia" w:ascii="宋体" w:hAnsi="宋体"/>
                <w:szCs w:val="21"/>
              </w:rPr>
            </w:pPr>
            <w:r>
              <w:rPr>
                <w:rFonts w:hint="eastAsia" w:ascii="宋体" w:hAnsi="宋体"/>
                <w:szCs w:val="21"/>
              </w:rPr>
              <w:t>数量</w:t>
            </w:r>
          </w:p>
        </w:tc>
      </w:tr>
      <w:tr w14:paraId="6CCD957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3C53F7C7">
            <w:pPr>
              <w:widowControl/>
              <w:overflowPunct w:val="0"/>
              <w:adjustRightInd w:val="0"/>
              <w:snapToGrid w:val="0"/>
              <w:spacing w:line="300" w:lineRule="exact"/>
              <w:jc w:val="center"/>
              <w:rPr>
                <w:rFonts w:hint="eastAsia" w:ascii="宋体" w:hAnsi="宋体"/>
                <w:szCs w:val="21"/>
              </w:rPr>
            </w:pPr>
            <w:r>
              <w:rPr>
                <w:rFonts w:hint="eastAsia" w:ascii="宋体" w:hAnsi="宋体"/>
                <w:szCs w:val="21"/>
              </w:rPr>
              <w:t>设计动用资源储量</w:t>
            </w:r>
          </w:p>
        </w:tc>
        <w:tc>
          <w:tcPr>
            <w:tcW w:w="1589" w:type="pct"/>
            <w:vAlign w:val="center"/>
          </w:tcPr>
          <w:p w14:paraId="7C5551D9">
            <w:pPr>
              <w:widowControl/>
              <w:overflowPunct w:val="0"/>
              <w:adjustRightInd w:val="0"/>
              <w:snapToGrid w:val="0"/>
              <w:spacing w:line="300" w:lineRule="exact"/>
              <w:jc w:val="center"/>
              <w:rPr>
                <w:rFonts w:hint="eastAsia" w:ascii="宋体" w:hAnsi="宋体"/>
                <w:szCs w:val="21"/>
              </w:rPr>
            </w:pPr>
            <w:r>
              <w:rPr>
                <w:rFonts w:hint="eastAsia" w:ascii="宋体" w:hAnsi="宋体"/>
                <w:szCs w:val="21"/>
              </w:rPr>
              <w:t>2.7×10</w:t>
            </w:r>
            <w:r>
              <w:rPr>
                <w:rFonts w:hint="eastAsia" w:ascii="宋体" w:hAnsi="宋体"/>
                <w:szCs w:val="21"/>
                <w:vertAlign w:val="superscript"/>
              </w:rPr>
              <w:t>4</w:t>
            </w:r>
            <w:r>
              <w:rPr>
                <w:rFonts w:hint="eastAsia" w:ascii="宋体" w:hAnsi="宋体"/>
                <w:szCs w:val="21"/>
              </w:rPr>
              <w:t>t/a</w:t>
            </w:r>
          </w:p>
        </w:tc>
        <w:tc>
          <w:tcPr>
            <w:tcW w:w="1299" w:type="pct"/>
            <w:vAlign w:val="center"/>
          </w:tcPr>
          <w:p w14:paraId="7031F9C0">
            <w:pPr>
              <w:overflowPunct w:val="0"/>
              <w:adjustRightInd w:val="0"/>
              <w:snapToGrid w:val="0"/>
              <w:spacing w:line="300" w:lineRule="exact"/>
              <w:jc w:val="center"/>
              <w:rPr>
                <w:rFonts w:hint="eastAsia" w:ascii="宋体" w:hAnsi="宋体"/>
                <w:szCs w:val="21"/>
              </w:rPr>
            </w:pPr>
            <w:r>
              <w:rPr>
                <w:rFonts w:hint="eastAsia" w:ascii="宋体" w:hAnsi="宋体"/>
                <w:kern w:val="0"/>
                <w:szCs w:val="21"/>
                <w:lang w:bidi="ar"/>
              </w:rPr>
              <w:t>临时占地面积</w:t>
            </w:r>
          </w:p>
        </w:tc>
        <w:tc>
          <w:tcPr>
            <w:tcW w:w="1022" w:type="pct"/>
            <w:vAlign w:val="center"/>
          </w:tcPr>
          <w:p w14:paraId="484727C5">
            <w:pPr>
              <w:overflowPunct w:val="0"/>
              <w:adjustRightInd w:val="0"/>
              <w:snapToGrid w:val="0"/>
              <w:spacing w:line="300" w:lineRule="exact"/>
              <w:jc w:val="center"/>
              <w:rPr>
                <w:rFonts w:hint="eastAsia" w:ascii="宋体" w:hAnsi="宋体"/>
                <w:szCs w:val="21"/>
              </w:rPr>
            </w:pPr>
            <w:r>
              <w:rPr>
                <w:rFonts w:hint="eastAsia" w:ascii="宋体" w:hAnsi="宋体"/>
                <w:bCs/>
              </w:rPr>
              <w:t>98600m</w:t>
            </w:r>
            <w:r>
              <w:rPr>
                <w:rFonts w:hint="eastAsia" w:ascii="宋体" w:hAnsi="宋体"/>
                <w:bCs/>
                <w:vertAlign w:val="superscript"/>
              </w:rPr>
              <w:t>2</w:t>
            </w:r>
          </w:p>
        </w:tc>
      </w:tr>
      <w:tr w14:paraId="65B0C5D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25ECF651">
            <w:pPr>
              <w:widowControl/>
              <w:overflowPunct w:val="0"/>
              <w:adjustRightInd w:val="0"/>
              <w:snapToGrid w:val="0"/>
              <w:spacing w:line="300" w:lineRule="exact"/>
              <w:jc w:val="center"/>
              <w:rPr>
                <w:rFonts w:hint="eastAsia" w:ascii="宋体" w:hAnsi="宋体"/>
                <w:szCs w:val="21"/>
              </w:rPr>
            </w:pPr>
            <w:r>
              <w:rPr>
                <w:rFonts w:hint="eastAsia" w:ascii="宋体" w:hAnsi="宋体"/>
                <w:szCs w:val="21"/>
              </w:rPr>
              <w:t>设计井数</w:t>
            </w:r>
          </w:p>
        </w:tc>
        <w:tc>
          <w:tcPr>
            <w:tcW w:w="1589" w:type="pct"/>
            <w:vAlign w:val="center"/>
          </w:tcPr>
          <w:p w14:paraId="0EB23880">
            <w:pPr>
              <w:overflowPunct w:val="0"/>
              <w:adjustRightInd w:val="0"/>
              <w:snapToGrid w:val="0"/>
              <w:spacing w:line="300" w:lineRule="exact"/>
              <w:jc w:val="center"/>
              <w:rPr>
                <w:rFonts w:hint="eastAsia" w:ascii="宋体" w:hAnsi="宋体"/>
                <w:szCs w:val="21"/>
              </w:rPr>
            </w:pPr>
            <w:r>
              <w:rPr>
                <w:rFonts w:hint="eastAsia" w:ascii="宋体" w:hAnsi="宋体"/>
                <w:szCs w:val="21"/>
              </w:rPr>
              <w:t>5口</w:t>
            </w:r>
          </w:p>
        </w:tc>
        <w:tc>
          <w:tcPr>
            <w:tcW w:w="1299" w:type="pct"/>
            <w:vAlign w:val="center"/>
          </w:tcPr>
          <w:p w14:paraId="662E4D61">
            <w:pPr>
              <w:overflowPunct w:val="0"/>
              <w:adjustRightInd w:val="0"/>
              <w:snapToGrid w:val="0"/>
              <w:spacing w:line="300" w:lineRule="exact"/>
              <w:jc w:val="center"/>
              <w:rPr>
                <w:rFonts w:hint="eastAsia" w:ascii="宋体" w:hAnsi="宋体"/>
                <w:szCs w:val="21"/>
              </w:rPr>
            </w:pPr>
            <w:r>
              <w:rPr>
                <w:rFonts w:hint="eastAsia" w:ascii="宋体" w:hAnsi="宋体"/>
                <w:szCs w:val="21"/>
              </w:rPr>
              <w:t>永久占地面积</w:t>
            </w:r>
          </w:p>
        </w:tc>
        <w:tc>
          <w:tcPr>
            <w:tcW w:w="1022" w:type="pct"/>
            <w:vAlign w:val="center"/>
          </w:tcPr>
          <w:p w14:paraId="195B7C00">
            <w:pPr>
              <w:overflowPunct w:val="0"/>
              <w:adjustRightInd w:val="0"/>
              <w:snapToGrid w:val="0"/>
              <w:spacing w:line="300" w:lineRule="exact"/>
              <w:jc w:val="center"/>
              <w:rPr>
                <w:rFonts w:hint="eastAsia" w:ascii="宋体" w:hAnsi="宋体"/>
                <w:szCs w:val="21"/>
              </w:rPr>
            </w:pPr>
            <w:r>
              <w:rPr>
                <w:rFonts w:hint="eastAsia" w:ascii="宋体" w:hAnsi="宋体"/>
                <w:bCs/>
              </w:rPr>
              <w:t>13230m</w:t>
            </w:r>
            <w:r>
              <w:rPr>
                <w:rFonts w:hint="eastAsia" w:ascii="宋体" w:hAnsi="宋体"/>
                <w:bCs/>
                <w:vertAlign w:val="superscript"/>
              </w:rPr>
              <w:t>2</w:t>
            </w:r>
          </w:p>
        </w:tc>
      </w:tr>
      <w:tr w14:paraId="777B07F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49A2D200">
            <w:pPr>
              <w:widowControl/>
              <w:overflowPunct w:val="0"/>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不同规模站场数</w:t>
            </w:r>
          </w:p>
        </w:tc>
        <w:tc>
          <w:tcPr>
            <w:tcW w:w="1589" w:type="pct"/>
            <w:vAlign w:val="center"/>
          </w:tcPr>
          <w:p w14:paraId="065F1E60">
            <w:pPr>
              <w:overflowPunct w:val="0"/>
              <w:adjustRightInd w:val="0"/>
              <w:snapToGrid w:val="0"/>
              <w:spacing w:line="300" w:lineRule="exact"/>
              <w:jc w:val="center"/>
              <w:rPr>
                <w:rFonts w:hint="eastAsia" w:ascii="宋体" w:hAnsi="宋体"/>
                <w:szCs w:val="21"/>
              </w:rPr>
            </w:pPr>
            <w:r>
              <w:rPr>
                <w:rFonts w:hint="eastAsia" w:ascii="宋体" w:hAnsi="宋体"/>
                <w:szCs w:val="21"/>
              </w:rPr>
              <w:t>1座</w:t>
            </w:r>
          </w:p>
        </w:tc>
        <w:tc>
          <w:tcPr>
            <w:tcW w:w="1299" w:type="pct"/>
            <w:vAlign w:val="center"/>
          </w:tcPr>
          <w:p w14:paraId="0A1CEA39">
            <w:pPr>
              <w:overflowPunct w:val="0"/>
              <w:adjustRightInd w:val="0"/>
              <w:snapToGrid w:val="0"/>
              <w:spacing w:line="300" w:lineRule="exact"/>
              <w:jc w:val="center"/>
              <w:rPr>
                <w:rFonts w:hint="eastAsia" w:ascii="宋体" w:hAnsi="宋体"/>
                <w:szCs w:val="21"/>
              </w:rPr>
            </w:pPr>
            <w:r>
              <w:rPr>
                <w:rFonts w:hint="eastAsia" w:ascii="宋体" w:hAnsi="宋体"/>
                <w:kern w:val="0"/>
                <w:szCs w:val="21"/>
                <w:lang w:bidi="ar"/>
              </w:rPr>
              <w:t>电能消耗量</w:t>
            </w:r>
          </w:p>
        </w:tc>
        <w:tc>
          <w:tcPr>
            <w:tcW w:w="1022" w:type="pct"/>
            <w:vAlign w:val="center"/>
          </w:tcPr>
          <w:p w14:paraId="125239AB">
            <w:pPr>
              <w:overflowPunct w:val="0"/>
              <w:adjustRightInd w:val="0"/>
              <w:snapToGrid w:val="0"/>
              <w:spacing w:line="300" w:lineRule="exact"/>
              <w:jc w:val="center"/>
              <w:rPr>
                <w:rFonts w:hint="eastAsia" w:ascii="宋体" w:hAnsi="宋体"/>
                <w:szCs w:val="21"/>
              </w:rPr>
            </w:pPr>
            <w:r>
              <w:rPr>
                <w:rFonts w:hint="eastAsia" w:ascii="宋体" w:hAnsi="宋体"/>
                <w:bCs/>
              </w:rPr>
              <w:t>19</w:t>
            </w:r>
            <w:r>
              <w:rPr>
                <w:rFonts w:hint="eastAsia" w:ascii="宋体" w:hAnsi="宋体"/>
                <w:szCs w:val="21"/>
              </w:rPr>
              <w:t>×</w:t>
            </w:r>
            <w:r>
              <w:rPr>
                <w:rFonts w:ascii="宋体" w:hAnsi="宋体"/>
                <w:szCs w:val="21"/>
              </w:rPr>
              <w:t>10</w:t>
            </w:r>
            <w:r>
              <w:rPr>
                <w:rFonts w:ascii="宋体" w:hAnsi="宋体"/>
                <w:szCs w:val="21"/>
                <w:vertAlign w:val="superscript"/>
              </w:rPr>
              <w:t>4</w:t>
            </w:r>
            <w:r>
              <w:rPr>
                <w:rFonts w:ascii="宋体" w:hAnsi="宋体"/>
                <w:szCs w:val="21"/>
              </w:rPr>
              <w:t>kW</w:t>
            </w:r>
            <w:r>
              <w:rPr>
                <w:rFonts w:hint="eastAsia" w:ascii="微软雅黑" w:hAnsi="微软雅黑" w:eastAsia="微软雅黑" w:cs="微软雅黑"/>
                <w:szCs w:val="21"/>
              </w:rPr>
              <w:t>▪</w:t>
            </w:r>
            <w:r>
              <w:rPr>
                <w:rFonts w:ascii="宋体" w:hAnsi="宋体"/>
                <w:szCs w:val="21"/>
              </w:rPr>
              <w:t>h</w:t>
            </w:r>
          </w:p>
        </w:tc>
      </w:tr>
      <w:tr w14:paraId="48FD8F9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45EEA84A">
            <w:pPr>
              <w:widowControl/>
              <w:overflowPunct w:val="0"/>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管道长度</w:t>
            </w:r>
          </w:p>
        </w:tc>
        <w:tc>
          <w:tcPr>
            <w:tcW w:w="1589" w:type="pct"/>
            <w:vAlign w:val="center"/>
          </w:tcPr>
          <w:p w14:paraId="6FBAF306">
            <w:pPr>
              <w:widowControl/>
              <w:overflowPunct w:val="0"/>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6.5km</w:t>
            </w:r>
          </w:p>
        </w:tc>
        <w:tc>
          <w:tcPr>
            <w:tcW w:w="1299" w:type="pct"/>
            <w:tcBorders>
              <w:bottom w:val="single" w:color="auto" w:sz="4" w:space="0"/>
            </w:tcBorders>
            <w:vAlign w:val="center"/>
          </w:tcPr>
          <w:p w14:paraId="720A2CB4">
            <w:pPr>
              <w:overflowPunct w:val="0"/>
              <w:adjustRightInd w:val="0"/>
              <w:snapToGrid w:val="0"/>
              <w:spacing w:line="300" w:lineRule="exact"/>
              <w:jc w:val="center"/>
              <w:rPr>
                <w:rFonts w:hint="eastAsia" w:ascii="宋体" w:hAnsi="宋体"/>
                <w:szCs w:val="21"/>
              </w:rPr>
            </w:pPr>
            <w:r>
              <w:rPr>
                <w:rFonts w:hint="eastAsia" w:ascii="宋体" w:hAnsi="宋体"/>
                <w:szCs w:val="21"/>
              </w:rPr>
              <w:t>总投资</w:t>
            </w:r>
          </w:p>
        </w:tc>
        <w:tc>
          <w:tcPr>
            <w:tcW w:w="1022" w:type="pct"/>
            <w:vAlign w:val="center"/>
          </w:tcPr>
          <w:p w14:paraId="0B61FB97">
            <w:pPr>
              <w:overflowPunct w:val="0"/>
              <w:adjustRightInd w:val="0"/>
              <w:snapToGrid w:val="0"/>
              <w:spacing w:line="300" w:lineRule="exact"/>
              <w:jc w:val="center"/>
              <w:rPr>
                <w:rFonts w:hint="eastAsia" w:ascii="宋体" w:hAnsi="宋体"/>
                <w:szCs w:val="21"/>
              </w:rPr>
            </w:pPr>
            <w:r>
              <w:rPr>
                <w:rFonts w:hint="eastAsia" w:ascii="宋体" w:hAnsi="宋体"/>
                <w:szCs w:val="21"/>
              </w:rPr>
              <w:t>18884万元</w:t>
            </w:r>
          </w:p>
        </w:tc>
      </w:tr>
      <w:tr w14:paraId="56C9D35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427B9057">
            <w:pPr>
              <w:widowControl/>
              <w:overflowPunct w:val="0"/>
              <w:adjustRightInd w:val="0"/>
              <w:snapToGrid w:val="0"/>
              <w:spacing w:line="300" w:lineRule="exact"/>
              <w:jc w:val="center"/>
              <w:rPr>
                <w:rFonts w:hint="eastAsia" w:ascii="宋体" w:hAnsi="宋体"/>
                <w:kern w:val="0"/>
                <w:szCs w:val="21"/>
                <w:lang w:bidi="ar"/>
              </w:rPr>
            </w:pPr>
            <w:r>
              <w:rPr>
                <w:rFonts w:hint="eastAsia" w:ascii="宋体" w:hAnsi="宋体"/>
                <w:szCs w:val="21"/>
              </w:rPr>
              <w:t>劳动定员</w:t>
            </w:r>
          </w:p>
        </w:tc>
        <w:tc>
          <w:tcPr>
            <w:tcW w:w="1589" w:type="pct"/>
            <w:tcBorders>
              <w:bottom w:val="single" w:color="auto" w:sz="4" w:space="0"/>
            </w:tcBorders>
            <w:vAlign w:val="center"/>
          </w:tcPr>
          <w:p w14:paraId="195D41AF">
            <w:pPr>
              <w:overflowPunct w:val="0"/>
              <w:adjustRightInd w:val="0"/>
              <w:snapToGrid w:val="0"/>
              <w:spacing w:line="300" w:lineRule="exact"/>
              <w:jc w:val="center"/>
              <w:rPr>
                <w:rFonts w:hint="eastAsia" w:ascii="宋体" w:hAnsi="宋体"/>
                <w:szCs w:val="21"/>
              </w:rPr>
            </w:pPr>
            <w:r>
              <w:rPr>
                <w:rFonts w:hint="eastAsia" w:ascii="宋体" w:hAnsi="宋体"/>
                <w:szCs w:val="21"/>
              </w:rPr>
              <w:t>依托现有劳动定员，不新增</w:t>
            </w:r>
          </w:p>
        </w:tc>
        <w:tc>
          <w:tcPr>
            <w:tcW w:w="1299" w:type="pct"/>
            <w:tcBorders>
              <w:top w:val="single" w:color="auto" w:sz="4" w:space="0"/>
              <w:bottom w:val="single" w:color="auto" w:sz="4" w:space="0"/>
            </w:tcBorders>
            <w:vAlign w:val="center"/>
          </w:tcPr>
          <w:p w14:paraId="29AD9584">
            <w:pPr>
              <w:overflowPunct w:val="0"/>
              <w:adjustRightInd w:val="0"/>
              <w:snapToGrid w:val="0"/>
              <w:spacing w:line="300" w:lineRule="exact"/>
              <w:jc w:val="center"/>
              <w:rPr>
                <w:rFonts w:hint="eastAsia" w:ascii="宋体" w:hAnsi="宋体"/>
                <w:szCs w:val="21"/>
              </w:rPr>
            </w:pPr>
            <w:r>
              <w:rPr>
                <w:rFonts w:hint="eastAsia" w:ascii="宋体" w:hAnsi="宋体"/>
                <w:szCs w:val="21"/>
              </w:rPr>
              <w:t>环保投资</w:t>
            </w:r>
          </w:p>
        </w:tc>
        <w:tc>
          <w:tcPr>
            <w:tcW w:w="1022" w:type="pct"/>
            <w:vAlign w:val="center"/>
          </w:tcPr>
          <w:p w14:paraId="034DB29D">
            <w:pPr>
              <w:overflowPunct w:val="0"/>
              <w:adjustRightInd w:val="0"/>
              <w:snapToGrid w:val="0"/>
              <w:spacing w:line="300" w:lineRule="exact"/>
              <w:jc w:val="center"/>
              <w:rPr>
                <w:rFonts w:hint="eastAsia" w:ascii="宋体" w:hAnsi="宋体"/>
                <w:bCs/>
              </w:rPr>
            </w:pPr>
            <w:r>
              <w:rPr>
                <w:rFonts w:hint="eastAsia" w:ascii="宋体" w:hAnsi="宋体"/>
                <w:szCs w:val="21"/>
              </w:rPr>
              <w:t>459万元</w:t>
            </w:r>
          </w:p>
        </w:tc>
      </w:tr>
      <w:tr w14:paraId="3F2ECA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1090" w:type="pct"/>
            <w:vAlign w:val="center"/>
          </w:tcPr>
          <w:p w14:paraId="17BE04E2">
            <w:pPr>
              <w:widowControl/>
              <w:overflowPunct w:val="0"/>
              <w:adjustRightInd w:val="0"/>
              <w:snapToGrid w:val="0"/>
              <w:spacing w:line="300" w:lineRule="exact"/>
              <w:jc w:val="center"/>
              <w:rPr>
                <w:rFonts w:hint="eastAsia" w:ascii="宋体" w:hAnsi="宋体"/>
                <w:kern w:val="0"/>
                <w:szCs w:val="21"/>
                <w:lang w:bidi="ar"/>
              </w:rPr>
            </w:pPr>
            <w:r>
              <w:rPr>
                <w:rFonts w:hint="eastAsia" w:ascii="宋体" w:hAnsi="宋体"/>
                <w:szCs w:val="21"/>
              </w:rPr>
              <w:t>工作制度</w:t>
            </w:r>
          </w:p>
        </w:tc>
        <w:tc>
          <w:tcPr>
            <w:tcW w:w="1589" w:type="pct"/>
            <w:tcBorders>
              <w:top w:val="single" w:color="auto" w:sz="4" w:space="0"/>
            </w:tcBorders>
            <w:vAlign w:val="center"/>
          </w:tcPr>
          <w:p w14:paraId="6FCE0CC5">
            <w:pPr>
              <w:overflowPunct w:val="0"/>
              <w:adjustRightInd w:val="0"/>
              <w:snapToGrid w:val="0"/>
              <w:spacing w:line="300" w:lineRule="exact"/>
              <w:jc w:val="center"/>
              <w:rPr>
                <w:rFonts w:hint="eastAsia" w:ascii="宋体" w:hAnsi="宋体"/>
                <w:szCs w:val="21"/>
              </w:rPr>
            </w:pPr>
            <w:r>
              <w:rPr>
                <w:rFonts w:hint="eastAsia" w:ascii="宋体" w:hAnsi="宋体"/>
                <w:szCs w:val="21"/>
              </w:rPr>
              <w:t>年运行</w:t>
            </w:r>
            <w:r>
              <w:rPr>
                <w:rFonts w:ascii="宋体" w:hAnsi="宋体"/>
                <w:szCs w:val="21"/>
              </w:rPr>
              <w:t>330</w:t>
            </w:r>
            <w:r>
              <w:rPr>
                <w:rFonts w:hint="eastAsia" w:ascii="宋体" w:hAnsi="宋体"/>
                <w:szCs w:val="21"/>
              </w:rPr>
              <w:t>天</w:t>
            </w:r>
          </w:p>
        </w:tc>
        <w:tc>
          <w:tcPr>
            <w:tcW w:w="1299" w:type="pct"/>
            <w:tcBorders>
              <w:top w:val="single" w:color="auto" w:sz="4" w:space="0"/>
            </w:tcBorders>
            <w:vAlign w:val="center"/>
          </w:tcPr>
          <w:p w14:paraId="4ECCC406">
            <w:pPr>
              <w:overflowPunct w:val="0"/>
              <w:adjustRightInd w:val="0"/>
              <w:snapToGrid w:val="0"/>
              <w:spacing w:line="300" w:lineRule="exact"/>
              <w:jc w:val="center"/>
              <w:rPr>
                <w:rFonts w:hint="eastAsia" w:ascii="宋体" w:hAnsi="宋体"/>
                <w:szCs w:val="21"/>
              </w:rPr>
            </w:pPr>
          </w:p>
        </w:tc>
        <w:tc>
          <w:tcPr>
            <w:tcW w:w="1022" w:type="pct"/>
            <w:vAlign w:val="center"/>
          </w:tcPr>
          <w:p w14:paraId="2088E7BC">
            <w:pPr>
              <w:overflowPunct w:val="0"/>
              <w:adjustRightInd w:val="0"/>
              <w:snapToGrid w:val="0"/>
              <w:spacing w:line="300" w:lineRule="exact"/>
              <w:jc w:val="center"/>
              <w:rPr>
                <w:rFonts w:hint="eastAsia" w:ascii="宋体" w:hAnsi="宋体"/>
                <w:bCs/>
              </w:rPr>
            </w:pPr>
          </w:p>
        </w:tc>
      </w:tr>
    </w:tbl>
    <w:p w14:paraId="33249007">
      <w:pPr>
        <w:pStyle w:val="4"/>
        <w:rPr>
          <w:rFonts w:hint="eastAsia"/>
        </w:rPr>
      </w:pPr>
      <w:r>
        <w:rPr>
          <w:rFonts w:hint="eastAsia"/>
        </w:rPr>
        <w:t>生产工艺及环境影响因素分析</w:t>
      </w:r>
    </w:p>
    <w:p w14:paraId="1CB637A9">
      <w:pPr>
        <w:pStyle w:val="117"/>
        <w:adjustRightInd w:val="0"/>
        <w:snapToGrid w:val="0"/>
        <w:ind w:firstLine="480"/>
        <w:rPr>
          <w:rFonts w:hint="eastAsia"/>
        </w:rPr>
      </w:pPr>
      <w:r>
        <w:rPr>
          <w:rFonts w:hint="eastAsia"/>
        </w:rPr>
        <w:t>（1）施工期施工工艺及环境影响因素分析</w:t>
      </w:r>
    </w:p>
    <w:p w14:paraId="633DCE5F">
      <w:pPr>
        <w:pStyle w:val="117"/>
        <w:adjustRightInd w:val="0"/>
        <w:snapToGrid w:val="0"/>
        <w:ind w:firstLine="480"/>
        <w:rPr>
          <w:rFonts w:hint="eastAsia"/>
        </w:rPr>
      </w:pPr>
      <w:r>
        <w:rPr>
          <w:rFonts w:hint="eastAsia"/>
        </w:rPr>
        <w:t>①钻前工程</w:t>
      </w:r>
    </w:p>
    <w:p w14:paraId="5522FD82">
      <w:pPr>
        <w:pStyle w:val="117"/>
        <w:adjustRightInd w:val="0"/>
        <w:snapToGrid w:val="0"/>
        <w:ind w:firstLine="480"/>
        <w:rPr>
          <w:rFonts w:hint="eastAsia"/>
        </w:rPr>
      </w:pPr>
      <w:r>
        <w:rPr>
          <w:rFonts w:hint="eastAsia"/>
        </w:rPr>
        <w:t>钻前工程主要包括井场平整、钻机基础、生活营地建设及进场道路建设等，产生的环境影响主要为施工扬尘、施工机械及车辆尾气、噪声、建筑垃圾以及对周围环境产生的生态影响等。</w:t>
      </w:r>
    </w:p>
    <w:p w14:paraId="3A644CC1">
      <w:pPr>
        <w:pStyle w:val="117"/>
        <w:adjustRightInd w:val="0"/>
        <w:snapToGrid w:val="0"/>
        <w:ind w:firstLine="480"/>
        <w:rPr>
          <w:rFonts w:hint="eastAsia"/>
        </w:rPr>
      </w:pPr>
      <w:r>
        <w:rPr>
          <w:rFonts w:hint="eastAsia"/>
        </w:rPr>
        <w:t>②钻井工艺流程及产污环节</w:t>
      </w:r>
    </w:p>
    <w:p w14:paraId="34E14A80">
      <w:pPr>
        <w:pStyle w:val="117"/>
        <w:ind w:firstLine="480"/>
        <w:rPr>
          <w:rFonts w:hint="eastAsia"/>
        </w:rPr>
      </w:pPr>
      <w:r>
        <w:rPr>
          <w:rFonts w:hint="eastAsia"/>
          <w:lang w:val="zh-CN"/>
        </w:rPr>
        <w:t>钻井是采用旋转的钻头给所钻的地层一定的压力，使钻头的牙齿嵌入地层，然后旋转钻头，利用旋转钻头的扭矩来切削地层，并用循环的钻井液将钻屑带出井眼，以保证持续钻进。钻井工程作业流程见图</w:t>
      </w:r>
      <w:r>
        <w:rPr>
          <w:lang w:val="zh-CN"/>
        </w:rPr>
        <w:t>3.</w:t>
      </w:r>
      <w:r>
        <w:rPr>
          <w:rFonts w:hint="eastAsia"/>
          <w:lang w:val="zh-CN"/>
        </w:rPr>
        <w:t>2-6</w:t>
      </w:r>
      <w:r>
        <w:rPr>
          <w:rFonts w:hint="eastAsia"/>
        </w:rPr>
        <w:t>。</w:t>
      </w:r>
    </w:p>
    <w:p w14:paraId="58C980A1">
      <w:pPr>
        <w:spacing w:line="500" w:lineRule="exact"/>
        <w:ind w:firstLine="480" w:firstLineChars="200"/>
        <w:rPr>
          <w:rFonts w:hint="eastAsia" w:ascii="宋体" w:hAnsi="宋体"/>
          <w:kern w:val="0"/>
          <w:sz w:val="24"/>
          <w:szCs w:val="24"/>
          <w:lang w:val="zh-CN"/>
        </w:rPr>
      </w:pPr>
      <w:r>
        <w:rPr>
          <w:rFonts w:ascii="宋体" w:hAnsi="宋体"/>
          <w:kern w:val="0"/>
          <w:sz w:val="24"/>
          <w:szCs w:val="24"/>
          <w:lang w:val="zh-CN"/>
        </w:rPr>
        <w:drawing>
          <wp:anchor distT="0" distB="0" distL="114300" distR="114300" simplePos="0" relativeHeight="251674624" behindDoc="0" locked="0" layoutInCell="1" allowOverlap="1">
            <wp:simplePos x="0" y="0"/>
            <wp:positionH relativeFrom="margin">
              <wp:posOffset>312420</wp:posOffset>
            </wp:positionH>
            <wp:positionV relativeFrom="paragraph">
              <wp:posOffset>13970</wp:posOffset>
            </wp:positionV>
            <wp:extent cx="4679950" cy="4105275"/>
            <wp:effectExtent l="0" t="0" r="6350" b="0"/>
            <wp:wrapNone/>
            <wp:docPr id="115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1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682916" cy="4107624"/>
                    </a:xfrm>
                    <a:prstGeom prst="rect">
                      <a:avLst/>
                    </a:prstGeom>
                    <a:noFill/>
                    <a:ln>
                      <a:noFill/>
                    </a:ln>
                  </pic:spPr>
                </pic:pic>
              </a:graphicData>
            </a:graphic>
          </wp:anchor>
        </w:drawing>
      </w:r>
    </w:p>
    <w:p w14:paraId="6EAFF64E">
      <w:pPr>
        <w:spacing w:line="500" w:lineRule="exact"/>
        <w:ind w:firstLine="480" w:firstLineChars="200"/>
        <w:rPr>
          <w:rFonts w:hint="eastAsia" w:ascii="宋体" w:hAnsi="宋体"/>
          <w:kern w:val="0"/>
          <w:sz w:val="24"/>
          <w:szCs w:val="24"/>
          <w:lang w:val="zh-CN"/>
        </w:rPr>
      </w:pPr>
    </w:p>
    <w:p w14:paraId="41F3E7CB">
      <w:pPr>
        <w:spacing w:line="500" w:lineRule="exact"/>
        <w:ind w:firstLine="480" w:firstLineChars="200"/>
        <w:rPr>
          <w:rFonts w:hint="eastAsia" w:ascii="宋体" w:hAnsi="宋体"/>
          <w:kern w:val="0"/>
          <w:sz w:val="24"/>
          <w:szCs w:val="24"/>
          <w:lang w:val="zh-CN"/>
        </w:rPr>
      </w:pPr>
    </w:p>
    <w:p w14:paraId="451021AD">
      <w:pPr>
        <w:spacing w:line="500" w:lineRule="exact"/>
        <w:ind w:firstLine="480" w:firstLineChars="200"/>
        <w:rPr>
          <w:rFonts w:hint="eastAsia" w:ascii="宋体" w:hAnsi="宋体"/>
          <w:kern w:val="0"/>
          <w:sz w:val="24"/>
          <w:szCs w:val="24"/>
          <w:lang w:val="zh-CN"/>
        </w:rPr>
      </w:pPr>
    </w:p>
    <w:p w14:paraId="16E8B5E7">
      <w:pPr>
        <w:spacing w:line="500" w:lineRule="exact"/>
        <w:ind w:firstLine="480" w:firstLineChars="200"/>
        <w:rPr>
          <w:rFonts w:hint="eastAsia" w:ascii="宋体" w:hAnsi="宋体"/>
          <w:kern w:val="0"/>
          <w:sz w:val="24"/>
          <w:szCs w:val="24"/>
          <w:lang w:val="zh-CN"/>
        </w:rPr>
      </w:pPr>
    </w:p>
    <w:p w14:paraId="78972067">
      <w:pPr>
        <w:spacing w:line="500" w:lineRule="exact"/>
        <w:ind w:firstLine="480" w:firstLineChars="200"/>
        <w:rPr>
          <w:rFonts w:hint="eastAsia" w:ascii="宋体" w:hAnsi="宋体"/>
          <w:kern w:val="0"/>
          <w:sz w:val="24"/>
          <w:szCs w:val="24"/>
          <w:lang w:val="zh-CN"/>
        </w:rPr>
      </w:pPr>
    </w:p>
    <w:p w14:paraId="58C3062E">
      <w:pPr>
        <w:spacing w:line="500" w:lineRule="exact"/>
        <w:ind w:firstLine="480" w:firstLineChars="200"/>
        <w:rPr>
          <w:rFonts w:hint="eastAsia" w:ascii="宋体" w:hAnsi="宋体"/>
          <w:kern w:val="0"/>
          <w:sz w:val="24"/>
          <w:szCs w:val="24"/>
          <w:lang w:val="zh-CN"/>
        </w:rPr>
      </w:pPr>
    </w:p>
    <w:p w14:paraId="756C9F07">
      <w:pPr>
        <w:spacing w:line="500" w:lineRule="exact"/>
        <w:ind w:firstLine="480" w:firstLineChars="200"/>
        <w:rPr>
          <w:rFonts w:hint="eastAsia" w:ascii="宋体" w:hAnsi="宋体"/>
          <w:kern w:val="0"/>
          <w:sz w:val="24"/>
          <w:szCs w:val="24"/>
          <w:lang w:val="zh-CN"/>
        </w:rPr>
      </w:pPr>
    </w:p>
    <w:p w14:paraId="065C2ABB">
      <w:pPr>
        <w:spacing w:line="500" w:lineRule="exact"/>
        <w:ind w:firstLine="480" w:firstLineChars="200"/>
        <w:rPr>
          <w:rFonts w:hint="eastAsia" w:ascii="宋体" w:hAnsi="宋体"/>
          <w:kern w:val="0"/>
          <w:sz w:val="24"/>
          <w:szCs w:val="24"/>
          <w:lang w:val="zh-CN"/>
        </w:rPr>
      </w:pPr>
    </w:p>
    <w:p w14:paraId="645AD5B4">
      <w:pPr>
        <w:spacing w:line="500" w:lineRule="exact"/>
        <w:ind w:firstLine="480" w:firstLineChars="200"/>
        <w:rPr>
          <w:rFonts w:hint="eastAsia" w:ascii="宋体" w:hAnsi="宋体"/>
          <w:kern w:val="0"/>
          <w:sz w:val="24"/>
          <w:szCs w:val="24"/>
          <w:lang w:val="zh-CN"/>
        </w:rPr>
      </w:pPr>
    </w:p>
    <w:p w14:paraId="27E767CE">
      <w:pPr>
        <w:spacing w:line="500" w:lineRule="exact"/>
        <w:ind w:firstLine="480" w:firstLineChars="200"/>
        <w:rPr>
          <w:rFonts w:hint="eastAsia" w:ascii="宋体" w:hAnsi="宋体"/>
          <w:kern w:val="0"/>
          <w:sz w:val="24"/>
          <w:szCs w:val="24"/>
          <w:lang w:val="zh-CN"/>
        </w:rPr>
      </w:pPr>
    </w:p>
    <w:p w14:paraId="79AF3110">
      <w:pPr>
        <w:spacing w:line="500" w:lineRule="exact"/>
        <w:ind w:firstLine="480" w:firstLineChars="200"/>
        <w:rPr>
          <w:rFonts w:hint="eastAsia" w:ascii="宋体" w:hAnsi="宋体"/>
          <w:kern w:val="0"/>
          <w:sz w:val="24"/>
          <w:szCs w:val="24"/>
          <w:lang w:val="zh-CN"/>
        </w:rPr>
      </w:pPr>
    </w:p>
    <w:p w14:paraId="28C63ABD">
      <w:pPr>
        <w:spacing w:line="500" w:lineRule="exact"/>
        <w:ind w:firstLine="480" w:firstLineChars="200"/>
        <w:rPr>
          <w:rFonts w:hint="eastAsia" w:ascii="宋体" w:hAnsi="宋体"/>
          <w:kern w:val="0"/>
          <w:sz w:val="24"/>
          <w:szCs w:val="24"/>
          <w:lang w:val="zh-CN"/>
        </w:rPr>
      </w:pPr>
    </w:p>
    <w:p w14:paraId="2AC8185D">
      <w:pPr>
        <w:spacing w:line="500" w:lineRule="exact"/>
        <w:ind w:firstLine="420" w:firstLineChars="200"/>
        <w:jc w:val="center"/>
        <w:rPr>
          <w:rFonts w:hint="eastAsia" w:ascii="宋体" w:hAnsi="宋体"/>
          <w:kern w:val="0"/>
          <w:szCs w:val="21"/>
          <w:lang w:val="zh-CN"/>
        </w:rPr>
      </w:pPr>
      <w:r>
        <w:rPr>
          <w:rFonts w:hint="eastAsia" w:ascii="黑体" w:hAnsi="黑体" w:eastAsia="黑体"/>
          <w:szCs w:val="21"/>
        </w:rPr>
        <w:t>图</w:t>
      </w:r>
      <w:r>
        <w:rPr>
          <w:rFonts w:ascii="黑体" w:hAnsi="黑体" w:eastAsia="黑体"/>
          <w:szCs w:val="21"/>
        </w:rPr>
        <w:t>3.</w:t>
      </w:r>
      <w:r>
        <w:rPr>
          <w:rFonts w:hint="eastAsia" w:ascii="黑体" w:hAnsi="黑体" w:eastAsia="黑体"/>
          <w:szCs w:val="21"/>
        </w:rPr>
        <w:t>2-6</w:t>
      </w:r>
      <w:r>
        <w:rPr>
          <w:rFonts w:ascii="黑体" w:hAnsi="黑体" w:eastAsia="黑体"/>
          <w:szCs w:val="21"/>
        </w:rPr>
        <w:t xml:space="preserve">  钻井工艺流程</w:t>
      </w:r>
      <w:r>
        <w:rPr>
          <w:rFonts w:hint="eastAsia" w:ascii="黑体" w:hAnsi="黑体" w:eastAsia="黑体"/>
          <w:szCs w:val="21"/>
        </w:rPr>
        <w:t>及产污节点示意</w:t>
      </w:r>
      <w:r>
        <w:rPr>
          <w:rFonts w:ascii="黑体" w:hAnsi="黑体" w:eastAsia="黑体"/>
          <w:szCs w:val="21"/>
        </w:rPr>
        <w:t>图</w:t>
      </w:r>
    </w:p>
    <w:p w14:paraId="2F7443ED">
      <w:pPr>
        <w:pStyle w:val="117"/>
        <w:adjustRightInd w:val="0"/>
        <w:snapToGrid w:val="0"/>
        <w:ind w:firstLine="480"/>
        <w:rPr>
          <w:rFonts w:hint="eastAsia"/>
        </w:rPr>
      </w:pPr>
      <w:r>
        <w:rPr>
          <w:rFonts w:hint="eastAsia"/>
        </w:rPr>
        <w:t>废气主要为柴油机、发电机燃烧烟气、施工扬尘和施工机械、车辆尾气；废水主要为生活污水；噪声源主要为施工机械、车辆；固体废物主要为钻井岩屑和生活垃圾。</w:t>
      </w:r>
    </w:p>
    <w:p w14:paraId="1A5EB6AA">
      <w:pPr>
        <w:pStyle w:val="117"/>
        <w:adjustRightInd w:val="0"/>
        <w:snapToGrid w:val="0"/>
        <w:ind w:firstLine="480"/>
        <w:rPr>
          <w:rFonts w:hint="eastAsia"/>
        </w:rPr>
      </w:pPr>
      <w:r>
        <w:rPr>
          <w:rFonts w:hint="eastAsia"/>
        </w:rPr>
        <w:t>③管线、计量站及公用工程施工工艺及产污环节</w:t>
      </w:r>
    </w:p>
    <w:p w14:paraId="3E9249E3">
      <w:pPr>
        <w:pStyle w:val="117"/>
        <w:adjustRightInd w:val="0"/>
        <w:snapToGrid w:val="0"/>
        <w:ind w:firstLine="480"/>
        <w:rPr>
          <w:rFonts w:hint="eastAsia"/>
        </w:rPr>
      </w:pPr>
      <w:r>
        <w:rPr>
          <w:rFonts w:hint="eastAsia"/>
        </w:rPr>
        <w:t>一期施工期主要包括井场、计量站建构筑物建设、管线建设及公用工程建设；二期工程施工期主要包括集油干线建设、拆除生产分离器、拉油方罐和放空火炬等；其施工工艺及产污节点见图3.2-7。</w:t>
      </w:r>
    </w:p>
    <w:p w14:paraId="0C5082B8">
      <w:pPr>
        <w:pStyle w:val="117"/>
        <w:adjustRightInd w:val="0"/>
        <w:snapToGrid w:val="0"/>
        <w:spacing w:line="360" w:lineRule="auto"/>
        <w:ind w:firstLine="0" w:firstLineChars="0"/>
        <w:jc w:val="center"/>
        <w:rPr>
          <w:rFonts w:hint="eastAsia"/>
        </w:rPr>
      </w:pPr>
      <w:r>
        <w:object>
          <v:shape id="_x0000_i1025" o:spt="75" type="#_x0000_t75" style="height:134.85pt;width:375pt;" o:ole="t" filled="f" o:preferrelative="t" stroked="f" coordsize="21600,21600">
            <v:path/>
            <v:fill on="f" focussize="0,0"/>
            <v:stroke on="f" joinstyle="miter"/>
            <v:imagedata r:id="rId26" o:title=""/>
            <o:lock v:ext="edit" aspectratio="t"/>
            <w10:wrap type="none"/>
            <w10:anchorlock/>
          </v:shape>
          <o:OLEObject Type="Embed" ProgID="Visio.Drawing.15" ShapeID="_x0000_i1025" DrawAspect="Content" ObjectID="_1468075725" r:id="rId25">
            <o:LockedField>false</o:LockedField>
          </o:OLEObject>
        </w:object>
      </w:r>
    </w:p>
    <w:p w14:paraId="07B37D40">
      <w:pPr>
        <w:spacing w:line="500" w:lineRule="exact"/>
        <w:ind w:firstLine="420" w:firstLineChars="200"/>
        <w:jc w:val="center"/>
        <w:rPr>
          <w:rFonts w:hint="eastAsia" w:ascii="黑体" w:hAnsi="黑体" w:eastAsia="黑体"/>
          <w:kern w:val="0"/>
          <w:szCs w:val="21"/>
          <w:lang w:val="zh-CN"/>
        </w:rPr>
      </w:pPr>
      <w:r>
        <w:rPr>
          <w:rFonts w:hint="eastAsia" w:ascii="黑体" w:hAnsi="黑体" w:eastAsia="黑体"/>
          <w:kern w:val="0"/>
          <w:szCs w:val="21"/>
          <w:lang w:val="zh-CN"/>
        </w:rPr>
        <w:t>图3</w:t>
      </w:r>
      <w:r>
        <w:rPr>
          <w:rFonts w:ascii="黑体" w:hAnsi="黑体" w:eastAsia="黑体"/>
          <w:kern w:val="0"/>
          <w:szCs w:val="21"/>
          <w:lang w:val="zh-CN"/>
        </w:rPr>
        <w:t>.2</w:t>
      </w:r>
      <w:r>
        <w:rPr>
          <w:rFonts w:hint="eastAsia" w:ascii="黑体" w:hAnsi="黑体" w:eastAsia="黑体"/>
          <w:kern w:val="0"/>
          <w:szCs w:val="21"/>
          <w:lang w:val="zh-CN"/>
        </w:rPr>
        <w:t xml:space="preserve">-7 </w:t>
      </w:r>
      <w:r>
        <w:rPr>
          <w:rFonts w:ascii="黑体" w:hAnsi="黑体" w:eastAsia="黑体"/>
          <w:kern w:val="0"/>
          <w:szCs w:val="21"/>
          <w:lang w:val="zh-CN"/>
        </w:rPr>
        <w:t xml:space="preserve"> </w:t>
      </w:r>
      <w:r>
        <w:rPr>
          <w:rFonts w:hint="eastAsia" w:ascii="黑体" w:hAnsi="黑体" w:eastAsia="黑体"/>
          <w:kern w:val="0"/>
          <w:szCs w:val="21"/>
          <w:lang w:val="zh-CN"/>
        </w:rPr>
        <w:t>施工工艺及产污节点示意图</w:t>
      </w:r>
    </w:p>
    <w:p w14:paraId="03BA6E7A">
      <w:pPr>
        <w:pStyle w:val="117"/>
        <w:adjustRightInd w:val="0"/>
        <w:snapToGrid w:val="0"/>
        <w:ind w:firstLine="480"/>
        <w:rPr>
          <w:rFonts w:hint="eastAsia"/>
        </w:rPr>
      </w:pPr>
      <w:r>
        <w:rPr>
          <w:rFonts w:hint="eastAsia"/>
        </w:rPr>
        <w:t>管线保温后埋地敷设，单井采油管线埋深-1.7m，集油支线埋深-</w:t>
      </w:r>
      <w:r>
        <w:t>1.</w:t>
      </w:r>
      <w:r>
        <w:rPr>
          <w:rFonts w:hint="eastAsia"/>
        </w:rPr>
        <w:t>9</w:t>
      </w:r>
      <w:r>
        <w:t>m</w:t>
      </w:r>
      <w:r>
        <w:rPr>
          <w:rFonts w:hint="eastAsia"/>
        </w:rPr>
        <w:t>，保温层均采用30mm厚聚氨酯泡沫塑料，防护层采用高密度聚乙烯塑料；穿越沥青路面采用顶管穿越，穿越简易道路采用大开挖方式，穿越道路时加套管；施工作业带宽度控制在8</w:t>
      </w:r>
      <w:r>
        <w:t>m</w:t>
      </w:r>
      <w:r>
        <w:rPr>
          <w:rFonts w:hint="eastAsia"/>
        </w:rPr>
        <w:t>范围内。</w:t>
      </w:r>
    </w:p>
    <w:p w14:paraId="0BD8C0C4">
      <w:pPr>
        <w:pStyle w:val="117"/>
        <w:adjustRightInd w:val="0"/>
        <w:snapToGrid w:val="0"/>
        <w:ind w:firstLine="480"/>
        <w:rPr>
          <w:rFonts w:hint="eastAsia"/>
        </w:rPr>
      </w:pPr>
      <w:bookmarkStart w:id="227" w:name="OLE_LINK46"/>
      <w:bookmarkStart w:id="228" w:name="OLE_LINK55"/>
      <w:bookmarkStart w:id="229" w:name="OLE_LINK57"/>
      <w:r>
        <w:rPr>
          <w:rFonts w:hint="eastAsia"/>
        </w:rPr>
        <w:t>二期工程</w:t>
      </w:r>
      <w:bookmarkStart w:id="230" w:name="OLE_LINK56"/>
      <w:r>
        <w:rPr>
          <w:rFonts w:hint="eastAsia"/>
        </w:rPr>
        <w:t>拆除的生产分离器、拉油方罐和放空火炬</w:t>
      </w:r>
      <w:bookmarkEnd w:id="230"/>
      <w:r>
        <w:rPr>
          <w:rFonts w:hint="eastAsia"/>
        </w:rPr>
        <w:t>由建设单位回收处置</w:t>
      </w:r>
      <w:bookmarkEnd w:id="227"/>
      <w:r>
        <w:rPr>
          <w:rFonts w:hint="eastAsia"/>
        </w:rPr>
        <w:t>，</w:t>
      </w:r>
      <w:bookmarkEnd w:id="228"/>
      <w:r>
        <w:rPr>
          <w:rFonts w:hint="eastAsia"/>
        </w:rPr>
        <w:t>一期工程和二期工程废气主要为施工扬尘、施工机械及车辆尾气和焊接废气，废水主要为管道试压废水、混凝土养护废水，固体废物主要为建筑垃圾，噪声源主要为施工机械及车辆。</w:t>
      </w:r>
      <w:bookmarkEnd w:id="229"/>
    </w:p>
    <w:p w14:paraId="6E2BBF05">
      <w:pPr>
        <w:pStyle w:val="117"/>
        <w:adjustRightInd w:val="0"/>
        <w:snapToGrid w:val="0"/>
        <w:ind w:firstLine="480"/>
        <w:rPr>
          <w:rFonts w:hint="eastAsia"/>
        </w:rPr>
      </w:pPr>
      <w:bookmarkStart w:id="231" w:name="_Hlk147581788"/>
      <w:r>
        <w:rPr>
          <w:rFonts w:hint="eastAsia"/>
        </w:rPr>
        <w:t>④储层改造</w:t>
      </w:r>
    </w:p>
    <w:p w14:paraId="7A1170C8">
      <w:pPr>
        <w:pStyle w:val="117"/>
        <w:adjustRightInd w:val="0"/>
        <w:snapToGrid w:val="0"/>
        <w:ind w:firstLine="480"/>
        <w:rPr>
          <w:rFonts w:hint="eastAsia"/>
        </w:rPr>
      </w:pPr>
      <w:r>
        <w:rPr>
          <w:rFonts w:hint="eastAsia"/>
        </w:rPr>
        <w:t>储层改造主要包括射孔和压裂。</w:t>
      </w:r>
    </w:p>
    <w:p w14:paraId="6975A255">
      <w:pPr>
        <w:pStyle w:val="117"/>
        <w:adjustRightInd w:val="0"/>
        <w:snapToGrid w:val="0"/>
        <w:ind w:firstLine="480"/>
        <w:rPr>
          <w:rFonts w:hint="eastAsia"/>
        </w:rPr>
      </w:pPr>
      <w:r>
        <w:t>射孔工艺：投产井基本采用电缆传输射孔，射孔设备为DP-89射孔枪；射孔参数为：孔密16～20孔/m；射孔前用泡沫或清水替出井筒内泥浆。</w:t>
      </w:r>
    </w:p>
    <w:p w14:paraId="60E179C8">
      <w:pPr>
        <w:pStyle w:val="117"/>
        <w:adjustRightInd w:val="0"/>
        <w:snapToGrid w:val="0"/>
        <w:ind w:firstLine="480"/>
        <w:rPr>
          <w:rFonts w:hint="eastAsia"/>
        </w:rPr>
      </w:pPr>
      <w:r>
        <w:t>压裂工艺：笼统压裂采用光油管压裂，对于有分层压裂需求的直井，推荐采用油管+封隔器分层压裂工艺，储层跨度大于70m井采用投球暂堵工艺；压裂设备为：2000型压裂车一组；压裂施工时，选用配伍性、降滤失性及返排性能好的低伤害有机硼水基胍胶压裂液体系，配方中加入2%左右的氯化钾或防膨性能达到要求的其它防膨液。用泵车将压裂液挤入油层，当把油层压出许多裂缝后，加入支撑剂</w:t>
      </w:r>
      <w:r>
        <w:rPr>
          <w:rFonts w:hint="eastAsia"/>
        </w:rPr>
        <w:t>（</w:t>
      </w:r>
      <w:r>
        <w:t>如石英砂等</w:t>
      </w:r>
      <w:r>
        <w:rPr>
          <w:rFonts w:hint="eastAsia"/>
        </w:rPr>
        <w:t>）</w:t>
      </w:r>
      <w:r>
        <w:t>充填进裂缝，提高油气层的渗透能力，压力扩散后采用自喷+抽汲方式退液。</w:t>
      </w:r>
    </w:p>
    <w:p w14:paraId="4509E4DE">
      <w:pPr>
        <w:pStyle w:val="117"/>
        <w:adjustRightInd w:val="0"/>
        <w:snapToGrid w:val="0"/>
        <w:ind w:firstLine="480"/>
        <w:rPr>
          <w:rFonts w:hint="eastAsia"/>
        </w:rPr>
      </w:pPr>
      <w:r>
        <w:t>酸化压裂工艺：对需要进行酸化压裂的井，用酸化压裂液清洗裂隙，以扩大裂隙，增加目的层的连通性。将酸化压裂液挤入油层，溶解石块后加入支撑剂填充裂缝。通过酸液和地层岩石矿物的反应，溶解部分岩石矿物或堵塞物质，从而扩大或沟通地层岩石的孔隙裂缝，改善地层近井地带渗透率，使含油层的油气资源通过裂隙采出</w:t>
      </w:r>
      <w:r>
        <w:rPr>
          <w:rFonts w:hint="eastAsia"/>
        </w:rPr>
        <w:t>，</w:t>
      </w:r>
      <w:r>
        <w:t>压力扩散后采用自喷+抽汲方式退液。</w:t>
      </w:r>
    </w:p>
    <w:p w14:paraId="08747485">
      <w:pPr>
        <w:pStyle w:val="117"/>
        <w:adjustRightInd w:val="0"/>
        <w:snapToGrid w:val="0"/>
        <w:ind w:firstLine="480"/>
        <w:rPr>
          <w:rFonts w:hint="eastAsia"/>
        </w:rPr>
      </w:pPr>
      <w:r>
        <w:rPr>
          <w:rFonts w:hint="eastAsia"/>
        </w:rPr>
        <w:t>储层改造工序无废气、固体废物产生，废水主要为压裂返排液，噪声源主要为各类机泵。</w:t>
      </w:r>
    </w:p>
    <w:p w14:paraId="700EA147">
      <w:pPr>
        <w:pStyle w:val="117"/>
        <w:adjustRightInd w:val="0"/>
        <w:snapToGrid w:val="0"/>
        <w:ind w:firstLine="480"/>
        <w:rPr>
          <w:rFonts w:hint="eastAsia"/>
        </w:rPr>
      </w:pPr>
      <w:r>
        <w:rPr>
          <w:rFonts w:hint="eastAsia"/>
        </w:rPr>
        <w:t>（</w:t>
      </w:r>
      <w:r>
        <w:t>2</w:t>
      </w:r>
      <w:r>
        <w:rPr>
          <w:rFonts w:hint="eastAsia"/>
        </w:rPr>
        <w:t>）运营期工艺流程及环境影响因素分析</w:t>
      </w:r>
    </w:p>
    <w:bookmarkEnd w:id="231"/>
    <w:p w14:paraId="6F6A4F05">
      <w:pPr>
        <w:pStyle w:val="117"/>
        <w:adjustRightInd w:val="0"/>
        <w:snapToGrid w:val="0"/>
        <w:ind w:firstLine="480"/>
        <w:rPr>
          <w:rFonts w:hint="eastAsia"/>
        </w:rPr>
      </w:pPr>
      <w:r>
        <w:rPr>
          <w:rFonts w:hint="eastAsia"/>
        </w:rPr>
        <w:t>①一期工程</w:t>
      </w:r>
    </w:p>
    <w:p w14:paraId="5E768F3B">
      <w:pPr>
        <w:pStyle w:val="117"/>
        <w:adjustRightInd w:val="0"/>
        <w:snapToGrid w:val="0"/>
        <w:ind w:firstLine="480"/>
        <w:rPr>
          <w:rFonts w:hint="eastAsia"/>
        </w:rPr>
      </w:pPr>
      <w:r>
        <w:rPr>
          <w:rFonts w:hint="eastAsia"/>
        </w:rPr>
        <w:t>※集输工艺</w:t>
      </w:r>
    </w:p>
    <w:p w14:paraId="768A3D53">
      <w:pPr>
        <w:pStyle w:val="117"/>
        <w:adjustRightInd w:val="0"/>
        <w:snapToGrid w:val="0"/>
        <w:ind w:firstLine="480"/>
        <w:rPr>
          <w:rFonts w:hint="eastAsia"/>
        </w:rPr>
      </w:pPr>
      <w:r>
        <w:rPr>
          <w:rFonts w:hint="eastAsia"/>
        </w:rPr>
        <w:t>拟部署井周围无可依托的油田生产设施，一期工程</w:t>
      </w:r>
      <w:bookmarkStart w:id="232" w:name="OLE_LINK51"/>
      <w:r>
        <w:rPr>
          <w:rFonts w:hint="eastAsia"/>
        </w:rPr>
        <w:t>采用集中计量</w:t>
      </w:r>
      <w:bookmarkEnd w:id="232"/>
      <w:r>
        <w:rPr>
          <w:rFonts w:hint="eastAsia"/>
        </w:rPr>
        <w:t>拉油方式进行生产</w:t>
      </w:r>
      <w:bookmarkStart w:id="233" w:name="OLE_LINK52"/>
      <w:r>
        <w:rPr>
          <w:rFonts w:hint="eastAsia"/>
        </w:rPr>
        <w:t>。《陆上石油天然气开采工业大气污染物排放标准》（GB39728—2020）规定：“对油气田放空天然气应予以回收，不能回收或难以回收的，应经燃烧后放空，不能燃烧直接放空的，应报生态环境主管部门备案”，本项目分离出的伴生气量比较少，不具备回收条件，通过放空火炬燃烧后放空，伴生气产生量满足点火装置点火的气量，可保证伴生气能燃烧，符合《陆上石油天然气开采工业大气污染物排放标准》（GB39728—2020）中的相关要求。具体工艺流程为：单井采出物通过新建的单井采油管线管输至采油平台集中计量拉油站中计量后，经除硫加药装置除去H</w:t>
      </w:r>
      <w:r>
        <w:rPr>
          <w:rFonts w:hint="eastAsia"/>
          <w:vertAlign w:val="subscript"/>
        </w:rPr>
        <w:t>2</w:t>
      </w:r>
      <w:r>
        <w:rPr>
          <w:rFonts w:hint="eastAsia"/>
        </w:rPr>
        <w:t>S、井口加热装置加热后，再经生产分离器进行气液分离后，分离出的采出液通过罐车拉运至页岩油联合站进行处理，伴生气通过放空火炬燃烧放空。工艺流程简图及产污环节见图3.2-8。</w:t>
      </w:r>
    </w:p>
    <w:bookmarkEnd w:id="233"/>
    <w:p w14:paraId="0325E908">
      <w:pPr>
        <w:pStyle w:val="117"/>
        <w:adjustRightInd w:val="0"/>
        <w:snapToGrid w:val="0"/>
        <w:spacing w:line="360" w:lineRule="auto"/>
        <w:ind w:firstLine="0" w:firstLineChars="0"/>
        <w:rPr>
          <w:rFonts w:hint="eastAsia"/>
        </w:rPr>
      </w:pPr>
      <w:r>
        <w:object>
          <v:shape id="_x0000_i1026" o:spt="75" type="#_x0000_t75" style="height:111.95pt;width:437pt;" o:ole="t" filled="f" o:preferrelative="t" stroked="f" coordsize="21600,21600">
            <v:path/>
            <v:fill on="f" focussize="0,0"/>
            <v:stroke on="f" joinstyle="miter"/>
            <v:imagedata r:id="rId28" o:title=""/>
            <o:lock v:ext="edit" aspectratio="t"/>
            <w10:wrap type="none"/>
            <w10:anchorlock/>
          </v:shape>
          <o:OLEObject Type="Embed" ProgID="Visio.Drawing.15" ShapeID="_x0000_i1026" DrawAspect="Content" ObjectID="_1468075726" r:id="rId27">
            <o:LockedField>false</o:LockedField>
          </o:OLEObject>
        </w:object>
      </w:r>
    </w:p>
    <w:p w14:paraId="048AB875">
      <w:pPr>
        <w:pStyle w:val="117"/>
        <w:adjustRightInd w:val="0"/>
        <w:snapToGrid w:val="0"/>
        <w:spacing w:line="360" w:lineRule="auto"/>
        <w:ind w:firstLine="0" w:firstLineChars="0"/>
        <w:jc w:val="center"/>
        <w:rPr>
          <w:rFonts w:hint="eastAsia" w:ascii="黑体" w:hAnsi="黑体" w:eastAsia="黑体"/>
          <w:sz w:val="21"/>
          <w:szCs w:val="21"/>
        </w:rPr>
      </w:pPr>
      <w:r>
        <w:rPr>
          <w:rFonts w:hint="eastAsia" w:ascii="黑体" w:hAnsi="黑体" w:eastAsia="黑体"/>
          <w:sz w:val="21"/>
          <w:szCs w:val="21"/>
        </w:rPr>
        <w:t>图3.2-8  一期工程运营期工艺流程及产污环节示意图</w:t>
      </w:r>
    </w:p>
    <w:p w14:paraId="6CB308E0">
      <w:pPr>
        <w:pStyle w:val="117"/>
        <w:adjustRightInd w:val="0"/>
        <w:snapToGrid w:val="0"/>
        <w:ind w:firstLine="480"/>
        <w:rPr>
          <w:rFonts w:hint="eastAsia"/>
        </w:rPr>
      </w:pPr>
      <w:bookmarkStart w:id="234" w:name="OLE_LINK54"/>
      <w:r>
        <w:rPr>
          <w:rFonts w:hint="eastAsia"/>
        </w:rPr>
        <w:t>※除硫工艺</w:t>
      </w:r>
    </w:p>
    <w:p w14:paraId="2B686B6B">
      <w:pPr>
        <w:adjustRightInd w:val="0"/>
        <w:snapToGrid w:val="0"/>
        <w:spacing w:line="500" w:lineRule="exact"/>
        <w:ind w:firstLine="420" w:firstLineChars="200"/>
        <w:rPr>
          <w:rFonts w:hint="eastAsia" w:ascii="宋体" w:hAnsi="宋体"/>
          <w:sz w:val="24"/>
          <w:szCs w:val="24"/>
        </w:rPr>
      </w:pPr>
      <w:r>
        <w:rPr>
          <w:rFonts w:ascii="仿宋" w:hAnsi="仿宋" w:eastAsia="仿宋"/>
        </w:rPr>
        <w:drawing>
          <wp:anchor distT="0" distB="0" distL="114300" distR="114300" simplePos="0" relativeHeight="251685888" behindDoc="0" locked="0" layoutInCell="1" allowOverlap="1">
            <wp:simplePos x="0" y="0"/>
            <wp:positionH relativeFrom="column">
              <wp:posOffset>1380490</wp:posOffset>
            </wp:positionH>
            <wp:positionV relativeFrom="paragraph">
              <wp:posOffset>1900555</wp:posOffset>
            </wp:positionV>
            <wp:extent cx="3549650" cy="550545"/>
            <wp:effectExtent l="0" t="0" r="0" b="1905"/>
            <wp:wrapNone/>
            <wp:docPr id="1769431300" name="图片 2" descr="图片包含 游戏机, 物体,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431300" name="图片 2" descr="图片包含 游戏机, 物体, 钟表&#10;&#10;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549650" cy="550545"/>
                    </a:xfrm>
                    <a:prstGeom prst="rect">
                      <a:avLst/>
                    </a:prstGeom>
                    <a:noFill/>
                    <a:ln>
                      <a:noFill/>
                    </a:ln>
                  </pic:spPr>
                </pic:pic>
              </a:graphicData>
            </a:graphic>
          </wp:anchor>
        </w:drawing>
      </w:r>
      <w:r>
        <w:rPr>
          <w:rFonts w:hint="eastAsia" w:ascii="宋体" w:hAnsi="宋体"/>
          <w:sz w:val="24"/>
          <w:szCs w:val="24"/>
        </w:rPr>
        <w:t>除硫原理：三嗪化合物是一种大分子活性剂，分子链上富含氮原子，并且含有活泼氢原子，能与H</w:t>
      </w:r>
      <w:r>
        <w:rPr>
          <w:rFonts w:hint="eastAsia" w:ascii="宋体" w:hAnsi="宋体"/>
          <w:sz w:val="24"/>
          <w:szCs w:val="24"/>
          <w:vertAlign w:val="subscript"/>
        </w:rPr>
        <w:t>2</w:t>
      </w:r>
      <w:r>
        <w:rPr>
          <w:rFonts w:hint="eastAsia" w:ascii="宋体" w:hAnsi="宋体"/>
          <w:sz w:val="24"/>
          <w:szCs w:val="24"/>
        </w:rPr>
        <w:t>S里的S</w:t>
      </w:r>
      <w:r>
        <w:rPr>
          <w:rFonts w:hint="eastAsia" w:ascii="宋体" w:hAnsi="宋体"/>
          <w:sz w:val="24"/>
          <w:szCs w:val="24"/>
          <w:vertAlign w:val="superscript"/>
        </w:rPr>
        <w:t>2-</w:t>
      </w:r>
      <w:r>
        <w:rPr>
          <w:rFonts w:hint="eastAsia" w:ascii="宋体" w:hAnsi="宋体"/>
          <w:sz w:val="24"/>
          <w:szCs w:val="24"/>
        </w:rPr>
        <w:t>发生不可逆化学反应生成噻二嗪，从而达到去除天然气中H</w:t>
      </w:r>
      <w:r>
        <w:rPr>
          <w:rFonts w:hint="eastAsia" w:ascii="宋体" w:hAnsi="宋体"/>
          <w:sz w:val="24"/>
          <w:szCs w:val="24"/>
          <w:vertAlign w:val="subscript"/>
        </w:rPr>
        <w:t>2</w:t>
      </w:r>
      <w:r>
        <w:rPr>
          <w:rFonts w:hint="eastAsia" w:ascii="宋体" w:hAnsi="宋体"/>
          <w:sz w:val="24"/>
          <w:szCs w:val="24"/>
        </w:rPr>
        <w:t>S的目的。其脱硫产物均为水溶性液体，安全性高，而且不需回收，可直接回注地层。三嗪及其衍生物的合成示意图见图3.2-9，三嗪脱硫剂和H</w:t>
      </w:r>
      <w:r>
        <w:rPr>
          <w:rFonts w:hint="eastAsia" w:ascii="宋体" w:hAnsi="宋体"/>
          <w:sz w:val="24"/>
          <w:szCs w:val="24"/>
          <w:vertAlign w:val="subscript"/>
        </w:rPr>
        <w:t>2</w:t>
      </w:r>
      <w:r>
        <w:rPr>
          <w:rFonts w:hint="eastAsia" w:ascii="宋体" w:hAnsi="宋体"/>
          <w:sz w:val="24"/>
          <w:szCs w:val="24"/>
        </w:rPr>
        <w:t>S亲核取代反应见图3.2-10。三嗪类硫化氢处理剂与硫化氢反应产物可以很好的溶解在水中，不会生成不溶性沉淀物。</w:t>
      </w:r>
    </w:p>
    <w:p w14:paraId="5FEDAD07">
      <w:pPr>
        <w:widowControl/>
        <w:ind w:firstLine="560" w:firstLineChars="200"/>
        <w:jc w:val="left"/>
        <w:rPr>
          <w:rFonts w:hint="eastAsia" w:ascii="仿宋" w:hAnsi="仿宋" w:eastAsia="仿宋"/>
          <w:sz w:val="28"/>
          <w:szCs w:val="28"/>
        </w:rPr>
      </w:pPr>
    </w:p>
    <w:p w14:paraId="3C13D87C">
      <w:pPr>
        <w:widowControl/>
        <w:ind w:firstLine="420" w:firstLineChars="200"/>
        <w:jc w:val="left"/>
        <w:rPr>
          <w:rFonts w:hint="eastAsia" w:ascii="仿宋" w:hAnsi="仿宋" w:eastAsia="仿宋"/>
        </w:rPr>
      </w:pPr>
    </w:p>
    <w:p w14:paraId="6064D8F3">
      <w:pPr>
        <w:adjustRightInd w:val="0"/>
        <w:snapToGrid w:val="0"/>
        <w:spacing w:line="500" w:lineRule="exact"/>
        <w:jc w:val="center"/>
        <w:rPr>
          <w:rFonts w:hint="eastAsia" w:ascii="黑体" w:hAnsi="黑体" w:eastAsia="黑体"/>
          <w:szCs w:val="21"/>
        </w:rPr>
      </w:pPr>
      <w:r>
        <w:rPr>
          <w:rFonts w:hint="eastAsia" w:ascii="黑体" w:hAnsi="黑体" w:eastAsia="黑体"/>
          <w:szCs w:val="21"/>
        </w:rPr>
        <w:t>图3.2-9  三嗪及其衍生物的合成示意图</w:t>
      </w:r>
    </w:p>
    <w:p w14:paraId="17E3BC32">
      <w:pPr>
        <w:jc w:val="center"/>
        <w:rPr>
          <w:rFonts w:hint="eastAsia" w:ascii="仿宋" w:hAnsi="仿宋" w:eastAsia="仿宋"/>
        </w:rPr>
      </w:pPr>
      <w:r>
        <w:rPr>
          <w:rFonts w:hint="eastAsia" w:ascii="仿宋" w:hAnsi="仿宋" w:eastAsia="仿宋"/>
        </w:rPr>
        <w:t xml:space="preserve">  </w:t>
      </w:r>
      <w:r>
        <w:rPr>
          <w:rFonts w:ascii="仿宋" w:hAnsi="仿宋" w:eastAsia="仿宋"/>
        </w:rPr>
        <w:drawing>
          <wp:inline distT="0" distB="0" distL="0" distR="0">
            <wp:extent cx="3445510" cy="2319020"/>
            <wp:effectExtent l="0" t="0" r="2540" b="5080"/>
            <wp:docPr id="88567006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670066" name="图片 1" descr="图示&#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445510" cy="2319020"/>
                    </a:xfrm>
                    <a:prstGeom prst="rect">
                      <a:avLst/>
                    </a:prstGeom>
                    <a:noFill/>
                    <a:ln>
                      <a:noFill/>
                    </a:ln>
                  </pic:spPr>
                </pic:pic>
              </a:graphicData>
            </a:graphic>
          </wp:inline>
        </w:drawing>
      </w:r>
    </w:p>
    <w:p w14:paraId="16B77C72">
      <w:pPr>
        <w:adjustRightInd w:val="0"/>
        <w:snapToGrid w:val="0"/>
        <w:spacing w:line="500" w:lineRule="exact"/>
        <w:jc w:val="center"/>
        <w:rPr>
          <w:rFonts w:hint="eastAsia" w:ascii="黑体" w:hAnsi="黑体" w:eastAsia="黑体"/>
          <w:szCs w:val="21"/>
        </w:rPr>
      </w:pPr>
      <w:r>
        <w:rPr>
          <w:rFonts w:hint="eastAsia" w:ascii="黑体" w:hAnsi="黑体" w:eastAsia="黑体"/>
          <w:szCs w:val="21"/>
        </w:rPr>
        <w:t>图3.2-10  三嗪脱硫剂和H</w:t>
      </w:r>
      <w:r>
        <w:rPr>
          <w:rFonts w:hint="eastAsia" w:ascii="黑体" w:hAnsi="黑体" w:eastAsia="黑体"/>
          <w:szCs w:val="21"/>
          <w:vertAlign w:val="subscript"/>
        </w:rPr>
        <w:t>2</w:t>
      </w:r>
      <w:r>
        <w:rPr>
          <w:rFonts w:hint="eastAsia" w:ascii="黑体" w:hAnsi="黑体" w:eastAsia="黑体"/>
          <w:szCs w:val="21"/>
        </w:rPr>
        <w:t>S亲核取代反应</w:t>
      </w:r>
    </w:p>
    <w:p w14:paraId="182DD052">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除硫工艺：本项目采用连续加药除硫工艺，除硫剂通过加药撬加入井口采出物中，能够有效清除高硫化氢井的H</w:t>
      </w:r>
      <w:r>
        <w:rPr>
          <w:rFonts w:hint="eastAsia" w:ascii="宋体" w:hAnsi="宋体" w:cs="宋体"/>
          <w:sz w:val="24"/>
          <w:szCs w:val="24"/>
          <w:vertAlign w:val="subscript"/>
        </w:rPr>
        <w:t>2</w:t>
      </w:r>
      <w:r>
        <w:rPr>
          <w:rFonts w:hint="eastAsia" w:ascii="宋体" w:hAnsi="宋体" w:cs="宋体"/>
          <w:sz w:val="24"/>
          <w:szCs w:val="24"/>
        </w:rPr>
        <w:t>S气体，井口H</w:t>
      </w:r>
      <w:r>
        <w:rPr>
          <w:rFonts w:hint="eastAsia" w:ascii="宋体" w:hAnsi="宋体" w:cs="宋体"/>
          <w:sz w:val="24"/>
          <w:szCs w:val="24"/>
          <w:vertAlign w:val="subscript"/>
        </w:rPr>
        <w:t>2</w:t>
      </w:r>
      <w:r>
        <w:rPr>
          <w:rFonts w:hint="eastAsia" w:ascii="宋体" w:hAnsi="宋体" w:cs="宋体"/>
          <w:sz w:val="24"/>
          <w:szCs w:val="24"/>
        </w:rPr>
        <w:t>S浓度低于安全限值，含除硫剂的采出物管输至页岩油联合站进行处理。</w:t>
      </w:r>
    </w:p>
    <w:p w14:paraId="27C57EE2">
      <w:pPr>
        <w:pStyle w:val="117"/>
        <w:adjustRightInd w:val="0"/>
        <w:snapToGrid w:val="0"/>
        <w:ind w:firstLine="480"/>
        <w:rPr>
          <w:rFonts w:hint="eastAsia"/>
        </w:rPr>
      </w:pPr>
      <w:r>
        <w:rPr>
          <w:rFonts w:hint="eastAsia"/>
        </w:rPr>
        <w:t>一期工程废气主要为油气集输过程中的无组织废气、拉油罐储存无组织废气、采出液装车时产生的无组织废气和放空火炬燃烧废气；废水主要为洗井废水和井下作业废液，固体废物主要为清罐底泥、废润滑油、废润滑油桶、沾油废防渗材料和废脱硫剂包装材料。</w:t>
      </w:r>
    </w:p>
    <w:bookmarkEnd w:id="234"/>
    <w:p w14:paraId="5913B0E7">
      <w:pPr>
        <w:pStyle w:val="117"/>
        <w:adjustRightInd w:val="0"/>
        <w:snapToGrid w:val="0"/>
        <w:ind w:firstLine="480"/>
        <w:rPr>
          <w:rFonts w:hint="eastAsia"/>
        </w:rPr>
      </w:pPr>
      <w:r>
        <w:rPr>
          <w:rFonts w:hint="eastAsia"/>
        </w:rPr>
        <w:t>②二期工程</w:t>
      </w:r>
    </w:p>
    <w:p w14:paraId="29946DAE">
      <w:pPr>
        <w:pStyle w:val="117"/>
        <w:adjustRightInd w:val="0"/>
        <w:snapToGrid w:val="0"/>
        <w:ind w:firstLine="480"/>
        <w:rPr>
          <w:rFonts w:hint="eastAsia"/>
        </w:rPr>
      </w:pPr>
      <w:r>
        <w:rPr>
          <w:rFonts w:hint="eastAsia"/>
        </w:rPr>
        <w:t>二期工程采用集中计量、二级布站方式密闭集输工艺，具体工艺流程为：单井采出物通过新建的单井采油管线管输至采油平台集中计量拉油站中计量后，经除硫加药装置除去H</w:t>
      </w:r>
      <w:r>
        <w:rPr>
          <w:rFonts w:hint="eastAsia"/>
          <w:vertAlign w:val="subscript"/>
        </w:rPr>
        <w:t>2</w:t>
      </w:r>
      <w:r>
        <w:rPr>
          <w:rFonts w:hint="eastAsia"/>
        </w:rPr>
        <w:t>S、井口加热装置加热后，</w:t>
      </w:r>
      <w:bookmarkStart w:id="235" w:name="OLE_LINK53"/>
      <w:r>
        <w:rPr>
          <w:rFonts w:hint="eastAsia"/>
        </w:rPr>
        <w:t>通过新建的集油干支线管输至页岩油联合站处理。</w:t>
      </w:r>
      <w:bookmarkEnd w:id="235"/>
      <w:r>
        <w:rPr>
          <w:rFonts w:hint="eastAsia"/>
        </w:rPr>
        <w:t>工艺流程简图及产污环节见图3.2-9。</w:t>
      </w:r>
    </w:p>
    <w:p w14:paraId="2C09AB4B">
      <w:pPr>
        <w:pStyle w:val="117"/>
        <w:adjustRightInd w:val="0"/>
        <w:snapToGrid w:val="0"/>
        <w:spacing w:line="360" w:lineRule="auto"/>
        <w:ind w:firstLine="0" w:firstLineChars="0"/>
        <w:jc w:val="center"/>
        <w:rPr>
          <w:rFonts w:hint="eastAsia"/>
        </w:rPr>
      </w:pPr>
      <w:r>
        <w:object>
          <v:shape id="_x0000_i1027" o:spt="75" type="#_x0000_t75" style="height:92pt;width:377.05pt;" o:ole="t" filled="f" o:preferrelative="t" stroked="f" coordsize="21600,21600">
            <v:path/>
            <v:fill on="f" focussize="0,0"/>
            <v:stroke on="f" joinstyle="miter"/>
            <v:imagedata r:id="rId32" o:title=""/>
            <o:lock v:ext="edit" aspectratio="t"/>
            <w10:wrap type="none"/>
            <w10:anchorlock/>
          </v:shape>
          <o:OLEObject Type="Embed" ProgID="Visio.Drawing.15" ShapeID="_x0000_i1027" DrawAspect="Content" ObjectID="_1468075727" r:id="rId31">
            <o:LockedField>false</o:LockedField>
          </o:OLEObject>
        </w:object>
      </w:r>
    </w:p>
    <w:p w14:paraId="3AA66E28">
      <w:pPr>
        <w:pStyle w:val="117"/>
        <w:adjustRightInd w:val="0"/>
        <w:snapToGrid w:val="0"/>
        <w:spacing w:line="360" w:lineRule="auto"/>
        <w:ind w:firstLine="0" w:firstLineChars="0"/>
        <w:jc w:val="center"/>
        <w:rPr>
          <w:rFonts w:hint="eastAsia"/>
        </w:rPr>
      </w:pPr>
      <w:r>
        <w:rPr>
          <w:rFonts w:hint="eastAsia" w:ascii="黑体" w:hAnsi="黑体" w:eastAsia="黑体"/>
          <w:sz w:val="21"/>
          <w:szCs w:val="21"/>
        </w:rPr>
        <w:t>图3.2-9  二期工程运营期工艺流程及产污环节示意图</w:t>
      </w:r>
    </w:p>
    <w:p w14:paraId="6020C405">
      <w:pPr>
        <w:pStyle w:val="117"/>
        <w:adjustRightInd w:val="0"/>
        <w:snapToGrid w:val="0"/>
        <w:ind w:firstLine="480"/>
        <w:rPr>
          <w:rFonts w:hint="eastAsia"/>
        </w:rPr>
      </w:pPr>
      <w:r>
        <w:rPr>
          <w:rFonts w:hint="eastAsia"/>
        </w:rPr>
        <w:t>二期工程仅新建集油干线，运营期无废气、废水、固体废物和噪声产生，二期工程实施后油气实现了密闭集输，减少了无组织废气的产生量。</w:t>
      </w:r>
    </w:p>
    <w:p w14:paraId="54F73D11">
      <w:pPr>
        <w:pStyle w:val="117"/>
        <w:adjustRightInd w:val="0"/>
        <w:snapToGrid w:val="0"/>
        <w:ind w:firstLine="480"/>
        <w:rPr>
          <w:rFonts w:hint="eastAsia"/>
        </w:rPr>
      </w:pPr>
      <w:r>
        <w:rPr>
          <w:rFonts w:hint="eastAsia"/>
        </w:rPr>
        <w:t>（3）退役期运营期工艺流程及环境影响因素分析</w:t>
      </w:r>
    </w:p>
    <w:p w14:paraId="7EF143E8">
      <w:pPr>
        <w:pStyle w:val="117"/>
        <w:adjustRightInd w:val="0"/>
        <w:snapToGrid w:val="0"/>
        <w:ind w:firstLine="480"/>
        <w:rPr>
          <w:rFonts w:hint="eastAsia"/>
        </w:rPr>
      </w:pPr>
      <w:r>
        <w:rPr>
          <w:rFonts w:hint="eastAsia"/>
        </w:rPr>
        <w:t>退役期主要包括采油井封井、井场、计量站设施及其他公用工程等设施的拆除、清理等施工活动。</w:t>
      </w:r>
      <w:bookmarkStart w:id="236" w:name="_Hlk160375431"/>
      <w:r>
        <w:rPr>
          <w:rFonts w:hint="eastAsia"/>
        </w:rPr>
        <w:t>工艺及产污节点分析见图3.2-10。</w:t>
      </w:r>
    </w:p>
    <w:p w14:paraId="3D408926">
      <w:pPr>
        <w:pStyle w:val="191"/>
        <w:spacing w:line="360" w:lineRule="auto"/>
        <w:ind w:firstLine="480" w:firstLineChars="0"/>
        <w:rPr>
          <w:rFonts w:hint="eastAsia"/>
        </w:rPr>
      </w:pPr>
      <w:r>
        <w:object>
          <v:shape id="_x0000_i1028" o:spt="75" type="#_x0000_t75" style="height:173.95pt;width:338.35pt;" o:ole="t" filled="f" o:preferrelative="t" stroked="f" coordsize="21600,21600">
            <v:path/>
            <v:fill on="f" focussize="0,0"/>
            <v:stroke on="f" joinstyle="miter"/>
            <v:imagedata r:id="rId34" o:title=""/>
            <o:lock v:ext="edit" aspectratio="t"/>
            <w10:wrap type="none"/>
            <w10:anchorlock/>
          </v:shape>
          <o:OLEObject Type="Embed" ProgID="Visio.Drawing.15" ShapeID="_x0000_i1028" DrawAspect="Content" ObjectID="_1468075728" r:id="rId33">
            <o:LockedField>false</o:LockedField>
          </o:OLEObject>
        </w:object>
      </w:r>
    </w:p>
    <w:p w14:paraId="23E6D046">
      <w:pPr>
        <w:pStyle w:val="191"/>
        <w:ind w:firstLine="0" w:firstLineChars="0"/>
        <w:jc w:val="center"/>
        <w:rPr>
          <w:rFonts w:hint="eastAsia" w:ascii="黑体" w:hAnsi="黑体" w:eastAsia="黑体"/>
          <w:sz w:val="21"/>
          <w:szCs w:val="21"/>
        </w:rPr>
      </w:pPr>
      <w:r>
        <w:rPr>
          <w:rFonts w:hint="eastAsia" w:ascii="黑体" w:hAnsi="黑体" w:eastAsia="黑体"/>
          <w:sz w:val="21"/>
          <w:szCs w:val="21"/>
        </w:rPr>
        <w:t>图3.2-10  退役期工艺流程及产污环节示意图</w:t>
      </w:r>
    </w:p>
    <w:p w14:paraId="30A41AFB">
      <w:pPr>
        <w:pStyle w:val="191"/>
        <w:ind w:firstLine="480" w:firstLineChars="0"/>
        <w:rPr>
          <w:rFonts w:hint="eastAsia"/>
        </w:rPr>
      </w:pPr>
      <w:r>
        <w:rPr>
          <w:rFonts w:hint="eastAsia"/>
        </w:rPr>
        <w:t>退役期废气主要为施工扬尘、施工机械及车辆尾气、吹扫废水、噪声、建筑垃圾等。</w:t>
      </w:r>
    </w:p>
    <w:p w14:paraId="571345E1">
      <w:pPr>
        <w:pStyle w:val="117"/>
        <w:adjustRightInd w:val="0"/>
        <w:snapToGrid w:val="0"/>
        <w:ind w:firstLine="480"/>
        <w:rPr>
          <w:rFonts w:hint="eastAsia" w:cs="宋体"/>
        </w:rPr>
      </w:pPr>
      <w:r>
        <w:rPr>
          <w:rFonts w:hint="eastAsia" w:cs="宋体"/>
        </w:rPr>
        <w:t>（4）原辅材料消耗情况</w:t>
      </w:r>
    </w:p>
    <w:p w14:paraId="196CB29D">
      <w:pPr>
        <w:pStyle w:val="117"/>
        <w:adjustRightInd w:val="0"/>
        <w:snapToGrid w:val="0"/>
        <w:ind w:firstLine="480"/>
        <w:rPr>
          <w:rFonts w:hint="eastAsia" w:cs="宋体"/>
        </w:rPr>
      </w:pPr>
      <w:r>
        <w:rPr>
          <w:rFonts w:hint="eastAsia" w:cs="宋体"/>
        </w:rPr>
        <w:t>项目原辅材料消耗主要为压裂液和除硫剂，消耗量分别为180000</w:t>
      </w:r>
      <w:r>
        <w:t>m</w:t>
      </w:r>
      <w:r>
        <w:rPr>
          <w:vertAlign w:val="superscript"/>
        </w:rPr>
        <w:t>3</w:t>
      </w:r>
      <w:r>
        <w:rPr>
          <w:rFonts w:hint="eastAsia"/>
        </w:rPr>
        <w:t>/a、3685</w:t>
      </w:r>
      <w:r>
        <w:t>m</w:t>
      </w:r>
      <w:r>
        <w:rPr>
          <w:vertAlign w:val="superscript"/>
        </w:rPr>
        <w:t>3</w:t>
      </w:r>
      <w:r>
        <w:rPr>
          <w:rFonts w:hint="eastAsia"/>
        </w:rPr>
        <w:t>/a</w:t>
      </w:r>
      <w:r>
        <w:rPr>
          <w:rFonts w:hint="eastAsia" w:cs="宋体"/>
        </w:rPr>
        <w:t>。</w:t>
      </w:r>
    </w:p>
    <w:bookmarkEnd w:id="236"/>
    <w:p w14:paraId="7CF0DB97">
      <w:pPr>
        <w:pStyle w:val="2"/>
        <w:rPr>
          <w:rFonts w:hint="eastAsia"/>
        </w:rPr>
      </w:pPr>
      <w:bookmarkStart w:id="237" w:name="_Toc160381877"/>
      <w:bookmarkStart w:id="238" w:name="_Hlk80182474"/>
      <w:r>
        <w:rPr>
          <w:rFonts w:hint="eastAsia"/>
        </w:rPr>
        <w:t>污染源源强核算</w:t>
      </w:r>
      <w:bookmarkEnd w:id="237"/>
    </w:p>
    <w:bookmarkEnd w:id="238"/>
    <w:p w14:paraId="3F253BD2">
      <w:pPr>
        <w:pStyle w:val="4"/>
        <w:rPr>
          <w:rFonts w:hint="eastAsia"/>
        </w:rPr>
      </w:pPr>
      <w:r>
        <w:rPr>
          <w:rFonts w:hint="eastAsia"/>
        </w:rPr>
        <w:t>施工期污染源源强核算</w:t>
      </w:r>
    </w:p>
    <w:p w14:paraId="1274CCD2">
      <w:pPr>
        <w:pStyle w:val="117"/>
        <w:spacing w:line="480" w:lineRule="exact"/>
        <w:ind w:firstLine="480"/>
        <w:rPr>
          <w:rFonts w:hint="eastAsia"/>
        </w:rPr>
      </w:pPr>
      <w:r>
        <w:rPr>
          <w:rFonts w:hint="eastAsia"/>
        </w:rPr>
        <w:t>（1）废气</w:t>
      </w:r>
    </w:p>
    <w:p w14:paraId="25E24C7D">
      <w:pPr>
        <w:pStyle w:val="117"/>
        <w:spacing w:line="480" w:lineRule="exact"/>
        <w:ind w:firstLine="480"/>
        <w:rPr>
          <w:rFonts w:hint="eastAsia" w:cs="Arial"/>
        </w:rPr>
      </w:pPr>
      <w:r>
        <w:rPr>
          <w:rFonts w:hint="eastAsia" w:cs="Arial"/>
        </w:rPr>
        <w:t>一期、二期工程废气主要为</w:t>
      </w:r>
      <w:bookmarkStart w:id="239" w:name="_Hlk121595570"/>
      <w:r>
        <w:rPr>
          <w:rFonts w:hint="eastAsia" w:cs="Arial"/>
        </w:rPr>
        <w:t>柴油机、发电机组燃烧烟气</w:t>
      </w:r>
      <w:bookmarkEnd w:id="239"/>
      <w:r>
        <w:rPr>
          <w:rFonts w:hint="eastAsia" w:cs="Arial"/>
        </w:rPr>
        <w:t>、施工扬尘、施工机械及车辆尾气和焊接废气。</w:t>
      </w:r>
    </w:p>
    <w:p w14:paraId="361FCF68">
      <w:pPr>
        <w:pStyle w:val="117"/>
        <w:spacing w:line="480" w:lineRule="exact"/>
        <w:ind w:firstLine="480"/>
        <w:rPr>
          <w:rFonts w:hint="eastAsia" w:cs="Arial"/>
        </w:rPr>
      </w:pPr>
      <w:r>
        <w:rPr>
          <w:rFonts w:hint="eastAsia" w:cs="Arial"/>
        </w:rPr>
        <w:t>①柴油机、发电机组燃烧烟气</w:t>
      </w:r>
    </w:p>
    <w:p w14:paraId="7D649CB3">
      <w:pPr>
        <w:pStyle w:val="117"/>
        <w:ind w:firstLine="480"/>
        <w:rPr>
          <w:rFonts w:hint="eastAsia" w:cs="宋体"/>
        </w:rPr>
      </w:pPr>
      <w:r>
        <w:rPr>
          <w:rFonts w:hint="eastAsia"/>
        </w:rPr>
        <w:t>钻井期单井井场动力系统共设3台柴油机和2台柴油发电机，为钻机及井场提供动力、电力和照明，</w:t>
      </w:r>
      <w:r>
        <w:rPr>
          <w:rFonts w:hint="eastAsia" w:cs="宋体"/>
        </w:rPr>
        <w:t>柴油机、发电机工作时消耗的燃料主要为柴油</w:t>
      </w:r>
      <w:r>
        <w:rPr>
          <w:rFonts w:hint="eastAsia"/>
        </w:rPr>
        <w:t>。根据设计资料，单井钻井期柴油消耗量为82t，5口井柴油消耗总量为410</w:t>
      </w:r>
      <w:r>
        <w:t>t</w:t>
      </w:r>
      <w:r>
        <w:rPr>
          <w:rFonts w:hint="eastAsia" w:cs="宋体"/>
        </w:rPr>
        <w:t>。柴油燃烧烟气中各污染物的产生量参考国家环境工程评估中心编制的《社会区域类环境影响评价》一书中提供的柴油燃烧产污系数进行核算（SO</w:t>
      </w:r>
      <w:r>
        <w:rPr>
          <w:rFonts w:hint="eastAsia" w:cs="宋体"/>
          <w:vertAlign w:val="subscript"/>
        </w:rPr>
        <w:t>2</w:t>
      </w:r>
      <w:r>
        <w:rPr>
          <w:rFonts w:hint="eastAsia" w:cs="宋体"/>
        </w:rPr>
        <w:t xml:space="preserve"> 2.24kg/t，NO</w:t>
      </w:r>
      <w:r>
        <w:rPr>
          <w:rFonts w:hint="eastAsia" w:cs="宋体"/>
          <w:vertAlign w:val="subscript"/>
        </w:rPr>
        <w:t>x</w:t>
      </w:r>
      <w:r>
        <w:rPr>
          <w:rFonts w:hint="eastAsia" w:cs="宋体"/>
        </w:rPr>
        <w:t xml:space="preserve"> 2.92kg/t，总烃2.13kg/t）</w:t>
      </w:r>
      <w:bookmarkStart w:id="240" w:name="_Hlk15402090"/>
      <w:r>
        <w:rPr>
          <w:rFonts w:hint="eastAsia" w:cs="宋体"/>
        </w:rPr>
        <w:t>，则污染物排放总量为：SO</w:t>
      </w:r>
      <w:r>
        <w:rPr>
          <w:rFonts w:hint="eastAsia" w:cs="宋体"/>
          <w:vertAlign w:val="subscript"/>
        </w:rPr>
        <w:t>2</w:t>
      </w:r>
      <w:r>
        <w:rPr>
          <w:rFonts w:hint="eastAsia" w:cs="宋体"/>
        </w:rPr>
        <w:t xml:space="preserve"> 0.92t、NO</w:t>
      </w:r>
      <w:r>
        <w:rPr>
          <w:rFonts w:hint="eastAsia" w:cs="宋体"/>
          <w:vertAlign w:val="subscript"/>
        </w:rPr>
        <w:t>x</w:t>
      </w:r>
      <w:r>
        <w:rPr>
          <w:rFonts w:hint="eastAsia" w:cs="宋体"/>
        </w:rPr>
        <w:t xml:space="preserve"> </w:t>
      </w:r>
      <w:r>
        <w:rPr>
          <w:rFonts w:cs="宋体"/>
        </w:rPr>
        <w:t>1.</w:t>
      </w:r>
      <w:r>
        <w:rPr>
          <w:rFonts w:hint="eastAsia" w:cs="宋体"/>
        </w:rPr>
        <w:t>2</w:t>
      </w:r>
      <w:r>
        <w:rPr>
          <w:rFonts w:cs="宋体"/>
        </w:rPr>
        <w:t>0</w:t>
      </w:r>
      <w:r>
        <w:rPr>
          <w:rFonts w:hint="eastAsia" w:cs="宋体"/>
        </w:rPr>
        <w:t>t、总烃0.88t。</w:t>
      </w:r>
      <w:bookmarkEnd w:id="240"/>
    </w:p>
    <w:p w14:paraId="01FD7F35">
      <w:pPr>
        <w:pStyle w:val="117"/>
        <w:ind w:firstLine="480"/>
        <w:rPr>
          <w:rFonts w:hint="eastAsia"/>
        </w:rPr>
      </w:pPr>
      <w:r>
        <w:rPr>
          <w:rFonts w:hint="eastAsia"/>
        </w:rPr>
        <w:t>②施工扬尘</w:t>
      </w:r>
    </w:p>
    <w:p w14:paraId="333D6633">
      <w:pPr>
        <w:pStyle w:val="117"/>
        <w:ind w:firstLine="480"/>
        <w:rPr>
          <w:rFonts w:hint="eastAsia" w:cs="宋体"/>
        </w:rPr>
      </w:pPr>
      <w:r>
        <w:rPr>
          <w:rFonts w:hint="eastAsia"/>
        </w:rPr>
        <w:t>扬尘主要来自于施工场地的清理、平整，施工建筑材料、设备及管线的装卸、运输、堆放以及施工车辆运输，</w:t>
      </w:r>
      <w:r>
        <w:rPr>
          <w:rFonts w:hint="eastAsia" w:cs="宋体"/>
        </w:rPr>
        <w:t>污染物主要为TSP。</w:t>
      </w:r>
    </w:p>
    <w:p w14:paraId="78EECC90">
      <w:pPr>
        <w:pStyle w:val="117"/>
        <w:ind w:firstLine="480"/>
        <w:rPr>
          <w:rFonts w:hint="eastAsia"/>
          <w:snapToGrid w:val="0"/>
        </w:rPr>
      </w:pPr>
      <w:r>
        <w:rPr>
          <w:rFonts w:hint="eastAsia"/>
          <w:snapToGrid w:val="0"/>
        </w:rPr>
        <w:t>③施工机械及施工车辆尾气</w:t>
      </w:r>
    </w:p>
    <w:p w14:paraId="7C2AAB1E">
      <w:pPr>
        <w:pStyle w:val="117"/>
        <w:ind w:firstLine="480"/>
        <w:rPr>
          <w:rFonts w:hint="eastAsia"/>
        </w:rPr>
      </w:pPr>
      <w:r>
        <w:t>施工期各类</w:t>
      </w:r>
      <w:r>
        <w:rPr>
          <w:rFonts w:hint="eastAsia"/>
        </w:rPr>
        <w:t>机械</w:t>
      </w:r>
      <w:r>
        <w:t>及运输车辆较多，</w:t>
      </w:r>
      <w:r>
        <w:rPr>
          <w:rFonts w:hint="eastAsia"/>
        </w:rPr>
        <w:t>车辆</w:t>
      </w:r>
      <w:r>
        <w:t>排放的尾气会对大气环境造成一定污染</w:t>
      </w:r>
      <w:r>
        <w:rPr>
          <w:rFonts w:hint="eastAsia"/>
        </w:rPr>
        <w:t>。</w:t>
      </w:r>
    </w:p>
    <w:p w14:paraId="15E23DBE">
      <w:pPr>
        <w:pStyle w:val="117"/>
        <w:ind w:firstLine="480"/>
        <w:rPr>
          <w:rFonts w:hint="eastAsia"/>
        </w:rPr>
      </w:pPr>
      <w:r>
        <w:rPr>
          <w:rFonts w:hint="eastAsia"/>
        </w:rPr>
        <w:t>④管线焊接废气</w:t>
      </w:r>
    </w:p>
    <w:p w14:paraId="23675CD8">
      <w:pPr>
        <w:pStyle w:val="117"/>
        <w:ind w:firstLine="480"/>
        <w:rPr>
          <w:rFonts w:hint="eastAsia"/>
        </w:rPr>
      </w:pPr>
      <w:r>
        <w:rPr>
          <w:rFonts w:hint="eastAsia"/>
        </w:rPr>
        <w:t>无缝钢管管道组对连接过程中将产生一定量的焊接烟尘，对周围大气环境产生一定的影响。但由于施工期短暂，区域大气环境扩散条件好，管线焊接废气对环境空气质量影响不大。</w:t>
      </w:r>
      <w:r>
        <w:t xml:space="preserve"> </w:t>
      </w:r>
    </w:p>
    <w:p w14:paraId="0BF39304">
      <w:pPr>
        <w:pStyle w:val="117"/>
        <w:ind w:firstLine="480"/>
        <w:rPr>
          <w:rFonts w:hint="eastAsia"/>
        </w:rPr>
      </w:pPr>
      <w:r>
        <w:rPr>
          <w:rFonts w:hint="eastAsia"/>
        </w:rPr>
        <w:t>（2）废水</w:t>
      </w:r>
    </w:p>
    <w:p w14:paraId="6ED8414B">
      <w:pPr>
        <w:pStyle w:val="191"/>
        <w:ind w:firstLine="480"/>
        <w:rPr>
          <w:rFonts w:hint="eastAsia"/>
        </w:rPr>
      </w:pPr>
      <w:r>
        <w:rPr>
          <w:rFonts w:hint="eastAsia"/>
        </w:rPr>
        <w:t>一期工程废水主要为管道试压废水、混凝土养护废水、生活污水和储层改造产生的废压裂液，二期工程废水主要为管道试压废水。</w:t>
      </w:r>
    </w:p>
    <w:p w14:paraId="38EAD4BC">
      <w:pPr>
        <w:pStyle w:val="191"/>
        <w:ind w:firstLine="480" w:firstLineChars="0"/>
        <w:rPr>
          <w:rFonts w:hint="eastAsia"/>
        </w:rPr>
      </w:pPr>
      <w:r>
        <w:rPr>
          <w:rFonts w:hint="eastAsia"/>
        </w:rPr>
        <w:t>①管道试压废水和混凝土养护废水</w:t>
      </w:r>
    </w:p>
    <w:p w14:paraId="7309ADFD">
      <w:pPr>
        <w:pStyle w:val="191"/>
        <w:ind w:firstLine="480"/>
        <w:rPr>
          <w:rFonts w:hint="eastAsia"/>
        </w:rPr>
      </w:pPr>
      <w:r>
        <w:rPr>
          <w:rFonts w:hint="eastAsia"/>
        </w:rPr>
        <w:t>管道试压采用清水试压，从附近村庄拉运至施工区，一期和二期工程用水量合计约为157</w:t>
      </w:r>
      <w:r>
        <w:t>m</w:t>
      </w:r>
      <w:r>
        <w:rPr>
          <w:vertAlign w:val="superscript"/>
        </w:rPr>
        <w:t>3</w:t>
      </w:r>
      <w:r>
        <w:rPr>
          <w:rFonts w:hint="eastAsia"/>
        </w:rPr>
        <w:t>；试压完毕后产生少量的试压废水，主要污染物为悬浮物，浓度在</w:t>
      </w:r>
      <w:r>
        <w:t>40～60mg/L，产生的废水用于施工区域内的洒水降尘。</w:t>
      </w:r>
      <w:r>
        <w:rPr>
          <w:rFonts w:hint="eastAsia"/>
        </w:rPr>
        <w:t>混凝土养护过程中会产生少量的混凝土养护废水，属于清净下水，自然蒸发处理。</w:t>
      </w:r>
    </w:p>
    <w:p w14:paraId="05828327">
      <w:pPr>
        <w:pStyle w:val="191"/>
        <w:ind w:firstLine="480"/>
        <w:rPr>
          <w:rFonts w:hint="eastAsia"/>
        </w:rPr>
      </w:pPr>
      <w:r>
        <w:rPr>
          <w:rFonts w:hint="eastAsia"/>
        </w:rPr>
        <w:t>②废压裂液</w:t>
      </w:r>
    </w:p>
    <w:p w14:paraId="7AEE1FDE">
      <w:pPr>
        <w:pStyle w:val="117"/>
        <w:spacing w:line="480" w:lineRule="exact"/>
        <w:ind w:firstLine="480"/>
        <w:rPr>
          <w:rFonts w:hint="eastAsia"/>
        </w:rPr>
      </w:pPr>
      <w:r>
        <w:rPr>
          <w:rFonts w:hint="eastAsia"/>
        </w:rPr>
        <w:t>储层改造过程中会产生一定的废压裂液，产生量约为</w:t>
      </w:r>
      <w:bookmarkStart w:id="241" w:name="OLE_LINK58"/>
      <w:r>
        <w:rPr>
          <w:rFonts w:hint="eastAsia"/>
        </w:rPr>
        <w:t>180000</w:t>
      </w:r>
      <w:r>
        <w:t>m</w:t>
      </w:r>
      <w:r>
        <w:rPr>
          <w:vertAlign w:val="superscript"/>
        </w:rPr>
        <w:t>3</w:t>
      </w:r>
      <w:bookmarkEnd w:id="241"/>
      <w:r>
        <w:rPr>
          <w:rFonts w:hint="eastAsia"/>
        </w:rPr>
        <w:t>，废压裂液排至收集罐中，集中收集后送至压裂返排液处理装置处理达标后用于压裂液的复配，不外排。</w:t>
      </w:r>
    </w:p>
    <w:p w14:paraId="5619FAB3">
      <w:pPr>
        <w:pStyle w:val="117"/>
        <w:spacing w:line="480" w:lineRule="exact"/>
        <w:ind w:firstLine="480" w:firstLineChars="0"/>
        <w:rPr>
          <w:rFonts w:hint="eastAsia"/>
        </w:rPr>
      </w:pPr>
      <w:r>
        <w:rPr>
          <w:rFonts w:hint="eastAsia"/>
        </w:rPr>
        <w:t>③生活污水</w:t>
      </w:r>
    </w:p>
    <w:p w14:paraId="3DB38A1B">
      <w:pPr>
        <w:pStyle w:val="117"/>
        <w:spacing w:line="480" w:lineRule="exact"/>
        <w:ind w:firstLine="480"/>
        <w:rPr>
          <w:rFonts w:hint="eastAsia"/>
        </w:rPr>
      </w:pPr>
      <w:r>
        <w:rPr>
          <w:rFonts w:hint="eastAsia"/>
        </w:rPr>
        <w:t>钻井工程井场设生活营地，单井钻井周期为41天，</w:t>
      </w:r>
      <w:r>
        <w:t>钻井人数为3</w:t>
      </w:r>
      <w:r>
        <w:rPr>
          <w:rFonts w:hint="eastAsia"/>
        </w:rPr>
        <w:t>5</w:t>
      </w:r>
      <w:r>
        <w:t>人</w:t>
      </w:r>
      <w:r>
        <w:rPr>
          <w:rFonts w:hint="eastAsia"/>
        </w:rPr>
        <w:t>，根据《新疆维吾尔自治区生活用水定额》</w:t>
      </w:r>
      <w:r>
        <w:t>按每人每天用水量20L计算，</w:t>
      </w:r>
      <w:r>
        <w:rPr>
          <w:rFonts w:hint="eastAsia" w:cs="宋体"/>
          <w:bCs/>
          <w:snapToGrid w:val="0"/>
          <w:kern w:val="0"/>
        </w:rPr>
        <w:t>则单井生活用水29m</w:t>
      </w:r>
      <w:r>
        <w:rPr>
          <w:rFonts w:hint="eastAsia" w:cs="宋体"/>
          <w:bCs/>
          <w:snapToGrid w:val="0"/>
          <w:kern w:val="0"/>
          <w:vertAlign w:val="superscript"/>
        </w:rPr>
        <w:t>3</w:t>
      </w:r>
      <w:r>
        <w:rPr>
          <w:rFonts w:hint="eastAsia" w:cs="宋体"/>
          <w:bCs/>
          <w:snapToGrid w:val="0"/>
          <w:kern w:val="0"/>
        </w:rPr>
        <w:t>，5口井用水共145m³。</w:t>
      </w:r>
      <w:r>
        <w:rPr>
          <w:rFonts w:hint="eastAsia" w:cs="宋体"/>
          <w:kern w:val="0"/>
        </w:rPr>
        <w:t>排水系数取0.8，则生活污水产生量约116</w:t>
      </w:r>
      <w:r>
        <w:rPr>
          <w:rFonts w:hint="eastAsia" w:cs="宋体"/>
          <w:bCs/>
          <w:snapToGrid w:val="0"/>
          <w:kern w:val="0"/>
        </w:rPr>
        <w:t>m³</w:t>
      </w:r>
      <w:r>
        <w:rPr>
          <w:rFonts w:hint="eastAsia"/>
        </w:rPr>
        <w:t>。生活污水水质与一般城市生活污水相类似，</w:t>
      </w:r>
      <w:r>
        <w:t>主要的污染物为</w:t>
      </w:r>
      <w:r>
        <w:rPr>
          <w:rFonts w:hint="eastAsia"/>
        </w:rPr>
        <w:t>化学需氧量350mg/L</w:t>
      </w:r>
      <w:r>
        <w:t>、</w:t>
      </w:r>
      <w:r>
        <w:rPr>
          <w:rFonts w:hint="eastAsia"/>
        </w:rPr>
        <w:t>悬浮物200mg/L</w:t>
      </w:r>
      <w:r>
        <w:t>、氨氮</w:t>
      </w:r>
      <w:r>
        <w:rPr>
          <w:rFonts w:hint="eastAsia"/>
        </w:rPr>
        <w:t>30mg/L。钻井期生活污水暂存在生活营地内设置的</w:t>
      </w:r>
      <w:r>
        <w:t>临时</w:t>
      </w:r>
      <w:r>
        <w:rPr>
          <w:rFonts w:hint="eastAsia"/>
        </w:rPr>
        <w:t>防渗</w:t>
      </w:r>
      <w:r>
        <w:t>池</w:t>
      </w:r>
      <w:r>
        <w:rPr>
          <w:rFonts w:hint="eastAsia"/>
        </w:rPr>
        <w:t>内</w:t>
      </w:r>
      <w:r>
        <w:t>，施工结束后由吸污车吸走，清运至</w:t>
      </w:r>
      <w:r>
        <w:rPr>
          <w:rFonts w:hint="eastAsia"/>
        </w:rPr>
        <w:t>吉木萨尔县生活污水处理厂处理</w:t>
      </w:r>
      <w:r>
        <w:t>。</w:t>
      </w:r>
    </w:p>
    <w:p w14:paraId="5564A584">
      <w:pPr>
        <w:pStyle w:val="117"/>
        <w:spacing w:line="480" w:lineRule="exact"/>
        <w:ind w:firstLine="480"/>
        <w:rPr>
          <w:rFonts w:hint="eastAsia"/>
        </w:rPr>
      </w:pPr>
      <w:r>
        <w:rPr>
          <w:rFonts w:hint="eastAsia"/>
        </w:rPr>
        <w:t>（3）噪声</w:t>
      </w:r>
    </w:p>
    <w:p w14:paraId="4358D7CF">
      <w:pPr>
        <w:pStyle w:val="117"/>
        <w:spacing w:line="480" w:lineRule="exact"/>
        <w:ind w:firstLine="480"/>
        <w:rPr>
          <w:rFonts w:hint="eastAsia"/>
        </w:rPr>
      </w:pPr>
      <w:r>
        <w:rPr>
          <w:rFonts w:hint="eastAsia"/>
        </w:rPr>
        <w:t>噪声源主要为施工机械及施工车辆噪声，噪声级在</w:t>
      </w:r>
      <w:r>
        <w:t>60</w:t>
      </w:r>
      <w:r>
        <w:rPr>
          <w:rFonts w:hint="eastAsia"/>
        </w:rPr>
        <w:t>dB（A）～1</w:t>
      </w:r>
      <w:r>
        <w:t>05</w:t>
      </w:r>
      <w:r>
        <w:rPr>
          <w:rFonts w:hint="eastAsia"/>
        </w:rPr>
        <w:t>dB（A）之间。各噪声源噪声排放情况见表</w:t>
      </w:r>
      <w:r>
        <w:t>3.3-1</w:t>
      </w:r>
      <w:r>
        <w:rPr>
          <w:rFonts w:hint="eastAsia"/>
        </w:rPr>
        <w:t>。</w:t>
      </w:r>
    </w:p>
    <w:p w14:paraId="425C0700">
      <w:pPr>
        <w:pStyle w:val="109"/>
        <w:rPr>
          <w:rFonts w:hint="eastAsia"/>
        </w:rPr>
      </w:pPr>
      <w:r>
        <w:t>表3.3</w:t>
      </w:r>
      <w:r>
        <w:rPr>
          <w:rFonts w:hint="eastAsia"/>
        </w:rPr>
        <w:t>-</w:t>
      </w:r>
      <w:r>
        <w:t xml:space="preserve">1  </w:t>
      </w:r>
      <w:bookmarkStart w:id="242" w:name="_Hlk117529678"/>
      <w:r>
        <w:rPr>
          <w:rFonts w:hint="eastAsia"/>
        </w:rPr>
        <w:t>施工期噪声排放情况一览表</w:t>
      </w:r>
      <w:bookmarkEnd w:id="242"/>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1" w:type="dxa"/>
          <w:bottom w:w="0" w:type="dxa"/>
          <w:right w:w="11" w:type="dxa"/>
        </w:tblCellMar>
      </w:tblPr>
      <w:tblGrid>
        <w:gridCol w:w="1288"/>
        <w:gridCol w:w="1134"/>
        <w:gridCol w:w="1843"/>
        <w:gridCol w:w="991"/>
        <w:gridCol w:w="992"/>
        <w:gridCol w:w="2504"/>
      </w:tblGrid>
      <w:tr w14:paraId="063F81C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5F856CEE">
            <w:pPr>
              <w:pStyle w:val="286"/>
              <w:adjustRightInd w:val="0"/>
              <w:snapToGrid w:val="0"/>
              <w:rPr>
                <w:rFonts w:hint="eastAsia"/>
                <w:sz w:val="21"/>
              </w:rPr>
            </w:pPr>
            <w:r>
              <w:rPr>
                <w:rFonts w:hint="eastAsia"/>
                <w:sz w:val="21"/>
              </w:rPr>
              <w:t>噪声源名称</w:t>
            </w:r>
          </w:p>
        </w:tc>
        <w:tc>
          <w:tcPr>
            <w:tcW w:w="648" w:type="pct"/>
            <w:tcBorders>
              <w:left w:val="single" w:color="auto" w:sz="4" w:space="0"/>
              <w:right w:val="single" w:color="auto" w:sz="4" w:space="0"/>
            </w:tcBorders>
            <w:vAlign w:val="center"/>
          </w:tcPr>
          <w:p w14:paraId="1CB0CFD0">
            <w:pPr>
              <w:pStyle w:val="286"/>
              <w:adjustRightInd w:val="0"/>
              <w:snapToGrid w:val="0"/>
              <w:rPr>
                <w:rFonts w:hint="eastAsia"/>
                <w:sz w:val="21"/>
              </w:rPr>
            </w:pPr>
            <w:r>
              <w:rPr>
                <w:rFonts w:hint="eastAsia"/>
                <w:sz w:val="21"/>
              </w:rPr>
              <w:t>噪声源位置</w:t>
            </w:r>
          </w:p>
        </w:tc>
        <w:tc>
          <w:tcPr>
            <w:tcW w:w="1053" w:type="pct"/>
            <w:tcBorders>
              <w:left w:val="single" w:color="auto" w:sz="4" w:space="0"/>
            </w:tcBorders>
            <w:vAlign w:val="center"/>
          </w:tcPr>
          <w:p w14:paraId="462120E0">
            <w:pPr>
              <w:pStyle w:val="286"/>
              <w:adjustRightInd w:val="0"/>
              <w:snapToGrid w:val="0"/>
              <w:rPr>
                <w:rFonts w:hint="eastAsia"/>
                <w:sz w:val="21"/>
              </w:rPr>
            </w:pPr>
            <w:r>
              <w:rPr>
                <w:rFonts w:hint="eastAsia"/>
                <w:sz w:val="21"/>
              </w:rPr>
              <w:t>声功率级[dB（A）]</w:t>
            </w:r>
          </w:p>
        </w:tc>
        <w:tc>
          <w:tcPr>
            <w:tcW w:w="566" w:type="pct"/>
            <w:vAlign w:val="center"/>
          </w:tcPr>
          <w:p w14:paraId="7FF701B2">
            <w:pPr>
              <w:pStyle w:val="286"/>
              <w:adjustRightInd w:val="0"/>
              <w:snapToGrid w:val="0"/>
              <w:rPr>
                <w:rFonts w:hint="eastAsia"/>
                <w:sz w:val="21"/>
              </w:rPr>
            </w:pPr>
            <w:r>
              <w:rPr>
                <w:rFonts w:hint="eastAsia"/>
                <w:sz w:val="21"/>
              </w:rPr>
              <w:t>排放规律</w:t>
            </w:r>
          </w:p>
        </w:tc>
        <w:tc>
          <w:tcPr>
            <w:tcW w:w="567" w:type="pct"/>
            <w:vAlign w:val="center"/>
          </w:tcPr>
          <w:p w14:paraId="4208FF14">
            <w:pPr>
              <w:pStyle w:val="286"/>
              <w:adjustRightInd w:val="0"/>
              <w:snapToGrid w:val="0"/>
              <w:rPr>
                <w:rFonts w:hint="eastAsia"/>
                <w:sz w:val="21"/>
              </w:rPr>
            </w:pPr>
            <w:r>
              <w:rPr>
                <w:rFonts w:hint="eastAsia"/>
                <w:sz w:val="21"/>
              </w:rPr>
              <w:t>噪声特性</w:t>
            </w:r>
          </w:p>
        </w:tc>
        <w:tc>
          <w:tcPr>
            <w:tcW w:w="1431" w:type="pct"/>
            <w:vAlign w:val="center"/>
          </w:tcPr>
          <w:p w14:paraId="6E2E6E04">
            <w:pPr>
              <w:pStyle w:val="286"/>
              <w:adjustRightInd w:val="0"/>
              <w:snapToGrid w:val="0"/>
              <w:rPr>
                <w:rFonts w:hint="eastAsia"/>
                <w:sz w:val="21"/>
              </w:rPr>
            </w:pPr>
            <w:r>
              <w:rPr>
                <w:rFonts w:hint="eastAsia"/>
                <w:sz w:val="21"/>
              </w:rPr>
              <w:t>降噪措施</w:t>
            </w:r>
          </w:p>
        </w:tc>
      </w:tr>
      <w:tr w14:paraId="719DA7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4D6329C7">
            <w:pPr>
              <w:pStyle w:val="286"/>
              <w:adjustRightInd w:val="0"/>
              <w:snapToGrid w:val="0"/>
              <w:rPr>
                <w:rFonts w:hint="eastAsia"/>
                <w:sz w:val="21"/>
              </w:rPr>
            </w:pPr>
            <w:r>
              <w:rPr>
                <w:sz w:val="21"/>
              </w:rPr>
              <w:t>柴油发电机</w:t>
            </w:r>
          </w:p>
        </w:tc>
        <w:tc>
          <w:tcPr>
            <w:tcW w:w="648" w:type="pct"/>
            <w:vMerge w:val="restart"/>
            <w:tcBorders>
              <w:left w:val="single" w:color="auto" w:sz="4" w:space="0"/>
            </w:tcBorders>
            <w:vAlign w:val="center"/>
          </w:tcPr>
          <w:p w14:paraId="704699BF">
            <w:pPr>
              <w:pStyle w:val="286"/>
              <w:adjustRightInd w:val="0"/>
              <w:snapToGrid w:val="0"/>
              <w:rPr>
                <w:rFonts w:hint="eastAsia"/>
                <w:sz w:val="21"/>
              </w:rPr>
            </w:pPr>
            <w:r>
              <w:rPr>
                <w:rFonts w:hint="eastAsia"/>
                <w:sz w:val="21"/>
              </w:rPr>
              <w:t>钻井井场</w:t>
            </w:r>
          </w:p>
        </w:tc>
        <w:tc>
          <w:tcPr>
            <w:tcW w:w="1053" w:type="pct"/>
            <w:vAlign w:val="center"/>
          </w:tcPr>
          <w:p w14:paraId="5F852826">
            <w:pPr>
              <w:pStyle w:val="286"/>
              <w:adjustRightInd w:val="0"/>
              <w:snapToGrid w:val="0"/>
              <w:rPr>
                <w:rFonts w:hint="eastAsia"/>
                <w:sz w:val="21"/>
              </w:rPr>
            </w:pPr>
            <w:r>
              <w:rPr>
                <w:rFonts w:hint="eastAsia"/>
                <w:sz w:val="21"/>
              </w:rPr>
              <w:t>80～</w:t>
            </w:r>
            <w:r>
              <w:rPr>
                <w:sz w:val="21"/>
              </w:rPr>
              <w:t>90</w:t>
            </w:r>
          </w:p>
        </w:tc>
        <w:tc>
          <w:tcPr>
            <w:tcW w:w="566" w:type="pct"/>
            <w:vMerge w:val="restart"/>
            <w:vAlign w:val="center"/>
          </w:tcPr>
          <w:p w14:paraId="12622C13">
            <w:pPr>
              <w:pStyle w:val="286"/>
              <w:adjustRightInd w:val="0"/>
              <w:snapToGrid w:val="0"/>
              <w:rPr>
                <w:rFonts w:hint="eastAsia"/>
                <w:sz w:val="21"/>
              </w:rPr>
            </w:pPr>
            <w:r>
              <w:rPr>
                <w:rFonts w:hint="eastAsia"/>
                <w:sz w:val="21"/>
              </w:rPr>
              <w:t>间歇</w:t>
            </w:r>
          </w:p>
        </w:tc>
        <w:tc>
          <w:tcPr>
            <w:tcW w:w="567" w:type="pct"/>
            <w:vAlign w:val="center"/>
          </w:tcPr>
          <w:p w14:paraId="5B418874">
            <w:pPr>
              <w:pStyle w:val="286"/>
              <w:adjustRightInd w:val="0"/>
              <w:snapToGrid w:val="0"/>
              <w:rPr>
                <w:rFonts w:hint="eastAsia"/>
                <w:sz w:val="21"/>
              </w:rPr>
            </w:pPr>
            <w:r>
              <w:rPr>
                <w:sz w:val="21"/>
              </w:rPr>
              <w:t>机械</w:t>
            </w:r>
          </w:p>
        </w:tc>
        <w:tc>
          <w:tcPr>
            <w:tcW w:w="1431" w:type="pct"/>
            <w:vMerge w:val="restart"/>
            <w:vAlign w:val="center"/>
          </w:tcPr>
          <w:p w14:paraId="7C1CA2C7">
            <w:pPr>
              <w:pStyle w:val="286"/>
              <w:adjustRightInd w:val="0"/>
              <w:snapToGrid w:val="0"/>
              <w:rPr>
                <w:rFonts w:hint="eastAsia"/>
                <w:sz w:val="21"/>
              </w:rPr>
            </w:pPr>
            <w:r>
              <w:rPr>
                <w:rFonts w:hint="eastAsia"/>
                <w:sz w:val="21"/>
              </w:rPr>
              <w:t>设备选型上要求采用低噪声的设备，施工设备要经常检查维修，对噪声较大的设备采取基础减震措施</w:t>
            </w:r>
          </w:p>
        </w:tc>
      </w:tr>
      <w:tr w14:paraId="34B47D9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483FFDD9">
            <w:pPr>
              <w:pStyle w:val="286"/>
              <w:adjustRightInd w:val="0"/>
              <w:snapToGrid w:val="0"/>
              <w:rPr>
                <w:rFonts w:hint="eastAsia"/>
                <w:sz w:val="21"/>
              </w:rPr>
            </w:pPr>
            <w:r>
              <w:rPr>
                <w:sz w:val="21"/>
              </w:rPr>
              <w:t>钻机</w:t>
            </w:r>
          </w:p>
        </w:tc>
        <w:tc>
          <w:tcPr>
            <w:tcW w:w="648" w:type="pct"/>
            <w:vMerge w:val="continue"/>
            <w:tcBorders>
              <w:left w:val="single" w:color="auto" w:sz="4" w:space="0"/>
            </w:tcBorders>
            <w:vAlign w:val="center"/>
          </w:tcPr>
          <w:p w14:paraId="59FA4413">
            <w:pPr>
              <w:pStyle w:val="286"/>
              <w:adjustRightInd w:val="0"/>
              <w:snapToGrid w:val="0"/>
              <w:rPr>
                <w:rFonts w:hint="eastAsia"/>
                <w:sz w:val="21"/>
              </w:rPr>
            </w:pPr>
          </w:p>
        </w:tc>
        <w:tc>
          <w:tcPr>
            <w:tcW w:w="1053" w:type="pct"/>
            <w:vAlign w:val="center"/>
          </w:tcPr>
          <w:p w14:paraId="7112695C">
            <w:pPr>
              <w:pStyle w:val="286"/>
              <w:adjustRightInd w:val="0"/>
              <w:snapToGrid w:val="0"/>
              <w:rPr>
                <w:rFonts w:hint="eastAsia"/>
                <w:sz w:val="21"/>
              </w:rPr>
            </w:pPr>
            <w:r>
              <w:rPr>
                <w:rFonts w:hint="eastAsia" w:cs="宋体"/>
                <w:sz w:val="21"/>
              </w:rPr>
              <w:t>100～105</w:t>
            </w:r>
          </w:p>
        </w:tc>
        <w:tc>
          <w:tcPr>
            <w:tcW w:w="566" w:type="pct"/>
            <w:vMerge w:val="continue"/>
            <w:vAlign w:val="center"/>
          </w:tcPr>
          <w:p w14:paraId="6A60F42B">
            <w:pPr>
              <w:pStyle w:val="286"/>
              <w:adjustRightInd w:val="0"/>
              <w:snapToGrid w:val="0"/>
              <w:rPr>
                <w:rFonts w:hint="eastAsia"/>
                <w:sz w:val="21"/>
              </w:rPr>
            </w:pPr>
          </w:p>
        </w:tc>
        <w:tc>
          <w:tcPr>
            <w:tcW w:w="567" w:type="pct"/>
            <w:vAlign w:val="center"/>
          </w:tcPr>
          <w:p w14:paraId="2483F84E">
            <w:pPr>
              <w:pStyle w:val="286"/>
              <w:adjustRightInd w:val="0"/>
              <w:snapToGrid w:val="0"/>
              <w:rPr>
                <w:rFonts w:hint="eastAsia"/>
                <w:sz w:val="21"/>
              </w:rPr>
            </w:pPr>
            <w:r>
              <w:rPr>
                <w:sz w:val="21"/>
              </w:rPr>
              <w:t>机械</w:t>
            </w:r>
          </w:p>
        </w:tc>
        <w:tc>
          <w:tcPr>
            <w:tcW w:w="1431" w:type="pct"/>
            <w:vMerge w:val="continue"/>
            <w:vAlign w:val="center"/>
          </w:tcPr>
          <w:p w14:paraId="75D98447">
            <w:pPr>
              <w:pStyle w:val="286"/>
              <w:adjustRightInd w:val="0"/>
              <w:snapToGrid w:val="0"/>
              <w:rPr>
                <w:rFonts w:hint="eastAsia"/>
                <w:sz w:val="21"/>
              </w:rPr>
            </w:pPr>
          </w:p>
        </w:tc>
      </w:tr>
      <w:tr w14:paraId="03AF518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0B4410E9">
            <w:pPr>
              <w:pStyle w:val="286"/>
              <w:adjustRightInd w:val="0"/>
              <w:snapToGrid w:val="0"/>
              <w:rPr>
                <w:rFonts w:hint="eastAsia"/>
                <w:sz w:val="21"/>
              </w:rPr>
            </w:pPr>
            <w:bookmarkStart w:id="243" w:name="_Hlk40356870"/>
            <w:r>
              <w:rPr>
                <w:rFonts w:hint="eastAsia" w:cs="宋体"/>
                <w:sz w:val="21"/>
              </w:rPr>
              <w:t>钻井液循环泵</w:t>
            </w:r>
            <w:bookmarkEnd w:id="243"/>
          </w:p>
        </w:tc>
        <w:tc>
          <w:tcPr>
            <w:tcW w:w="648" w:type="pct"/>
            <w:vMerge w:val="continue"/>
            <w:tcBorders>
              <w:left w:val="single" w:color="auto" w:sz="4" w:space="0"/>
            </w:tcBorders>
            <w:vAlign w:val="center"/>
          </w:tcPr>
          <w:p w14:paraId="4D496D72">
            <w:pPr>
              <w:pStyle w:val="286"/>
              <w:adjustRightInd w:val="0"/>
              <w:snapToGrid w:val="0"/>
              <w:rPr>
                <w:rFonts w:hint="eastAsia"/>
                <w:sz w:val="21"/>
              </w:rPr>
            </w:pPr>
          </w:p>
        </w:tc>
        <w:tc>
          <w:tcPr>
            <w:tcW w:w="1053" w:type="pct"/>
            <w:vAlign w:val="center"/>
          </w:tcPr>
          <w:p w14:paraId="14F88E1A">
            <w:pPr>
              <w:pStyle w:val="286"/>
              <w:adjustRightInd w:val="0"/>
              <w:snapToGrid w:val="0"/>
              <w:rPr>
                <w:rFonts w:hint="eastAsia"/>
                <w:sz w:val="21"/>
              </w:rPr>
            </w:pPr>
            <w:r>
              <w:rPr>
                <w:rFonts w:hint="eastAsia" w:cs="宋体"/>
                <w:sz w:val="21"/>
              </w:rPr>
              <w:t>95～100</w:t>
            </w:r>
          </w:p>
        </w:tc>
        <w:tc>
          <w:tcPr>
            <w:tcW w:w="566" w:type="pct"/>
            <w:vMerge w:val="continue"/>
            <w:vAlign w:val="center"/>
          </w:tcPr>
          <w:p w14:paraId="1E702D33">
            <w:pPr>
              <w:pStyle w:val="286"/>
              <w:adjustRightInd w:val="0"/>
              <w:snapToGrid w:val="0"/>
              <w:rPr>
                <w:rFonts w:hint="eastAsia"/>
                <w:sz w:val="21"/>
              </w:rPr>
            </w:pPr>
          </w:p>
        </w:tc>
        <w:tc>
          <w:tcPr>
            <w:tcW w:w="567" w:type="pct"/>
            <w:vAlign w:val="center"/>
          </w:tcPr>
          <w:p w14:paraId="5082C861">
            <w:pPr>
              <w:pStyle w:val="286"/>
              <w:adjustRightInd w:val="0"/>
              <w:snapToGrid w:val="0"/>
              <w:rPr>
                <w:rFonts w:hint="eastAsia"/>
                <w:sz w:val="21"/>
              </w:rPr>
            </w:pPr>
            <w:r>
              <w:rPr>
                <w:sz w:val="21"/>
              </w:rPr>
              <w:t>机械</w:t>
            </w:r>
          </w:p>
        </w:tc>
        <w:tc>
          <w:tcPr>
            <w:tcW w:w="1431" w:type="pct"/>
            <w:vMerge w:val="continue"/>
            <w:vAlign w:val="center"/>
          </w:tcPr>
          <w:p w14:paraId="444E1CAF">
            <w:pPr>
              <w:pStyle w:val="286"/>
              <w:adjustRightInd w:val="0"/>
              <w:snapToGrid w:val="0"/>
              <w:rPr>
                <w:rFonts w:hint="eastAsia"/>
                <w:sz w:val="21"/>
              </w:rPr>
            </w:pPr>
          </w:p>
        </w:tc>
      </w:tr>
      <w:tr w14:paraId="665745B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77D837E1">
            <w:pPr>
              <w:pStyle w:val="286"/>
              <w:adjustRightInd w:val="0"/>
              <w:snapToGrid w:val="0"/>
              <w:rPr>
                <w:rFonts w:hint="eastAsia" w:cs="宋体"/>
                <w:sz w:val="21"/>
              </w:rPr>
            </w:pPr>
            <w:r>
              <w:rPr>
                <w:rFonts w:hint="eastAsia" w:cs="宋体"/>
                <w:sz w:val="21"/>
              </w:rPr>
              <w:t>施工机械</w:t>
            </w:r>
          </w:p>
        </w:tc>
        <w:tc>
          <w:tcPr>
            <w:tcW w:w="648" w:type="pct"/>
            <w:vMerge w:val="continue"/>
            <w:tcBorders>
              <w:left w:val="single" w:color="auto" w:sz="4" w:space="0"/>
            </w:tcBorders>
            <w:vAlign w:val="center"/>
          </w:tcPr>
          <w:p w14:paraId="3CE4B2A4">
            <w:pPr>
              <w:pStyle w:val="286"/>
              <w:adjustRightInd w:val="0"/>
              <w:snapToGrid w:val="0"/>
              <w:rPr>
                <w:rFonts w:hint="eastAsia"/>
                <w:sz w:val="21"/>
              </w:rPr>
            </w:pPr>
          </w:p>
        </w:tc>
        <w:tc>
          <w:tcPr>
            <w:tcW w:w="1053" w:type="pct"/>
            <w:vAlign w:val="center"/>
          </w:tcPr>
          <w:p w14:paraId="2CA619D1">
            <w:pPr>
              <w:pStyle w:val="286"/>
              <w:adjustRightInd w:val="0"/>
              <w:snapToGrid w:val="0"/>
              <w:rPr>
                <w:rFonts w:hint="eastAsia"/>
                <w:sz w:val="21"/>
              </w:rPr>
            </w:pPr>
            <w:r>
              <w:rPr>
                <w:rFonts w:hint="eastAsia" w:cs="宋体"/>
                <w:sz w:val="21"/>
              </w:rPr>
              <w:t>85～100</w:t>
            </w:r>
          </w:p>
        </w:tc>
        <w:tc>
          <w:tcPr>
            <w:tcW w:w="566" w:type="pct"/>
            <w:vMerge w:val="continue"/>
            <w:vAlign w:val="center"/>
          </w:tcPr>
          <w:p w14:paraId="7B393167">
            <w:pPr>
              <w:pStyle w:val="286"/>
              <w:adjustRightInd w:val="0"/>
              <w:snapToGrid w:val="0"/>
              <w:rPr>
                <w:rFonts w:hint="eastAsia"/>
                <w:sz w:val="21"/>
              </w:rPr>
            </w:pPr>
          </w:p>
        </w:tc>
        <w:tc>
          <w:tcPr>
            <w:tcW w:w="567" w:type="pct"/>
            <w:vAlign w:val="center"/>
          </w:tcPr>
          <w:p w14:paraId="5C292B63">
            <w:pPr>
              <w:pStyle w:val="286"/>
              <w:adjustRightInd w:val="0"/>
              <w:snapToGrid w:val="0"/>
              <w:rPr>
                <w:rFonts w:hint="eastAsia"/>
                <w:sz w:val="21"/>
              </w:rPr>
            </w:pPr>
            <w:r>
              <w:rPr>
                <w:sz w:val="21"/>
              </w:rPr>
              <w:t>机械</w:t>
            </w:r>
          </w:p>
        </w:tc>
        <w:tc>
          <w:tcPr>
            <w:tcW w:w="1431" w:type="pct"/>
            <w:vMerge w:val="continue"/>
            <w:vAlign w:val="center"/>
          </w:tcPr>
          <w:p w14:paraId="32724F41">
            <w:pPr>
              <w:pStyle w:val="286"/>
              <w:adjustRightInd w:val="0"/>
              <w:snapToGrid w:val="0"/>
              <w:rPr>
                <w:rFonts w:hint="eastAsia"/>
                <w:sz w:val="21"/>
              </w:rPr>
            </w:pPr>
          </w:p>
        </w:tc>
      </w:tr>
      <w:tr w14:paraId="043786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 w:type="dxa"/>
            <w:bottom w:w="0" w:type="dxa"/>
            <w:right w:w="11" w:type="dxa"/>
          </w:tblCellMar>
        </w:tblPrEx>
        <w:trPr>
          <w:cantSplit/>
          <w:trHeight w:val="340" w:hRule="atLeast"/>
          <w:jc w:val="center"/>
        </w:trPr>
        <w:tc>
          <w:tcPr>
            <w:tcW w:w="736" w:type="pct"/>
            <w:tcBorders>
              <w:right w:val="single" w:color="auto" w:sz="4" w:space="0"/>
            </w:tcBorders>
            <w:vAlign w:val="center"/>
          </w:tcPr>
          <w:p w14:paraId="3D1AFDF6">
            <w:pPr>
              <w:pStyle w:val="286"/>
              <w:adjustRightInd w:val="0"/>
              <w:snapToGrid w:val="0"/>
              <w:rPr>
                <w:rFonts w:hint="eastAsia" w:cs="宋体"/>
                <w:sz w:val="21"/>
              </w:rPr>
            </w:pPr>
            <w:r>
              <w:rPr>
                <w:rFonts w:hint="eastAsia" w:cs="宋体"/>
                <w:sz w:val="21"/>
              </w:rPr>
              <w:t>施工车辆</w:t>
            </w:r>
          </w:p>
        </w:tc>
        <w:tc>
          <w:tcPr>
            <w:tcW w:w="648" w:type="pct"/>
            <w:tcBorders>
              <w:left w:val="single" w:color="auto" w:sz="4" w:space="0"/>
            </w:tcBorders>
            <w:vAlign w:val="center"/>
          </w:tcPr>
          <w:p w14:paraId="4F8D96D7">
            <w:pPr>
              <w:pStyle w:val="286"/>
              <w:adjustRightInd w:val="0"/>
              <w:snapToGrid w:val="0"/>
              <w:rPr>
                <w:rFonts w:hint="eastAsia"/>
                <w:sz w:val="21"/>
              </w:rPr>
            </w:pPr>
            <w:r>
              <w:rPr>
                <w:rFonts w:hint="eastAsia"/>
                <w:sz w:val="21"/>
              </w:rPr>
              <w:t>交通噪声</w:t>
            </w:r>
          </w:p>
        </w:tc>
        <w:tc>
          <w:tcPr>
            <w:tcW w:w="1053" w:type="pct"/>
            <w:vAlign w:val="center"/>
          </w:tcPr>
          <w:p w14:paraId="05E09318">
            <w:pPr>
              <w:pStyle w:val="286"/>
              <w:adjustRightInd w:val="0"/>
              <w:snapToGrid w:val="0"/>
              <w:rPr>
                <w:rFonts w:hint="eastAsia" w:cs="宋体"/>
                <w:sz w:val="21"/>
              </w:rPr>
            </w:pPr>
            <w:r>
              <w:rPr>
                <w:sz w:val="21"/>
              </w:rPr>
              <w:t>60～90</w:t>
            </w:r>
          </w:p>
        </w:tc>
        <w:tc>
          <w:tcPr>
            <w:tcW w:w="566" w:type="pct"/>
            <w:vAlign w:val="center"/>
          </w:tcPr>
          <w:p w14:paraId="1377C328">
            <w:pPr>
              <w:pStyle w:val="286"/>
              <w:adjustRightInd w:val="0"/>
              <w:snapToGrid w:val="0"/>
              <w:rPr>
                <w:rFonts w:hint="eastAsia"/>
                <w:sz w:val="21"/>
              </w:rPr>
            </w:pPr>
            <w:r>
              <w:rPr>
                <w:rFonts w:hint="eastAsia"/>
                <w:sz w:val="21"/>
              </w:rPr>
              <w:t>间歇</w:t>
            </w:r>
          </w:p>
        </w:tc>
        <w:tc>
          <w:tcPr>
            <w:tcW w:w="567" w:type="pct"/>
            <w:vAlign w:val="center"/>
          </w:tcPr>
          <w:p w14:paraId="74869B49">
            <w:pPr>
              <w:pStyle w:val="286"/>
              <w:adjustRightInd w:val="0"/>
              <w:snapToGrid w:val="0"/>
              <w:rPr>
                <w:rFonts w:hint="eastAsia"/>
                <w:sz w:val="21"/>
              </w:rPr>
            </w:pPr>
            <w:r>
              <w:rPr>
                <w:sz w:val="21"/>
              </w:rPr>
              <w:t>机械</w:t>
            </w:r>
          </w:p>
        </w:tc>
        <w:tc>
          <w:tcPr>
            <w:tcW w:w="1431" w:type="pct"/>
          </w:tcPr>
          <w:p w14:paraId="6B0043D7">
            <w:pPr>
              <w:pStyle w:val="286"/>
              <w:adjustRightInd w:val="0"/>
              <w:snapToGrid w:val="0"/>
              <w:rPr>
                <w:rFonts w:hint="eastAsia"/>
                <w:sz w:val="21"/>
              </w:rPr>
            </w:pPr>
            <w:r>
              <w:rPr>
                <w:rFonts w:hint="eastAsia"/>
                <w:sz w:val="21"/>
              </w:rPr>
              <w:t>加强保养维修</w:t>
            </w:r>
          </w:p>
        </w:tc>
      </w:tr>
    </w:tbl>
    <w:p w14:paraId="6C5F3E0D">
      <w:pPr>
        <w:pStyle w:val="117"/>
        <w:ind w:firstLine="480"/>
        <w:rPr>
          <w:rFonts w:hint="eastAsia"/>
        </w:rPr>
      </w:pPr>
      <w:r>
        <w:rPr>
          <w:rFonts w:hint="eastAsia"/>
        </w:rPr>
        <w:t>（4）固体废物</w:t>
      </w:r>
    </w:p>
    <w:p w14:paraId="765E5AD9">
      <w:pPr>
        <w:pStyle w:val="117"/>
        <w:ind w:firstLine="480"/>
        <w:rPr>
          <w:rFonts w:hint="eastAsia"/>
        </w:rPr>
      </w:pPr>
      <w:bookmarkStart w:id="244" w:name="_Hlk40734687"/>
      <w:r>
        <w:rPr>
          <w:rFonts w:hint="eastAsia"/>
        </w:rPr>
        <w:t>二期工程拆除的生产分离器、拉油方罐和放空火炬由建设单位回收处置，施工产生的土石方全部回填，无弃方产生；一期工程固体废物主要为钻井岩屑、建筑垃圾、生活垃圾、废润滑油、废润滑油桶和沾油废防渗材料。二期工程固体废物主要为建筑垃圾。</w:t>
      </w:r>
    </w:p>
    <w:p w14:paraId="7791EBFB">
      <w:pPr>
        <w:pStyle w:val="117"/>
        <w:ind w:firstLine="480" w:firstLineChars="0"/>
        <w:rPr>
          <w:rFonts w:hint="eastAsia"/>
        </w:rPr>
      </w:pPr>
      <w:r>
        <w:rPr>
          <w:rFonts w:hint="eastAsia"/>
        </w:rPr>
        <w:t>①钻井岩屑</w:t>
      </w:r>
    </w:p>
    <w:p w14:paraId="31F25176">
      <w:pPr>
        <w:pStyle w:val="191"/>
        <w:ind w:firstLine="480"/>
        <w:rPr>
          <w:rFonts w:hint="eastAsia"/>
        </w:rPr>
      </w:pPr>
      <w:r>
        <w:rPr>
          <w:rFonts w:hint="eastAsia"/>
        </w:rPr>
        <w:t>钻井过程中，岩石经钻头和钻井液的研磨而破碎成岩屑，随钻井液排出井口，进入钻井液不落地系统进行处理，分离出的液相回用于钻井液配置，钻井结束后由钻井队带至下一个井场继续使用，不外排。分离出固相即为钻井岩屑，进井场岩屑储罐，交由岩屑处置单位处理。岩</w:t>
      </w:r>
      <w:r>
        <w:t>屑产生量与井身结构有关，可按下式计算：</w:t>
      </w:r>
    </w:p>
    <w:p w14:paraId="382BEDC4">
      <w:pPr>
        <w:pStyle w:val="191"/>
        <w:ind w:firstLine="480"/>
        <w:rPr>
          <w:rFonts w:hint="eastAsia"/>
        </w:rPr>
      </w:pPr>
      <w:r>
        <w:rPr>
          <w:rFonts w:hint="eastAsia"/>
        </w:rPr>
        <w:t xml:space="preserve">                        </w:t>
      </w:r>
      <w:r>
        <w:rPr>
          <w:i/>
        </w:rPr>
        <w:t>W=1/4×π×D</w:t>
      </w:r>
      <w:r>
        <w:rPr>
          <w:i/>
          <w:vertAlign w:val="superscript"/>
        </w:rPr>
        <w:t>2</w:t>
      </w:r>
      <w:r>
        <w:rPr>
          <w:i/>
        </w:rPr>
        <w:t>×h×d</w:t>
      </w:r>
    </w:p>
    <w:p w14:paraId="084D4023">
      <w:pPr>
        <w:pStyle w:val="191"/>
        <w:ind w:firstLine="480"/>
        <w:rPr>
          <w:rFonts w:hint="eastAsia"/>
        </w:rPr>
      </w:pPr>
      <w:r>
        <w:t>式中：</w:t>
      </w:r>
      <w:r>
        <w:rPr>
          <w:i/>
        </w:rPr>
        <w:t>W</w:t>
      </w:r>
      <w:r>
        <w:t>——产生的岩屑量，</w:t>
      </w:r>
      <w:r>
        <w:rPr>
          <w:rFonts w:hint="eastAsia"/>
        </w:rPr>
        <w:t>m</w:t>
      </w:r>
      <w:r>
        <w:rPr>
          <w:vertAlign w:val="superscript"/>
        </w:rPr>
        <w:t>3</w:t>
      </w:r>
      <w:r>
        <w:t>；</w:t>
      </w:r>
    </w:p>
    <w:p w14:paraId="16A24094">
      <w:pPr>
        <w:pStyle w:val="191"/>
        <w:ind w:firstLine="480"/>
        <w:rPr>
          <w:rFonts w:hint="eastAsia"/>
        </w:rPr>
      </w:pPr>
      <w:r>
        <w:rPr>
          <w:rFonts w:hint="eastAsia"/>
          <w:i/>
        </w:rPr>
        <w:t xml:space="preserve">      </w:t>
      </w:r>
      <w:r>
        <w:rPr>
          <w:i/>
        </w:rPr>
        <w:t>D</w:t>
      </w:r>
      <w:r>
        <w:t>——井眼平均井径，m；</w:t>
      </w:r>
    </w:p>
    <w:p w14:paraId="69943AA4">
      <w:pPr>
        <w:pStyle w:val="191"/>
        <w:ind w:firstLine="480"/>
        <w:rPr>
          <w:rFonts w:hint="eastAsia"/>
        </w:rPr>
      </w:pPr>
      <w:r>
        <w:t xml:space="preserve">      </w:t>
      </w:r>
      <w:r>
        <w:rPr>
          <w:i/>
        </w:rPr>
        <w:t>h</w:t>
      </w:r>
      <w:r>
        <w:t>——裸眼长度，m；</w:t>
      </w:r>
    </w:p>
    <w:p w14:paraId="25ED7BD9">
      <w:pPr>
        <w:pStyle w:val="191"/>
        <w:ind w:firstLine="480"/>
        <w:rPr>
          <w:rFonts w:hint="eastAsia"/>
        </w:rPr>
      </w:pPr>
      <w:r>
        <w:rPr>
          <w:rFonts w:hint="eastAsia"/>
        </w:rPr>
        <w:t xml:space="preserve">      </w:t>
      </w:r>
      <w:r>
        <w:t>d——岩屑</w:t>
      </w:r>
      <w:r>
        <w:rPr>
          <w:rFonts w:hint="eastAsia"/>
        </w:rPr>
        <w:t>膨胀系数</w:t>
      </w:r>
      <w:r>
        <w:t>，</w:t>
      </w:r>
      <w:r>
        <w:rPr>
          <w:rFonts w:hint="eastAsia"/>
        </w:rPr>
        <w:t>使用水基钻井液体系时取P=2.2；油基钻井液体系取P=4，岩屑密度2.5g/cm</w:t>
      </w:r>
      <w:r>
        <w:rPr>
          <w:rFonts w:hint="eastAsia"/>
          <w:vertAlign w:val="superscript"/>
        </w:rPr>
        <w:t>3</w:t>
      </w:r>
      <w:r>
        <w:rPr>
          <w:rFonts w:hint="eastAsia"/>
        </w:rPr>
        <w:t>。</w:t>
      </w:r>
    </w:p>
    <w:p w14:paraId="683EAE5D">
      <w:pPr>
        <w:pStyle w:val="191"/>
        <w:ind w:firstLine="480"/>
        <w:rPr>
          <w:rFonts w:hint="eastAsia" w:ascii="黑体" w:hAnsi="黑体" w:eastAsia="黑体" w:cs="黑体"/>
          <w:szCs w:val="21"/>
        </w:rPr>
      </w:pPr>
      <w:r>
        <w:rPr>
          <w:rFonts w:hint="eastAsia"/>
        </w:rPr>
        <w:t>根据井身结构计算钻井期岩屑产生量见表3.3-2。</w:t>
      </w:r>
    </w:p>
    <w:p w14:paraId="50D29FA4">
      <w:pPr>
        <w:pStyle w:val="19"/>
        <w:spacing w:after="0" w:line="500" w:lineRule="exact"/>
        <w:jc w:val="center"/>
        <w:rPr>
          <w:rFonts w:hint="eastAsia" w:ascii="黑体" w:hAnsi="黑体" w:eastAsia="黑体" w:cs="黑体"/>
          <w:szCs w:val="21"/>
        </w:rPr>
      </w:pPr>
      <w:r>
        <w:rPr>
          <w:rFonts w:hint="eastAsia" w:ascii="黑体" w:hAnsi="黑体" w:eastAsia="黑体" w:cs="黑体"/>
          <w:szCs w:val="21"/>
        </w:rPr>
        <w:t>表3.3-2  钻井岩屑产生情况表</w:t>
      </w:r>
    </w:p>
    <w:tbl>
      <w:tblPr>
        <w:tblStyle w:val="51"/>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57" w:type="dxa"/>
          <w:bottom w:w="0" w:type="dxa"/>
          <w:right w:w="57" w:type="dxa"/>
        </w:tblCellMar>
      </w:tblPr>
      <w:tblGrid>
        <w:gridCol w:w="824"/>
        <w:gridCol w:w="1043"/>
        <w:gridCol w:w="1292"/>
        <w:gridCol w:w="1162"/>
        <w:gridCol w:w="1566"/>
        <w:gridCol w:w="1436"/>
        <w:gridCol w:w="1517"/>
      </w:tblGrid>
      <w:tr w14:paraId="47EC7E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tcBorders>
              <w:top w:val="single" w:color="auto" w:sz="12" w:space="0"/>
            </w:tcBorders>
            <w:vAlign w:val="center"/>
          </w:tcPr>
          <w:p w14:paraId="3B432DCC">
            <w:pPr>
              <w:pStyle w:val="19"/>
              <w:spacing w:after="0" w:line="300" w:lineRule="exact"/>
              <w:jc w:val="center"/>
              <w:rPr>
                <w:rFonts w:hint="eastAsia" w:ascii="宋体" w:hAnsi="宋体" w:cs="宋体"/>
                <w:szCs w:val="21"/>
              </w:rPr>
            </w:pPr>
            <w:r>
              <w:rPr>
                <w:rFonts w:hint="eastAsia" w:ascii="宋体" w:hAnsi="宋体" w:cs="宋体"/>
                <w:szCs w:val="21"/>
              </w:rPr>
              <w:t>井段</w:t>
            </w:r>
          </w:p>
        </w:tc>
        <w:tc>
          <w:tcPr>
            <w:tcW w:w="1321" w:type="pct"/>
            <w:gridSpan w:val="2"/>
            <w:tcBorders>
              <w:top w:val="single" w:color="auto" w:sz="12" w:space="0"/>
            </w:tcBorders>
            <w:vAlign w:val="center"/>
          </w:tcPr>
          <w:p w14:paraId="1B40AF12">
            <w:pPr>
              <w:pStyle w:val="19"/>
              <w:spacing w:after="0" w:line="300" w:lineRule="exact"/>
              <w:jc w:val="center"/>
              <w:rPr>
                <w:rFonts w:hint="eastAsia" w:ascii="宋体" w:hAnsi="宋体" w:cs="宋体"/>
                <w:szCs w:val="21"/>
              </w:rPr>
            </w:pPr>
            <w:r>
              <w:rPr>
                <w:rFonts w:hint="eastAsia" w:ascii="宋体" w:hAnsi="宋体" w:cs="宋体"/>
                <w:szCs w:val="21"/>
              </w:rPr>
              <w:t>钻井液体系</w:t>
            </w:r>
          </w:p>
        </w:tc>
        <w:tc>
          <w:tcPr>
            <w:tcW w:w="657" w:type="pct"/>
            <w:tcBorders>
              <w:right w:val="single" w:color="auto" w:sz="4" w:space="0"/>
            </w:tcBorders>
            <w:vAlign w:val="center"/>
          </w:tcPr>
          <w:p w14:paraId="7512CE97">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钻头尺寸(mm)</w:t>
            </w:r>
          </w:p>
        </w:tc>
        <w:tc>
          <w:tcPr>
            <w:tcW w:w="886" w:type="pct"/>
            <w:tcBorders>
              <w:left w:val="single" w:color="auto" w:sz="4" w:space="0"/>
              <w:right w:val="single" w:color="auto" w:sz="4" w:space="0"/>
            </w:tcBorders>
            <w:vAlign w:val="center"/>
          </w:tcPr>
          <w:p w14:paraId="3FDD3657">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井段(m)</w:t>
            </w:r>
          </w:p>
        </w:tc>
        <w:tc>
          <w:tcPr>
            <w:tcW w:w="812" w:type="pct"/>
            <w:tcBorders>
              <w:left w:val="single" w:color="auto" w:sz="4" w:space="0"/>
              <w:right w:val="single" w:color="auto" w:sz="4" w:space="0"/>
            </w:tcBorders>
            <w:vAlign w:val="center"/>
          </w:tcPr>
          <w:p w14:paraId="247A6D5E">
            <w:pPr>
              <w:pStyle w:val="19"/>
              <w:spacing w:after="0" w:line="300" w:lineRule="exact"/>
              <w:jc w:val="center"/>
              <w:rPr>
                <w:rFonts w:hint="eastAsia" w:ascii="宋体" w:hAnsi="宋体" w:cs="宋体"/>
                <w:szCs w:val="21"/>
              </w:rPr>
            </w:pPr>
            <w:r>
              <w:rPr>
                <w:rFonts w:hint="eastAsia" w:ascii="宋体" w:hAnsi="宋体" w:cs="宋体"/>
                <w:szCs w:val="21"/>
              </w:rPr>
              <w:t>单井岩屑产生量</w:t>
            </w:r>
          </w:p>
        </w:tc>
        <w:tc>
          <w:tcPr>
            <w:tcW w:w="858" w:type="pct"/>
            <w:tcBorders>
              <w:left w:val="single" w:color="000000" w:sz="4" w:space="0"/>
            </w:tcBorders>
            <w:vAlign w:val="center"/>
          </w:tcPr>
          <w:p w14:paraId="07C266C0">
            <w:pPr>
              <w:pStyle w:val="19"/>
              <w:spacing w:after="0" w:line="300" w:lineRule="exact"/>
              <w:jc w:val="center"/>
              <w:rPr>
                <w:rFonts w:hint="eastAsia" w:ascii="宋体" w:hAnsi="宋体" w:cs="宋体"/>
                <w:szCs w:val="21"/>
              </w:rPr>
            </w:pPr>
            <w:r>
              <w:rPr>
                <w:rFonts w:hint="eastAsia" w:ascii="宋体" w:hAnsi="宋体" w:cs="宋体"/>
                <w:szCs w:val="21"/>
              </w:rPr>
              <w:t>5口井岩屑量合计</w:t>
            </w:r>
          </w:p>
        </w:tc>
      </w:tr>
      <w:tr w14:paraId="381729E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tcBorders>
              <w:top w:val="single" w:color="auto" w:sz="6" w:space="0"/>
              <w:right w:val="single" w:color="000000" w:sz="4" w:space="0"/>
            </w:tcBorders>
            <w:vAlign w:val="center"/>
          </w:tcPr>
          <w:p w14:paraId="56C4DC7C">
            <w:pPr>
              <w:pStyle w:val="19"/>
              <w:spacing w:after="0" w:line="300" w:lineRule="exact"/>
              <w:jc w:val="center"/>
              <w:rPr>
                <w:rFonts w:hint="eastAsia" w:ascii="宋体" w:hAnsi="宋体" w:cs="宋体"/>
                <w:szCs w:val="21"/>
              </w:rPr>
            </w:pPr>
            <w:r>
              <w:rPr>
                <w:rFonts w:hint="eastAsia" w:ascii="宋体" w:hAnsi="宋体" w:cs="宋体"/>
                <w:szCs w:val="21"/>
              </w:rPr>
              <w:t>一开</w:t>
            </w:r>
          </w:p>
        </w:tc>
        <w:tc>
          <w:tcPr>
            <w:tcW w:w="1321" w:type="pct"/>
            <w:gridSpan w:val="2"/>
            <w:tcBorders>
              <w:top w:val="single" w:color="auto" w:sz="6" w:space="0"/>
              <w:left w:val="single" w:color="000000" w:sz="4" w:space="0"/>
            </w:tcBorders>
            <w:vAlign w:val="center"/>
          </w:tcPr>
          <w:p w14:paraId="594B63E0">
            <w:pPr>
              <w:pStyle w:val="19"/>
              <w:spacing w:after="0" w:line="300" w:lineRule="exact"/>
              <w:jc w:val="center"/>
              <w:rPr>
                <w:rFonts w:hint="eastAsia" w:ascii="宋体" w:hAnsi="宋体" w:cs="宋体"/>
                <w:szCs w:val="21"/>
              </w:rPr>
            </w:pPr>
            <w:r>
              <w:rPr>
                <w:rFonts w:hint="eastAsia" w:ascii="宋体" w:hAnsi="宋体" w:cs="宋体"/>
                <w:szCs w:val="21"/>
              </w:rPr>
              <w:t>水基钻井液</w:t>
            </w:r>
          </w:p>
        </w:tc>
        <w:tc>
          <w:tcPr>
            <w:tcW w:w="657" w:type="pct"/>
            <w:tcBorders>
              <w:bottom w:val="single" w:color="auto" w:sz="4" w:space="0"/>
              <w:right w:val="single" w:color="auto" w:sz="4" w:space="0"/>
            </w:tcBorders>
            <w:vAlign w:val="center"/>
          </w:tcPr>
          <w:p w14:paraId="3C43789E">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311.2</w:t>
            </w:r>
          </w:p>
        </w:tc>
        <w:tc>
          <w:tcPr>
            <w:tcW w:w="886" w:type="pct"/>
            <w:tcBorders>
              <w:left w:val="single" w:color="auto" w:sz="4" w:space="0"/>
              <w:bottom w:val="single" w:color="auto" w:sz="4" w:space="0"/>
              <w:right w:val="single" w:color="auto" w:sz="4" w:space="0"/>
            </w:tcBorders>
            <w:vAlign w:val="center"/>
          </w:tcPr>
          <w:p w14:paraId="037722FD">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0～</w:t>
            </w:r>
            <w:r>
              <w:rPr>
                <w:rFonts w:ascii="宋体" w:hAnsi="宋体" w:cs="宋体"/>
                <w:kern w:val="0"/>
                <w:szCs w:val="21"/>
              </w:rPr>
              <w:t>1800</w:t>
            </w:r>
          </w:p>
        </w:tc>
        <w:tc>
          <w:tcPr>
            <w:tcW w:w="812" w:type="pct"/>
            <w:tcBorders>
              <w:left w:val="single" w:color="auto" w:sz="4" w:space="0"/>
              <w:bottom w:val="single" w:color="auto" w:sz="4" w:space="0"/>
              <w:right w:val="single" w:color="auto" w:sz="4" w:space="0"/>
            </w:tcBorders>
            <w:vAlign w:val="center"/>
          </w:tcPr>
          <w:p w14:paraId="0C85F25F">
            <w:pPr>
              <w:widowControl/>
              <w:snapToGrid w:val="0"/>
              <w:spacing w:line="300" w:lineRule="exact"/>
              <w:jc w:val="center"/>
              <w:rPr>
                <w:rFonts w:hint="eastAsia" w:ascii="宋体" w:hAnsi="宋体" w:cs="宋体"/>
                <w:kern w:val="0"/>
                <w:szCs w:val="21"/>
              </w:rPr>
            </w:pPr>
            <w:r>
              <w:rPr>
                <w:rFonts w:hint="eastAsia" w:ascii="宋体" w:hAnsi="宋体" w:cs="宋体"/>
                <w:szCs w:val="21"/>
              </w:rPr>
              <w:t>752.6t</w:t>
            </w:r>
          </w:p>
        </w:tc>
        <w:tc>
          <w:tcPr>
            <w:tcW w:w="858" w:type="pct"/>
            <w:tcBorders>
              <w:left w:val="single" w:color="000000" w:sz="4" w:space="0"/>
            </w:tcBorders>
            <w:vAlign w:val="center"/>
          </w:tcPr>
          <w:p w14:paraId="09AFCB4E">
            <w:pPr>
              <w:widowControl/>
              <w:snapToGrid w:val="0"/>
              <w:spacing w:line="300" w:lineRule="exact"/>
              <w:jc w:val="center"/>
              <w:rPr>
                <w:rFonts w:hint="eastAsia" w:ascii="宋体" w:hAnsi="宋体" w:cs="宋体"/>
                <w:szCs w:val="21"/>
              </w:rPr>
            </w:pPr>
            <w:r>
              <w:rPr>
                <w:rFonts w:hint="eastAsia" w:ascii="宋体" w:hAnsi="宋体" w:cs="宋体"/>
                <w:szCs w:val="21"/>
              </w:rPr>
              <w:t>3463t</w:t>
            </w:r>
          </w:p>
        </w:tc>
      </w:tr>
      <w:tr w14:paraId="5B2F06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vMerge w:val="restart"/>
            <w:tcBorders>
              <w:top w:val="single" w:color="auto" w:sz="6" w:space="0"/>
              <w:right w:val="single" w:color="000000" w:sz="4" w:space="0"/>
            </w:tcBorders>
            <w:vAlign w:val="center"/>
          </w:tcPr>
          <w:p w14:paraId="31364C3E">
            <w:pPr>
              <w:pStyle w:val="19"/>
              <w:spacing w:after="0" w:line="300" w:lineRule="exact"/>
              <w:jc w:val="center"/>
              <w:rPr>
                <w:rFonts w:hint="eastAsia" w:ascii="宋体" w:hAnsi="宋体" w:cs="宋体"/>
                <w:szCs w:val="21"/>
              </w:rPr>
            </w:pPr>
            <w:r>
              <w:rPr>
                <w:rFonts w:hint="eastAsia" w:ascii="宋体" w:hAnsi="宋体" w:cs="宋体"/>
                <w:szCs w:val="21"/>
              </w:rPr>
              <w:t>二开</w:t>
            </w:r>
          </w:p>
        </w:tc>
        <w:tc>
          <w:tcPr>
            <w:tcW w:w="590" w:type="pct"/>
            <w:tcBorders>
              <w:top w:val="single" w:color="auto" w:sz="6" w:space="0"/>
              <w:left w:val="single" w:color="000000" w:sz="4" w:space="0"/>
              <w:right w:val="single" w:color="auto" w:sz="4" w:space="0"/>
            </w:tcBorders>
            <w:vAlign w:val="center"/>
          </w:tcPr>
          <w:p w14:paraId="0B17AA7D">
            <w:pPr>
              <w:pStyle w:val="19"/>
              <w:spacing w:after="0" w:line="300" w:lineRule="exact"/>
              <w:jc w:val="center"/>
              <w:rPr>
                <w:rFonts w:hint="eastAsia" w:ascii="宋体" w:hAnsi="宋体" w:cs="宋体"/>
                <w:szCs w:val="21"/>
              </w:rPr>
            </w:pPr>
            <w:r>
              <w:rPr>
                <w:rFonts w:hint="eastAsia" w:ascii="宋体" w:hAnsi="宋体" w:cs="宋体"/>
                <w:szCs w:val="21"/>
              </w:rPr>
              <w:t>JHW17-41</w:t>
            </w:r>
          </w:p>
        </w:tc>
        <w:tc>
          <w:tcPr>
            <w:tcW w:w="731" w:type="pct"/>
            <w:tcBorders>
              <w:top w:val="single" w:color="auto" w:sz="6" w:space="0"/>
              <w:left w:val="single" w:color="auto" w:sz="4" w:space="0"/>
            </w:tcBorders>
            <w:vAlign w:val="center"/>
          </w:tcPr>
          <w:p w14:paraId="77D2D039">
            <w:pPr>
              <w:pStyle w:val="19"/>
              <w:spacing w:after="0" w:line="300" w:lineRule="exact"/>
              <w:jc w:val="center"/>
              <w:rPr>
                <w:rFonts w:hint="eastAsia" w:ascii="宋体" w:hAnsi="宋体" w:cs="宋体"/>
                <w:szCs w:val="21"/>
              </w:rPr>
            </w:pPr>
            <w:r>
              <w:rPr>
                <w:rFonts w:hint="eastAsia" w:ascii="宋体" w:hAnsi="宋体" w:cs="宋体"/>
                <w:szCs w:val="21"/>
              </w:rPr>
              <w:t>油基钻井液</w:t>
            </w:r>
          </w:p>
        </w:tc>
        <w:tc>
          <w:tcPr>
            <w:tcW w:w="657" w:type="pct"/>
            <w:tcBorders>
              <w:bottom w:val="single" w:color="auto" w:sz="4" w:space="0"/>
              <w:right w:val="single" w:color="auto" w:sz="4" w:space="0"/>
            </w:tcBorders>
            <w:vAlign w:val="center"/>
          </w:tcPr>
          <w:p w14:paraId="25F42739">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215.9</w:t>
            </w:r>
          </w:p>
        </w:tc>
        <w:tc>
          <w:tcPr>
            <w:tcW w:w="886" w:type="pct"/>
            <w:tcBorders>
              <w:left w:val="single" w:color="auto" w:sz="4" w:space="0"/>
              <w:bottom w:val="single" w:color="auto" w:sz="4" w:space="0"/>
              <w:right w:val="single" w:color="auto" w:sz="4" w:space="0"/>
            </w:tcBorders>
            <w:vAlign w:val="center"/>
          </w:tcPr>
          <w:p w14:paraId="229176D2">
            <w:pPr>
              <w:widowControl/>
              <w:snapToGrid w:val="0"/>
              <w:spacing w:line="300" w:lineRule="exact"/>
              <w:jc w:val="center"/>
              <w:rPr>
                <w:rFonts w:hint="eastAsia" w:ascii="宋体" w:hAnsi="宋体" w:cs="宋体"/>
                <w:kern w:val="0"/>
                <w:szCs w:val="21"/>
              </w:rPr>
            </w:pPr>
            <w:r>
              <w:rPr>
                <w:rFonts w:ascii="宋体" w:hAnsi="宋体" w:cs="宋体"/>
                <w:kern w:val="0"/>
                <w:szCs w:val="21"/>
              </w:rPr>
              <w:t>1800</w:t>
            </w:r>
            <w:r>
              <w:rPr>
                <w:rFonts w:hint="eastAsia" w:ascii="宋体" w:hAnsi="宋体" w:cs="宋体"/>
                <w:kern w:val="0"/>
                <w:szCs w:val="21"/>
              </w:rPr>
              <w:t>～</w:t>
            </w:r>
            <w:r>
              <w:rPr>
                <w:rFonts w:hint="eastAsia" w:ascii="宋体" w:hAnsi="宋体"/>
                <w:szCs w:val="21"/>
              </w:rPr>
              <w:t>5025</w:t>
            </w:r>
          </w:p>
        </w:tc>
        <w:tc>
          <w:tcPr>
            <w:tcW w:w="812" w:type="pct"/>
            <w:tcBorders>
              <w:left w:val="single" w:color="auto" w:sz="4" w:space="0"/>
              <w:bottom w:val="single" w:color="auto" w:sz="4" w:space="0"/>
              <w:right w:val="single" w:color="auto" w:sz="4" w:space="0"/>
            </w:tcBorders>
            <w:vAlign w:val="center"/>
          </w:tcPr>
          <w:p w14:paraId="41882A35">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1180.1t</w:t>
            </w:r>
          </w:p>
        </w:tc>
        <w:tc>
          <w:tcPr>
            <w:tcW w:w="858" w:type="pct"/>
            <w:vMerge w:val="restart"/>
            <w:tcBorders>
              <w:left w:val="single" w:color="000000" w:sz="4" w:space="0"/>
            </w:tcBorders>
            <w:vAlign w:val="center"/>
          </w:tcPr>
          <w:p w14:paraId="1FC81DE1">
            <w:pPr>
              <w:widowControl/>
              <w:snapToGrid w:val="0"/>
              <w:spacing w:line="300" w:lineRule="exact"/>
              <w:jc w:val="center"/>
              <w:rPr>
                <w:rFonts w:hint="eastAsia" w:ascii="宋体" w:hAnsi="宋体" w:cs="宋体"/>
                <w:szCs w:val="21"/>
              </w:rPr>
            </w:pPr>
            <w:r>
              <w:rPr>
                <w:rFonts w:hint="eastAsia" w:ascii="宋体" w:hAnsi="宋体" w:cs="宋体"/>
                <w:szCs w:val="21"/>
              </w:rPr>
              <w:t>6783.5t</w:t>
            </w:r>
          </w:p>
        </w:tc>
      </w:tr>
      <w:tr w14:paraId="6A625E3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vMerge w:val="continue"/>
            <w:tcBorders>
              <w:right w:val="single" w:color="000000" w:sz="4" w:space="0"/>
            </w:tcBorders>
            <w:vAlign w:val="center"/>
          </w:tcPr>
          <w:p w14:paraId="4C314834">
            <w:pPr>
              <w:pStyle w:val="19"/>
              <w:spacing w:after="0" w:line="300" w:lineRule="exact"/>
              <w:jc w:val="center"/>
              <w:rPr>
                <w:rFonts w:hint="eastAsia" w:ascii="宋体" w:hAnsi="宋体" w:cs="宋体"/>
                <w:szCs w:val="21"/>
              </w:rPr>
            </w:pPr>
          </w:p>
        </w:tc>
        <w:tc>
          <w:tcPr>
            <w:tcW w:w="590" w:type="pct"/>
            <w:tcBorders>
              <w:top w:val="single" w:color="auto" w:sz="6" w:space="0"/>
              <w:left w:val="single" w:color="000000" w:sz="4" w:space="0"/>
              <w:right w:val="single" w:color="auto" w:sz="4" w:space="0"/>
            </w:tcBorders>
            <w:vAlign w:val="center"/>
          </w:tcPr>
          <w:p w14:paraId="19ABE16A">
            <w:pPr>
              <w:pStyle w:val="19"/>
              <w:spacing w:after="0" w:line="300" w:lineRule="exact"/>
              <w:jc w:val="center"/>
              <w:rPr>
                <w:rFonts w:hint="eastAsia" w:ascii="宋体" w:hAnsi="宋体" w:cs="宋体"/>
                <w:szCs w:val="21"/>
              </w:rPr>
            </w:pPr>
            <w:r>
              <w:rPr>
                <w:rFonts w:hint="eastAsia" w:ascii="宋体" w:hAnsi="宋体" w:cs="宋体"/>
                <w:szCs w:val="21"/>
              </w:rPr>
              <w:t>JHW17-42</w:t>
            </w:r>
          </w:p>
        </w:tc>
        <w:tc>
          <w:tcPr>
            <w:tcW w:w="731" w:type="pct"/>
            <w:tcBorders>
              <w:top w:val="single" w:color="auto" w:sz="6" w:space="0"/>
              <w:left w:val="single" w:color="auto" w:sz="4" w:space="0"/>
            </w:tcBorders>
            <w:vAlign w:val="center"/>
          </w:tcPr>
          <w:p w14:paraId="6D1A62CE">
            <w:pPr>
              <w:pStyle w:val="19"/>
              <w:spacing w:after="0" w:line="300" w:lineRule="exact"/>
              <w:jc w:val="center"/>
              <w:rPr>
                <w:rFonts w:hint="eastAsia" w:ascii="宋体" w:hAnsi="宋体" w:cs="宋体"/>
                <w:szCs w:val="21"/>
              </w:rPr>
            </w:pPr>
            <w:r>
              <w:rPr>
                <w:rFonts w:hint="eastAsia" w:ascii="宋体" w:hAnsi="宋体" w:cs="宋体"/>
                <w:szCs w:val="21"/>
              </w:rPr>
              <w:t>油基钻井液</w:t>
            </w:r>
          </w:p>
        </w:tc>
        <w:tc>
          <w:tcPr>
            <w:tcW w:w="657" w:type="pct"/>
            <w:tcBorders>
              <w:bottom w:val="single" w:color="auto" w:sz="4" w:space="0"/>
              <w:right w:val="single" w:color="auto" w:sz="4" w:space="0"/>
            </w:tcBorders>
            <w:vAlign w:val="center"/>
          </w:tcPr>
          <w:p w14:paraId="71F34FE9">
            <w:pPr>
              <w:pStyle w:val="19"/>
              <w:jc w:val="center"/>
              <w:rPr>
                <w:rFonts w:hint="eastAsia" w:ascii="宋体" w:hAnsi="宋体" w:cs="宋体"/>
                <w:kern w:val="0"/>
                <w:szCs w:val="21"/>
              </w:rPr>
            </w:pPr>
            <w:r>
              <w:rPr>
                <w:rFonts w:hint="eastAsia" w:ascii="宋体" w:hAnsi="宋体" w:cs="宋体"/>
                <w:kern w:val="0"/>
                <w:szCs w:val="21"/>
              </w:rPr>
              <w:t>215.9</w:t>
            </w:r>
          </w:p>
        </w:tc>
        <w:tc>
          <w:tcPr>
            <w:tcW w:w="886" w:type="pct"/>
            <w:tcBorders>
              <w:left w:val="single" w:color="auto" w:sz="4" w:space="0"/>
              <w:bottom w:val="single" w:color="auto" w:sz="4" w:space="0"/>
              <w:right w:val="single" w:color="auto" w:sz="4" w:space="0"/>
            </w:tcBorders>
            <w:vAlign w:val="center"/>
          </w:tcPr>
          <w:p w14:paraId="1E4D8486">
            <w:pPr>
              <w:widowControl/>
              <w:snapToGrid w:val="0"/>
              <w:spacing w:line="300" w:lineRule="exact"/>
              <w:jc w:val="center"/>
              <w:rPr>
                <w:rFonts w:hint="eastAsia" w:ascii="宋体" w:hAnsi="宋体" w:cs="宋体"/>
                <w:kern w:val="0"/>
                <w:szCs w:val="21"/>
              </w:rPr>
            </w:pPr>
            <w:r>
              <w:rPr>
                <w:rFonts w:ascii="宋体" w:hAnsi="宋体" w:cs="宋体"/>
                <w:kern w:val="0"/>
                <w:szCs w:val="21"/>
              </w:rPr>
              <w:t>1800</w:t>
            </w:r>
            <w:r>
              <w:rPr>
                <w:rFonts w:hint="eastAsia" w:ascii="宋体" w:hAnsi="宋体" w:cs="宋体"/>
                <w:kern w:val="0"/>
                <w:szCs w:val="21"/>
              </w:rPr>
              <w:t>～</w:t>
            </w:r>
            <w:r>
              <w:rPr>
                <w:rFonts w:hint="eastAsia" w:ascii="宋体" w:hAnsi="宋体"/>
                <w:szCs w:val="21"/>
              </w:rPr>
              <w:t>5290</w:t>
            </w:r>
          </w:p>
        </w:tc>
        <w:tc>
          <w:tcPr>
            <w:tcW w:w="812" w:type="pct"/>
            <w:tcBorders>
              <w:left w:val="single" w:color="auto" w:sz="4" w:space="0"/>
              <w:bottom w:val="single" w:color="auto" w:sz="4" w:space="0"/>
              <w:right w:val="single" w:color="auto" w:sz="4" w:space="0"/>
            </w:tcBorders>
            <w:vAlign w:val="center"/>
          </w:tcPr>
          <w:p w14:paraId="1EE1CB4B">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1277.0t</w:t>
            </w:r>
          </w:p>
        </w:tc>
        <w:tc>
          <w:tcPr>
            <w:tcW w:w="858" w:type="pct"/>
            <w:vMerge w:val="continue"/>
            <w:tcBorders>
              <w:left w:val="single" w:color="000000" w:sz="4" w:space="0"/>
            </w:tcBorders>
            <w:vAlign w:val="center"/>
          </w:tcPr>
          <w:p w14:paraId="5740C214">
            <w:pPr>
              <w:widowControl/>
              <w:snapToGrid w:val="0"/>
              <w:spacing w:line="300" w:lineRule="exact"/>
              <w:jc w:val="center"/>
              <w:rPr>
                <w:rFonts w:hint="eastAsia" w:ascii="宋体" w:hAnsi="宋体" w:cs="宋体"/>
                <w:szCs w:val="21"/>
              </w:rPr>
            </w:pPr>
          </w:p>
        </w:tc>
      </w:tr>
      <w:tr w14:paraId="004E8C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vMerge w:val="continue"/>
            <w:tcBorders>
              <w:right w:val="single" w:color="000000" w:sz="4" w:space="0"/>
            </w:tcBorders>
            <w:vAlign w:val="center"/>
          </w:tcPr>
          <w:p w14:paraId="29F4E947">
            <w:pPr>
              <w:pStyle w:val="19"/>
              <w:spacing w:after="0" w:line="300" w:lineRule="exact"/>
              <w:jc w:val="center"/>
              <w:rPr>
                <w:rFonts w:hint="eastAsia" w:ascii="宋体" w:hAnsi="宋体" w:cs="宋体"/>
                <w:szCs w:val="21"/>
              </w:rPr>
            </w:pPr>
          </w:p>
        </w:tc>
        <w:tc>
          <w:tcPr>
            <w:tcW w:w="590" w:type="pct"/>
            <w:tcBorders>
              <w:top w:val="single" w:color="auto" w:sz="6" w:space="0"/>
              <w:left w:val="single" w:color="000000" w:sz="4" w:space="0"/>
              <w:right w:val="single" w:color="auto" w:sz="4" w:space="0"/>
            </w:tcBorders>
            <w:vAlign w:val="center"/>
          </w:tcPr>
          <w:p w14:paraId="33A606FC">
            <w:pPr>
              <w:pStyle w:val="19"/>
              <w:spacing w:after="0" w:line="300" w:lineRule="exact"/>
              <w:jc w:val="center"/>
              <w:rPr>
                <w:rFonts w:hint="eastAsia" w:ascii="宋体" w:hAnsi="宋体" w:cs="宋体"/>
                <w:szCs w:val="21"/>
              </w:rPr>
            </w:pPr>
            <w:r>
              <w:rPr>
                <w:rFonts w:hint="eastAsia" w:ascii="宋体" w:hAnsi="宋体" w:cs="宋体"/>
                <w:szCs w:val="21"/>
              </w:rPr>
              <w:t>JHW17-43</w:t>
            </w:r>
          </w:p>
        </w:tc>
        <w:tc>
          <w:tcPr>
            <w:tcW w:w="731" w:type="pct"/>
            <w:tcBorders>
              <w:top w:val="single" w:color="auto" w:sz="6" w:space="0"/>
              <w:left w:val="single" w:color="auto" w:sz="4" w:space="0"/>
            </w:tcBorders>
            <w:vAlign w:val="center"/>
          </w:tcPr>
          <w:p w14:paraId="7CFB98E1">
            <w:pPr>
              <w:pStyle w:val="19"/>
              <w:spacing w:after="0" w:line="300" w:lineRule="exact"/>
              <w:jc w:val="center"/>
              <w:rPr>
                <w:rFonts w:hint="eastAsia" w:ascii="宋体" w:hAnsi="宋体" w:cs="宋体"/>
                <w:szCs w:val="21"/>
              </w:rPr>
            </w:pPr>
            <w:r>
              <w:rPr>
                <w:rFonts w:hint="eastAsia" w:ascii="宋体" w:hAnsi="宋体" w:cs="宋体"/>
                <w:szCs w:val="21"/>
              </w:rPr>
              <w:t>油基钻井液</w:t>
            </w:r>
          </w:p>
        </w:tc>
        <w:tc>
          <w:tcPr>
            <w:tcW w:w="657" w:type="pct"/>
            <w:tcBorders>
              <w:bottom w:val="single" w:color="auto" w:sz="4" w:space="0"/>
              <w:right w:val="single" w:color="auto" w:sz="4" w:space="0"/>
            </w:tcBorders>
            <w:vAlign w:val="center"/>
          </w:tcPr>
          <w:p w14:paraId="0366C240">
            <w:pPr>
              <w:pStyle w:val="19"/>
              <w:jc w:val="center"/>
              <w:rPr>
                <w:rFonts w:hint="eastAsia" w:ascii="宋体" w:hAnsi="宋体" w:cs="宋体"/>
                <w:kern w:val="0"/>
                <w:szCs w:val="21"/>
              </w:rPr>
            </w:pPr>
            <w:r>
              <w:rPr>
                <w:rFonts w:hint="eastAsia" w:ascii="宋体" w:hAnsi="宋体" w:cs="宋体"/>
                <w:kern w:val="0"/>
                <w:szCs w:val="21"/>
              </w:rPr>
              <w:t>215.9</w:t>
            </w:r>
          </w:p>
        </w:tc>
        <w:tc>
          <w:tcPr>
            <w:tcW w:w="886" w:type="pct"/>
            <w:tcBorders>
              <w:left w:val="single" w:color="auto" w:sz="4" w:space="0"/>
              <w:bottom w:val="single" w:color="auto" w:sz="4" w:space="0"/>
              <w:right w:val="single" w:color="auto" w:sz="4" w:space="0"/>
            </w:tcBorders>
            <w:vAlign w:val="center"/>
          </w:tcPr>
          <w:p w14:paraId="1836B66B">
            <w:pPr>
              <w:widowControl/>
              <w:snapToGrid w:val="0"/>
              <w:spacing w:line="300" w:lineRule="exact"/>
              <w:jc w:val="center"/>
              <w:rPr>
                <w:rFonts w:hint="eastAsia" w:ascii="宋体" w:hAnsi="宋体" w:cs="宋体"/>
                <w:kern w:val="0"/>
                <w:szCs w:val="21"/>
              </w:rPr>
            </w:pPr>
            <w:r>
              <w:rPr>
                <w:rFonts w:ascii="宋体" w:hAnsi="宋体" w:cs="宋体"/>
                <w:kern w:val="0"/>
                <w:szCs w:val="21"/>
              </w:rPr>
              <w:t>1800</w:t>
            </w:r>
            <w:r>
              <w:rPr>
                <w:rFonts w:hint="eastAsia" w:ascii="宋体" w:hAnsi="宋体" w:cs="宋体"/>
                <w:kern w:val="0"/>
                <w:szCs w:val="21"/>
              </w:rPr>
              <w:t>～</w:t>
            </w:r>
            <w:r>
              <w:rPr>
                <w:rFonts w:hint="eastAsia" w:ascii="宋体" w:hAnsi="宋体"/>
                <w:szCs w:val="21"/>
              </w:rPr>
              <w:t>5967</w:t>
            </w:r>
          </w:p>
        </w:tc>
        <w:tc>
          <w:tcPr>
            <w:tcW w:w="812" w:type="pct"/>
            <w:tcBorders>
              <w:left w:val="single" w:color="auto" w:sz="4" w:space="0"/>
              <w:bottom w:val="single" w:color="auto" w:sz="4" w:space="0"/>
              <w:right w:val="single" w:color="auto" w:sz="4" w:space="0"/>
            </w:tcBorders>
            <w:vAlign w:val="center"/>
          </w:tcPr>
          <w:p w14:paraId="0600DDF2">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1524.7t</w:t>
            </w:r>
          </w:p>
        </w:tc>
        <w:tc>
          <w:tcPr>
            <w:tcW w:w="858" w:type="pct"/>
            <w:vMerge w:val="continue"/>
            <w:tcBorders>
              <w:left w:val="single" w:color="000000" w:sz="4" w:space="0"/>
            </w:tcBorders>
            <w:vAlign w:val="center"/>
          </w:tcPr>
          <w:p w14:paraId="6A4F53CB">
            <w:pPr>
              <w:widowControl/>
              <w:snapToGrid w:val="0"/>
              <w:spacing w:line="300" w:lineRule="exact"/>
              <w:jc w:val="center"/>
              <w:rPr>
                <w:rFonts w:hint="eastAsia" w:ascii="宋体" w:hAnsi="宋体" w:cs="宋体"/>
                <w:szCs w:val="21"/>
              </w:rPr>
            </w:pPr>
          </w:p>
        </w:tc>
      </w:tr>
      <w:tr w14:paraId="6C52AC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vMerge w:val="continue"/>
            <w:tcBorders>
              <w:right w:val="single" w:color="000000" w:sz="4" w:space="0"/>
            </w:tcBorders>
            <w:vAlign w:val="center"/>
          </w:tcPr>
          <w:p w14:paraId="742585C3">
            <w:pPr>
              <w:pStyle w:val="19"/>
              <w:spacing w:after="0" w:line="300" w:lineRule="exact"/>
              <w:jc w:val="center"/>
              <w:rPr>
                <w:rFonts w:hint="eastAsia" w:ascii="宋体" w:hAnsi="宋体" w:cs="宋体"/>
                <w:szCs w:val="21"/>
              </w:rPr>
            </w:pPr>
          </w:p>
        </w:tc>
        <w:tc>
          <w:tcPr>
            <w:tcW w:w="590" w:type="pct"/>
            <w:tcBorders>
              <w:top w:val="single" w:color="auto" w:sz="6" w:space="0"/>
              <w:left w:val="single" w:color="000000" w:sz="4" w:space="0"/>
              <w:right w:val="single" w:color="auto" w:sz="4" w:space="0"/>
            </w:tcBorders>
            <w:vAlign w:val="center"/>
          </w:tcPr>
          <w:p w14:paraId="5E8990A2">
            <w:pPr>
              <w:pStyle w:val="19"/>
              <w:spacing w:after="0" w:line="300" w:lineRule="exact"/>
              <w:jc w:val="center"/>
              <w:rPr>
                <w:rFonts w:hint="eastAsia" w:ascii="宋体" w:hAnsi="宋体" w:cs="宋体"/>
                <w:szCs w:val="21"/>
              </w:rPr>
            </w:pPr>
            <w:r>
              <w:rPr>
                <w:rFonts w:hint="eastAsia" w:ascii="宋体" w:hAnsi="宋体" w:cs="宋体"/>
                <w:szCs w:val="21"/>
              </w:rPr>
              <w:t>JHW17-44</w:t>
            </w:r>
          </w:p>
        </w:tc>
        <w:tc>
          <w:tcPr>
            <w:tcW w:w="731" w:type="pct"/>
            <w:tcBorders>
              <w:top w:val="single" w:color="auto" w:sz="6" w:space="0"/>
              <w:left w:val="single" w:color="auto" w:sz="4" w:space="0"/>
            </w:tcBorders>
            <w:vAlign w:val="center"/>
          </w:tcPr>
          <w:p w14:paraId="1F321616">
            <w:pPr>
              <w:pStyle w:val="19"/>
              <w:spacing w:after="0" w:line="300" w:lineRule="exact"/>
              <w:jc w:val="center"/>
              <w:rPr>
                <w:rFonts w:hint="eastAsia" w:ascii="宋体" w:hAnsi="宋体" w:cs="宋体"/>
                <w:szCs w:val="21"/>
              </w:rPr>
            </w:pPr>
            <w:r>
              <w:rPr>
                <w:rFonts w:hint="eastAsia" w:ascii="宋体" w:hAnsi="宋体" w:cs="宋体"/>
                <w:szCs w:val="21"/>
              </w:rPr>
              <w:t>油基钻井液</w:t>
            </w:r>
          </w:p>
        </w:tc>
        <w:tc>
          <w:tcPr>
            <w:tcW w:w="657" w:type="pct"/>
            <w:tcBorders>
              <w:bottom w:val="single" w:color="auto" w:sz="4" w:space="0"/>
              <w:right w:val="single" w:color="auto" w:sz="4" w:space="0"/>
            </w:tcBorders>
            <w:vAlign w:val="center"/>
          </w:tcPr>
          <w:p w14:paraId="5E7E8E5C">
            <w:pPr>
              <w:pStyle w:val="19"/>
              <w:jc w:val="center"/>
              <w:rPr>
                <w:rFonts w:hint="eastAsia" w:ascii="宋体" w:hAnsi="宋体" w:cs="宋体"/>
                <w:kern w:val="0"/>
                <w:szCs w:val="21"/>
              </w:rPr>
            </w:pPr>
            <w:r>
              <w:rPr>
                <w:rFonts w:hint="eastAsia" w:ascii="宋体" w:hAnsi="宋体" w:cs="宋体"/>
                <w:kern w:val="0"/>
                <w:szCs w:val="21"/>
              </w:rPr>
              <w:t>215.9</w:t>
            </w:r>
          </w:p>
        </w:tc>
        <w:tc>
          <w:tcPr>
            <w:tcW w:w="886" w:type="pct"/>
            <w:tcBorders>
              <w:left w:val="single" w:color="auto" w:sz="4" w:space="0"/>
              <w:bottom w:val="single" w:color="auto" w:sz="4" w:space="0"/>
              <w:right w:val="single" w:color="auto" w:sz="4" w:space="0"/>
            </w:tcBorders>
            <w:vAlign w:val="center"/>
          </w:tcPr>
          <w:p w14:paraId="382854C3">
            <w:pPr>
              <w:widowControl/>
              <w:snapToGrid w:val="0"/>
              <w:spacing w:line="300" w:lineRule="exact"/>
              <w:jc w:val="center"/>
              <w:rPr>
                <w:rFonts w:hint="eastAsia" w:ascii="宋体" w:hAnsi="宋体" w:cs="宋体"/>
                <w:kern w:val="0"/>
                <w:szCs w:val="21"/>
              </w:rPr>
            </w:pPr>
            <w:r>
              <w:rPr>
                <w:rFonts w:ascii="宋体" w:hAnsi="宋体" w:cs="宋体"/>
                <w:kern w:val="0"/>
                <w:szCs w:val="21"/>
              </w:rPr>
              <w:t>1800</w:t>
            </w:r>
            <w:r>
              <w:rPr>
                <w:rFonts w:hint="eastAsia" w:ascii="宋体" w:hAnsi="宋体" w:cs="宋体"/>
                <w:kern w:val="0"/>
                <w:szCs w:val="21"/>
              </w:rPr>
              <w:t>～</w:t>
            </w:r>
            <w:r>
              <w:rPr>
                <w:rFonts w:hint="eastAsia" w:ascii="宋体" w:hAnsi="宋体"/>
                <w:szCs w:val="21"/>
              </w:rPr>
              <w:t>5967</w:t>
            </w:r>
          </w:p>
        </w:tc>
        <w:tc>
          <w:tcPr>
            <w:tcW w:w="812" w:type="pct"/>
            <w:tcBorders>
              <w:left w:val="single" w:color="auto" w:sz="4" w:space="0"/>
              <w:bottom w:val="single" w:color="auto" w:sz="4" w:space="0"/>
              <w:right w:val="single" w:color="auto" w:sz="4" w:space="0"/>
            </w:tcBorders>
            <w:vAlign w:val="center"/>
          </w:tcPr>
          <w:p w14:paraId="7E48818C">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1524.7t</w:t>
            </w:r>
          </w:p>
        </w:tc>
        <w:tc>
          <w:tcPr>
            <w:tcW w:w="858" w:type="pct"/>
            <w:vMerge w:val="continue"/>
            <w:tcBorders>
              <w:left w:val="single" w:color="000000" w:sz="4" w:space="0"/>
            </w:tcBorders>
            <w:vAlign w:val="center"/>
          </w:tcPr>
          <w:p w14:paraId="3E9EC75A">
            <w:pPr>
              <w:widowControl/>
              <w:snapToGrid w:val="0"/>
              <w:spacing w:line="300" w:lineRule="exact"/>
              <w:jc w:val="center"/>
              <w:rPr>
                <w:rFonts w:hint="eastAsia" w:ascii="宋体" w:hAnsi="宋体" w:cs="宋体"/>
                <w:szCs w:val="21"/>
              </w:rPr>
            </w:pPr>
          </w:p>
        </w:tc>
      </w:tr>
      <w:tr w14:paraId="2A68440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466" w:type="pct"/>
            <w:vMerge w:val="continue"/>
            <w:tcBorders>
              <w:right w:val="single" w:color="000000" w:sz="4" w:space="0"/>
            </w:tcBorders>
            <w:vAlign w:val="center"/>
          </w:tcPr>
          <w:p w14:paraId="6BB06AF2">
            <w:pPr>
              <w:pStyle w:val="19"/>
              <w:spacing w:after="0" w:line="300" w:lineRule="exact"/>
              <w:jc w:val="center"/>
              <w:rPr>
                <w:rFonts w:hint="eastAsia" w:ascii="宋体" w:hAnsi="宋体" w:cs="宋体"/>
                <w:szCs w:val="21"/>
              </w:rPr>
            </w:pPr>
          </w:p>
        </w:tc>
        <w:tc>
          <w:tcPr>
            <w:tcW w:w="590" w:type="pct"/>
            <w:tcBorders>
              <w:left w:val="single" w:color="000000" w:sz="4" w:space="0"/>
              <w:right w:val="single" w:color="auto" w:sz="4" w:space="0"/>
            </w:tcBorders>
            <w:vAlign w:val="center"/>
          </w:tcPr>
          <w:p w14:paraId="6A03BDCC">
            <w:pPr>
              <w:pStyle w:val="19"/>
              <w:spacing w:after="0" w:line="300" w:lineRule="exact"/>
              <w:jc w:val="center"/>
              <w:rPr>
                <w:rFonts w:hint="eastAsia" w:ascii="宋体" w:hAnsi="宋体" w:cs="宋体"/>
                <w:szCs w:val="21"/>
              </w:rPr>
            </w:pPr>
            <w:r>
              <w:rPr>
                <w:rFonts w:hint="eastAsia" w:ascii="宋体" w:hAnsi="宋体" w:cs="宋体"/>
                <w:szCs w:val="21"/>
              </w:rPr>
              <w:t>JHW17-45</w:t>
            </w:r>
          </w:p>
        </w:tc>
        <w:tc>
          <w:tcPr>
            <w:tcW w:w="731" w:type="pct"/>
            <w:tcBorders>
              <w:left w:val="single" w:color="auto" w:sz="4" w:space="0"/>
            </w:tcBorders>
            <w:vAlign w:val="center"/>
          </w:tcPr>
          <w:p w14:paraId="44C0D93F">
            <w:pPr>
              <w:pStyle w:val="19"/>
              <w:spacing w:after="0" w:line="300" w:lineRule="exact"/>
              <w:jc w:val="center"/>
              <w:rPr>
                <w:rFonts w:hint="eastAsia" w:ascii="宋体" w:hAnsi="宋体" w:cs="宋体"/>
                <w:szCs w:val="21"/>
              </w:rPr>
            </w:pPr>
            <w:r>
              <w:rPr>
                <w:rFonts w:hint="eastAsia" w:ascii="宋体" w:hAnsi="宋体" w:cs="宋体"/>
                <w:szCs w:val="21"/>
              </w:rPr>
              <w:t>油基钻井液</w:t>
            </w:r>
          </w:p>
        </w:tc>
        <w:tc>
          <w:tcPr>
            <w:tcW w:w="657" w:type="pct"/>
            <w:tcBorders>
              <w:top w:val="single" w:color="auto" w:sz="4" w:space="0"/>
              <w:right w:val="single" w:color="auto" w:sz="4" w:space="0"/>
            </w:tcBorders>
            <w:vAlign w:val="center"/>
          </w:tcPr>
          <w:p w14:paraId="2C952CED">
            <w:pPr>
              <w:pStyle w:val="19"/>
              <w:jc w:val="center"/>
              <w:rPr>
                <w:rFonts w:hint="eastAsia" w:ascii="宋体" w:hAnsi="宋体" w:cs="宋体"/>
                <w:kern w:val="0"/>
                <w:szCs w:val="21"/>
              </w:rPr>
            </w:pPr>
            <w:r>
              <w:rPr>
                <w:rFonts w:hint="eastAsia" w:ascii="宋体" w:hAnsi="宋体" w:cs="宋体"/>
                <w:kern w:val="0"/>
                <w:szCs w:val="21"/>
              </w:rPr>
              <w:t>215.9</w:t>
            </w:r>
          </w:p>
        </w:tc>
        <w:tc>
          <w:tcPr>
            <w:tcW w:w="886" w:type="pct"/>
            <w:tcBorders>
              <w:top w:val="single" w:color="auto" w:sz="4" w:space="0"/>
              <w:left w:val="single" w:color="auto" w:sz="4" w:space="0"/>
              <w:right w:val="single" w:color="auto" w:sz="4" w:space="0"/>
            </w:tcBorders>
            <w:vAlign w:val="center"/>
          </w:tcPr>
          <w:p w14:paraId="71E95690">
            <w:pPr>
              <w:widowControl/>
              <w:snapToGrid w:val="0"/>
              <w:spacing w:line="300" w:lineRule="exact"/>
              <w:jc w:val="center"/>
              <w:rPr>
                <w:rFonts w:hint="eastAsia" w:ascii="宋体" w:hAnsi="宋体" w:cs="宋体"/>
                <w:kern w:val="0"/>
                <w:szCs w:val="21"/>
              </w:rPr>
            </w:pPr>
            <w:r>
              <w:rPr>
                <w:rFonts w:ascii="宋体" w:hAnsi="宋体" w:cs="宋体"/>
                <w:kern w:val="0"/>
                <w:szCs w:val="21"/>
              </w:rPr>
              <w:t>1800</w:t>
            </w:r>
            <w:r>
              <w:rPr>
                <w:rFonts w:hint="eastAsia" w:ascii="宋体" w:hAnsi="宋体" w:cs="宋体"/>
                <w:kern w:val="0"/>
                <w:szCs w:val="21"/>
              </w:rPr>
              <w:t>～</w:t>
            </w:r>
            <w:r>
              <w:rPr>
                <w:rFonts w:hint="eastAsia" w:ascii="宋体" w:hAnsi="宋体"/>
                <w:szCs w:val="21"/>
              </w:rPr>
              <w:t>5290</w:t>
            </w:r>
          </w:p>
        </w:tc>
        <w:tc>
          <w:tcPr>
            <w:tcW w:w="812" w:type="pct"/>
            <w:tcBorders>
              <w:top w:val="single" w:color="auto" w:sz="4" w:space="0"/>
              <w:left w:val="single" w:color="auto" w:sz="4" w:space="0"/>
              <w:right w:val="single" w:color="auto" w:sz="4" w:space="0"/>
            </w:tcBorders>
            <w:vAlign w:val="center"/>
          </w:tcPr>
          <w:p w14:paraId="1FAAC3AE">
            <w:pPr>
              <w:widowControl/>
              <w:snapToGrid w:val="0"/>
              <w:spacing w:line="300" w:lineRule="exact"/>
              <w:jc w:val="center"/>
              <w:rPr>
                <w:rFonts w:hint="eastAsia" w:ascii="宋体" w:hAnsi="宋体" w:cs="宋体"/>
                <w:kern w:val="0"/>
                <w:szCs w:val="21"/>
              </w:rPr>
            </w:pPr>
            <w:r>
              <w:rPr>
                <w:rFonts w:hint="eastAsia" w:ascii="宋体" w:hAnsi="宋体" w:cs="宋体"/>
                <w:kern w:val="0"/>
                <w:szCs w:val="21"/>
              </w:rPr>
              <w:t>1277.0t</w:t>
            </w:r>
          </w:p>
        </w:tc>
        <w:tc>
          <w:tcPr>
            <w:tcW w:w="858" w:type="pct"/>
            <w:vMerge w:val="continue"/>
            <w:tcBorders>
              <w:left w:val="single" w:color="000000" w:sz="4" w:space="0"/>
            </w:tcBorders>
            <w:vAlign w:val="center"/>
          </w:tcPr>
          <w:p w14:paraId="7521BD4E">
            <w:pPr>
              <w:pStyle w:val="19"/>
              <w:spacing w:after="0" w:line="300" w:lineRule="exact"/>
              <w:jc w:val="center"/>
              <w:rPr>
                <w:rFonts w:hint="eastAsia" w:ascii="宋体" w:hAnsi="宋体" w:cs="宋体"/>
                <w:szCs w:val="21"/>
              </w:rPr>
            </w:pPr>
          </w:p>
        </w:tc>
      </w:tr>
    </w:tbl>
    <w:p w14:paraId="4C0D3D83">
      <w:pPr>
        <w:pStyle w:val="117"/>
        <w:ind w:firstLine="480"/>
        <w:rPr>
          <w:rFonts w:hint="eastAsia"/>
        </w:rPr>
      </w:pPr>
      <w:r>
        <w:rPr>
          <w:rFonts w:hint="eastAsia"/>
        </w:rPr>
        <w:t>由表3.3-2可知，5口井钻井期间产生的水基钻井岩屑共计约为752.6t，油基钻井岩屑共计约为6783.5t。</w:t>
      </w:r>
    </w:p>
    <w:p w14:paraId="3EE21826">
      <w:pPr>
        <w:pStyle w:val="117"/>
        <w:ind w:firstLine="480"/>
        <w:rPr>
          <w:rFonts w:hint="eastAsia"/>
        </w:rPr>
      </w:pPr>
      <w:r>
        <w:rPr>
          <w:rFonts w:hint="eastAsia"/>
        </w:rPr>
        <w:t>②生活垃圾</w:t>
      </w:r>
    </w:p>
    <w:p w14:paraId="02C550D6">
      <w:pPr>
        <w:pStyle w:val="117"/>
        <w:ind w:firstLine="480"/>
        <w:rPr>
          <w:rFonts w:hint="eastAsia"/>
        </w:rPr>
      </w:pPr>
      <w:r>
        <w:rPr>
          <w:rFonts w:hint="eastAsia"/>
        </w:rPr>
        <w:t>单井钻井周期为41天、</w:t>
      </w:r>
      <w:r>
        <w:t>钻井人数为</w:t>
      </w:r>
      <w:r>
        <w:rPr>
          <w:rFonts w:hint="eastAsia"/>
        </w:rPr>
        <w:t>35</w:t>
      </w:r>
      <w:r>
        <w:t>人，</w:t>
      </w:r>
      <w:r>
        <w:rPr>
          <w:rFonts w:hint="eastAsia"/>
        </w:rPr>
        <w:t>按</w:t>
      </w:r>
      <w:r>
        <w:t>平均每人每天产生生活垃圾0.5kg</w:t>
      </w:r>
      <w:r>
        <w:rPr>
          <w:rFonts w:hint="eastAsia"/>
        </w:rPr>
        <w:t>计算</w:t>
      </w:r>
      <w:r>
        <w:t>，</w:t>
      </w:r>
      <w:r>
        <w:rPr>
          <w:rFonts w:hint="eastAsia"/>
        </w:rPr>
        <w:t>则单井井场生活垃圾产生量为0.7t，则5口井生活垃圾产生量为3.5t</w:t>
      </w:r>
      <w:r>
        <w:t>，</w:t>
      </w:r>
      <w:r>
        <w:rPr>
          <w:rFonts w:hint="eastAsia"/>
        </w:rPr>
        <w:t>集中收集后送至吉木萨尔县生活垃圾填埋场处理</w:t>
      </w:r>
      <w:r>
        <w:t>。</w:t>
      </w:r>
    </w:p>
    <w:p w14:paraId="66BACBDA">
      <w:pPr>
        <w:pStyle w:val="117"/>
        <w:ind w:firstLine="480"/>
        <w:rPr>
          <w:rFonts w:hint="eastAsia"/>
          <w:bCs/>
        </w:rPr>
      </w:pPr>
      <w:r>
        <w:rPr>
          <w:rFonts w:hint="eastAsia"/>
        </w:rPr>
        <w:t>③建筑垃圾</w:t>
      </w:r>
    </w:p>
    <w:p w14:paraId="272B472F">
      <w:pPr>
        <w:pStyle w:val="117"/>
        <w:ind w:firstLine="480"/>
        <w:rPr>
          <w:rFonts w:hint="eastAsia"/>
        </w:rPr>
      </w:pPr>
      <w:r>
        <w:rPr>
          <w:rFonts w:hint="eastAsia"/>
          <w:bCs/>
        </w:rPr>
        <w:t>一期工程建筑垃圾主要为</w:t>
      </w:r>
      <w:r>
        <w:rPr>
          <w:rFonts w:hint="eastAsia"/>
        </w:rPr>
        <w:t>废边角料、废包装物等，二期工程主要为拆除设施时产生的建筑垃圾</w:t>
      </w:r>
      <w:r>
        <w:rPr>
          <w:rFonts w:hint="eastAsia"/>
          <w:bCs/>
        </w:rPr>
        <w:t>，</w:t>
      </w:r>
      <w:r>
        <w:rPr>
          <w:rFonts w:hint="eastAsia"/>
        </w:rPr>
        <w:t>产生量较少，集中收集后送至当地建筑垃圾填埋场。</w:t>
      </w:r>
    </w:p>
    <w:p w14:paraId="4256B083">
      <w:pPr>
        <w:pStyle w:val="162"/>
        <w:adjustRightInd w:val="0"/>
        <w:snapToGrid w:val="0"/>
        <w:ind w:firstLine="482" w:firstLineChars="0"/>
        <w:rPr>
          <w:rFonts w:hint="eastAsia"/>
          <w:color w:val="auto"/>
        </w:rPr>
      </w:pPr>
      <w:r>
        <w:rPr>
          <w:rFonts w:hint="eastAsia"/>
          <w:color w:val="auto"/>
        </w:rPr>
        <w:t>④废润滑油</w:t>
      </w:r>
    </w:p>
    <w:p w14:paraId="12BE74A6">
      <w:pPr>
        <w:pStyle w:val="162"/>
        <w:adjustRightInd w:val="0"/>
        <w:snapToGrid w:val="0"/>
        <w:ind w:firstLine="482" w:firstLineChars="0"/>
        <w:rPr>
          <w:rFonts w:hint="eastAsia"/>
          <w:color w:val="auto"/>
        </w:rPr>
      </w:pPr>
      <w:r>
        <w:rPr>
          <w:rFonts w:hint="eastAsia"/>
          <w:color w:val="auto"/>
        </w:rPr>
        <w:t>钻井井场中的发电机、钻机和钻井液循环泵及其他动力设备，需要定期保养维护，保养维修过程中会产生一定量的废润滑油，</w:t>
      </w:r>
      <w:bookmarkStart w:id="245" w:name="_Hlk40357779"/>
      <w:r>
        <w:rPr>
          <w:rFonts w:hint="eastAsia"/>
          <w:color w:val="auto"/>
        </w:rPr>
        <w:t>参照新疆油田其他使用相同动力设备的井在钻井过程中产生废润滑油的数量可知</w:t>
      </w:r>
      <w:bookmarkEnd w:id="245"/>
      <w:r>
        <w:rPr>
          <w:rFonts w:hint="eastAsia"/>
          <w:color w:val="auto"/>
        </w:rPr>
        <w:t>，</w:t>
      </w:r>
      <w:bookmarkStart w:id="246" w:name="_Hlk40357811"/>
      <w:r>
        <w:rPr>
          <w:rFonts w:hint="eastAsia"/>
          <w:color w:val="auto"/>
        </w:rPr>
        <w:t>单井井场钻井期产生的废润滑油为0</w:t>
      </w:r>
      <w:r>
        <w:rPr>
          <w:color w:val="auto"/>
        </w:rPr>
        <w:t>.05t</w:t>
      </w:r>
      <w:r>
        <w:rPr>
          <w:rFonts w:hint="eastAsia"/>
          <w:color w:val="auto"/>
        </w:rPr>
        <w:t>，则5口井废润滑油产生量0</w:t>
      </w:r>
      <w:r>
        <w:rPr>
          <w:color w:val="auto"/>
        </w:rPr>
        <w:t>.2</w:t>
      </w:r>
      <w:r>
        <w:rPr>
          <w:rFonts w:hint="eastAsia"/>
          <w:color w:val="auto"/>
        </w:rPr>
        <w:t>5t。</w:t>
      </w:r>
      <w:bookmarkEnd w:id="246"/>
      <w:bookmarkStart w:id="247" w:name="_Hlk81138735"/>
      <w:r>
        <w:rPr>
          <w:rFonts w:hint="eastAsia"/>
          <w:color w:val="auto"/>
        </w:rPr>
        <w:t>废润滑油属于《国家危险废物名录》（2</w:t>
      </w:r>
      <w:r>
        <w:rPr>
          <w:color w:val="auto"/>
        </w:rPr>
        <w:t>021</w:t>
      </w:r>
      <w:r>
        <w:rPr>
          <w:rFonts w:hint="eastAsia"/>
          <w:color w:val="auto"/>
        </w:rPr>
        <w:t>年版）H</w:t>
      </w:r>
      <w:r>
        <w:rPr>
          <w:color w:val="auto"/>
        </w:rPr>
        <w:t>W08废矿物油与含矿物油类危险废物</w:t>
      </w:r>
      <w:r>
        <w:rPr>
          <w:rFonts w:hint="eastAsia"/>
          <w:color w:val="auto"/>
        </w:rPr>
        <w:t>，废物代码为</w:t>
      </w:r>
      <w:r>
        <w:rPr>
          <w:rFonts w:cs="宋体"/>
          <w:color w:val="auto"/>
          <w:kern w:val="0"/>
          <w:szCs w:val="21"/>
        </w:rPr>
        <w:t>900-214-08</w:t>
      </w:r>
      <w:r>
        <w:rPr>
          <w:rFonts w:hint="eastAsia" w:cs="宋体"/>
          <w:color w:val="auto"/>
          <w:kern w:val="0"/>
          <w:szCs w:val="21"/>
        </w:rPr>
        <w:t>，危险特性为</w:t>
      </w:r>
      <w:r>
        <w:rPr>
          <w:rFonts w:cs="宋体"/>
          <w:color w:val="auto"/>
          <w:kern w:val="0"/>
          <w:szCs w:val="21"/>
        </w:rPr>
        <w:t>T</w:t>
      </w:r>
      <w:r>
        <w:rPr>
          <w:rFonts w:hint="eastAsia" w:cs="宋体"/>
          <w:color w:val="auto"/>
          <w:kern w:val="0"/>
          <w:szCs w:val="21"/>
        </w:rPr>
        <w:t>，</w:t>
      </w:r>
      <w:r>
        <w:rPr>
          <w:rFonts w:cs="宋体"/>
          <w:color w:val="auto"/>
          <w:kern w:val="0"/>
          <w:szCs w:val="21"/>
        </w:rPr>
        <w:t>I</w:t>
      </w:r>
      <w:r>
        <w:rPr>
          <w:rFonts w:hint="eastAsia"/>
          <w:color w:val="auto"/>
        </w:rPr>
        <w:t>，交由有相应危险废物处置资质的单位进行回收处置。</w:t>
      </w:r>
    </w:p>
    <w:bookmarkEnd w:id="247"/>
    <w:p w14:paraId="3FC39051">
      <w:pPr>
        <w:pStyle w:val="117"/>
        <w:ind w:firstLine="480"/>
        <w:rPr>
          <w:rFonts w:hint="eastAsia" w:cs="宋体"/>
          <w:lang w:val="zh-CN"/>
        </w:rPr>
      </w:pPr>
      <w:r>
        <w:rPr>
          <w:rFonts w:hint="eastAsia"/>
        </w:rPr>
        <w:t>⑤</w:t>
      </w:r>
      <w:r>
        <w:rPr>
          <w:rFonts w:hint="eastAsia" w:cs="宋体"/>
          <w:lang w:val="zh-CN"/>
        </w:rPr>
        <w:t>废润滑油桶</w:t>
      </w:r>
    </w:p>
    <w:p w14:paraId="4C844313">
      <w:pPr>
        <w:pStyle w:val="117"/>
        <w:ind w:firstLine="480"/>
        <w:rPr>
          <w:rFonts w:hint="eastAsia" w:cs="宋体"/>
          <w:lang w:val="zh-CN"/>
        </w:rPr>
      </w:pPr>
      <w:r>
        <w:rPr>
          <w:rFonts w:hint="eastAsia" w:cs="宋体"/>
          <w:lang w:val="zh-CN"/>
        </w:rPr>
        <w:t>使用润滑油时会产生一定的废润滑油桶，根据润滑油的使用量计算出废润滑油桶的产生量为0.02t/a，废润滑油桶属于《国家危险废物名录》（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废矿物油和含矿物油废物，废物代码为</w:t>
      </w:r>
      <w:r>
        <w:rPr>
          <w:rFonts w:cs="宋体"/>
          <w:lang w:val="zh-CN"/>
        </w:rPr>
        <w:t>900-2</w:t>
      </w:r>
      <w:r>
        <w:rPr>
          <w:rFonts w:hint="eastAsia" w:cs="宋体"/>
          <w:lang w:val="zh-CN"/>
        </w:rPr>
        <w:t>49</w:t>
      </w:r>
      <w:r>
        <w:rPr>
          <w:rFonts w:cs="宋体"/>
          <w:lang w:val="zh-CN"/>
        </w:rPr>
        <w:t>-08</w:t>
      </w:r>
      <w:r>
        <w:rPr>
          <w:rFonts w:hint="eastAsia" w:cs="宋体"/>
          <w:lang w:val="zh-CN"/>
        </w:rPr>
        <w:t>，危险特性为</w:t>
      </w:r>
      <w:r>
        <w:rPr>
          <w:rFonts w:cs="宋体"/>
          <w:lang w:val="zh-CN"/>
        </w:rPr>
        <w:t>T</w:t>
      </w:r>
      <w:r>
        <w:rPr>
          <w:rFonts w:hint="eastAsia" w:cs="宋体"/>
          <w:lang w:val="zh-CN"/>
        </w:rPr>
        <w:t>、</w:t>
      </w:r>
      <w:r>
        <w:rPr>
          <w:rFonts w:cs="宋体"/>
          <w:lang w:val="zh-CN"/>
        </w:rPr>
        <w:t>I</w:t>
      </w:r>
      <w:r>
        <w:rPr>
          <w:rFonts w:hint="eastAsia" w:cs="宋体"/>
          <w:lang w:val="zh-CN"/>
        </w:rPr>
        <w:t>，交由有相应危险废物处理资质的单位处理。</w:t>
      </w:r>
    </w:p>
    <w:p w14:paraId="2F8DBCBA">
      <w:pPr>
        <w:pStyle w:val="162"/>
        <w:adjustRightInd w:val="0"/>
        <w:snapToGrid w:val="0"/>
        <w:ind w:firstLine="482" w:firstLineChars="0"/>
        <w:rPr>
          <w:rFonts w:hint="eastAsia"/>
          <w:color w:val="auto"/>
        </w:rPr>
      </w:pPr>
      <w:r>
        <w:rPr>
          <w:rFonts w:hint="eastAsia"/>
          <w:color w:val="auto"/>
        </w:rPr>
        <w:t>⑥沾油废防渗材料</w:t>
      </w:r>
    </w:p>
    <w:p w14:paraId="6B8DFCCA">
      <w:pPr>
        <w:pStyle w:val="162"/>
        <w:adjustRightInd w:val="0"/>
        <w:snapToGrid w:val="0"/>
        <w:ind w:firstLine="482" w:firstLineChars="0"/>
        <w:rPr>
          <w:rFonts w:hint="eastAsia"/>
          <w:color w:val="auto"/>
        </w:rPr>
      </w:pPr>
      <w:r>
        <w:rPr>
          <w:rFonts w:hint="eastAsia"/>
          <w:color w:val="auto"/>
        </w:rPr>
        <w:t>场地清理时拆除的未破损且未沾油的防渗材料由施工单位集中回收利用，沾油废防渗材料属于危险废物（</w:t>
      </w:r>
      <w:r>
        <w:rPr>
          <w:color w:val="auto"/>
        </w:rPr>
        <w:t>HW08</w:t>
      </w:r>
      <w:r>
        <w:rPr>
          <w:rFonts w:hint="eastAsia"/>
          <w:color w:val="auto"/>
        </w:rPr>
        <w:t>类危险废物，废物代码：</w:t>
      </w:r>
      <w:r>
        <w:rPr>
          <w:color w:val="auto"/>
        </w:rPr>
        <w:t>900-249-08</w:t>
      </w:r>
      <w:r>
        <w:rPr>
          <w:rFonts w:hint="eastAsia"/>
          <w:color w:val="auto"/>
        </w:rPr>
        <w:t>），危险特性为毒性和易燃性，施工结束后交由具有相关危险废物处置资质的单位接收、转运以及处置。参照新疆油田其他使用相同动力设备的井在钻井过程中产生废润滑油的数量可知，单井井场钻井期产生的废防渗材料为0</w:t>
      </w:r>
      <w:r>
        <w:rPr>
          <w:color w:val="auto"/>
        </w:rPr>
        <w:t>.0</w:t>
      </w:r>
      <w:r>
        <w:rPr>
          <w:rFonts w:hint="eastAsia"/>
          <w:color w:val="auto"/>
        </w:rPr>
        <w:t>7</w:t>
      </w:r>
      <w:r>
        <w:rPr>
          <w:color w:val="auto"/>
        </w:rPr>
        <w:t>t</w:t>
      </w:r>
      <w:r>
        <w:rPr>
          <w:rFonts w:hint="eastAsia"/>
          <w:color w:val="auto"/>
        </w:rPr>
        <w:t>，则5口井废润滑油产生量0</w:t>
      </w:r>
      <w:r>
        <w:rPr>
          <w:color w:val="auto"/>
        </w:rPr>
        <w:t>.</w:t>
      </w:r>
      <w:r>
        <w:rPr>
          <w:rFonts w:hint="eastAsia"/>
          <w:color w:val="auto"/>
        </w:rPr>
        <w:t>35t。</w:t>
      </w:r>
    </w:p>
    <w:bookmarkEnd w:id="244"/>
    <w:p w14:paraId="243C790A">
      <w:pPr>
        <w:pStyle w:val="117"/>
        <w:spacing w:line="520" w:lineRule="exact"/>
        <w:ind w:firstLine="480"/>
        <w:rPr>
          <w:rFonts w:hint="eastAsia"/>
        </w:rPr>
      </w:pPr>
      <w:bookmarkStart w:id="248" w:name="_Hlk160379837"/>
      <w:r>
        <w:rPr>
          <w:rFonts w:hint="eastAsia"/>
        </w:rPr>
        <w:t>（5）生态影响分析</w:t>
      </w:r>
    </w:p>
    <w:p w14:paraId="3EFC4BA0">
      <w:pPr>
        <w:pStyle w:val="117"/>
        <w:spacing w:line="520" w:lineRule="exact"/>
        <w:ind w:firstLine="480"/>
        <w:rPr>
          <w:rFonts w:hint="eastAsia"/>
          <w:bCs/>
        </w:rPr>
      </w:pPr>
      <w:bookmarkStart w:id="249" w:name="_Hlk35693953"/>
      <w:bookmarkStart w:id="250" w:name="_Hlk147581732"/>
      <w:r>
        <w:rPr>
          <w:rFonts w:hint="eastAsia"/>
        </w:rPr>
        <w:t>①</w:t>
      </w:r>
      <w:r>
        <w:rPr>
          <w:rFonts w:hint="eastAsia"/>
          <w:bCs/>
        </w:rPr>
        <w:t>工程占地</w:t>
      </w:r>
    </w:p>
    <w:p w14:paraId="6FEE0E8A">
      <w:pPr>
        <w:pStyle w:val="117"/>
        <w:spacing w:line="520" w:lineRule="exact"/>
        <w:ind w:firstLine="480"/>
        <w:rPr>
          <w:rFonts w:hint="eastAsia"/>
        </w:rPr>
      </w:pPr>
      <w:bookmarkStart w:id="251" w:name="OLE_LINK68"/>
      <w:r>
        <w:rPr>
          <w:rFonts w:hint="eastAsia"/>
          <w:bCs/>
        </w:rPr>
        <w:t>一期工程占地主要为采油井场、计量站、单井采油管线、</w:t>
      </w:r>
      <w:bookmarkStart w:id="252" w:name="_Hlk140781340"/>
      <w:r>
        <w:rPr>
          <w:rFonts w:hint="eastAsia"/>
          <w:bCs/>
        </w:rPr>
        <w:t>道路及输电线路等，</w:t>
      </w:r>
      <w:bookmarkStart w:id="253" w:name="OLE_LINK65"/>
      <w:bookmarkStart w:id="254" w:name="OLE_LINK63"/>
      <w:bookmarkStart w:id="255" w:name="OLE_LINK364"/>
      <w:r>
        <w:rPr>
          <w:rFonts w:hint="eastAsia"/>
          <w:bCs/>
        </w:rPr>
        <w:t>总占地面积为</w:t>
      </w:r>
      <w:bookmarkEnd w:id="249"/>
      <w:r>
        <w:rPr>
          <w:rFonts w:hint="eastAsia"/>
        </w:rPr>
        <w:t>51830</w:t>
      </w:r>
      <w:r>
        <w:rPr>
          <w:rFonts w:hint="eastAsia"/>
          <w:bCs/>
        </w:rPr>
        <w:t>m</w:t>
      </w:r>
      <w:r>
        <w:rPr>
          <w:rFonts w:hint="eastAsia"/>
          <w:bCs/>
          <w:vertAlign w:val="superscript"/>
        </w:rPr>
        <w:t>2</w:t>
      </w:r>
      <w:r>
        <w:rPr>
          <w:rFonts w:hint="eastAsia"/>
          <w:bCs/>
        </w:rPr>
        <w:t>，其中永久占地13230m</w:t>
      </w:r>
      <w:r>
        <w:rPr>
          <w:rFonts w:hint="eastAsia"/>
          <w:bCs/>
          <w:vertAlign w:val="superscript"/>
        </w:rPr>
        <w:t>2</w:t>
      </w:r>
      <w:r>
        <w:rPr>
          <w:rFonts w:hint="eastAsia"/>
          <w:bCs/>
        </w:rPr>
        <w:t>，临时占地38600</w:t>
      </w:r>
      <w:bookmarkStart w:id="256" w:name="OLE_LINK67"/>
      <w:r>
        <w:rPr>
          <w:rFonts w:hint="eastAsia"/>
          <w:bCs/>
        </w:rPr>
        <w:t>m</w:t>
      </w:r>
      <w:r>
        <w:rPr>
          <w:rFonts w:hint="eastAsia"/>
          <w:bCs/>
          <w:vertAlign w:val="superscript"/>
        </w:rPr>
        <w:t>2</w:t>
      </w:r>
      <w:bookmarkEnd w:id="252"/>
      <w:bookmarkEnd w:id="253"/>
      <w:bookmarkEnd w:id="256"/>
      <w:r>
        <w:rPr>
          <w:rFonts w:hint="eastAsia"/>
          <w:bCs/>
        </w:rPr>
        <w:t>；</w:t>
      </w:r>
      <w:bookmarkEnd w:id="254"/>
      <w:r>
        <w:rPr>
          <w:rFonts w:hint="eastAsia"/>
          <w:bCs/>
        </w:rPr>
        <w:t>二期工程占地主要为集油干线占地，均为临时占地，占地面积为72000m</w:t>
      </w:r>
      <w:r>
        <w:rPr>
          <w:rFonts w:hint="eastAsia"/>
          <w:bCs/>
          <w:vertAlign w:val="superscript"/>
        </w:rPr>
        <w:t>2</w:t>
      </w:r>
      <w:bookmarkStart w:id="257" w:name="OLE_LINK66"/>
      <w:r>
        <w:rPr>
          <w:rFonts w:hint="eastAsia"/>
          <w:bCs/>
        </w:rPr>
        <w:t>；一期、二期工程总占地面积为</w:t>
      </w:r>
      <w:r>
        <w:rPr>
          <w:rFonts w:hint="eastAsia"/>
        </w:rPr>
        <w:t>123830</w:t>
      </w:r>
      <w:r>
        <w:rPr>
          <w:rFonts w:hint="eastAsia"/>
          <w:bCs/>
        </w:rPr>
        <w:t>m</w:t>
      </w:r>
      <w:r>
        <w:rPr>
          <w:rFonts w:hint="eastAsia"/>
          <w:bCs/>
          <w:vertAlign w:val="superscript"/>
        </w:rPr>
        <w:t>2</w:t>
      </w:r>
      <w:r>
        <w:rPr>
          <w:rFonts w:hint="eastAsia"/>
          <w:bCs/>
        </w:rPr>
        <w:t>，其中永久占地13230m</w:t>
      </w:r>
      <w:r>
        <w:rPr>
          <w:rFonts w:hint="eastAsia"/>
          <w:bCs/>
          <w:vertAlign w:val="superscript"/>
        </w:rPr>
        <w:t>2</w:t>
      </w:r>
      <w:r>
        <w:rPr>
          <w:rFonts w:hint="eastAsia"/>
          <w:bCs/>
        </w:rPr>
        <w:t>，临时占地110600m</w:t>
      </w:r>
      <w:r>
        <w:rPr>
          <w:rFonts w:hint="eastAsia"/>
          <w:bCs/>
          <w:vertAlign w:val="superscript"/>
        </w:rPr>
        <w:t>2</w:t>
      </w:r>
      <w:r>
        <w:rPr>
          <w:rFonts w:hint="eastAsia"/>
          <w:bCs/>
        </w:rPr>
        <w:t>；</w:t>
      </w:r>
      <w:bookmarkEnd w:id="255"/>
      <w:r>
        <w:rPr>
          <w:rFonts w:hint="eastAsia"/>
          <w:bCs/>
        </w:rPr>
        <w:t>一期、二期工程占地</w:t>
      </w:r>
      <w:r>
        <w:t>详见</w:t>
      </w:r>
      <w:r>
        <w:rPr>
          <w:rFonts w:hint="eastAsia"/>
        </w:rPr>
        <w:t>表</w:t>
      </w:r>
      <w:r>
        <w:t>3.3</w:t>
      </w:r>
      <w:r>
        <w:rPr>
          <w:rFonts w:hint="eastAsia"/>
        </w:rPr>
        <w:t>-3。</w:t>
      </w:r>
      <w:bookmarkEnd w:id="257"/>
    </w:p>
    <w:p w14:paraId="1AB0C709">
      <w:pPr>
        <w:pStyle w:val="15"/>
        <w:rPr>
          <w:rFonts w:hint="eastAsia"/>
        </w:rPr>
      </w:pPr>
      <w:r>
        <w:rPr>
          <w:rFonts w:hint="eastAsia"/>
        </w:rPr>
        <w:t>表</w:t>
      </w:r>
      <w:r>
        <w:t>3.3</w:t>
      </w:r>
      <w:r>
        <w:rPr>
          <w:rFonts w:hint="eastAsia"/>
        </w:rPr>
        <w:t>-3</w:t>
      </w:r>
      <w:r>
        <w:t xml:space="preserve">  </w:t>
      </w:r>
      <w:r>
        <w:rPr>
          <w:rFonts w:hint="eastAsia"/>
        </w:rPr>
        <w:t>占地概况一览表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437"/>
        <w:gridCol w:w="1546"/>
        <w:gridCol w:w="759"/>
        <w:gridCol w:w="1093"/>
        <w:gridCol w:w="1143"/>
        <w:gridCol w:w="868"/>
        <w:gridCol w:w="2145"/>
        <w:gridCol w:w="955"/>
      </w:tblGrid>
      <w:tr w14:paraId="149C34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Merge w:val="restart"/>
            <w:vAlign w:val="center"/>
          </w:tcPr>
          <w:p w14:paraId="0AD06456">
            <w:pPr>
              <w:pStyle w:val="342"/>
              <w:overflowPunct w:val="0"/>
              <w:snapToGrid w:val="0"/>
              <w:spacing w:line="300" w:lineRule="exact"/>
              <w:rPr>
                <w:rFonts w:hint="eastAsia" w:hAnsi="宋体"/>
                <w:sz w:val="21"/>
                <w:szCs w:val="21"/>
              </w:rPr>
            </w:pPr>
            <w:bookmarkStart w:id="258" w:name="_Hlk93663307"/>
            <w:r>
              <w:rPr>
                <w:rFonts w:hint="eastAsia" w:hAnsi="宋体"/>
                <w:sz w:val="21"/>
                <w:szCs w:val="21"/>
              </w:rPr>
              <w:t>序号</w:t>
            </w:r>
          </w:p>
        </w:tc>
        <w:tc>
          <w:tcPr>
            <w:tcW w:w="864" w:type="pct"/>
            <w:vMerge w:val="restart"/>
            <w:vAlign w:val="center"/>
          </w:tcPr>
          <w:p w14:paraId="77A5F654">
            <w:pPr>
              <w:pStyle w:val="342"/>
              <w:overflowPunct w:val="0"/>
              <w:snapToGrid w:val="0"/>
              <w:spacing w:line="300" w:lineRule="exact"/>
              <w:rPr>
                <w:rFonts w:hint="eastAsia" w:hAnsi="宋体"/>
                <w:sz w:val="21"/>
                <w:szCs w:val="21"/>
              </w:rPr>
            </w:pPr>
            <w:r>
              <w:rPr>
                <w:rFonts w:hint="eastAsia" w:hAnsi="宋体"/>
                <w:sz w:val="21"/>
                <w:szCs w:val="21"/>
              </w:rPr>
              <w:t>建设内容</w:t>
            </w:r>
          </w:p>
        </w:tc>
        <w:tc>
          <w:tcPr>
            <w:tcW w:w="424" w:type="pct"/>
            <w:vMerge w:val="restart"/>
            <w:vAlign w:val="center"/>
          </w:tcPr>
          <w:p w14:paraId="34E7F279">
            <w:pPr>
              <w:pStyle w:val="342"/>
              <w:overflowPunct w:val="0"/>
              <w:snapToGrid w:val="0"/>
              <w:spacing w:line="300" w:lineRule="exact"/>
              <w:rPr>
                <w:rFonts w:hint="eastAsia" w:hAnsi="宋体"/>
                <w:sz w:val="21"/>
                <w:szCs w:val="21"/>
              </w:rPr>
            </w:pPr>
            <w:r>
              <w:rPr>
                <w:rFonts w:hint="eastAsia" w:hAnsi="宋体"/>
                <w:sz w:val="21"/>
                <w:szCs w:val="21"/>
              </w:rPr>
              <w:t>数量</w:t>
            </w:r>
          </w:p>
        </w:tc>
        <w:tc>
          <w:tcPr>
            <w:tcW w:w="1735" w:type="pct"/>
            <w:gridSpan w:val="3"/>
            <w:tcBorders>
              <w:bottom w:val="single" w:color="auto" w:sz="4" w:space="0"/>
              <w:right w:val="single" w:color="auto" w:sz="4" w:space="0"/>
            </w:tcBorders>
            <w:vAlign w:val="center"/>
          </w:tcPr>
          <w:p w14:paraId="414DCC78">
            <w:pPr>
              <w:pStyle w:val="342"/>
              <w:overflowPunct w:val="0"/>
              <w:snapToGrid w:val="0"/>
              <w:spacing w:line="300" w:lineRule="exact"/>
              <w:rPr>
                <w:rFonts w:hint="eastAsia" w:hAnsi="宋体"/>
                <w:sz w:val="21"/>
                <w:szCs w:val="21"/>
              </w:rPr>
            </w:pPr>
            <w:r>
              <w:rPr>
                <w:rFonts w:hint="eastAsia" w:hAnsi="宋体"/>
                <w:sz w:val="21"/>
                <w:szCs w:val="21"/>
              </w:rPr>
              <w:t>占地面积（m</w:t>
            </w:r>
            <w:r>
              <w:rPr>
                <w:rFonts w:hAnsi="宋体"/>
                <w:sz w:val="21"/>
                <w:szCs w:val="21"/>
                <w:vertAlign w:val="superscript"/>
              </w:rPr>
              <w:t>2</w:t>
            </w:r>
            <w:r>
              <w:rPr>
                <w:rFonts w:hint="eastAsia" w:hAnsi="宋体"/>
                <w:sz w:val="21"/>
                <w:szCs w:val="21"/>
              </w:rPr>
              <w:t>）</w:t>
            </w:r>
          </w:p>
        </w:tc>
        <w:tc>
          <w:tcPr>
            <w:tcW w:w="1199" w:type="pct"/>
            <w:vMerge w:val="restart"/>
            <w:tcBorders>
              <w:left w:val="single" w:color="auto" w:sz="4" w:space="0"/>
            </w:tcBorders>
            <w:vAlign w:val="center"/>
          </w:tcPr>
          <w:p w14:paraId="60AA007E">
            <w:pPr>
              <w:pStyle w:val="342"/>
              <w:overflowPunct w:val="0"/>
              <w:snapToGrid w:val="0"/>
              <w:spacing w:line="300" w:lineRule="exact"/>
              <w:rPr>
                <w:rFonts w:hint="eastAsia" w:hAnsi="宋体"/>
                <w:sz w:val="21"/>
                <w:szCs w:val="21"/>
              </w:rPr>
            </w:pPr>
            <w:r>
              <w:rPr>
                <w:rFonts w:hint="eastAsia" w:hAnsi="宋体"/>
                <w:sz w:val="21"/>
                <w:szCs w:val="21"/>
              </w:rPr>
              <w:t>备注</w:t>
            </w:r>
          </w:p>
        </w:tc>
        <w:tc>
          <w:tcPr>
            <w:tcW w:w="534" w:type="pct"/>
            <w:vMerge w:val="restart"/>
            <w:tcBorders>
              <w:left w:val="single" w:color="auto" w:sz="4" w:space="0"/>
            </w:tcBorders>
            <w:vAlign w:val="center"/>
          </w:tcPr>
          <w:p w14:paraId="74E1C700">
            <w:pPr>
              <w:pStyle w:val="342"/>
              <w:overflowPunct w:val="0"/>
              <w:snapToGrid w:val="0"/>
              <w:spacing w:line="300" w:lineRule="exact"/>
              <w:rPr>
                <w:rFonts w:hint="eastAsia" w:hAnsi="宋体"/>
                <w:sz w:val="21"/>
                <w:szCs w:val="21"/>
              </w:rPr>
            </w:pPr>
            <w:r>
              <w:rPr>
                <w:rFonts w:hint="eastAsia" w:hAnsi="宋体"/>
                <w:sz w:val="21"/>
                <w:szCs w:val="21"/>
              </w:rPr>
              <w:t>占地类型</w:t>
            </w:r>
          </w:p>
        </w:tc>
      </w:tr>
      <w:tr w14:paraId="72242C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Merge w:val="continue"/>
            <w:vAlign w:val="center"/>
          </w:tcPr>
          <w:p w14:paraId="4785A3AD">
            <w:pPr>
              <w:pStyle w:val="19"/>
              <w:overflowPunct w:val="0"/>
              <w:adjustRightInd w:val="0"/>
              <w:snapToGrid w:val="0"/>
              <w:spacing w:after="0" w:line="300" w:lineRule="exact"/>
              <w:jc w:val="center"/>
              <w:rPr>
                <w:rFonts w:hint="eastAsia" w:ascii="宋体" w:hAnsi="宋体" w:cs="宋体"/>
                <w:b/>
                <w:szCs w:val="21"/>
              </w:rPr>
            </w:pPr>
          </w:p>
        </w:tc>
        <w:tc>
          <w:tcPr>
            <w:tcW w:w="864" w:type="pct"/>
            <w:vMerge w:val="continue"/>
            <w:vAlign w:val="center"/>
          </w:tcPr>
          <w:p w14:paraId="6CE4EC3A">
            <w:pPr>
              <w:pStyle w:val="19"/>
              <w:overflowPunct w:val="0"/>
              <w:adjustRightInd w:val="0"/>
              <w:snapToGrid w:val="0"/>
              <w:spacing w:after="0" w:line="300" w:lineRule="exact"/>
              <w:jc w:val="center"/>
              <w:rPr>
                <w:rFonts w:hint="eastAsia" w:ascii="宋体" w:hAnsi="宋体" w:cs="宋体"/>
                <w:b/>
                <w:szCs w:val="21"/>
              </w:rPr>
            </w:pPr>
          </w:p>
        </w:tc>
        <w:tc>
          <w:tcPr>
            <w:tcW w:w="424" w:type="pct"/>
            <w:vMerge w:val="continue"/>
            <w:vAlign w:val="center"/>
          </w:tcPr>
          <w:p w14:paraId="254758BF">
            <w:pPr>
              <w:pStyle w:val="342"/>
              <w:overflowPunct w:val="0"/>
              <w:snapToGrid w:val="0"/>
              <w:spacing w:line="300" w:lineRule="exact"/>
              <w:rPr>
                <w:rFonts w:hint="eastAsia" w:hAnsi="宋体"/>
                <w:sz w:val="21"/>
                <w:szCs w:val="21"/>
              </w:rPr>
            </w:pPr>
          </w:p>
        </w:tc>
        <w:tc>
          <w:tcPr>
            <w:tcW w:w="611" w:type="pct"/>
            <w:tcBorders>
              <w:top w:val="single" w:color="auto" w:sz="4" w:space="0"/>
            </w:tcBorders>
            <w:vAlign w:val="center"/>
          </w:tcPr>
          <w:p w14:paraId="3D244B9D">
            <w:pPr>
              <w:pStyle w:val="342"/>
              <w:overflowPunct w:val="0"/>
              <w:snapToGrid w:val="0"/>
              <w:spacing w:line="300" w:lineRule="exact"/>
              <w:rPr>
                <w:rFonts w:hint="eastAsia" w:hAnsi="宋体"/>
                <w:b/>
                <w:sz w:val="21"/>
                <w:szCs w:val="21"/>
              </w:rPr>
            </w:pPr>
            <w:r>
              <w:rPr>
                <w:rFonts w:hint="eastAsia" w:hAnsi="宋体"/>
                <w:sz w:val="21"/>
                <w:szCs w:val="21"/>
              </w:rPr>
              <w:t>永久征地</w:t>
            </w:r>
          </w:p>
        </w:tc>
        <w:tc>
          <w:tcPr>
            <w:tcW w:w="639" w:type="pct"/>
            <w:vAlign w:val="center"/>
          </w:tcPr>
          <w:p w14:paraId="347590AA">
            <w:pPr>
              <w:pStyle w:val="342"/>
              <w:overflowPunct w:val="0"/>
              <w:snapToGrid w:val="0"/>
              <w:spacing w:line="300" w:lineRule="exact"/>
              <w:rPr>
                <w:rFonts w:hint="eastAsia" w:hAnsi="宋体"/>
                <w:sz w:val="21"/>
                <w:szCs w:val="21"/>
              </w:rPr>
            </w:pPr>
            <w:r>
              <w:rPr>
                <w:rFonts w:hint="eastAsia" w:hAnsi="宋体"/>
                <w:sz w:val="21"/>
                <w:szCs w:val="21"/>
              </w:rPr>
              <w:t>临时占地</w:t>
            </w:r>
          </w:p>
        </w:tc>
        <w:tc>
          <w:tcPr>
            <w:tcW w:w="485" w:type="pct"/>
            <w:tcBorders>
              <w:right w:val="single" w:color="auto" w:sz="4" w:space="0"/>
            </w:tcBorders>
            <w:vAlign w:val="center"/>
          </w:tcPr>
          <w:p w14:paraId="1D3BA04D">
            <w:pPr>
              <w:pStyle w:val="342"/>
              <w:overflowPunct w:val="0"/>
              <w:snapToGrid w:val="0"/>
              <w:spacing w:line="300" w:lineRule="exact"/>
              <w:rPr>
                <w:rFonts w:hint="eastAsia" w:hAnsi="宋体"/>
                <w:sz w:val="21"/>
                <w:szCs w:val="21"/>
              </w:rPr>
            </w:pPr>
            <w:r>
              <w:rPr>
                <w:rFonts w:hint="eastAsia" w:hAnsi="宋体"/>
                <w:sz w:val="21"/>
                <w:szCs w:val="21"/>
              </w:rPr>
              <w:t>合计</w:t>
            </w:r>
          </w:p>
        </w:tc>
        <w:tc>
          <w:tcPr>
            <w:tcW w:w="1199" w:type="pct"/>
            <w:vMerge w:val="continue"/>
            <w:tcBorders>
              <w:left w:val="single" w:color="auto" w:sz="4" w:space="0"/>
            </w:tcBorders>
            <w:vAlign w:val="center"/>
          </w:tcPr>
          <w:p w14:paraId="13817BF2">
            <w:pPr>
              <w:pStyle w:val="342"/>
              <w:overflowPunct w:val="0"/>
              <w:snapToGrid w:val="0"/>
              <w:spacing w:line="300" w:lineRule="exact"/>
              <w:rPr>
                <w:rFonts w:hint="eastAsia" w:hAnsi="宋体"/>
                <w:sz w:val="21"/>
                <w:szCs w:val="21"/>
              </w:rPr>
            </w:pPr>
          </w:p>
        </w:tc>
        <w:tc>
          <w:tcPr>
            <w:tcW w:w="534" w:type="pct"/>
            <w:vMerge w:val="continue"/>
            <w:tcBorders>
              <w:left w:val="single" w:color="auto" w:sz="4" w:space="0"/>
            </w:tcBorders>
            <w:vAlign w:val="center"/>
          </w:tcPr>
          <w:p w14:paraId="697CC1D0">
            <w:pPr>
              <w:pStyle w:val="342"/>
              <w:overflowPunct w:val="0"/>
              <w:snapToGrid w:val="0"/>
              <w:spacing w:line="300" w:lineRule="exact"/>
              <w:rPr>
                <w:rFonts w:hint="eastAsia" w:hAnsi="宋体"/>
                <w:sz w:val="21"/>
                <w:szCs w:val="21"/>
              </w:rPr>
            </w:pPr>
          </w:p>
        </w:tc>
      </w:tr>
      <w:tr w14:paraId="532145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0" w:type="pct"/>
            <w:gridSpan w:val="8"/>
            <w:tcBorders>
              <w:bottom w:val="single" w:color="auto" w:sz="4" w:space="0"/>
            </w:tcBorders>
            <w:vAlign w:val="center"/>
          </w:tcPr>
          <w:p w14:paraId="70D2695F">
            <w:pPr>
              <w:pStyle w:val="342"/>
              <w:overflowPunct w:val="0"/>
              <w:snapToGrid w:val="0"/>
              <w:spacing w:line="300" w:lineRule="exact"/>
              <w:rPr>
                <w:rFonts w:hint="eastAsia" w:hAnsi="宋体"/>
                <w:sz w:val="21"/>
                <w:szCs w:val="21"/>
              </w:rPr>
            </w:pPr>
            <w:r>
              <w:rPr>
                <w:rFonts w:hint="eastAsia" w:hAnsi="宋体"/>
                <w:sz w:val="21"/>
                <w:szCs w:val="21"/>
              </w:rPr>
              <w:t>一期工程</w:t>
            </w:r>
          </w:p>
        </w:tc>
      </w:tr>
      <w:tr w14:paraId="17EABAE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3E812B56">
            <w:pPr>
              <w:pStyle w:val="342"/>
              <w:overflowPunct w:val="0"/>
              <w:snapToGrid w:val="0"/>
              <w:spacing w:line="300" w:lineRule="exact"/>
              <w:rPr>
                <w:rFonts w:hint="eastAsia" w:hAnsi="宋体"/>
                <w:sz w:val="21"/>
                <w:szCs w:val="21"/>
              </w:rPr>
            </w:pPr>
            <w:bookmarkStart w:id="259" w:name="_Hlk173430537"/>
            <w:r>
              <w:rPr>
                <w:rFonts w:hint="eastAsia" w:hAnsi="宋体"/>
                <w:sz w:val="21"/>
                <w:szCs w:val="21"/>
              </w:rPr>
              <w:t>1</w:t>
            </w:r>
          </w:p>
        </w:tc>
        <w:tc>
          <w:tcPr>
            <w:tcW w:w="864" w:type="pct"/>
            <w:vAlign w:val="center"/>
          </w:tcPr>
          <w:p w14:paraId="7C686119">
            <w:pPr>
              <w:pStyle w:val="342"/>
              <w:overflowPunct w:val="0"/>
              <w:snapToGrid w:val="0"/>
              <w:spacing w:line="300" w:lineRule="exact"/>
              <w:rPr>
                <w:rFonts w:hint="eastAsia" w:hAnsi="宋体"/>
                <w:sz w:val="21"/>
                <w:szCs w:val="21"/>
              </w:rPr>
            </w:pPr>
            <w:bookmarkStart w:id="260" w:name="OLE_LINK59"/>
            <w:r>
              <w:rPr>
                <w:rFonts w:hint="eastAsia" w:hAnsi="宋体"/>
                <w:sz w:val="21"/>
                <w:szCs w:val="21"/>
              </w:rPr>
              <w:t>五井采油平台</w:t>
            </w:r>
            <w:bookmarkEnd w:id="260"/>
          </w:p>
        </w:tc>
        <w:tc>
          <w:tcPr>
            <w:tcW w:w="424" w:type="pct"/>
            <w:vAlign w:val="center"/>
          </w:tcPr>
          <w:p w14:paraId="4B61FAA3">
            <w:pPr>
              <w:pStyle w:val="342"/>
              <w:overflowPunct w:val="0"/>
              <w:snapToGrid w:val="0"/>
              <w:spacing w:line="300" w:lineRule="exact"/>
              <w:rPr>
                <w:rFonts w:hint="eastAsia" w:hAnsi="宋体"/>
                <w:sz w:val="21"/>
                <w:szCs w:val="21"/>
              </w:rPr>
            </w:pPr>
            <w:r>
              <w:rPr>
                <w:rFonts w:hint="eastAsia" w:hAnsi="宋体"/>
                <w:sz w:val="21"/>
                <w:szCs w:val="21"/>
              </w:rPr>
              <w:t>1座</w:t>
            </w:r>
          </w:p>
        </w:tc>
        <w:tc>
          <w:tcPr>
            <w:tcW w:w="611" w:type="pct"/>
            <w:vAlign w:val="center"/>
          </w:tcPr>
          <w:p w14:paraId="08D9111D">
            <w:pPr>
              <w:pStyle w:val="342"/>
              <w:overflowPunct w:val="0"/>
              <w:snapToGrid w:val="0"/>
              <w:spacing w:line="300" w:lineRule="exact"/>
              <w:rPr>
                <w:rFonts w:hint="eastAsia" w:hAnsi="宋体"/>
                <w:sz w:val="21"/>
                <w:szCs w:val="21"/>
              </w:rPr>
            </w:pPr>
            <w:r>
              <w:rPr>
                <w:rFonts w:hint="eastAsia" w:hAnsi="宋体"/>
                <w:sz w:val="21"/>
                <w:szCs w:val="21"/>
              </w:rPr>
              <w:t>11000</w:t>
            </w:r>
          </w:p>
        </w:tc>
        <w:tc>
          <w:tcPr>
            <w:tcW w:w="639" w:type="pct"/>
            <w:vAlign w:val="center"/>
          </w:tcPr>
          <w:p w14:paraId="0A724D78">
            <w:pPr>
              <w:pStyle w:val="342"/>
              <w:overflowPunct w:val="0"/>
              <w:snapToGrid w:val="0"/>
              <w:spacing w:line="300" w:lineRule="exact"/>
              <w:rPr>
                <w:rFonts w:hint="eastAsia" w:hAnsi="宋体"/>
                <w:sz w:val="21"/>
                <w:szCs w:val="21"/>
              </w:rPr>
            </w:pPr>
            <w:r>
              <w:rPr>
                <w:rFonts w:hint="eastAsia" w:hAnsi="宋体"/>
                <w:sz w:val="21"/>
                <w:szCs w:val="21"/>
              </w:rPr>
              <w:t>19600</w:t>
            </w:r>
          </w:p>
        </w:tc>
        <w:tc>
          <w:tcPr>
            <w:tcW w:w="485" w:type="pct"/>
            <w:tcBorders>
              <w:right w:val="single" w:color="auto" w:sz="4" w:space="0"/>
            </w:tcBorders>
            <w:vAlign w:val="center"/>
          </w:tcPr>
          <w:p w14:paraId="5E12B674">
            <w:pPr>
              <w:pStyle w:val="342"/>
              <w:overflowPunct w:val="0"/>
              <w:snapToGrid w:val="0"/>
              <w:spacing w:line="300" w:lineRule="exact"/>
              <w:rPr>
                <w:rFonts w:hint="eastAsia" w:hAnsi="宋体"/>
                <w:sz w:val="21"/>
                <w:szCs w:val="21"/>
              </w:rPr>
            </w:pPr>
            <w:r>
              <w:rPr>
                <w:rFonts w:hint="eastAsia" w:hAnsi="宋体"/>
                <w:sz w:val="21"/>
                <w:szCs w:val="21"/>
              </w:rPr>
              <w:t>30600</w:t>
            </w:r>
          </w:p>
        </w:tc>
        <w:tc>
          <w:tcPr>
            <w:tcW w:w="1199" w:type="pct"/>
            <w:tcBorders>
              <w:left w:val="single" w:color="auto" w:sz="4" w:space="0"/>
            </w:tcBorders>
            <w:vAlign w:val="center"/>
          </w:tcPr>
          <w:p w14:paraId="0EEE7362">
            <w:pPr>
              <w:pStyle w:val="278"/>
              <w:adjustRightInd w:val="0"/>
              <w:snapToGrid w:val="0"/>
              <w:spacing w:line="300" w:lineRule="exact"/>
              <w:rPr>
                <w:rFonts w:hint="eastAsia"/>
              </w:rPr>
            </w:pPr>
            <w:r>
              <w:rPr>
                <w:rFonts w:hint="eastAsia"/>
              </w:rPr>
              <w:t>钻井期尺寸为90×340m，完井后尺寸50×220m</w:t>
            </w:r>
          </w:p>
        </w:tc>
        <w:tc>
          <w:tcPr>
            <w:tcW w:w="534" w:type="pct"/>
            <w:vMerge w:val="restart"/>
            <w:tcBorders>
              <w:left w:val="single" w:color="auto" w:sz="4" w:space="0"/>
            </w:tcBorders>
            <w:vAlign w:val="center"/>
          </w:tcPr>
          <w:p w14:paraId="6CCD3803">
            <w:pPr>
              <w:pStyle w:val="278"/>
              <w:adjustRightInd w:val="0"/>
              <w:snapToGrid w:val="0"/>
              <w:spacing w:line="300" w:lineRule="exact"/>
              <w:jc w:val="both"/>
              <w:rPr>
                <w:rFonts w:hint="eastAsia"/>
              </w:rPr>
            </w:pPr>
            <w:r>
              <w:rPr>
                <w:rFonts w:hint="eastAsia"/>
              </w:rPr>
              <w:t>公益林</w:t>
            </w:r>
          </w:p>
        </w:tc>
      </w:tr>
      <w:tr w14:paraId="7EE934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23104A3E">
            <w:pPr>
              <w:pStyle w:val="342"/>
              <w:overflowPunct w:val="0"/>
              <w:snapToGrid w:val="0"/>
              <w:spacing w:line="300" w:lineRule="exact"/>
              <w:rPr>
                <w:rFonts w:hint="eastAsia" w:hAnsi="宋体"/>
                <w:sz w:val="21"/>
                <w:szCs w:val="21"/>
              </w:rPr>
            </w:pPr>
            <w:r>
              <w:rPr>
                <w:rFonts w:hint="eastAsia" w:hAnsi="宋体"/>
                <w:sz w:val="21"/>
                <w:szCs w:val="21"/>
              </w:rPr>
              <w:t>2</w:t>
            </w:r>
          </w:p>
        </w:tc>
        <w:tc>
          <w:tcPr>
            <w:tcW w:w="864" w:type="pct"/>
            <w:vAlign w:val="center"/>
          </w:tcPr>
          <w:p w14:paraId="42FCF3B5">
            <w:pPr>
              <w:pStyle w:val="342"/>
              <w:overflowPunct w:val="0"/>
              <w:snapToGrid w:val="0"/>
              <w:spacing w:line="300" w:lineRule="exact"/>
              <w:rPr>
                <w:rFonts w:hint="eastAsia" w:hAnsi="宋体"/>
                <w:sz w:val="21"/>
                <w:szCs w:val="21"/>
              </w:rPr>
            </w:pPr>
            <w:r>
              <w:rPr>
                <w:rFonts w:hint="eastAsia" w:hAnsi="宋体"/>
                <w:sz w:val="21"/>
                <w:szCs w:val="21"/>
              </w:rPr>
              <w:t>计量拉油站</w:t>
            </w:r>
          </w:p>
        </w:tc>
        <w:tc>
          <w:tcPr>
            <w:tcW w:w="424" w:type="pct"/>
            <w:vAlign w:val="center"/>
          </w:tcPr>
          <w:p w14:paraId="7D1E2FA8">
            <w:pPr>
              <w:pStyle w:val="342"/>
              <w:overflowPunct w:val="0"/>
              <w:snapToGrid w:val="0"/>
              <w:spacing w:line="300" w:lineRule="exact"/>
              <w:rPr>
                <w:rFonts w:hint="eastAsia" w:hAnsi="宋体"/>
                <w:sz w:val="21"/>
                <w:szCs w:val="21"/>
              </w:rPr>
            </w:pPr>
            <w:r>
              <w:rPr>
                <w:rFonts w:hint="eastAsia" w:hAnsi="宋体"/>
                <w:sz w:val="21"/>
                <w:szCs w:val="21"/>
              </w:rPr>
              <w:t>1座</w:t>
            </w:r>
          </w:p>
        </w:tc>
        <w:tc>
          <w:tcPr>
            <w:tcW w:w="611" w:type="pct"/>
            <w:vAlign w:val="center"/>
          </w:tcPr>
          <w:p w14:paraId="0A17361F">
            <w:pPr>
              <w:pStyle w:val="342"/>
              <w:overflowPunct w:val="0"/>
              <w:snapToGrid w:val="0"/>
              <w:spacing w:line="300" w:lineRule="exact"/>
              <w:rPr>
                <w:rFonts w:hint="eastAsia" w:hAnsi="宋体"/>
                <w:sz w:val="21"/>
                <w:szCs w:val="21"/>
              </w:rPr>
            </w:pPr>
            <w:r>
              <w:rPr>
                <w:rFonts w:hint="eastAsia" w:hAnsi="宋体"/>
                <w:sz w:val="21"/>
                <w:szCs w:val="21"/>
              </w:rPr>
              <w:t>750</w:t>
            </w:r>
          </w:p>
        </w:tc>
        <w:tc>
          <w:tcPr>
            <w:tcW w:w="639" w:type="pct"/>
            <w:vAlign w:val="center"/>
          </w:tcPr>
          <w:p w14:paraId="378400EE">
            <w:pPr>
              <w:pStyle w:val="342"/>
              <w:overflowPunct w:val="0"/>
              <w:snapToGrid w:val="0"/>
              <w:spacing w:line="300" w:lineRule="exact"/>
              <w:rPr>
                <w:rFonts w:hint="eastAsia" w:hAnsi="宋体"/>
                <w:sz w:val="21"/>
                <w:szCs w:val="21"/>
              </w:rPr>
            </w:pPr>
            <w:r>
              <w:rPr>
                <w:rFonts w:hint="eastAsia" w:hAnsi="宋体"/>
                <w:sz w:val="21"/>
                <w:szCs w:val="21"/>
              </w:rPr>
              <w:t>0</w:t>
            </w:r>
          </w:p>
        </w:tc>
        <w:tc>
          <w:tcPr>
            <w:tcW w:w="485" w:type="pct"/>
            <w:tcBorders>
              <w:right w:val="single" w:color="auto" w:sz="4" w:space="0"/>
            </w:tcBorders>
            <w:vAlign w:val="center"/>
          </w:tcPr>
          <w:p w14:paraId="5E2470BE">
            <w:pPr>
              <w:pStyle w:val="342"/>
              <w:overflowPunct w:val="0"/>
              <w:snapToGrid w:val="0"/>
              <w:spacing w:line="300" w:lineRule="exact"/>
              <w:rPr>
                <w:rFonts w:hint="eastAsia" w:hAnsi="宋体"/>
                <w:sz w:val="21"/>
                <w:szCs w:val="21"/>
              </w:rPr>
            </w:pPr>
            <w:r>
              <w:rPr>
                <w:rFonts w:hint="eastAsia" w:hAnsi="宋体"/>
                <w:sz w:val="21"/>
                <w:szCs w:val="21"/>
              </w:rPr>
              <w:t>750</w:t>
            </w:r>
          </w:p>
        </w:tc>
        <w:tc>
          <w:tcPr>
            <w:tcW w:w="1199" w:type="pct"/>
            <w:tcBorders>
              <w:left w:val="single" w:color="auto" w:sz="4" w:space="0"/>
              <w:bottom w:val="single" w:color="auto" w:sz="4" w:space="0"/>
            </w:tcBorders>
            <w:vAlign w:val="center"/>
          </w:tcPr>
          <w:p w14:paraId="37061166">
            <w:pPr>
              <w:pStyle w:val="278"/>
              <w:adjustRightInd w:val="0"/>
              <w:snapToGrid w:val="0"/>
              <w:spacing w:line="300" w:lineRule="exact"/>
              <w:rPr>
                <w:rFonts w:hint="eastAsia"/>
              </w:rPr>
            </w:pPr>
            <w:r>
              <w:rPr>
                <w:rFonts w:hint="eastAsia"/>
              </w:rPr>
              <w:t>单座尺寸为25×30m</w:t>
            </w:r>
          </w:p>
        </w:tc>
        <w:tc>
          <w:tcPr>
            <w:tcW w:w="534" w:type="pct"/>
            <w:vMerge w:val="continue"/>
            <w:tcBorders>
              <w:left w:val="single" w:color="auto" w:sz="4" w:space="0"/>
            </w:tcBorders>
            <w:vAlign w:val="center"/>
          </w:tcPr>
          <w:p w14:paraId="7ED650DD">
            <w:pPr>
              <w:pStyle w:val="278"/>
              <w:adjustRightInd w:val="0"/>
              <w:snapToGrid w:val="0"/>
              <w:spacing w:line="300" w:lineRule="exact"/>
              <w:rPr>
                <w:rFonts w:hint="eastAsia"/>
              </w:rPr>
            </w:pPr>
          </w:p>
        </w:tc>
      </w:tr>
      <w:tr w14:paraId="537656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5383B954">
            <w:pPr>
              <w:pStyle w:val="342"/>
              <w:overflowPunct w:val="0"/>
              <w:snapToGrid w:val="0"/>
              <w:spacing w:line="300" w:lineRule="exact"/>
              <w:rPr>
                <w:rFonts w:hint="eastAsia" w:hAnsi="宋体"/>
                <w:sz w:val="21"/>
                <w:szCs w:val="21"/>
              </w:rPr>
            </w:pPr>
            <w:r>
              <w:rPr>
                <w:rFonts w:hint="eastAsia" w:hAnsi="宋体"/>
                <w:sz w:val="21"/>
                <w:szCs w:val="21"/>
              </w:rPr>
              <w:t>3</w:t>
            </w:r>
          </w:p>
        </w:tc>
        <w:tc>
          <w:tcPr>
            <w:tcW w:w="864" w:type="pct"/>
            <w:vAlign w:val="center"/>
          </w:tcPr>
          <w:p w14:paraId="7F69A5A7">
            <w:pPr>
              <w:pStyle w:val="342"/>
              <w:overflowPunct w:val="0"/>
              <w:snapToGrid w:val="0"/>
              <w:spacing w:line="300" w:lineRule="exact"/>
              <w:rPr>
                <w:rFonts w:hint="eastAsia" w:hAnsi="宋体"/>
                <w:sz w:val="21"/>
                <w:szCs w:val="21"/>
              </w:rPr>
            </w:pPr>
            <w:r>
              <w:rPr>
                <w:rFonts w:hint="eastAsia" w:hAnsi="宋体"/>
                <w:sz w:val="21"/>
                <w:szCs w:val="21"/>
              </w:rPr>
              <w:t>单井采油管线</w:t>
            </w:r>
          </w:p>
        </w:tc>
        <w:tc>
          <w:tcPr>
            <w:tcW w:w="424" w:type="pct"/>
            <w:vAlign w:val="center"/>
          </w:tcPr>
          <w:p w14:paraId="1304E537">
            <w:pPr>
              <w:pStyle w:val="342"/>
              <w:overflowPunct w:val="0"/>
              <w:snapToGrid w:val="0"/>
              <w:spacing w:line="300" w:lineRule="exact"/>
              <w:rPr>
                <w:rFonts w:hint="eastAsia" w:hAnsi="宋体"/>
                <w:sz w:val="21"/>
                <w:szCs w:val="21"/>
              </w:rPr>
            </w:pPr>
            <w:r>
              <w:rPr>
                <w:rFonts w:hint="eastAsia" w:hAnsi="宋体"/>
                <w:sz w:val="21"/>
                <w:szCs w:val="21"/>
              </w:rPr>
              <w:t>0.5km</w:t>
            </w:r>
          </w:p>
        </w:tc>
        <w:tc>
          <w:tcPr>
            <w:tcW w:w="611" w:type="pct"/>
            <w:vAlign w:val="center"/>
          </w:tcPr>
          <w:p w14:paraId="3DDA3809">
            <w:pPr>
              <w:pStyle w:val="342"/>
              <w:overflowPunct w:val="0"/>
              <w:snapToGrid w:val="0"/>
              <w:spacing w:line="300" w:lineRule="exact"/>
              <w:rPr>
                <w:rFonts w:hint="eastAsia" w:hAnsi="宋体"/>
                <w:sz w:val="21"/>
                <w:szCs w:val="21"/>
              </w:rPr>
            </w:pPr>
            <w:r>
              <w:rPr>
                <w:rFonts w:hint="eastAsia" w:hAnsi="宋体"/>
                <w:sz w:val="21"/>
                <w:szCs w:val="21"/>
              </w:rPr>
              <w:t>0</w:t>
            </w:r>
          </w:p>
        </w:tc>
        <w:tc>
          <w:tcPr>
            <w:tcW w:w="639" w:type="pct"/>
            <w:vAlign w:val="center"/>
          </w:tcPr>
          <w:p w14:paraId="77A48EED">
            <w:pPr>
              <w:pStyle w:val="342"/>
              <w:overflowPunct w:val="0"/>
              <w:snapToGrid w:val="0"/>
              <w:spacing w:line="300" w:lineRule="exact"/>
              <w:rPr>
                <w:rFonts w:hint="eastAsia" w:hAnsi="宋体"/>
                <w:sz w:val="21"/>
                <w:szCs w:val="21"/>
              </w:rPr>
            </w:pPr>
            <w:r>
              <w:rPr>
                <w:rFonts w:hint="eastAsia" w:hAnsi="宋体"/>
                <w:sz w:val="21"/>
                <w:szCs w:val="21"/>
              </w:rPr>
              <w:t>4000</w:t>
            </w:r>
          </w:p>
        </w:tc>
        <w:tc>
          <w:tcPr>
            <w:tcW w:w="485" w:type="pct"/>
            <w:tcBorders>
              <w:right w:val="single" w:color="auto" w:sz="4" w:space="0"/>
            </w:tcBorders>
            <w:vAlign w:val="center"/>
          </w:tcPr>
          <w:p w14:paraId="7F0C1C3F">
            <w:pPr>
              <w:pStyle w:val="342"/>
              <w:overflowPunct w:val="0"/>
              <w:snapToGrid w:val="0"/>
              <w:spacing w:line="300" w:lineRule="exact"/>
              <w:rPr>
                <w:rFonts w:hint="eastAsia" w:hAnsi="宋体"/>
                <w:sz w:val="21"/>
                <w:szCs w:val="21"/>
              </w:rPr>
            </w:pPr>
            <w:r>
              <w:rPr>
                <w:rFonts w:hint="eastAsia" w:hAnsi="宋体"/>
                <w:sz w:val="21"/>
                <w:szCs w:val="21"/>
              </w:rPr>
              <w:t>4000</w:t>
            </w:r>
          </w:p>
        </w:tc>
        <w:tc>
          <w:tcPr>
            <w:tcW w:w="1199" w:type="pct"/>
            <w:tcBorders>
              <w:left w:val="single" w:color="auto" w:sz="4" w:space="0"/>
            </w:tcBorders>
            <w:vAlign w:val="center"/>
          </w:tcPr>
          <w:p w14:paraId="0EA48A5C">
            <w:pPr>
              <w:pStyle w:val="278"/>
              <w:adjustRightInd w:val="0"/>
              <w:snapToGrid w:val="0"/>
              <w:spacing w:line="300" w:lineRule="exact"/>
              <w:rPr>
                <w:rFonts w:hint="eastAsia"/>
              </w:rPr>
            </w:pPr>
            <w:r>
              <w:rPr>
                <w:rFonts w:hint="eastAsia"/>
              </w:rPr>
              <w:t>施工作业带宽度8m</w:t>
            </w:r>
          </w:p>
        </w:tc>
        <w:tc>
          <w:tcPr>
            <w:tcW w:w="534" w:type="pct"/>
            <w:vMerge w:val="continue"/>
            <w:tcBorders>
              <w:left w:val="single" w:color="auto" w:sz="4" w:space="0"/>
            </w:tcBorders>
            <w:vAlign w:val="center"/>
          </w:tcPr>
          <w:p w14:paraId="595CAD6F">
            <w:pPr>
              <w:pStyle w:val="278"/>
              <w:adjustRightInd w:val="0"/>
              <w:snapToGrid w:val="0"/>
              <w:spacing w:line="300" w:lineRule="exact"/>
              <w:rPr>
                <w:rFonts w:hint="eastAsia"/>
              </w:rPr>
            </w:pPr>
          </w:p>
        </w:tc>
      </w:tr>
      <w:bookmarkEnd w:id="259"/>
      <w:tr w14:paraId="5C1A9C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7DD35C3F">
            <w:pPr>
              <w:pStyle w:val="342"/>
              <w:overflowPunct w:val="0"/>
              <w:snapToGrid w:val="0"/>
              <w:spacing w:line="300" w:lineRule="exact"/>
              <w:rPr>
                <w:rFonts w:hint="eastAsia" w:hAnsi="宋体"/>
                <w:sz w:val="21"/>
                <w:szCs w:val="21"/>
              </w:rPr>
            </w:pPr>
            <w:r>
              <w:rPr>
                <w:rFonts w:hint="eastAsia" w:hAnsi="宋体"/>
                <w:sz w:val="21"/>
                <w:szCs w:val="21"/>
              </w:rPr>
              <w:t>4</w:t>
            </w:r>
          </w:p>
        </w:tc>
        <w:tc>
          <w:tcPr>
            <w:tcW w:w="864" w:type="pct"/>
            <w:vAlign w:val="center"/>
          </w:tcPr>
          <w:p w14:paraId="3086CD6E">
            <w:pPr>
              <w:pStyle w:val="342"/>
              <w:overflowPunct w:val="0"/>
              <w:snapToGrid w:val="0"/>
              <w:spacing w:line="300" w:lineRule="exact"/>
              <w:rPr>
                <w:rFonts w:hint="eastAsia" w:hAnsi="宋体"/>
                <w:sz w:val="21"/>
                <w:szCs w:val="21"/>
              </w:rPr>
            </w:pPr>
            <w:r>
              <w:rPr>
                <w:rFonts w:hint="eastAsia" w:hAnsi="宋体"/>
                <w:sz w:val="21"/>
                <w:szCs w:val="21"/>
              </w:rPr>
              <w:t>探临道路</w:t>
            </w:r>
          </w:p>
        </w:tc>
        <w:tc>
          <w:tcPr>
            <w:tcW w:w="424" w:type="pct"/>
            <w:vAlign w:val="center"/>
          </w:tcPr>
          <w:p w14:paraId="3E83C835">
            <w:pPr>
              <w:pStyle w:val="342"/>
              <w:overflowPunct w:val="0"/>
              <w:snapToGrid w:val="0"/>
              <w:spacing w:line="300" w:lineRule="exact"/>
              <w:rPr>
                <w:rFonts w:hint="eastAsia" w:hAnsi="宋体"/>
                <w:sz w:val="21"/>
                <w:szCs w:val="21"/>
              </w:rPr>
            </w:pPr>
            <w:r>
              <w:rPr>
                <w:rFonts w:hint="eastAsia" w:hAnsi="宋体"/>
                <w:sz w:val="21"/>
                <w:szCs w:val="21"/>
              </w:rPr>
              <w:t>200m</w:t>
            </w:r>
          </w:p>
        </w:tc>
        <w:tc>
          <w:tcPr>
            <w:tcW w:w="611" w:type="pct"/>
            <w:vAlign w:val="center"/>
          </w:tcPr>
          <w:p w14:paraId="60A46B86">
            <w:pPr>
              <w:pStyle w:val="342"/>
              <w:overflowPunct w:val="0"/>
              <w:snapToGrid w:val="0"/>
              <w:spacing w:line="300" w:lineRule="exact"/>
              <w:rPr>
                <w:rFonts w:hint="eastAsia" w:hAnsi="宋体"/>
                <w:sz w:val="21"/>
                <w:szCs w:val="21"/>
              </w:rPr>
            </w:pPr>
            <w:r>
              <w:rPr>
                <w:rFonts w:hint="eastAsia" w:hAnsi="宋体"/>
                <w:sz w:val="21"/>
                <w:szCs w:val="21"/>
              </w:rPr>
              <w:t>1300</w:t>
            </w:r>
          </w:p>
        </w:tc>
        <w:tc>
          <w:tcPr>
            <w:tcW w:w="639" w:type="pct"/>
            <w:vAlign w:val="center"/>
          </w:tcPr>
          <w:p w14:paraId="1EBDDE74">
            <w:pPr>
              <w:pStyle w:val="342"/>
              <w:overflowPunct w:val="0"/>
              <w:snapToGrid w:val="0"/>
              <w:spacing w:line="300" w:lineRule="exact"/>
              <w:rPr>
                <w:rFonts w:hint="eastAsia" w:hAnsi="宋体"/>
                <w:sz w:val="21"/>
                <w:szCs w:val="21"/>
              </w:rPr>
            </w:pPr>
            <w:r>
              <w:rPr>
                <w:rFonts w:hint="eastAsia" w:hAnsi="宋体"/>
                <w:sz w:val="21"/>
                <w:szCs w:val="21"/>
              </w:rPr>
              <w:t>0</w:t>
            </w:r>
          </w:p>
        </w:tc>
        <w:tc>
          <w:tcPr>
            <w:tcW w:w="485" w:type="pct"/>
            <w:tcBorders>
              <w:right w:val="single" w:color="auto" w:sz="4" w:space="0"/>
            </w:tcBorders>
            <w:vAlign w:val="center"/>
          </w:tcPr>
          <w:p w14:paraId="750BDBC2">
            <w:pPr>
              <w:pStyle w:val="342"/>
              <w:overflowPunct w:val="0"/>
              <w:snapToGrid w:val="0"/>
              <w:spacing w:line="300" w:lineRule="exact"/>
              <w:rPr>
                <w:rFonts w:hint="eastAsia" w:hAnsi="宋体"/>
                <w:sz w:val="21"/>
                <w:szCs w:val="21"/>
              </w:rPr>
            </w:pPr>
            <w:r>
              <w:rPr>
                <w:rFonts w:hint="eastAsia" w:hAnsi="宋体"/>
                <w:sz w:val="21"/>
                <w:szCs w:val="21"/>
              </w:rPr>
              <w:t>1300</w:t>
            </w:r>
          </w:p>
        </w:tc>
        <w:tc>
          <w:tcPr>
            <w:tcW w:w="1199" w:type="pct"/>
            <w:tcBorders>
              <w:left w:val="single" w:color="auto" w:sz="4" w:space="0"/>
            </w:tcBorders>
            <w:vAlign w:val="center"/>
          </w:tcPr>
          <w:p w14:paraId="62FA9696">
            <w:pPr>
              <w:pStyle w:val="278"/>
              <w:adjustRightInd w:val="0"/>
              <w:snapToGrid w:val="0"/>
              <w:spacing w:line="300" w:lineRule="exact"/>
              <w:rPr>
                <w:rFonts w:hint="eastAsia"/>
              </w:rPr>
            </w:pPr>
            <w:r>
              <w:rPr>
                <w:rFonts w:hint="eastAsia"/>
              </w:rPr>
              <w:t>宽度为6.5m</w:t>
            </w:r>
          </w:p>
        </w:tc>
        <w:tc>
          <w:tcPr>
            <w:tcW w:w="534" w:type="pct"/>
            <w:vMerge w:val="continue"/>
            <w:tcBorders>
              <w:left w:val="single" w:color="auto" w:sz="4" w:space="0"/>
              <w:bottom w:val="single" w:color="auto" w:sz="4" w:space="0"/>
            </w:tcBorders>
            <w:vAlign w:val="center"/>
          </w:tcPr>
          <w:p w14:paraId="426FF519">
            <w:pPr>
              <w:pStyle w:val="278"/>
              <w:adjustRightInd w:val="0"/>
              <w:snapToGrid w:val="0"/>
              <w:spacing w:line="300" w:lineRule="exact"/>
              <w:rPr>
                <w:rFonts w:hint="eastAsia"/>
              </w:rPr>
            </w:pPr>
          </w:p>
        </w:tc>
      </w:tr>
      <w:tr w14:paraId="73B091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03F45FE2">
            <w:pPr>
              <w:pStyle w:val="342"/>
              <w:overflowPunct w:val="0"/>
              <w:snapToGrid w:val="0"/>
              <w:spacing w:line="300" w:lineRule="exact"/>
              <w:rPr>
                <w:rFonts w:hint="eastAsia" w:hAnsi="宋体"/>
                <w:sz w:val="21"/>
                <w:szCs w:val="21"/>
              </w:rPr>
            </w:pPr>
            <w:r>
              <w:rPr>
                <w:rFonts w:hint="eastAsia" w:hAnsi="宋体"/>
                <w:sz w:val="21"/>
                <w:szCs w:val="21"/>
              </w:rPr>
              <w:t>5</w:t>
            </w:r>
          </w:p>
        </w:tc>
        <w:tc>
          <w:tcPr>
            <w:tcW w:w="864" w:type="pct"/>
            <w:vAlign w:val="center"/>
          </w:tcPr>
          <w:p w14:paraId="510F1D58">
            <w:pPr>
              <w:pStyle w:val="342"/>
              <w:overflowPunct w:val="0"/>
              <w:snapToGrid w:val="0"/>
              <w:spacing w:line="300" w:lineRule="exact"/>
              <w:rPr>
                <w:rFonts w:hint="eastAsia" w:hAnsi="宋体"/>
                <w:sz w:val="21"/>
                <w:szCs w:val="21"/>
              </w:rPr>
            </w:pPr>
            <w:r>
              <w:rPr>
                <w:rFonts w:hint="eastAsia" w:hAnsi="宋体"/>
                <w:sz w:val="21"/>
                <w:szCs w:val="21"/>
              </w:rPr>
              <w:t>架空线路</w:t>
            </w:r>
          </w:p>
        </w:tc>
        <w:tc>
          <w:tcPr>
            <w:tcW w:w="424" w:type="pct"/>
            <w:vAlign w:val="center"/>
          </w:tcPr>
          <w:p w14:paraId="4BE5944E">
            <w:pPr>
              <w:pStyle w:val="342"/>
              <w:overflowPunct w:val="0"/>
              <w:snapToGrid w:val="0"/>
              <w:spacing w:line="300" w:lineRule="exact"/>
              <w:rPr>
                <w:rFonts w:hint="eastAsia" w:hAnsi="宋体"/>
                <w:sz w:val="21"/>
                <w:szCs w:val="21"/>
              </w:rPr>
            </w:pPr>
            <w:r>
              <w:rPr>
                <w:rFonts w:hint="eastAsia" w:hAnsi="宋体"/>
                <w:sz w:val="21"/>
                <w:szCs w:val="21"/>
              </w:rPr>
              <w:t>5km</w:t>
            </w:r>
          </w:p>
        </w:tc>
        <w:tc>
          <w:tcPr>
            <w:tcW w:w="611" w:type="pct"/>
            <w:vAlign w:val="center"/>
          </w:tcPr>
          <w:p w14:paraId="41775E49">
            <w:pPr>
              <w:pStyle w:val="342"/>
              <w:overflowPunct w:val="0"/>
              <w:snapToGrid w:val="0"/>
              <w:spacing w:line="300" w:lineRule="exact"/>
              <w:rPr>
                <w:rFonts w:hint="eastAsia" w:hAnsi="宋体"/>
                <w:sz w:val="21"/>
                <w:szCs w:val="21"/>
              </w:rPr>
            </w:pPr>
            <w:r>
              <w:rPr>
                <w:rFonts w:hint="eastAsia" w:hAnsi="宋体"/>
                <w:sz w:val="21"/>
                <w:szCs w:val="21"/>
              </w:rPr>
              <w:t>180</w:t>
            </w:r>
          </w:p>
        </w:tc>
        <w:tc>
          <w:tcPr>
            <w:tcW w:w="639" w:type="pct"/>
            <w:vAlign w:val="center"/>
          </w:tcPr>
          <w:p w14:paraId="1B68EA38">
            <w:pPr>
              <w:pStyle w:val="342"/>
              <w:overflowPunct w:val="0"/>
              <w:snapToGrid w:val="0"/>
              <w:spacing w:line="300" w:lineRule="exact"/>
              <w:rPr>
                <w:rFonts w:hint="eastAsia" w:hAnsi="宋体"/>
                <w:sz w:val="21"/>
                <w:szCs w:val="21"/>
              </w:rPr>
            </w:pPr>
            <w:r>
              <w:rPr>
                <w:rFonts w:hint="eastAsia" w:hAnsi="宋体"/>
                <w:sz w:val="21"/>
                <w:szCs w:val="21"/>
              </w:rPr>
              <w:t>15000</w:t>
            </w:r>
          </w:p>
        </w:tc>
        <w:tc>
          <w:tcPr>
            <w:tcW w:w="485" w:type="pct"/>
            <w:tcBorders>
              <w:right w:val="single" w:color="auto" w:sz="4" w:space="0"/>
            </w:tcBorders>
            <w:vAlign w:val="center"/>
          </w:tcPr>
          <w:p w14:paraId="22EE15B3">
            <w:pPr>
              <w:pStyle w:val="342"/>
              <w:overflowPunct w:val="0"/>
              <w:snapToGrid w:val="0"/>
              <w:spacing w:line="300" w:lineRule="exact"/>
              <w:rPr>
                <w:rFonts w:hint="eastAsia" w:hAnsi="宋体"/>
                <w:sz w:val="21"/>
                <w:szCs w:val="21"/>
              </w:rPr>
            </w:pPr>
            <w:r>
              <w:rPr>
                <w:rFonts w:hint="eastAsia" w:hAnsi="宋体"/>
                <w:sz w:val="21"/>
                <w:szCs w:val="21"/>
              </w:rPr>
              <w:t>15180</w:t>
            </w:r>
          </w:p>
        </w:tc>
        <w:tc>
          <w:tcPr>
            <w:tcW w:w="1199" w:type="pct"/>
            <w:tcBorders>
              <w:left w:val="single" w:color="auto" w:sz="4" w:space="0"/>
            </w:tcBorders>
            <w:vAlign w:val="center"/>
          </w:tcPr>
          <w:p w14:paraId="22C34613">
            <w:pPr>
              <w:pStyle w:val="278"/>
              <w:adjustRightInd w:val="0"/>
              <w:snapToGrid w:val="0"/>
              <w:spacing w:line="300" w:lineRule="exact"/>
              <w:rPr>
                <w:rFonts w:hint="eastAsia"/>
              </w:rPr>
            </w:pPr>
            <w:r>
              <w:rPr>
                <w:rFonts w:hint="eastAsia"/>
              </w:rPr>
              <w:t>施工作业带宽度3m</w:t>
            </w:r>
          </w:p>
        </w:tc>
        <w:tc>
          <w:tcPr>
            <w:tcW w:w="534" w:type="pct"/>
            <w:tcBorders>
              <w:top w:val="single" w:color="auto" w:sz="4" w:space="0"/>
              <w:left w:val="single" w:color="auto" w:sz="4" w:space="0"/>
            </w:tcBorders>
            <w:vAlign w:val="center"/>
          </w:tcPr>
          <w:p w14:paraId="38641CC5">
            <w:pPr>
              <w:pStyle w:val="278"/>
              <w:adjustRightInd w:val="0"/>
              <w:snapToGrid w:val="0"/>
              <w:spacing w:line="300" w:lineRule="exact"/>
              <w:rPr>
                <w:rFonts w:hint="eastAsia"/>
              </w:rPr>
            </w:pPr>
            <w:bookmarkStart w:id="261" w:name="OLE_LINK64"/>
            <w:r>
              <w:rPr>
                <w:rFonts w:hint="eastAsia"/>
              </w:rPr>
              <w:t>天然牧草地</w:t>
            </w:r>
            <w:bookmarkEnd w:id="261"/>
            <w:r>
              <w:rPr>
                <w:rFonts w:hint="eastAsia"/>
              </w:rPr>
              <w:t>和公益林</w:t>
            </w:r>
          </w:p>
        </w:tc>
      </w:tr>
      <w:tr w14:paraId="1C3E0F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57CC9BD9">
            <w:pPr>
              <w:pStyle w:val="342"/>
              <w:overflowPunct w:val="0"/>
              <w:snapToGrid w:val="0"/>
              <w:spacing w:line="300" w:lineRule="exact"/>
              <w:rPr>
                <w:rFonts w:hint="eastAsia" w:hAnsi="宋体"/>
                <w:sz w:val="21"/>
                <w:szCs w:val="21"/>
              </w:rPr>
            </w:pPr>
            <w:r>
              <w:rPr>
                <w:rFonts w:hint="eastAsia" w:hAnsi="宋体"/>
                <w:sz w:val="21"/>
                <w:szCs w:val="21"/>
              </w:rPr>
              <w:t>6</w:t>
            </w:r>
          </w:p>
        </w:tc>
        <w:tc>
          <w:tcPr>
            <w:tcW w:w="864" w:type="pct"/>
            <w:vAlign w:val="center"/>
          </w:tcPr>
          <w:p w14:paraId="5F83B490">
            <w:pPr>
              <w:pStyle w:val="342"/>
              <w:overflowPunct w:val="0"/>
              <w:snapToGrid w:val="0"/>
              <w:spacing w:line="300" w:lineRule="exact"/>
              <w:rPr>
                <w:rFonts w:hint="eastAsia" w:hAnsi="宋体"/>
                <w:sz w:val="21"/>
                <w:szCs w:val="21"/>
              </w:rPr>
            </w:pPr>
            <w:r>
              <w:rPr>
                <w:rFonts w:hint="eastAsia" w:hAnsi="宋体"/>
                <w:sz w:val="21"/>
                <w:szCs w:val="21"/>
              </w:rPr>
              <w:t>合计</w:t>
            </w:r>
          </w:p>
        </w:tc>
        <w:tc>
          <w:tcPr>
            <w:tcW w:w="424" w:type="pct"/>
            <w:vAlign w:val="center"/>
          </w:tcPr>
          <w:p w14:paraId="5AB2E542">
            <w:pPr>
              <w:pStyle w:val="342"/>
              <w:overflowPunct w:val="0"/>
              <w:snapToGrid w:val="0"/>
              <w:spacing w:line="300" w:lineRule="exact"/>
              <w:rPr>
                <w:rFonts w:hint="eastAsia" w:hAnsi="宋体"/>
                <w:sz w:val="21"/>
                <w:szCs w:val="21"/>
              </w:rPr>
            </w:pPr>
            <w:r>
              <w:rPr>
                <w:rFonts w:hint="eastAsia" w:hAnsi="宋体"/>
                <w:sz w:val="21"/>
                <w:szCs w:val="21"/>
              </w:rPr>
              <w:t>/</w:t>
            </w:r>
          </w:p>
        </w:tc>
        <w:tc>
          <w:tcPr>
            <w:tcW w:w="611" w:type="pct"/>
            <w:vAlign w:val="center"/>
          </w:tcPr>
          <w:p w14:paraId="1C11F2DD">
            <w:pPr>
              <w:pStyle w:val="342"/>
              <w:overflowPunct w:val="0"/>
              <w:snapToGrid w:val="0"/>
              <w:spacing w:line="300" w:lineRule="exact"/>
              <w:rPr>
                <w:rFonts w:hint="eastAsia" w:hAnsi="宋体"/>
                <w:sz w:val="21"/>
                <w:szCs w:val="21"/>
              </w:rPr>
            </w:pPr>
            <w:r>
              <w:rPr>
                <w:rFonts w:hint="eastAsia"/>
                <w:sz w:val="21"/>
                <w:szCs w:val="21"/>
              </w:rPr>
              <w:t>13230</w:t>
            </w:r>
          </w:p>
        </w:tc>
        <w:tc>
          <w:tcPr>
            <w:tcW w:w="639" w:type="pct"/>
            <w:vAlign w:val="center"/>
          </w:tcPr>
          <w:p w14:paraId="779ED29C">
            <w:pPr>
              <w:pStyle w:val="342"/>
              <w:overflowPunct w:val="0"/>
              <w:snapToGrid w:val="0"/>
              <w:spacing w:line="300" w:lineRule="exact"/>
              <w:rPr>
                <w:rFonts w:hint="eastAsia" w:hAnsi="宋体"/>
                <w:sz w:val="21"/>
                <w:szCs w:val="21"/>
              </w:rPr>
            </w:pPr>
            <w:r>
              <w:rPr>
                <w:rFonts w:hint="eastAsia"/>
                <w:sz w:val="21"/>
                <w:szCs w:val="21"/>
              </w:rPr>
              <w:t>38600</w:t>
            </w:r>
          </w:p>
        </w:tc>
        <w:tc>
          <w:tcPr>
            <w:tcW w:w="485" w:type="pct"/>
            <w:tcBorders>
              <w:right w:val="single" w:color="auto" w:sz="4" w:space="0"/>
            </w:tcBorders>
            <w:vAlign w:val="center"/>
          </w:tcPr>
          <w:p w14:paraId="2302B212">
            <w:pPr>
              <w:pStyle w:val="342"/>
              <w:overflowPunct w:val="0"/>
              <w:snapToGrid w:val="0"/>
              <w:spacing w:line="300" w:lineRule="exact"/>
              <w:rPr>
                <w:rFonts w:hint="eastAsia" w:hAnsi="宋体"/>
                <w:sz w:val="21"/>
                <w:szCs w:val="21"/>
              </w:rPr>
            </w:pPr>
            <w:r>
              <w:rPr>
                <w:rFonts w:hint="eastAsia"/>
                <w:sz w:val="21"/>
                <w:szCs w:val="21"/>
              </w:rPr>
              <w:t>51830</w:t>
            </w:r>
          </w:p>
        </w:tc>
        <w:tc>
          <w:tcPr>
            <w:tcW w:w="1199" w:type="pct"/>
            <w:tcBorders>
              <w:left w:val="single" w:color="auto" w:sz="4" w:space="0"/>
            </w:tcBorders>
            <w:vAlign w:val="center"/>
          </w:tcPr>
          <w:p w14:paraId="397618B5">
            <w:pPr>
              <w:pStyle w:val="278"/>
              <w:adjustRightInd w:val="0"/>
              <w:snapToGrid w:val="0"/>
              <w:spacing w:line="300" w:lineRule="exact"/>
              <w:rPr>
                <w:rFonts w:hint="eastAsia"/>
              </w:rPr>
            </w:pPr>
            <w:r>
              <w:t>/</w:t>
            </w:r>
          </w:p>
        </w:tc>
        <w:tc>
          <w:tcPr>
            <w:tcW w:w="534" w:type="pct"/>
            <w:tcBorders>
              <w:left w:val="single" w:color="auto" w:sz="4" w:space="0"/>
            </w:tcBorders>
            <w:vAlign w:val="center"/>
          </w:tcPr>
          <w:p w14:paraId="029EAC21">
            <w:pPr>
              <w:pStyle w:val="278"/>
              <w:adjustRightInd w:val="0"/>
              <w:snapToGrid w:val="0"/>
              <w:spacing w:line="300" w:lineRule="exact"/>
              <w:rPr>
                <w:rFonts w:hint="eastAsia"/>
              </w:rPr>
            </w:pPr>
            <w:r>
              <w:rPr>
                <w:rFonts w:hint="eastAsia"/>
              </w:rPr>
              <w:t>/</w:t>
            </w:r>
          </w:p>
        </w:tc>
      </w:tr>
      <w:tr w14:paraId="6D8AAB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0" w:type="pct"/>
            <w:gridSpan w:val="8"/>
            <w:vAlign w:val="center"/>
          </w:tcPr>
          <w:p w14:paraId="13DF0334">
            <w:pPr>
              <w:pStyle w:val="278"/>
              <w:adjustRightInd w:val="0"/>
              <w:snapToGrid w:val="0"/>
              <w:spacing w:line="300" w:lineRule="exact"/>
              <w:rPr>
                <w:rFonts w:hint="eastAsia"/>
              </w:rPr>
            </w:pPr>
            <w:r>
              <w:rPr>
                <w:rFonts w:hint="eastAsia"/>
              </w:rPr>
              <w:t>二期工程</w:t>
            </w:r>
          </w:p>
        </w:tc>
      </w:tr>
      <w:tr w14:paraId="576C269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4" w:type="pct"/>
            <w:vAlign w:val="center"/>
          </w:tcPr>
          <w:p w14:paraId="7BEC8226">
            <w:pPr>
              <w:pStyle w:val="342"/>
              <w:overflowPunct w:val="0"/>
              <w:snapToGrid w:val="0"/>
              <w:spacing w:line="300" w:lineRule="exact"/>
              <w:rPr>
                <w:rFonts w:hint="eastAsia" w:hAnsi="宋体"/>
                <w:sz w:val="21"/>
                <w:szCs w:val="21"/>
              </w:rPr>
            </w:pPr>
            <w:r>
              <w:rPr>
                <w:rFonts w:hint="eastAsia" w:hAnsi="宋体"/>
                <w:sz w:val="21"/>
                <w:szCs w:val="21"/>
              </w:rPr>
              <w:t>1</w:t>
            </w:r>
          </w:p>
        </w:tc>
        <w:tc>
          <w:tcPr>
            <w:tcW w:w="864" w:type="pct"/>
            <w:vAlign w:val="center"/>
          </w:tcPr>
          <w:p w14:paraId="3B49E710">
            <w:pPr>
              <w:pStyle w:val="342"/>
              <w:overflowPunct w:val="0"/>
              <w:snapToGrid w:val="0"/>
              <w:spacing w:line="300" w:lineRule="exact"/>
              <w:rPr>
                <w:rFonts w:hint="eastAsia" w:hAnsi="宋体"/>
                <w:sz w:val="21"/>
                <w:szCs w:val="21"/>
              </w:rPr>
            </w:pPr>
            <w:r>
              <w:rPr>
                <w:rFonts w:hint="eastAsia" w:hAnsi="宋体"/>
                <w:sz w:val="21"/>
                <w:szCs w:val="21"/>
              </w:rPr>
              <w:t>集油干线</w:t>
            </w:r>
          </w:p>
        </w:tc>
        <w:tc>
          <w:tcPr>
            <w:tcW w:w="424" w:type="pct"/>
            <w:vAlign w:val="center"/>
          </w:tcPr>
          <w:p w14:paraId="1D322303">
            <w:pPr>
              <w:pStyle w:val="342"/>
              <w:overflowPunct w:val="0"/>
              <w:snapToGrid w:val="0"/>
              <w:spacing w:line="300" w:lineRule="exact"/>
              <w:rPr>
                <w:rFonts w:hint="eastAsia" w:hAnsi="宋体"/>
                <w:sz w:val="21"/>
                <w:szCs w:val="21"/>
              </w:rPr>
            </w:pPr>
            <w:r>
              <w:rPr>
                <w:rFonts w:hint="eastAsia" w:hAnsi="宋体"/>
                <w:sz w:val="21"/>
                <w:szCs w:val="21"/>
              </w:rPr>
              <w:t>6km</w:t>
            </w:r>
          </w:p>
        </w:tc>
        <w:tc>
          <w:tcPr>
            <w:tcW w:w="611" w:type="pct"/>
            <w:vAlign w:val="center"/>
          </w:tcPr>
          <w:p w14:paraId="2775E788">
            <w:pPr>
              <w:pStyle w:val="342"/>
              <w:overflowPunct w:val="0"/>
              <w:snapToGrid w:val="0"/>
              <w:spacing w:line="300" w:lineRule="exact"/>
              <w:rPr>
                <w:sz w:val="21"/>
                <w:szCs w:val="21"/>
              </w:rPr>
            </w:pPr>
            <w:r>
              <w:rPr>
                <w:rFonts w:hint="eastAsia" w:hAnsi="宋体"/>
                <w:sz w:val="21"/>
                <w:szCs w:val="21"/>
              </w:rPr>
              <w:t>0</w:t>
            </w:r>
          </w:p>
        </w:tc>
        <w:tc>
          <w:tcPr>
            <w:tcW w:w="639" w:type="pct"/>
            <w:vAlign w:val="center"/>
          </w:tcPr>
          <w:p w14:paraId="71402425">
            <w:pPr>
              <w:pStyle w:val="342"/>
              <w:overflowPunct w:val="0"/>
              <w:snapToGrid w:val="0"/>
              <w:spacing w:line="300" w:lineRule="exact"/>
              <w:rPr>
                <w:rFonts w:hint="eastAsia" w:hAnsi="宋体"/>
                <w:sz w:val="21"/>
                <w:szCs w:val="21"/>
              </w:rPr>
            </w:pPr>
            <w:bookmarkStart w:id="262" w:name="OLE_LINK60"/>
            <w:r>
              <w:rPr>
                <w:rFonts w:hint="eastAsia" w:hAnsi="宋体"/>
                <w:sz w:val="21"/>
                <w:szCs w:val="21"/>
              </w:rPr>
              <w:t>72000</w:t>
            </w:r>
            <w:bookmarkEnd w:id="262"/>
          </w:p>
        </w:tc>
        <w:tc>
          <w:tcPr>
            <w:tcW w:w="485" w:type="pct"/>
            <w:tcBorders>
              <w:right w:val="single" w:color="auto" w:sz="4" w:space="0"/>
            </w:tcBorders>
            <w:vAlign w:val="center"/>
          </w:tcPr>
          <w:p w14:paraId="44B7942E">
            <w:pPr>
              <w:pStyle w:val="342"/>
              <w:overflowPunct w:val="0"/>
              <w:snapToGrid w:val="0"/>
              <w:spacing w:line="300" w:lineRule="exact"/>
              <w:rPr>
                <w:rFonts w:hint="eastAsia" w:hAnsi="宋体"/>
                <w:sz w:val="21"/>
                <w:szCs w:val="21"/>
              </w:rPr>
            </w:pPr>
            <w:r>
              <w:rPr>
                <w:rFonts w:hAnsi="宋体"/>
                <w:sz w:val="21"/>
                <w:szCs w:val="21"/>
              </w:rPr>
              <w:t>72000</w:t>
            </w:r>
          </w:p>
        </w:tc>
        <w:tc>
          <w:tcPr>
            <w:tcW w:w="1199" w:type="pct"/>
            <w:tcBorders>
              <w:left w:val="single" w:color="auto" w:sz="4" w:space="0"/>
            </w:tcBorders>
            <w:vAlign w:val="center"/>
          </w:tcPr>
          <w:p w14:paraId="51BC828D">
            <w:pPr>
              <w:pStyle w:val="278"/>
              <w:adjustRightInd w:val="0"/>
              <w:snapToGrid w:val="0"/>
              <w:spacing w:line="300" w:lineRule="exact"/>
              <w:rPr>
                <w:rFonts w:hint="eastAsia" w:cs="宋体"/>
              </w:rPr>
            </w:pPr>
            <w:r>
              <w:rPr>
                <w:rFonts w:hint="eastAsia" w:cs="宋体"/>
              </w:rPr>
              <w:t>施工作业带宽度12</w:t>
            </w:r>
            <w:r>
              <w:rPr>
                <w:rFonts w:cs="宋体"/>
              </w:rPr>
              <w:t>m</w:t>
            </w:r>
          </w:p>
        </w:tc>
        <w:tc>
          <w:tcPr>
            <w:tcW w:w="534" w:type="pct"/>
            <w:tcBorders>
              <w:left w:val="single" w:color="auto" w:sz="4" w:space="0"/>
            </w:tcBorders>
            <w:vAlign w:val="center"/>
          </w:tcPr>
          <w:p w14:paraId="47E92CE5">
            <w:pPr>
              <w:pStyle w:val="278"/>
              <w:adjustRightInd w:val="0"/>
              <w:snapToGrid w:val="0"/>
              <w:spacing w:line="300" w:lineRule="exact"/>
              <w:rPr>
                <w:rFonts w:hint="eastAsia"/>
              </w:rPr>
            </w:pPr>
            <w:r>
              <w:rPr>
                <w:rFonts w:hint="eastAsia"/>
              </w:rPr>
              <w:t>天然牧草地和公益林</w:t>
            </w:r>
          </w:p>
        </w:tc>
      </w:tr>
      <w:bookmarkEnd w:id="248"/>
      <w:bookmarkEnd w:id="250"/>
      <w:bookmarkEnd w:id="251"/>
      <w:bookmarkEnd w:id="258"/>
    </w:tbl>
    <w:p w14:paraId="48685BF2">
      <w:pPr>
        <w:pStyle w:val="117"/>
        <w:ind w:firstLine="480"/>
        <w:rPr>
          <w:rFonts w:hint="eastAsia"/>
        </w:rPr>
      </w:pPr>
      <w:r>
        <w:rPr>
          <w:rFonts w:hint="eastAsia"/>
        </w:rPr>
        <w:t>※土石方平衡</w:t>
      </w:r>
    </w:p>
    <w:p w14:paraId="115C4F0E">
      <w:pPr>
        <w:pStyle w:val="117"/>
        <w:ind w:firstLine="480"/>
        <w:rPr>
          <w:rFonts w:hint="eastAsia"/>
        </w:rPr>
      </w:pPr>
      <w:r>
        <w:rPr>
          <w:rFonts w:hint="eastAsia"/>
        </w:rPr>
        <w:t>土石方主要产生于单井采油管线、集油干支线建设过程中，土石方全部回填，无弃方产生。具体土石方平衡见表3.3-4。</w:t>
      </w:r>
    </w:p>
    <w:p w14:paraId="23E2DDB6">
      <w:pPr>
        <w:pStyle w:val="15"/>
        <w:rPr>
          <w:rFonts w:hint="eastAsia"/>
        </w:rPr>
      </w:pPr>
      <w:r>
        <w:rPr>
          <w:rFonts w:hint="eastAsia"/>
        </w:rPr>
        <w:t>表3.3-4  土石方平衡一览表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793"/>
        <w:gridCol w:w="660"/>
        <w:gridCol w:w="1017"/>
        <w:gridCol w:w="1163"/>
        <w:gridCol w:w="1161"/>
        <w:gridCol w:w="2358"/>
        <w:gridCol w:w="926"/>
        <w:gridCol w:w="868"/>
      </w:tblGrid>
      <w:tr w14:paraId="7D8AF0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43" w:type="pct"/>
            <w:vAlign w:val="center"/>
          </w:tcPr>
          <w:p w14:paraId="21FBE45D">
            <w:pPr>
              <w:pStyle w:val="19"/>
              <w:overflowPunct w:val="0"/>
              <w:adjustRightInd w:val="0"/>
              <w:snapToGrid w:val="0"/>
              <w:spacing w:after="0" w:line="300" w:lineRule="exact"/>
              <w:jc w:val="center"/>
              <w:rPr>
                <w:rFonts w:hint="eastAsia" w:hAnsi="宋体"/>
                <w:szCs w:val="21"/>
              </w:rPr>
            </w:pPr>
            <w:r>
              <w:rPr>
                <w:rFonts w:hint="eastAsia" w:hAnsi="宋体"/>
                <w:szCs w:val="21"/>
              </w:rPr>
              <w:t>阶段</w:t>
            </w:r>
          </w:p>
        </w:tc>
        <w:tc>
          <w:tcPr>
            <w:tcW w:w="369" w:type="pct"/>
            <w:vAlign w:val="center"/>
          </w:tcPr>
          <w:p w14:paraId="68EF60CB">
            <w:pPr>
              <w:pStyle w:val="19"/>
              <w:overflowPunct w:val="0"/>
              <w:adjustRightInd w:val="0"/>
              <w:snapToGrid w:val="0"/>
              <w:spacing w:after="0" w:line="300" w:lineRule="exact"/>
              <w:jc w:val="center"/>
              <w:rPr>
                <w:rFonts w:hint="eastAsia" w:ascii="宋体" w:hAnsi="宋体" w:cs="宋体"/>
                <w:b/>
                <w:szCs w:val="21"/>
              </w:rPr>
            </w:pPr>
            <w:r>
              <w:rPr>
                <w:rFonts w:hint="eastAsia" w:hAnsi="宋体"/>
                <w:szCs w:val="21"/>
              </w:rPr>
              <w:t>序号</w:t>
            </w:r>
          </w:p>
        </w:tc>
        <w:tc>
          <w:tcPr>
            <w:tcW w:w="568" w:type="pct"/>
            <w:vAlign w:val="center"/>
          </w:tcPr>
          <w:p w14:paraId="4261474E">
            <w:pPr>
              <w:pStyle w:val="19"/>
              <w:overflowPunct w:val="0"/>
              <w:adjustRightInd w:val="0"/>
              <w:snapToGrid w:val="0"/>
              <w:spacing w:after="0" w:line="300" w:lineRule="exact"/>
              <w:jc w:val="center"/>
              <w:rPr>
                <w:rFonts w:hint="eastAsia" w:ascii="宋体" w:hAnsi="宋体" w:cs="宋体"/>
                <w:b/>
                <w:szCs w:val="21"/>
              </w:rPr>
            </w:pPr>
            <w:r>
              <w:rPr>
                <w:rFonts w:hint="eastAsia" w:hAnsi="宋体"/>
                <w:szCs w:val="21"/>
              </w:rPr>
              <w:t>建设内容</w:t>
            </w:r>
          </w:p>
        </w:tc>
        <w:tc>
          <w:tcPr>
            <w:tcW w:w="650" w:type="pct"/>
            <w:vAlign w:val="center"/>
          </w:tcPr>
          <w:p w14:paraId="28F942F8">
            <w:pPr>
              <w:pStyle w:val="342"/>
              <w:overflowPunct w:val="0"/>
              <w:snapToGrid w:val="0"/>
              <w:spacing w:line="300" w:lineRule="exact"/>
              <w:rPr>
                <w:rFonts w:hint="eastAsia" w:hAnsi="宋体"/>
                <w:sz w:val="21"/>
                <w:szCs w:val="21"/>
              </w:rPr>
            </w:pPr>
            <w:r>
              <w:rPr>
                <w:rFonts w:hint="eastAsia" w:hAnsi="宋体"/>
                <w:sz w:val="21"/>
                <w:szCs w:val="21"/>
              </w:rPr>
              <w:t>数量</w:t>
            </w:r>
          </w:p>
        </w:tc>
        <w:tc>
          <w:tcPr>
            <w:tcW w:w="649" w:type="pct"/>
            <w:vAlign w:val="center"/>
          </w:tcPr>
          <w:p w14:paraId="3C46E6D5">
            <w:pPr>
              <w:pStyle w:val="342"/>
              <w:overflowPunct w:val="0"/>
              <w:snapToGrid w:val="0"/>
              <w:spacing w:line="300" w:lineRule="exact"/>
              <w:rPr>
                <w:rFonts w:hint="eastAsia" w:hAnsi="宋体"/>
                <w:sz w:val="21"/>
                <w:szCs w:val="21"/>
              </w:rPr>
            </w:pPr>
            <w:r>
              <w:rPr>
                <w:rFonts w:hint="eastAsia" w:hAnsi="宋体"/>
                <w:sz w:val="21"/>
                <w:szCs w:val="21"/>
              </w:rPr>
              <w:t>埋深</w:t>
            </w:r>
          </w:p>
        </w:tc>
        <w:tc>
          <w:tcPr>
            <w:tcW w:w="1318" w:type="pct"/>
            <w:vAlign w:val="center"/>
          </w:tcPr>
          <w:p w14:paraId="12590AFD">
            <w:pPr>
              <w:pStyle w:val="342"/>
              <w:overflowPunct w:val="0"/>
              <w:snapToGrid w:val="0"/>
              <w:spacing w:line="300" w:lineRule="exact"/>
              <w:rPr>
                <w:rFonts w:hint="eastAsia" w:hAnsi="宋体"/>
                <w:sz w:val="21"/>
                <w:szCs w:val="21"/>
              </w:rPr>
            </w:pPr>
            <w:r>
              <w:rPr>
                <w:rFonts w:hint="eastAsia" w:hAnsi="宋体"/>
                <w:sz w:val="21"/>
                <w:szCs w:val="21"/>
              </w:rPr>
              <w:t>管线施工方案</w:t>
            </w:r>
          </w:p>
        </w:tc>
        <w:tc>
          <w:tcPr>
            <w:tcW w:w="518" w:type="pct"/>
            <w:vAlign w:val="center"/>
          </w:tcPr>
          <w:p w14:paraId="73C37102">
            <w:pPr>
              <w:pStyle w:val="342"/>
              <w:overflowPunct w:val="0"/>
              <w:snapToGrid w:val="0"/>
              <w:spacing w:line="300" w:lineRule="exact"/>
              <w:rPr>
                <w:rFonts w:hint="eastAsia" w:hAnsi="宋体"/>
                <w:sz w:val="21"/>
                <w:szCs w:val="21"/>
              </w:rPr>
            </w:pPr>
            <w:r>
              <w:rPr>
                <w:rFonts w:hint="eastAsia" w:hAnsi="宋体"/>
                <w:sz w:val="21"/>
                <w:szCs w:val="21"/>
              </w:rPr>
              <w:t>挖方量（m</w:t>
            </w:r>
            <w:r>
              <w:rPr>
                <w:rFonts w:hint="eastAsia" w:hAnsi="宋体"/>
                <w:sz w:val="21"/>
                <w:szCs w:val="21"/>
                <w:vertAlign w:val="superscript"/>
              </w:rPr>
              <w:t>3</w:t>
            </w:r>
            <w:r>
              <w:rPr>
                <w:rFonts w:hint="eastAsia" w:hAnsi="宋体"/>
                <w:sz w:val="21"/>
                <w:szCs w:val="21"/>
              </w:rPr>
              <w:t>）</w:t>
            </w:r>
          </w:p>
        </w:tc>
        <w:tc>
          <w:tcPr>
            <w:tcW w:w="485" w:type="pct"/>
            <w:vAlign w:val="center"/>
          </w:tcPr>
          <w:p w14:paraId="2BD35F40">
            <w:pPr>
              <w:pStyle w:val="342"/>
              <w:overflowPunct w:val="0"/>
              <w:snapToGrid w:val="0"/>
              <w:spacing w:line="300" w:lineRule="exact"/>
              <w:rPr>
                <w:rFonts w:hint="eastAsia" w:hAnsi="宋体"/>
                <w:sz w:val="21"/>
                <w:szCs w:val="21"/>
              </w:rPr>
            </w:pPr>
            <w:r>
              <w:rPr>
                <w:rFonts w:hint="eastAsia" w:hAnsi="宋体"/>
                <w:sz w:val="21"/>
                <w:szCs w:val="21"/>
              </w:rPr>
              <w:t>填方量（m</w:t>
            </w:r>
            <w:r>
              <w:rPr>
                <w:rFonts w:hint="eastAsia" w:hAnsi="宋体"/>
                <w:sz w:val="21"/>
                <w:szCs w:val="21"/>
                <w:vertAlign w:val="superscript"/>
              </w:rPr>
              <w:t>3</w:t>
            </w:r>
            <w:r>
              <w:rPr>
                <w:rFonts w:hint="eastAsia" w:hAnsi="宋体"/>
                <w:sz w:val="21"/>
                <w:szCs w:val="21"/>
              </w:rPr>
              <w:t>）</w:t>
            </w:r>
          </w:p>
        </w:tc>
      </w:tr>
      <w:tr w14:paraId="5BCE2D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43" w:type="pct"/>
            <w:vAlign w:val="center"/>
          </w:tcPr>
          <w:p w14:paraId="2E882F0B">
            <w:pPr>
              <w:pStyle w:val="342"/>
              <w:overflowPunct w:val="0"/>
              <w:snapToGrid w:val="0"/>
              <w:spacing w:line="300" w:lineRule="exact"/>
              <w:rPr>
                <w:rFonts w:hint="eastAsia" w:hAnsi="宋体"/>
                <w:sz w:val="21"/>
                <w:szCs w:val="21"/>
              </w:rPr>
            </w:pPr>
            <w:r>
              <w:rPr>
                <w:rFonts w:hint="eastAsia" w:hAnsi="宋体"/>
                <w:sz w:val="21"/>
                <w:szCs w:val="21"/>
              </w:rPr>
              <w:t>一期</w:t>
            </w:r>
          </w:p>
        </w:tc>
        <w:tc>
          <w:tcPr>
            <w:tcW w:w="369" w:type="pct"/>
            <w:vAlign w:val="center"/>
          </w:tcPr>
          <w:p w14:paraId="563722C6">
            <w:pPr>
              <w:pStyle w:val="342"/>
              <w:overflowPunct w:val="0"/>
              <w:snapToGrid w:val="0"/>
              <w:spacing w:line="300" w:lineRule="exact"/>
              <w:rPr>
                <w:rFonts w:hint="eastAsia" w:hAnsi="宋体"/>
                <w:sz w:val="21"/>
                <w:szCs w:val="21"/>
              </w:rPr>
            </w:pPr>
            <w:r>
              <w:rPr>
                <w:rFonts w:hint="eastAsia" w:hAnsi="宋体"/>
                <w:sz w:val="21"/>
                <w:szCs w:val="21"/>
              </w:rPr>
              <w:t>1</w:t>
            </w:r>
          </w:p>
        </w:tc>
        <w:tc>
          <w:tcPr>
            <w:tcW w:w="568" w:type="pct"/>
            <w:vAlign w:val="center"/>
          </w:tcPr>
          <w:p w14:paraId="1C3DEC5C">
            <w:pPr>
              <w:pStyle w:val="342"/>
              <w:overflowPunct w:val="0"/>
              <w:snapToGrid w:val="0"/>
              <w:spacing w:line="300" w:lineRule="exact"/>
              <w:rPr>
                <w:rFonts w:hint="eastAsia" w:hAnsi="宋体"/>
                <w:sz w:val="21"/>
                <w:szCs w:val="21"/>
              </w:rPr>
            </w:pPr>
            <w:r>
              <w:rPr>
                <w:rFonts w:hint="eastAsia" w:hAnsi="宋体"/>
                <w:sz w:val="21"/>
                <w:szCs w:val="21"/>
              </w:rPr>
              <w:t>单井采油管线</w:t>
            </w:r>
          </w:p>
        </w:tc>
        <w:tc>
          <w:tcPr>
            <w:tcW w:w="650" w:type="pct"/>
            <w:vAlign w:val="center"/>
          </w:tcPr>
          <w:p w14:paraId="0EA14484">
            <w:pPr>
              <w:pStyle w:val="342"/>
              <w:overflowPunct w:val="0"/>
              <w:snapToGrid w:val="0"/>
              <w:spacing w:line="300" w:lineRule="exact"/>
              <w:rPr>
                <w:rFonts w:hint="eastAsia" w:hAnsi="宋体"/>
                <w:sz w:val="21"/>
                <w:szCs w:val="21"/>
              </w:rPr>
            </w:pPr>
            <w:r>
              <w:rPr>
                <w:rFonts w:hint="eastAsia" w:hAnsi="宋体"/>
                <w:sz w:val="21"/>
                <w:szCs w:val="21"/>
              </w:rPr>
              <w:t>0.5km</w:t>
            </w:r>
          </w:p>
        </w:tc>
        <w:tc>
          <w:tcPr>
            <w:tcW w:w="649" w:type="pct"/>
            <w:vAlign w:val="center"/>
          </w:tcPr>
          <w:p w14:paraId="645A50A0">
            <w:pPr>
              <w:pStyle w:val="342"/>
              <w:overflowPunct w:val="0"/>
              <w:snapToGrid w:val="0"/>
              <w:spacing w:line="300" w:lineRule="exact"/>
              <w:rPr>
                <w:rFonts w:hint="eastAsia" w:hAnsi="宋体"/>
                <w:sz w:val="21"/>
                <w:szCs w:val="21"/>
              </w:rPr>
            </w:pPr>
            <w:r>
              <w:rPr>
                <w:rFonts w:hint="eastAsia" w:hAnsi="宋体"/>
                <w:sz w:val="21"/>
                <w:szCs w:val="21"/>
              </w:rPr>
              <w:t>-1.7m</w:t>
            </w:r>
          </w:p>
        </w:tc>
        <w:tc>
          <w:tcPr>
            <w:tcW w:w="1318" w:type="pct"/>
            <w:vAlign w:val="center"/>
          </w:tcPr>
          <w:p w14:paraId="192BD53E">
            <w:pPr>
              <w:pStyle w:val="342"/>
              <w:overflowPunct w:val="0"/>
              <w:snapToGrid w:val="0"/>
              <w:spacing w:line="300" w:lineRule="exact"/>
              <w:rPr>
                <w:rFonts w:hint="eastAsia" w:hAnsi="宋体"/>
                <w:sz w:val="21"/>
                <w:szCs w:val="21"/>
              </w:rPr>
            </w:pPr>
            <w:r>
              <w:rPr>
                <w:rFonts w:hint="eastAsia" w:hAnsi="宋体"/>
                <w:sz w:val="21"/>
                <w:szCs w:val="21"/>
              </w:rPr>
              <w:t>沟底开挖宽度0.9m，坡比1:0.33</w:t>
            </w:r>
          </w:p>
        </w:tc>
        <w:tc>
          <w:tcPr>
            <w:tcW w:w="518" w:type="pct"/>
            <w:vAlign w:val="center"/>
          </w:tcPr>
          <w:p w14:paraId="1C49FCB9">
            <w:pPr>
              <w:pStyle w:val="342"/>
              <w:overflowPunct w:val="0"/>
              <w:snapToGrid w:val="0"/>
              <w:spacing w:line="300" w:lineRule="exact"/>
              <w:rPr>
                <w:rFonts w:hint="eastAsia" w:hAnsi="宋体"/>
                <w:sz w:val="21"/>
                <w:szCs w:val="21"/>
              </w:rPr>
            </w:pPr>
            <w:r>
              <w:rPr>
                <w:rFonts w:hint="eastAsia" w:hAnsi="宋体"/>
                <w:sz w:val="21"/>
                <w:szCs w:val="21"/>
              </w:rPr>
              <w:t>1242</w:t>
            </w:r>
          </w:p>
        </w:tc>
        <w:tc>
          <w:tcPr>
            <w:tcW w:w="485" w:type="pct"/>
            <w:vAlign w:val="center"/>
          </w:tcPr>
          <w:p w14:paraId="5D70FF6D">
            <w:pPr>
              <w:pStyle w:val="342"/>
              <w:overflowPunct w:val="0"/>
              <w:snapToGrid w:val="0"/>
              <w:spacing w:line="300" w:lineRule="exact"/>
              <w:rPr>
                <w:rFonts w:hint="eastAsia" w:hAnsi="宋体"/>
                <w:sz w:val="21"/>
                <w:szCs w:val="21"/>
              </w:rPr>
            </w:pPr>
            <w:r>
              <w:rPr>
                <w:rFonts w:hint="eastAsia" w:hAnsi="宋体"/>
                <w:sz w:val="21"/>
                <w:szCs w:val="21"/>
              </w:rPr>
              <w:t>1242</w:t>
            </w:r>
          </w:p>
        </w:tc>
      </w:tr>
      <w:tr w14:paraId="36A50C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43" w:type="pct"/>
            <w:vAlign w:val="center"/>
          </w:tcPr>
          <w:p w14:paraId="38B4A6E4">
            <w:pPr>
              <w:pStyle w:val="342"/>
              <w:overflowPunct w:val="0"/>
              <w:snapToGrid w:val="0"/>
              <w:spacing w:line="300" w:lineRule="exact"/>
              <w:rPr>
                <w:rFonts w:hint="eastAsia" w:hAnsi="宋体"/>
                <w:sz w:val="21"/>
                <w:szCs w:val="21"/>
              </w:rPr>
            </w:pPr>
            <w:r>
              <w:rPr>
                <w:rFonts w:hint="eastAsia" w:hAnsi="宋体"/>
                <w:sz w:val="21"/>
                <w:szCs w:val="21"/>
              </w:rPr>
              <w:t>二期</w:t>
            </w:r>
          </w:p>
        </w:tc>
        <w:tc>
          <w:tcPr>
            <w:tcW w:w="369" w:type="pct"/>
            <w:vAlign w:val="center"/>
          </w:tcPr>
          <w:p w14:paraId="0FA82484">
            <w:pPr>
              <w:pStyle w:val="342"/>
              <w:overflowPunct w:val="0"/>
              <w:snapToGrid w:val="0"/>
              <w:spacing w:line="300" w:lineRule="exact"/>
              <w:rPr>
                <w:rFonts w:hint="eastAsia" w:hAnsi="宋体"/>
                <w:sz w:val="21"/>
                <w:szCs w:val="21"/>
              </w:rPr>
            </w:pPr>
            <w:r>
              <w:rPr>
                <w:rFonts w:hAnsi="宋体"/>
                <w:sz w:val="21"/>
                <w:szCs w:val="21"/>
              </w:rPr>
              <w:t>2</w:t>
            </w:r>
          </w:p>
        </w:tc>
        <w:tc>
          <w:tcPr>
            <w:tcW w:w="568" w:type="pct"/>
            <w:vAlign w:val="center"/>
          </w:tcPr>
          <w:p w14:paraId="408D9785">
            <w:pPr>
              <w:pStyle w:val="342"/>
              <w:overflowPunct w:val="0"/>
              <w:snapToGrid w:val="0"/>
              <w:spacing w:line="300" w:lineRule="exact"/>
              <w:rPr>
                <w:rFonts w:hint="eastAsia" w:hAnsi="宋体"/>
                <w:sz w:val="21"/>
                <w:szCs w:val="21"/>
              </w:rPr>
            </w:pPr>
            <w:r>
              <w:rPr>
                <w:rFonts w:hint="eastAsia" w:hAnsi="宋体"/>
                <w:sz w:val="21"/>
                <w:szCs w:val="21"/>
              </w:rPr>
              <w:t>集油干支线</w:t>
            </w:r>
          </w:p>
        </w:tc>
        <w:tc>
          <w:tcPr>
            <w:tcW w:w="650" w:type="pct"/>
            <w:vAlign w:val="center"/>
          </w:tcPr>
          <w:p w14:paraId="12FAB2AB">
            <w:pPr>
              <w:pStyle w:val="342"/>
              <w:overflowPunct w:val="0"/>
              <w:snapToGrid w:val="0"/>
              <w:spacing w:line="300" w:lineRule="exact"/>
              <w:rPr>
                <w:rFonts w:hint="eastAsia" w:hAnsi="宋体"/>
                <w:sz w:val="21"/>
                <w:szCs w:val="21"/>
              </w:rPr>
            </w:pPr>
            <w:r>
              <w:rPr>
                <w:rFonts w:hint="eastAsia" w:hAnsi="宋体"/>
                <w:sz w:val="21"/>
                <w:szCs w:val="21"/>
              </w:rPr>
              <w:t>6km</w:t>
            </w:r>
          </w:p>
        </w:tc>
        <w:tc>
          <w:tcPr>
            <w:tcW w:w="649" w:type="pct"/>
            <w:vAlign w:val="center"/>
          </w:tcPr>
          <w:p w14:paraId="1A022832">
            <w:pPr>
              <w:pStyle w:val="342"/>
              <w:overflowPunct w:val="0"/>
              <w:snapToGrid w:val="0"/>
              <w:spacing w:line="300" w:lineRule="exact"/>
              <w:rPr>
                <w:rFonts w:hint="eastAsia" w:hAnsi="宋体"/>
                <w:sz w:val="21"/>
                <w:szCs w:val="21"/>
              </w:rPr>
            </w:pPr>
            <w:r>
              <w:rPr>
                <w:rFonts w:hint="eastAsia" w:hAnsi="宋体"/>
                <w:sz w:val="21"/>
                <w:szCs w:val="21"/>
              </w:rPr>
              <w:t>-1.9m</w:t>
            </w:r>
          </w:p>
        </w:tc>
        <w:tc>
          <w:tcPr>
            <w:tcW w:w="1318" w:type="pct"/>
            <w:vAlign w:val="center"/>
          </w:tcPr>
          <w:p w14:paraId="44FE1FE8">
            <w:pPr>
              <w:pStyle w:val="342"/>
              <w:overflowPunct w:val="0"/>
              <w:snapToGrid w:val="0"/>
              <w:spacing w:line="300" w:lineRule="exact"/>
              <w:rPr>
                <w:rFonts w:hint="eastAsia" w:hAnsi="宋体"/>
                <w:sz w:val="21"/>
                <w:szCs w:val="21"/>
              </w:rPr>
            </w:pPr>
            <w:r>
              <w:rPr>
                <w:rFonts w:hint="eastAsia" w:hAnsi="宋体"/>
                <w:sz w:val="21"/>
                <w:szCs w:val="21"/>
              </w:rPr>
              <w:t>沟底开挖宽度1m，坡比1:0.33</w:t>
            </w:r>
          </w:p>
        </w:tc>
        <w:tc>
          <w:tcPr>
            <w:tcW w:w="518" w:type="pct"/>
            <w:vAlign w:val="center"/>
          </w:tcPr>
          <w:p w14:paraId="55733B6F">
            <w:pPr>
              <w:pStyle w:val="342"/>
              <w:overflowPunct w:val="0"/>
              <w:snapToGrid w:val="0"/>
              <w:spacing w:line="300" w:lineRule="exact"/>
              <w:rPr>
                <w:rFonts w:hint="eastAsia" w:hAnsi="宋体"/>
                <w:sz w:val="21"/>
                <w:szCs w:val="21"/>
              </w:rPr>
            </w:pPr>
            <w:r>
              <w:rPr>
                <w:rFonts w:hint="eastAsia" w:hAnsi="宋体"/>
                <w:sz w:val="21"/>
                <w:szCs w:val="21"/>
              </w:rPr>
              <w:t>18548</w:t>
            </w:r>
          </w:p>
        </w:tc>
        <w:tc>
          <w:tcPr>
            <w:tcW w:w="485" w:type="pct"/>
            <w:vAlign w:val="center"/>
          </w:tcPr>
          <w:p w14:paraId="40BC0144">
            <w:pPr>
              <w:pStyle w:val="342"/>
              <w:overflowPunct w:val="0"/>
              <w:snapToGrid w:val="0"/>
              <w:spacing w:line="300" w:lineRule="exact"/>
              <w:rPr>
                <w:rFonts w:hint="eastAsia" w:hAnsi="宋体"/>
                <w:sz w:val="21"/>
                <w:szCs w:val="21"/>
              </w:rPr>
            </w:pPr>
            <w:r>
              <w:rPr>
                <w:rFonts w:hint="eastAsia" w:hAnsi="宋体"/>
                <w:sz w:val="21"/>
                <w:szCs w:val="21"/>
              </w:rPr>
              <w:t>18548</w:t>
            </w:r>
          </w:p>
        </w:tc>
      </w:tr>
      <w:tr w14:paraId="17195A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43" w:type="pct"/>
            <w:vAlign w:val="center"/>
          </w:tcPr>
          <w:p w14:paraId="351491D6">
            <w:pPr>
              <w:pStyle w:val="342"/>
              <w:overflowPunct w:val="0"/>
              <w:snapToGrid w:val="0"/>
              <w:spacing w:line="300" w:lineRule="exact"/>
              <w:rPr>
                <w:rFonts w:hint="eastAsia" w:hAnsi="宋体"/>
                <w:sz w:val="21"/>
                <w:szCs w:val="21"/>
              </w:rPr>
            </w:pPr>
            <w:r>
              <w:rPr>
                <w:rFonts w:hint="eastAsia" w:hAnsi="宋体"/>
                <w:sz w:val="21"/>
                <w:szCs w:val="21"/>
              </w:rPr>
              <w:t>/</w:t>
            </w:r>
          </w:p>
        </w:tc>
        <w:tc>
          <w:tcPr>
            <w:tcW w:w="369" w:type="pct"/>
            <w:vAlign w:val="center"/>
          </w:tcPr>
          <w:p w14:paraId="74DACEA5">
            <w:pPr>
              <w:pStyle w:val="342"/>
              <w:overflowPunct w:val="0"/>
              <w:snapToGrid w:val="0"/>
              <w:spacing w:line="300" w:lineRule="exact"/>
              <w:rPr>
                <w:rFonts w:hint="eastAsia" w:hAnsi="宋体"/>
                <w:sz w:val="21"/>
                <w:szCs w:val="21"/>
              </w:rPr>
            </w:pPr>
            <w:r>
              <w:rPr>
                <w:rFonts w:hint="eastAsia" w:hAnsi="宋体"/>
                <w:sz w:val="21"/>
                <w:szCs w:val="21"/>
              </w:rPr>
              <w:t>3</w:t>
            </w:r>
          </w:p>
        </w:tc>
        <w:tc>
          <w:tcPr>
            <w:tcW w:w="568" w:type="pct"/>
            <w:vAlign w:val="center"/>
          </w:tcPr>
          <w:p w14:paraId="0936855C">
            <w:pPr>
              <w:pStyle w:val="342"/>
              <w:overflowPunct w:val="0"/>
              <w:snapToGrid w:val="0"/>
              <w:spacing w:line="300" w:lineRule="exact"/>
              <w:rPr>
                <w:rFonts w:hint="eastAsia" w:hAnsi="宋体"/>
                <w:sz w:val="21"/>
                <w:szCs w:val="21"/>
              </w:rPr>
            </w:pPr>
            <w:r>
              <w:rPr>
                <w:rFonts w:hint="eastAsia" w:hAnsi="宋体"/>
                <w:sz w:val="21"/>
                <w:szCs w:val="21"/>
              </w:rPr>
              <w:t>合计</w:t>
            </w:r>
          </w:p>
        </w:tc>
        <w:tc>
          <w:tcPr>
            <w:tcW w:w="650" w:type="pct"/>
            <w:vAlign w:val="center"/>
          </w:tcPr>
          <w:p w14:paraId="0BA6BFD1">
            <w:pPr>
              <w:pStyle w:val="342"/>
              <w:overflowPunct w:val="0"/>
              <w:snapToGrid w:val="0"/>
              <w:spacing w:line="300" w:lineRule="exact"/>
              <w:rPr>
                <w:rFonts w:hint="eastAsia" w:hAnsi="宋体"/>
                <w:sz w:val="21"/>
                <w:szCs w:val="21"/>
              </w:rPr>
            </w:pPr>
            <w:r>
              <w:rPr>
                <w:rFonts w:hint="eastAsia" w:hAnsi="宋体"/>
                <w:sz w:val="21"/>
                <w:szCs w:val="21"/>
              </w:rPr>
              <w:t>/</w:t>
            </w:r>
          </w:p>
        </w:tc>
        <w:tc>
          <w:tcPr>
            <w:tcW w:w="649" w:type="pct"/>
            <w:vAlign w:val="center"/>
          </w:tcPr>
          <w:p w14:paraId="4B7C1FF1">
            <w:pPr>
              <w:pStyle w:val="342"/>
              <w:overflowPunct w:val="0"/>
              <w:snapToGrid w:val="0"/>
              <w:spacing w:line="300" w:lineRule="exact"/>
              <w:rPr>
                <w:rFonts w:hint="eastAsia" w:hAnsi="宋体"/>
                <w:sz w:val="21"/>
                <w:szCs w:val="21"/>
              </w:rPr>
            </w:pPr>
            <w:r>
              <w:rPr>
                <w:rFonts w:hint="eastAsia" w:hAnsi="宋体"/>
                <w:sz w:val="21"/>
                <w:szCs w:val="21"/>
              </w:rPr>
              <w:t>/</w:t>
            </w:r>
          </w:p>
        </w:tc>
        <w:tc>
          <w:tcPr>
            <w:tcW w:w="1318" w:type="pct"/>
            <w:vAlign w:val="center"/>
          </w:tcPr>
          <w:p w14:paraId="7726E953">
            <w:pPr>
              <w:pStyle w:val="342"/>
              <w:overflowPunct w:val="0"/>
              <w:snapToGrid w:val="0"/>
              <w:spacing w:line="300" w:lineRule="exact"/>
              <w:rPr>
                <w:rFonts w:hint="eastAsia" w:hAnsi="宋体"/>
                <w:sz w:val="21"/>
                <w:szCs w:val="21"/>
              </w:rPr>
            </w:pPr>
            <w:r>
              <w:rPr>
                <w:rFonts w:hint="eastAsia" w:hAnsi="宋体"/>
                <w:sz w:val="21"/>
                <w:szCs w:val="21"/>
              </w:rPr>
              <w:t>/</w:t>
            </w:r>
          </w:p>
        </w:tc>
        <w:tc>
          <w:tcPr>
            <w:tcW w:w="518" w:type="pct"/>
            <w:vAlign w:val="center"/>
          </w:tcPr>
          <w:p w14:paraId="3F783899">
            <w:pPr>
              <w:pStyle w:val="342"/>
              <w:overflowPunct w:val="0"/>
              <w:snapToGrid w:val="0"/>
              <w:spacing w:line="300" w:lineRule="exact"/>
              <w:rPr>
                <w:rFonts w:hint="eastAsia" w:hAnsi="宋体"/>
                <w:sz w:val="21"/>
                <w:szCs w:val="21"/>
              </w:rPr>
            </w:pPr>
            <w:r>
              <w:rPr>
                <w:rFonts w:hint="eastAsia" w:hAnsi="宋体"/>
                <w:sz w:val="21"/>
                <w:szCs w:val="21"/>
              </w:rPr>
              <w:t>19790</w:t>
            </w:r>
          </w:p>
        </w:tc>
        <w:tc>
          <w:tcPr>
            <w:tcW w:w="485" w:type="pct"/>
            <w:vAlign w:val="center"/>
          </w:tcPr>
          <w:p w14:paraId="02200F3E">
            <w:pPr>
              <w:pStyle w:val="342"/>
              <w:overflowPunct w:val="0"/>
              <w:snapToGrid w:val="0"/>
              <w:spacing w:line="300" w:lineRule="exact"/>
              <w:rPr>
                <w:rFonts w:hint="eastAsia" w:hAnsi="宋体"/>
                <w:sz w:val="21"/>
                <w:szCs w:val="21"/>
              </w:rPr>
            </w:pPr>
            <w:r>
              <w:rPr>
                <w:rFonts w:hint="eastAsia" w:hAnsi="宋体"/>
                <w:sz w:val="21"/>
                <w:szCs w:val="21"/>
              </w:rPr>
              <w:t>19790</w:t>
            </w:r>
          </w:p>
        </w:tc>
      </w:tr>
    </w:tbl>
    <w:p w14:paraId="4CF2FF28">
      <w:pPr>
        <w:pStyle w:val="4"/>
        <w:rPr>
          <w:rFonts w:hint="eastAsia"/>
        </w:rPr>
      </w:pPr>
      <w:r>
        <w:rPr>
          <w:rFonts w:hint="eastAsia"/>
        </w:rPr>
        <w:t>运营期污染源源强核算</w:t>
      </w:r>
    </w:p>
    <w:p w14:paraId="21337F45">
      <w:pPr>
        <w:pStyle w:val="117"/>
        <w:ind w:firstLine="480"/>
        <w:rPr>
          <w:rFonts w:hint="eastAsia"/>
        </w:rPr>
      </w:pPr>
      <w:bookmarkStart w:id="263" w:name="_Hlk128559881"/>
      <w:bookmarkStart w:id="264" w:name="_Hlk129592962"/>
      <w:bookmarkStart w:id="265" w:name="_Hlk129686223"/>
      <w:bookmarkStart w:id="266" w:name="_Hlk129356350"/>
      <w:r>
        <w:rPr>
          <w:rFonts w:hint="eastAsia"/>
        </w:rPr>
        <w:t>（1）废气</w:t>
      </w:r>
    </w:p>
    <w:p w14:paraId="4EA79C88">
      <w:pPr>
        <w:adjustRightInd w:val="0"/>
        <w:snapToGrid w:val="0"/>
        <w:spacing w:line="500" w:lineRule="exact"/>
        <w:ind w:firstLine="480" w:firstLineChars="200"/>
        <w:textAlignment w:val="baseline"/>
        <w:rPr>
          <w:rFonts w:hint="eastAsia" w:ascii="宋体" w:hAnsi="宋体"/>
          <w:sz w:val="24"/>
        </w:rPr>
      </w:pPr>
      <w:bookmarkStart w:id="267" w:name="_Hlk482206006"/>
      <w:bookmarkStart w:id="268" w:name="_Hlk129276672"/>
      <w:r>
        <w:rPr>
          <w:rFonts w:hint="eastAsia" w:ascii="宋体" w:hAnsi="宋体"/>
          <w:sz w:val="24"/>
        </w:rPr>
        <w:t>一期工程废气主要为</w:t>
      </w:r>
      <w:bookmarkStart w:id="269" w:name="OLE_LINK339"/>
      <w:r>
        <w:rPr>
          <w:rFonts w:hint="eastAsia" w:ascii="宋体" w:hAnsi="宋体"/>
          <w:sz w:val="24"/>
        </w:rPr>
        <w:t>油气集输过程中阀门、法兰等部位产生的无组织挥发性有机物（以非甲烷总烃计）和无组织硫化氢</w:t>
      </w:r>
      <w:bookmarkEnd w:id="269"/>
      <w:r>
        <w:rPr>
          <w:rFonts w:hint="eastAsia" w:ascii="宋体" w:hAnsi="宋体"/>
          <w:sz w:val="24"/>
        </w:rPr>
        <w:t>、</w:t>
      </w:r>
      <w:bookmarkStart w:id="270" w:name="OLE_LINK340"/>
      <w:bookmarkStart w:id="271" w:name="_Hlk134055435"/>
      <w:r>
        <w:rPr>
          <w:rFonts w:hint="eastAsia" w:ascii="宋体" w:hAnsi="宋体"/>
          <w:sz w:val="24"/>
        </w:rPr>
        <w:t>拉油方罐无组织挥发性有机物、采出液装卸过程中产生的无组织废气和放空火炬燃烧废气</w:t>
      </w:r>
      <w:bookmarkEnd w:id="270"/>
      <w:r>
        <w:rPr>
          <w:rFonts w:hint="eastAsia" w:ascii="宋体" w:hAnsi="宋体"/>
          <w:sz w:val="24"/>
        </w:rPr>
        <w:t>。</w:t>
      </w:r>
      <w:bookmarkEnd w:id="271"/>
      <w:bookmarkStart w:id="272" w:name="OLE_LINK342"/>
      <w:r>
        <w:rPr>
          <w:rFonts w:hint="eastAsia" w:ascii="宋体" w:hAnsi="宋体"/>
          <w:sz w:val="24"/>
        </w:rPr>
        <w:t>二期工程不新增废气，</w:t>
      </w:r>
      <w:bookmarkStart w:id="273" w:name="OLE_LINK341"/>
      <w:r>
        <w:rPr>
          <w:rFonts w:hint="eastAsia" w:ascii="宋体" w:hAnsi="宋体"/>
          <w:sz w:val="24"/>
        </w:rPr>
        <w:t>拉油方罐无组织挥发性有机物、采出液装卸过程中产生的无组织废气和放空火炬燃烧废气随着二期工程的实施消失</w:t>
      </w:r>
      <w:bookmarkEnd w:id="273"/>
      <w:r>
        <w:rPr>
          <w:rFonts w:hint="eastAsia" w:ascii="宋体" w:hAnsi="宋体"/>
          <w:sz w:val="24"/>
        </w:rPr>
        <w:t>，二期工程实施后废气主要为油气集输过程中阀门、法兰等部位产生的无组织挥发性有机物（以非甲烷总烃计）和无组织硫化氢。</w:t>
      </w:r>
      <w:bookmarkEnd w:id="272"/>
      <w:r>
        <w:rPr>
          <w:rFonts w:ascii="宋体" w:hAnsi="宋体"/>
          <w:sz w:val="24"/>
        </w:rPr>
        <w:t xml:space="preserve"> </w:t>
      </w:r>
    </w:p>
    <w:p w14:paraId="46FB4137">
      <w:pPr>
        <w:adjustRightInd w:val="0"/>
        <w:snapToGrid w:val="0"/>
        <w:spacing w:line="500" w:lineRule="exact"/>
        <w:ind w:firstLine="480"/>
        <w:textAlignment w:val="baseline"/>
        <w:rPr>
          <w:rFonts w:hint="eastAsia" w:ascii="宋体" w:hAnsi="宋体"/>
          <w:sz w:val="24"/>
        </w:rPr>
      </w:pPr>
      <w:r>
        <w:rPr>
          <w:rFonts w:hint="eastAsia" w:ascii="宋体" w:hAnsi="宋体"/>
          <w:sz w:val="24"/>
        </w:rPr>
        <w:t>①无组织挥发性有机物和硫化氢</w:t>
      </w:r>
    </w:p>
    <w:p w14:paraId="2AA0BAEC">
      <w:pPr>
        <w:adjustRightInd w:val="0"/>
        <w:snapToGrid w:val="0"/>
        <w:spacing w:line="500" w:lineRule="exact"/>
        <w:ind w:firstLine="480" w:firstLineChars="200"/>
        <w:textAlignment w:val="baseline"/>
        <w:rPr>
          <w:rFonts w:hint="eastAsia" w:ascii="宋体" w:hAnsi="宋体"/>
          <w:sz w:val="24"/>
        </w:rPr>
      </w:pPr>
      <w:r>
        <w:rPr>
          <w:rFonts w:hint="eastAsia" w:ascii="宋体" w:hAnsi="宋体"/>
          <w:sz w:val="24"/>
        </w:rPr>
        <w:t>※无组织挥发性有机物（以非甲烷总烃计）</w:t>
      </w:r>
    </w:p>
    <w:p w14:paraId="4E0AFF72">
      <w:pPr>
        <w:adjustRightInd w:val="0"/>
        <w:snapToGrid w:val="0"/>
        <w:spacing w:line="500" w:lineRule="exact"/>
        <w:ind w:firstLine="480" w:firstLineChars="200"/>
        <w:textAlignment w:val="baseline"/>
        <w:rPr>
          <w:rFonts w:hint="eastAsia" w:ascii="宋体" w:hAnsi="宋体"/>
          <w:sz w:val="24"/>
        </w:rPr>
      </w:pPr>
      <w:r>
        <w:rPr>
          <w:rFonts w:hint="eastAsia" w:ascii="宋体" w:hAnsi="宋体"/>
          <w:sz w:val="24"/>
        </w:rPr>
        <w:t>无组织挥发性有机物目前无相应的源强核算技术指南，本次参考</w:t>
      </w:r>
      <w:bookmarkStart w:id="274" w:name="_Hlk85450421"/>
      <w:r>
        <w:rPr>
          <w:rFonts w:hint="eastAsia" w:ascii="宋体" w:hAnsi="宋体"/>
          <w:sz w:val="24"/>
        </w:rPr>
        <w:t>《污染源源强核算技术指南</w:t>
      </w:r>
      <w:r>
        <w:rPr>
          <w:rFonts w:ascii="宋体" w:hAnsi="宋体"/>
          <w:sz w:val="24"/>
        </w:rPr>
        <w:t xml:space="preserve"> 石油炼制工业</w:t>
      </w:r>
      <w:r>
        <w:rPr>
          <w:rFonts w:hint="eastAsia" w:ascii="宋体" w:hAnsi="宋体"/>
          <w:sz w:val="24"/>
        </w:rPr>
        <w:t>》（</w:t>
      </w:r>
      <w:r>
        <w:rPr>
          <w:rFonts w:ascii="宋体" w:hAnsi="宋体"/>
          <w:sz w:val="24"/>
        </w:rPr>
        <w:t>HJ982-2018)</w:t>
      </w:r>
      <w:r>
        <w:rPr>
          <w:rFonts w:hint="eastAsia" w:ascii="宋体" w:hAnsi="宋体"/>
          <w:sz w:val="24"/>
        </w:rPr>
        <w:t>中设备动静密封点泄漏平均排放系数法进行核算，计算公式具体如下：</w:t>
      </w:r>
    </w:p>
    <w:p w14:paraId="16F68717">
      <w:pPr>
        <w:adjustRightInd w:val="0"/>
        <w:snapToGrid w:val="0"/>
        <w:spacing w:line="360" w:lineRule="auto"/>
        <w:jc w:val="center"/>
        <w:textAlignment w:val="baseline"/>
        <w:rPr>
          <w:rFonts w:hint="eastAsia" w:ascii="宋体" w:hAnsi="宋体"/>
          <w:sz w:val="24"/>
        </w:rPr>
      </w:pPr>
      <w:r>
        <w:rPr>
          <w:rFonts w:ascii="宋体" w:hAnsi="宋体"/>
          <w:sz w:val="24"/>
        </w:rPr>
        <w:drawing>
          <wp:inline distT="0" distB="0" distL="0" distR="0">
            <wp:extent cx="2339340" cy="465455"/>
            <wp:effectExtent l="0" t="0" r="0" b="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339340" cy="465455"/>
                    </a:xfrm>
                    <a:prstGeom prst="rect">
                      <a:avLst/>
                    </a:prstGeom>
                    <a:noFill/>
                    <a:ln>
                      <a:noFill/>
                    </a:ln>
                  </pic:spPr>
                </pic:pic>
              </a:graphicData>
            </a:graphic>
          </wp:inline>
        </w:drawing>
      </w:r>
    </w:p>
    <w:p w14:paraId="0AA94C8F">
      <w:pPr>
        <w:adjustRightInd w:val="0"/>
        <w:snapToGrid w:val="0"/>
        <w:spacing w:line="500" w:lineRule="exact"/>
        <w:ind w:firstLine="480" w:firstLineChars="200"/>
        <w:textAlignment w:val="baseline"/>
        <w:rPr>
          <w:rFonts w:hint="eastAsia" w:ascii="宋体" w:hAnsi="宋体"/>
          <w:kern w:val="0"/>
          <w:sz w:val="24"/>
        </w:rPr>
      </w:pPr>
      <w:r>
        <w:rPr>
          <w:rFonts w:hint="eastAsia" w:ascii="宋体" w:hAnsi="宋体"/>
          <w:kern w:val="0"/>
          <w:sz w:val="24"/>
        </w:rPr>
        <w:t>式中：</w:t>
      </w:r>
      <w:r>
        <w:rPr>
          <w:rFonts w:ascii="宋体" w:hAnsi="宋体"/>
          <w:kern w:val="0"/>
          <w:sz w:val="24"/>
        </w:rPr>
        <w:t>D</w:t>
      </w:r>
      <w:r>
        <w:rPr>
          <w:rFonts w:hint="eastAsia" w:ascii="宋体" w:hAnsi="宋体"/>
          <w:kern w:val="0"/>
          <w:sz w:val="24"/>
          <w:vertAlign w:val="subscript"/>
        </w:rPr>
        <w:t>设备</w:t>
      </w:r>
      <w:r>
        <w:rPr>
          <w:rFonts w:hint="eastAsia" w:ascii="宋体" w:hAnsi="宋体"/>
          <w:kern w:val="0"/>
          <w:sz w:val="24"/>
        </w:rPr>
        <w:t>：—核算时段内设备与管线组件密封点泄漏的挥发性有机物的量，kg；</w:t>
      </w:r>
    </w:p>
    <w:p w14:paraId="1BEABD34">
      <w:pPr>
        <w:adjustRightInd w:val="0"/>
        <w:snapToGrid w:val="0"/>
        <w:spacing w:line="500" w:lineRule="exact"/>
        <w:ind w:firstLine="1200" w:firstLineChars="500"/>
        <w:textAlignment w:val="baseline"/>
        <w:rPr>
          <w:rFonts w:hint="eastAsia" w:ascii="宋体" w:hAnsi="宋体"/>
          <w:kern w:val="0"/>
          <w:sz w:val="24"/>
        </w:rPr>
      </w:pPr>
      <w:r>
        <w:rPr>
          <w:rFonts w:hint="eastAsia" w:ascii="宋体" w:hAnsi="宋体"/>
          <w:kern w:val="0"/>
          <w:sz w:val="24"/>
        </w:rPr>
        <w:t>α—设备与管线组件密封点的泄漏比例，本次取0</w:t>
      </w:r>
      <w:r>
        <w:rPr>
          <w:rFonts w:ascii="宋体" w:hAnsi="宋体"/>
          <w:kern w:val="0"/>
          <w:sz w:val="24"/>
        </w:rPr>
        <w:t>.003</w:t>
      </w:r>
      <w:r>
        <w:rPr>
          <w:rFonts w:hint="eastAsia" w:ascii="宋体" w:hAnsi="宋体"/>
          <w:kern w:val="0"/>
          <w:sz w:val="24"/>
        </w:rPr>
        <w:t>；</w:t>
      </w:r>
    </w:p>
    <w:p w14:paraId="176930A9">
      <w:pPr>
        <w:adjustRightInd w:val="0"/>
        <w:snapToGrid w:val="0"/>
        <w:spacing w:line="500" w:lineRule="exact"/>
        <w:ind w:firstLine="1200" w:firstLineChars="500"/>
        <w:textAlignment w:val="baseline"/>
        <w:rPr>
          <w:rFonts w:hint="eastAsia" w:ascii="宋体" w:hAnsi="宋体"/>
          <w:kern w:val="0"/>
          <w:sz w:val="24"/>
        </w:rPr>
      </w:pPr>
      <w:r>
        <w:rPr>
          <w:rFonts w:ascii="宋体" w:hAnsi="宋体"/>
          <w:kern w:val="0"/>
          <w:sz w:val="24"/>
        </w:rPr>
        <w:t>WF</w:t>
      </w:r>
      <w:r>
        <w:rPr>
          <w:rFonts w:hint="eastAsia" w:ascii="宋体" w:hAnsi="宋体"/>
          <w:kern w:val="0"/>
          <w:sz w:val="24"/>
          <w:vertAlign w:val="subscript"/>
        </w:rPr>
        <w:t>VOCs,i</w:t>
      </w:r>
      <w:r>
        <w:rPr>
          <w:rFonts w:hint="eastAsia" w:ascii="宋体" w:hAnsi="宋体"/>
          <w:kern w:val="0"/>
          <w:sz w:val="24"/>
        </w:rPr>
        <w:t>—流经密封点i的物料中挥发性有机物平均质量分数；</w:t>
      </w:r>
    </w:p>
    <w:p w14:paraId="397C82C9">
      <w:pPr>
        <w:adjustRightInd w:val="0"/>
        <w:snapToGrid w:val="0"/>
        <w:spacing w:line="500" w:lineRule="exact"/>
        <w:ind w:firstLine="1200" w:firstLineChars="500"/>
        <w:textAlignment w:val="baseline"/>
        <w:rPr>
          <w:rFonts w:hint="eastAsia" w:ascii="宋体" w:hAnsi="宋体"/>
          <w:kern w:val="0"/>
          <w:sz w:val="24"/>
        </w:rPr>
      </w:pPr>
      <w:r>
        <w:rPr>
          <w:rFonts w:ascii="宋体" w:hAnsi="宋体"/>
          <w:kern w:val="0"/>
          <w:sz w:val="24"/>
        </w:rPr>
        <w:t>WF</w:t>
      </w:r>
      <w:r>
        <w:rPr>
          <w:rFonts w:ascii="宋体" w:hAnsi="宋体"/>
          <w:kern w:val="0"/>
          <w:sz w:val="24"/>
          <w:vertAlign w:val="subscript"/>
        </w:rPr>
        <w:t>TOC</w:t>
      </w:r>
      <w:r>
        <w:rPr>
          <w:rFonts w:hint="eastAsia" w:ascii="宋体" w:hAnsi="宋体"/>
          <w:kern w:val="0"/>
          <w:sz w:val="24"/>
          <w:vertAlign w:val="subscript"/>
        </w:rPr>
        <w:t>,i</w:t>
      </w:r>
      <w:r>
        <w:rPr>
          <w:rFonts w:hint="eastAsia" w:ascii="宋体" w:hAnsi="宋体"/>
          <w:kern w:val="0"/>
          <w:sz w:val="24"/>
        </w:rPr>
        <w:t>—流经密封点i的物料中总有机碳（TOC)平均质量分数</w:t>
      </w:r>
      <w:r>
        <w:rPr>
          <w:rFonts w:ascii="宋体" w:hAnsi="宋体"/>
          <w:kern w:val="0"/>
          <w:sz w:val="24"/>
        </w:rPr>
        <w:t>；</w:t>
      </w:r>
    </w:p>
    <w:p w14:paraId="78B2261E">
      <w:pPr>
        <w:adjustRightInd w:val="0"/>
        <w:snapToGrid w:val="0"/>
        <w:spacing w:line="500" w:lineRule="exact"/>
        <w:ind w:firstLine="1200" w:firstLineChars="500"/>
        <w:textAlignment w:val="baseline"/>
        <w:rPr>
          <w:rFonts w:hint="eastAsia" w:ascii="宋体" w:hAnsi="宋体"/>
          <w:kern w:val="0"/>
          <w:sz w:val="24"/>
        </w:rPr>
      </w:pPr>
      <w:r>
        <w:rPr>
          <w:rFonts w:ascii="宋体" w:hAnsi="宋体"/>
          <w:kern w:val="0"/>
          <w:sz w:val="24"/>
        </w:rPr>
        <w:t>e</w:t>
      </w:r>
      <w:r>
        <w:rPr>
          <w:rFonts w:ascii="宋体" w:hAnsi="宋体"/>
          <w:kern w:val="0"/>
          <w:sz w:val="24"/>
          <w:vertAlign w:val="subscript"/>
        </w:rPr>
        <w:t>TOC,i</w:t>
      </w:r>
      <w:r>
        <w:rPr>
          <w:rFonts w:ascii="宋体" w:hAnsi="宋体"/>
          <w:kern w:val="0"/>
          <w:sz w:val="24"/>
        </w:rPr>
        <w:t>一密封点i的总有机碳（TOC)排放速率（泄漏浓度大于10000umol/mol)，kg/h</w:t>
      </w:r>
      <w:r>
        <w:rPr>
          <w:rFonts w:hint="eastAsia" w:ascii="宋体" w:hAnsi="宋体"/>
          <w:kern w:val="0"/>
          <w:sz w:val="24"/>
        </w:rPr>
        <w:t>；</w:t>
      </w:r>
    </w:p>
    <w:p w14:paraId="656D4994">
      <w:pPr>
        <w:adjustRightInd w:val="0"/>
        <w:snapToGrid w:val="0"/>
        <w:spacing w:line="500" w:lineRule="exact"/>
        <w:ind w:firstLine="1200" w:firstLineChars="500"/>
        <w:textAlignment w:val="baseline"/>
        <w:rPr>
          <w:rFonts w:hint="eastAsia" w:ascii="宋体" w:hAnsi="宋体"/>
          <w:kern w:val="0"/>
          <w:sz w:val="24"/>
        </w:rPr>
      </w:pPr>
      <w:r>
        <w:rPr>
          <w:rFonts w:hint="eastAsia" w:ascii="宋体" w:hAnsi="宋体"/>
          <w:kern w:val="0"/>
          <w:sz w:val="24"/>
        </w:rPr>
        <w:t>n—挥发性有机物流经的设备与管线组件密封点数。</w:t>
      </w:r>
    </w:p>
    <w:p w14:paraId="2CAC9632">
      <w:pPr>
        <w:adjustRightInd w:val="0"/>
        <w:snapToGrid w:val="0"/>
        <w:spacing w:line="500" w:lineRule="exact"/>
        <w:ind w:firstLine="1200" w:firstLineChars="500"/>
        <w:textAlignment w:val="baseline"/>
        <w:rPr>
          <w:rFonts w:hint="eastAsia" w:ascii="宋体" w:hAnsi="宋体"/>
          <w:kern w:val="0"/>
          <w:sz w:val="24"/>
        </w:rPr>
      </w:pPr>
      <w:r>
        <w:rPr>
          <w:rFonts w:hint="eastAsia" w:ascii="宋体" w:hAnsi="宋体"/>
          <w:kern w:val="0"/>
          <w:sz w:val="24"/>
        </w:rPr>
        <w:t>t</w:t>
      </w:r>
      <w:r>
        <w:rPr>
          <w:rFonts w:hint="eastAsia" w:ascii="宋体" w:hAnsi="宋体"/>
          <w:kern w:val="0"/>
          <w:sz w:val="24"/>
          <w:vertAlign w:val="subscript"/>
        </w:rPr>
        <w:t>i</w:t>
      </w:r>
      <w:r>
        <w:rPr>
          <w:rFonts w:hint="eastAsia" w:ascii="宋体" w:hAnsi="宋体"/>
          <w:kern w:val="0"/>
          <w:sz w:val="24"/>
        </w:rPr>
        <w:t>—核算时段内密封点i的运行时间，h</w:t>
      </w:r>
      <w:r>
        <w:rPr>
          <w:rFonts w:ascii="宋体" w:hAnsi="宋体"/>
          <w:kern w:val="0"/>
          <w:sz w:val="24"/>
        </w:rPr>
        <w:t>,</w:t>
      </w:r>
      <w:r>
        <w:rPr>
          <w:rFonts w:hint="eastAsia" w:ascii="宋体" w:hAnsi="宋体"/>
          <w:kern w:val="0"/>
          <w:sz w:val="24"/>
        </w:rPr>
        <w:t>本次取</w:t>
      </w:r>
      <w:r>
        <w:rPr>
          <w:rFonts w:ascii="宋体" w:hAnsi="宋体"/>
          <w:kern w:val="0"/>
          <w:sz w:val="24"/>
        </w:rPr>
        <w:t>7920</w:t>
      </w:r>
      <w:r>
        <w:rPr>
          <w:rFonts w:hint="eastAsia" w:ascii="宋体" w:hAnsi="宋体"/>
          <w:kern w:val="0"/>
          <w:sz w:val="24"/>
        </w:rPr>
        <w:t>h。</w:t>
      </w:r>
    </w:p>
    <w:bookmarkEnd w:id="274"/>
    <w:p w14:paraId="740AD76D">
      <w:pPr>
        <w:adjustRightInd w:val="0"/>
        <w:snapToGrid w:val="0"/>
        <w:spacing w:line="500" w:lineRule="exact"/>
        <w:ind w:firstLine="480" w:firstLineChars="200"/>
        <w:jc w:val="left"/>
        <w:textAlignment w:val="baseline"/>
        <w:rPr>
          <w:rStyle w:val="190"/>
          <w:rFonts w:hint="eastAsia"/>
        </w:rPr>
      </w:pPr>
      <w:r>
        <w:rPr>
          <w:rFonts w:hint="eastAsia" w:ascii="宋体" w:hAnsi="宋体"/>
          <w:kern w:val="0"/>
          <w:sz w:val="24"/>
        </w:rPr>
        <w:t>每座采油井井口装置中阀门数量为5个、法兰数量为10个、连接件数量为60个，根据上述公式计算油气集输过程中的无组织挥发性废气产生</w:t>
      </w:r>
      <w:r>
        <w:rPr>
          <w:rStyle w:val="190"/>
          <w:rFonts w:hint="eastAsia"/>
        </w:rPr>
        <w:t>量见表</w:t>
      </w:r>
      <w:r>
        <w:rPr>
          <w:rStyle w:val="190"/>
        </w:rPr>
        <w:t>3.3</w:t>
      </w:r>
      <w:r>
        <w:rPr>
          <w:rStyle w:val="190"/>
          <w:rFonts w:hint="eastAsia"/>
        </w:rPr>
        <w:t>-5。</w:t>
      </w:r>
    </w:p>
    <w:p w14:paraId="5EF75394">
      <w:pPr>
        <w:pStyle w:val="109"/>
        <w:rPr>
          <w:rFonts w:hint="eastAsia"/>
        </w:rPr>
      </w:pPr>
      <w:bookmarkStart w:id="275" w:name="_Hlk166020982"/>
      <w:bookmarkStart w:id="276" w:name="_Hlk141714413"/>
      <w:r>
        <w:rPr>
          <w:rFonts w:hint="eastAsia"/>
        </w:rPr>
        <w:t>表</w:t>
      </w:r>
      <w:r>
        <w:t>3.3</w:t>
      </w:r>
      <w:r>
        <w:rPr>
          <w:rFonts w:hint="eastAsia"/>
        </w:rPr>
        <w:t>-5</w:t>
      </w:r>
      <w:r>
        <w:t xml:space="preserve">  </w:t>
      </w:r>
      <w:r>
        <w:rPr>
          <w:rFonts w:hint="eastAsia"/>
        </w:rPr>
        <w:t>排放系数、设备类型数量及污染物排放量</w:t>
      </w:r>
    </w:p>
    <w:tbl>
      <w:tblPr>
        <w:tblStyle w:val="51"/>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48"/>
        <w:gridCol w:w="1306"/>
        <w:gridCol w:w="1889"/>
        <w:gridCol w:w="1743"/>
        <w:gridCol w:w="2260"/>
      </w:tblGrid>
      <w:tr w14:paraId="394BD5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tcBorders>
              <w:top w:val="single" w:color="000000" w:sz="12" w:space="0"/>
              <w:left w:val="nil"/>
              <w:bottom w:val="single" w:color="000000" w:sz="4" w:space="0"/>
              <w:right w:val="single" w:color="auto" w:sz="4" w:space="0"/>
            </w:tcBorders>
            <w:vAlign w:val="center"/>
          </w:tcPr>
          <w:p w14:paraId="09C6488F">
            <w:pPr>
              <w:pStyle w:val="322"/>
              <w:adjustRightInd w:val="0"/>
              <w:snapToGrid w:val="0"/>
              <w:spacing w:line="300" w:lineRule="exact"/>
              <w:rPr>
                <w:rFonts w:hint="eastAsia" w:cs="宋体"/>
                <w:bCs/>
                <w:snapToGrid w:val="0"/>
                <w:color w:val="auto"/>
                <w:w w:val="100"/>
                <w:kern w:val="0"/>
                <w:sz w:val="21"/>
                <w:szCs w:val="21"/>
              </w:rPr>
            </w:pPr>
            <w:bookmarkStart w:id="277" w:name="_Hlk93663413"/>
            <w:r>
              <w:rPr>
                <w:rFonts w:hint="eastAsia" w:cs="宋体"/>
                <w:bCs/>
                <w:snapToGrid w:val="0"/>
                <w:color w:val="auto"/>
                <w:w w:val="100"/>
                <w:kern w:val="0"/>
                <w:sz w:val="21"/>
                <w:szCs w:val="21"/>
              </w:rPr>
              <w:t>平台号</w:t>
            </w:r>
          </w:p>
        </w:tc>
        <w:tc>
          <w:tcPr>
            <w:tcW w:w="730" w:type="pct"/>
            <w:tcBorders>
              <w:top w:val="single" w:color="000000" w:sz="12" w:space="0"/>
              <w:left w:val="single" w:color="auto" w:sz="4" w:space="0"/>
              <w:bottom w:val="single" w:color="000000" w:sz="4" w:space="0"/>
              <w:right w:val="single" w:color="000000" w:sz="4" w:space="0"/>
            </w:tcBorders>
            <w:vAlign w:val="center"/>
          </w:tcPr>
          <w:p w14:paraId="03B5C2DF">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设备类型</w:t>
            </w:r>
          </w:p>
        </w:tc>
        <w:tc>
          <w:tcPr>
            <w:tcW w:w="1056" w:type="pct"/>
            <w:tcBorders>
              <w:top w:val="single" w:color="000000" w:sz="12" w:space="0"/>
              <w:left w:val="single" w:color="000000" w:sz="4" w:space="0"/>
              <w:bottom w:val="single" w:color="000000" w:sz="4" w:space="0"/>
              <w:right w:val="single" w:color="auto" w:sz="4" w:space="0"/>
            </w:tcBorders>
            <w:vAlign w:val="center"/>
          </w:tcPr>
          <w:p w14:paraId="3F140558">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排放速率</w:t>
            </w:r>
          </w:p>
          <w:p w14:paraId="7E1DD26A">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（kg/h/排放源）</w:t>
            </w:r>
          </w:p>
        </w:tc>
        <w:tc>
          <w:tcPr>
            <w:tcW w:w="974" w:type="pct"/>
            <w:tcBorders>
              <w:top w:val="single" w:color="000000" w:sz="12" w:space="0"/>
              <w:left w:val="single" w:color="auto" w:sz="4" w:space="0"/>
              <w:bottom w:val="single" w:color="000000" w:sz="4" w:space="0"/>
              <w:right w:val="single" w:color="auto" w:sz="4" w:space="0"/>
            </w:tcBorders>
            <w:vAlign w:val="center"/>
          </w:tcPr>
          <w:p w14:paraId="591E175B">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设备数量</w:t>
            </w:r>
          </w:p>
          <w:p w14:paraId="7272D8CB">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（个/台）</w:t>
            </w:r>
          </w:p>
        </w:tc>
        <w:tc>
          <w:tcPr>
            <w:tcW w:w="1263" w:type="pct"/>
            <w:tcBorders>
              <w:top w:val="single" w:color="000000" w:sz="12" w:space="0"/>
              <w:left w:val="single" w:color="auto" w:sz="4" w:space="0"/>
              <w:bottom w:val="single" w:color="000000" w:sz="4" w:space="0"/>
              <w:right w:val="nil"/>
            </w:tcBorders>
            <w:vAlign w:val="center"/>
          </w:tcPr>
          <w:p w14:paraId="3AF3E2AD">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污染物排放量（t/a）</w:t>
            </w:r>
          </w:p>
        </w:tc>
      </w:tr>
      <w:bookmarkEnd w:id="267"/>
      <w:bookmarkEnd w:id="277"/>
      <w:tr w14:paraId="51E8E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restart"/>
            <w:tcBorders>
              <w:left w:val="nil"/>
              <w:right w:val="single" w:color="auto" w:sz="4" w:space="0"/>
            </w:tcBorders>
            <w:vAlign w:val="center"/>
          </w:tcPr>
          <w:p w14:paraId="44F18A00">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17号采油平台（5口井）</w:t>
            </w:r>
          </w:p>
        </w:tc>
        <w:tc>
          <w:tcPr>
            <w:tcW w:w="730" w:type="pct"/>
            <w:tcBorders>
              <w:top w:val="single" w:color="000000" w:sz="4" w:space="0"/>
              <w:left w:val="single" w:color="auto" w:sz="4" w:space="0"/>
              <w:bottom w:val="single" w:color="000000" w:sz="4" w:space="0"/>
              <w:right w:val="single" w:color="000000" w:sz="4" w:space="0"/>
            </w:tcBorders>
            <w:vAlign w:val="center"/>
          </w:tcPr>
          <w:p w14:paraId="70CB07AE">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阀门</w:t>
            </w:r>
          </w:p>
        </w:tc>
        <w:tc>
          <w:tcPr>
            <w:tcW w:w="1056" w:type="pct"/>
            <w:tcBorders>
              <w:top w:val="single" w:color="000000" w:sz="4" w:space="0"/>
              <w:left w:val="single" w:color="000000" w:sz="4" w:space="0"/>
              <w:bottom w:val="single" w:color="000000" w:sz="4" w:space="0"/>
              <w:right w:val="single" w:color="auto" w:sz="4" w:space="0"/>
            </w:tcBorders>
            <w:vAlign w:val="center"/>
          </w:tcPr>
          <w:p w14:paraId="37F28038">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0.064</w:t>
            </w:r>
          </w:p>
        </w:tc>
        <w:tc>
          <w:tcPr>
            <w:tcW w:w="974" w:type="pct"/>
            <w:tcBorders>
              <w:top w:val="single" w:color="000000" w:sz="4" w:space="0"/>
              <w:left w:val="single" w:color="auto" w:sz="4" w:space="0"/>
              <w:bottom w:val="single" w:color="000000" w:sz="4" w:space="0"/>
              <w:right w:val="single" w:color="auto" w:sz="4" w:space="0"/>
            </w:tcBorders>
            <w:vAlign w:val="center"/>
          </w:tcPr>
          <w:p w14:paraId="6D2DAE4C">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25</w:t>
            </w:r>
          </w:p>
        </w:tc>
        <w:tc>
          <w:tcPr>
            <w:tcW w:w="1263" w:type="pct"/>
            <w:tcBorders>
              <w:top w:val="single" w:color="000000" w:sz="4" w:space="0"/>
              <w:left w:val="single" w:color="auto" w:sz="4" w:space="0"/>
              <w:bottom w:val="single" w:color="000000" w:sz="4" w:space="0"/>
              <w:right w:val="nil"/>
            </w:tcBorders>
            <w:vAlign w:val="center"/>
          </w:tcPr>
          <w:p w14:paraId="0C847E2B">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0.0380</w:t>
            </w:r>
          </w:p>
        </w:tc>
      </w:tr>
      <w:tr w14:paraId="4C258B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759414AB">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4EEBF59F">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法兰</w:t>
            </w:r>
          </w:p>
        </w:tc>
        <w:tc>
          <w:tcPr>
            <w:tcW w:w="1056" w:type="pct"/>
            <w:tcBorders>
              <w:top w:val="single" w:color="000000" w:sz="4" w:space="0"/>
              <w:left w:val="single" w:color="000000" w:sz="4" w:space="0"/>
              <w:bottom w:val="single" w:color="000000" w:sz="4" w:space="0"/>
              <w:right w:val="single" w:color="auto" w:sz="4" w:space="0"/>
            </w:tcBorders>
            <w:vAlign w:val="center"/>
          </w:tcPr>
          <w:p w14:paraId="4D3AC2D5">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0.085</w:t>
            </w:r>
          </w:p>
        </w:tc>
        <w:tc>
          <w:tcPr>
            <w:tcW w:w="974" w:type="pct"/>
            <w:tcBorders>
              <w:top w:val="single" w:color="000000" w:sz="4" w:space="0"/>
              <w:left w:val="single" w:color="auto" w:sz="4" w:space="0"/>
              <w:bottom w:val="single" w:color="000000" w:sz="4" w:space="0"/>
              <w:right w:val="single" w:color="auto" w:sz="4" w:space="0"/>
            </w:tcBorders>
            <w:vAlign w:val="center"/>
          </w:tcPr>
          <w:p w14:paraId="625138B3">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50</w:t>
            </w:r>
          </w:p>
        </w:tc>
        <w:tc>
          <w:tcPr>
            <w:tcW w:w="1263" w:type="pct"/>
            <w:tcBorders>
              <w:top w:val="single" w:color="000000" w:sz="4" w:space="0"/>
              <w:left w:val="single" w:color="auto" w:sz="4" w:space="0"/>
              <w:bottom w:val="single" w:color="000000" w:sz="4" w:space="0"/>
              <w:right w:val="nil"/>
            </w:tcBorders>
            <w:vAlign w:val="center"/>
          </w:tcPr>
          <w:p w14:paraId="60F90444">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0.1010</w:t>
            </w:r>
          </w:p>
        </w:tc>
      </w:tr>
      <w:tr w14:paraId="4B60A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48B5A194">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176F4251">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连接件</w:t>
            </w:r>
          </w:p>
        </w:tc>
        <w:tc>
          <w:tcPr>
            <w:tcW w:w="1056" w:type="pct"/>
            <w:tcBorders>
              <w:top w:val="single" w:color="000000" w:sz="4" w:space="0"/>
              <w:left w:val="single" w:color="000000" w:sz="4" w:space="0"/>
              <w:bottom w:val="single" w:color="000000" w:sz="4" w:space="0"/>
              <w:right w:val="single" w:color="auto" w:sz="4" w:space="0"/>
            </w:tcBorders>
            <w:vAlign w:val="center"/>
          </w:tcPr>
          <w:p w14:paraId="224FDEFD">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0.028</w:t>
            </w:r>
          </w:p>
        </w:tc>
        <w:tc>
          <w:tcPr>
            <w:tcW w:w="974" w:type="pct"/>
            <w:tcBorders>
              <w:top w:val="single" w:color="000000" w:sz="4" w:space="0"/>
              <w:left w:val="single" w:color="auto" w:sz="4" w:space="0"/>
              <w:bottom w:val="single" w:color="000000" w:sz="4" w:space="0"/>
              <w:right w:val="single" w:color="auto" w:sz="4" w:space="0"/>
            </w:tcBorders>
            <w:vAlign w:val="center"/>
          </w:tcPr>
          <w:p w14:paraId="6D2A6746">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300</w:t>
            </w:r>
          </w:p>
        </w:tc>
        <w:tc>
          <w:tcPr>
            <w:tcW w:w="1263" w:type="pct"/>
            <w:tcBorders>
              <w:top w:val="single" w:color="000000" w:sz="4" w:space="0"/>
              <w:left w:val="single" w:color="auto" w:sz="4" w:space="0"/>
              <w:bottom w:val="single" w:color="000000" w:sz="4" w:space="0"/>
              <w:right w:val="nil"/>
            </w:tcBorders>
            <w:vAlign w:val="center"/>
          </w:tcPr>
          <w:p w14:paraId="0EC8E0B1">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0.1996</w:t>
            </w:r>
          </w:p>
        </w:tc>
      </w:tr>
      <w:tr w14:paraId="16593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2707DAD9">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7C0B8B29">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小计</w:t>
            </w:r>
          </w:p>
        </w:tc>
        <w:tc>
          <w:tcPr>
            <w:tcW w:w="1056" w:type="pct"/>
            <w:tcBorders>
              <w:top w:val="single" w:color="000000" w:sz="4" w:space="0"/>
              <w:left w:val="single" w:color="000000" w:sz="4" w:space="0"/>
              <w:bottom w:val="single" w:color="000000" w:sz="4" w:space="0"/>
              <w:right w:val="single" w:color="auto" w:sz="4" w:space="0"/>
            </w:tcBorders>
            <w:vAlign w:val="center"/>
          </w:tcPr>
          <w:p w14:paraId="61E68C0B">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w:t>
            </w:r>
          </w:p>
        </w:tc>
        <w:tc>
          <w:tcPr>
            <w:tcW w:w="974" w:type="pct"/>
            <w:tcBorders>
              <w:top w:val="single" w:color="000000" w:sz="4" w:space="0"/>
              <w:left w:val="single" w:color="auto" w:sz="4" w:space="0"/>
              <w:bottom w:val="single" w:color="000000" w:sz="4" w:space="0"/>
              <w:right w:val="single" w:color="auto" w:sz="4" w:space="0"/>
            </w:tcBorders>
            <w:vAlign w:val="center"/>
          </w:tcPr>
          <w:p w14:paraId="64976E6A">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w:t>
            </w:r>
          </w:p>
        </w:tc>
        <w:tc>
          <w:tcPr>
            <w:tcW w:w="1263" w:type="pct"/>
            <w:tcBorders>
              <w:top w:val="single" w:color="000000" w:sz="4" w:space="0"/>
              <w:left w:val="single" w:color="auto" w:sz="4" w:space="0"/>
              <w:bottom w:val="single" w:color="000000" w:sz="4" w:space="0"/>
              <w:right w:val="nil"/>
            </w:tcBorders>
            <w:vAlign w:val="center"/>
          </w:tcPr>
          <w:p w14:paraId="2073D258">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0.3386</w:t>
            </w:r>
          </w:p>
        </w:tc>
      </w:tr>
      <w:tr w14:paraId="4AC14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restart"/>
            <w:tcBorders>
              <w:left w:val="nil"/>
              <w:right w:val="single" w:color="auto" w:sz="4" w:space="0"/>
            </w:tcBorders>
            <w:vAlign w:val="center"/>
          </w:tcPr>
          <w:p w14:paraId="63E8CF3F">
            <w:pPr>
              <w:pStyle w:val="322"/>
              <w:adjustRightInd w:val="0"/>
              <w:snapToGrid w:val="0"/>
              <w:spacing w:line="300" w:lineRule="exact"/>
              <w:rPr>
                <w:rFonts w:hint="eastAsia" w:cs="宋体"/>
                <w:snapToGrid w:val="0"/>
                <w:color w:val="auto"/>
                <w:w w:val="100"/>
                <w:kern w:val="0"/>
                <w:sz w:val="21"/>
                <w:szCs w:val="21"/>
              </w:rPr>
            </w:pPr>
            <w:bookmarkStart w:id="278" w:name="_Hlk160375522"/>
            <w:r>
              <w:rPr>
                <w:rFonts w:hint="eastAsia" w:cs="宋体"/>
                <w:snapToGrid w:val="0"/>
                <w:color w:val="auto"/>
                <w:w w:val="100"/>
                <w:kern w:val="0"/>
                <w:sz w:val="21"/>
                <w:szCs w:val="21"/>
              </w:rPr>
              <w:t>17号采油平台集中计量拉油站</w:t>
            </w:r>
          </w:p>
        </w:tc>
        <w:tc>
          <w:tcPr>
            <w:tcW w:w="730" w:type="pct"/>
            <w:tcBorders>
              <w:top w:val="single" w:color="000000" w:sz="4" w:space="0"/>
              <w:left w:val="single" w:color="auto" w:sz="4" w:space="0"/>
              <w:bottom w:val="single" w:color="000000" w:sz="4" w:space="0"/>
              <w:right w:val="single" w:color="000000" w:sz="4" w:space="0"/>
            </w:tcBorders>
            <w:vAlign w:val="center"/>
          </w:tcPr>
          <w:p w14:paraId="7563904E">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阀门</w:t>
            </w:r>
          </w:p>
        </w:tc>
        <w:tc>
          <w:tcPr>
            <w:tcW w:w="1056" w:type="pct"/>
            <w:tcBorders>
              <w:top w:val="single" w:color="000000" w:sz="4" w:space="0"/>
              <w:left w:val="single" w:color="000000" w:sz="4" w:space="0"/>
              <w:bottom w:val="single" w:color="000000" w:sz="4" w:space="0"/>
              <w:right w:val="single" w:color="auto" w:sz="4" w:space="0"/>
            </w:tcBorders>
            <w:vAlign w:val="center"/>
          </w:tcPr>
          <w:p w14:paraId="07A3FA2C">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0.064</w:t>
            </w:r>
          </w:p>
        </w:tc>
        <w:tc>
          <w:tcPr>
            <w:tcW w:w="974" w:type="pct"/>
            <w:tcBorders>
              <w:top w:val="single" w:color="000000" w:sz="4" w:space="0"/>
              <w:left w:val="single" w:color="auto" w:sz="4" w:space="0"/>
              <w:bottom w:val="single" w:color="000000" w:sz="4" w:space="0"/>
              <w:right w:val="single" w:color="auto" w:sz="4" w:space="0"/>
            </w:tcBorders>
            <w:vAlign w:val="center"/>
          </w:tcPr>
          <w:p w14:paraId="38C12AF3">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12</w:t>
            </w:r>
          </w:p>
        </w:tc>
        <w:tc>
          <w:tcPr>
            <w:tcW w:w="1263" w:type="pct"/>
            <w:tcBorders>
              <w:top w:val="single" w:color="000000" w:sz="4" w:space="0"/>
              <w:left w:val="single" w:color="auto" w:sz="4" w:space="0"/>
              <w:bottom w:val="single" w:color="000000" w:sz="4" w:space="0"/>
              <w:right w:val="nil"/>
            </w:tcBorders>
            <w:vAlign w:val="center"/>
          </w:tcPr>
          <w:p w14:paraId="65997242">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0.0182</w:t>
            </w:r>
          </w:p>
        </w:tc>
      </w:tr>
      <w:tr w14:paraId="48572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0725D0F7">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50CE37EC">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法兰</w:t>
            </w:r>
          </w:p>
        </w:tc>
        <w:tc>
          <w:tcPr>
            <w:tcW w:w="1056" w:type="pct"/>
            <w:tcBorders>
              <w:top w:val="single" w:color="000000" w:sz="4" w:space="0"/>
              <w:left w:val="single" w:color="000000" w:sz="4" w:space="0"/>
              <w:bottom w:val="single" w:color="000000" w:sz="4" w:space="0"/>
              <w:right w:val="single" w:color="auto" w:sz="4" w:space="0"/>
            </w:tcBorders>
            <w:vAlign w:val="center"/>
          </w:tcPr>
          <w:p w14:paraId="12442850">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0.085</w:t>
            </w:r>
          </w:p>
        </w:tc>
        <w:tc>
          <w:tcPr>
            <w:tcW w:w="974" w:type="pct"/>
            <w:tcBorders>
              <w:top w:val="single" w:color="000000" w:sz="4" w:space="0"/>
              <w:left w:val="single" w:color="auto" w:sz="4" w:space="0"/>
              <w:bottom w:val="single" w:color="000000" w:sz="4" w:space="0"/>
              <w:right w:val="single" w:color="auto" w:sz="4" w:space="0"/>
            </w:tcBorders>
            <w:vAlign w:val="center"/>
          </w:tcPr>
          <w:p w14:paraId="5BCB34CA">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24</w:t>
            </w:r>
          </w:p>
        </w:tc>
        <w:tc>
          <w:tcPr>
            <w:tcW w:w="1263" w:type="pct"/>
            <w:tcBorders>
              <w:top w:val="single" w:color="000000" w:sz="4" w:space="0"/>
              <w:left w:val="single" w:color="auto" w:sz="4" w:space="0"/>
              <w:bottom w:val="single" w:color="000000" w:sz="4" w:space="0"/>
              <w:right w:val="nil"/>
            </w:tcBorders>
            <w:vAlign w:val="center"/>
          </w:tcPr>
          <w:p w14:paraId="1DB51E46">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0.0485</w:t>
            </w:r>
          </w:p>
        </w:tc>
      </w:tr>
      <w:tr w14:paraId="04A29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01A025BF">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77D4CB0D">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连接件</w:t>
            </w:r>
          </w:p>
        </w:tc>
        <w:tc>
          <w:tcPr>
            <w:tcW w:w="1056" w:type="pct"/>
            <w:tcBorders>
              <w:top w:val="single" w:color="000000" w:sz="4" w:space="0"/>
              <w:left w:val="single" w:color="000000" w:sz="4" w:space="0"/>
              <w:bottom w:val="single" w:color="000000" w:sz="4" w:space="0"/>
              <w:right w:val="single" w:color="auto" w:sz="4" w:space="0"/>
            </w:tcBorders>
            <w:vAlign w:val="center"/>
          </w:tcPr>
          <w:p w14:paraId="397EBA8B">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0.028</w:t>
            </w:r>
          </w:p>
        </w:tc>
        <w:tc>
          <w:tcPr>
            <w:tcW w:w="974" w:type="pct"/>
            <w:tcBorders>
              <w:top w:val="single" w:color="000000" w:sz="4" w:space="0"/>
              <w:left w:val="single" w:color="auto" w:sz="4" w:space="0"/>
              <w:bottom w:val="single" w:color="000000" w:sz="4" w:space="0"/>
              <w:right w:val="single" w:color="auto" w:sz="4" w:space="0"/>
            </w:tcBorders>
            <w:vAlign w:val="center"/>
          </w:tcPr>
          <w:p w14:paraId="4DC73F6F">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144</w:t>
            </w:r>
          </w:p>
        </w:tc>
        <w:tc>
          <w:tcPr>
            <w:tcW w:w="1263" w:type="pct"/>
            <w:tcBorders>
              <w:top w:val="single" w:color="000000" w:sz="4" w:space="0"/>
              <w:left w:val="single" w:color="auto" w:sz="4" w:space="0"/>
              <w:bottom w:val="single" w:color="000000" w:sz="4" w:space="0"/>
              <w:right w:val="nil"/>
            </w:tcBorders>
            <w:vAlign w:val="center"/>
          </w:tcPr>
          <w:p w14:paraId="6FD97677">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0.0958</w:t>
            </w:r>
          </w:p>
        </w:tc>
      </w:tr>
      <w:tr w14:paraId="354372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7" w:type="pct"/>
            <w:vMerge w:val="continue"/>
            <w:tcBorders>
              <w:left w:val="nil"/>
              <w:right w:val="single" w:color="auto" w:sz="4" w:space="0"/>
            </w:tcBorders>
            <w:vAlign w:val="center"/>
          </w:tcPr>
          <w:p w14:paraId="11A98403">
            <w:pPr>
              <w:pStyle w:val="322"/>
              <w:adjustRightInd w:val="0"/>
              <w:snapToGrid w:val="0"/>
              <w:spacing w:line="300" w:lineRule="exact"/>
              <w:rPr>
                <w:rFonts w:hint="eastAsia" w:cs="宋体"/>
                <w:snapToGrid w:val="0"/>
                <w:color w:val="auto"/>
                <w:w w:val="100"/>
                <w:kern w:val="0"/>
                <w:sz w:val="21"/>
                <w:szCs w:val="21"/>
              </w:rPr>
            </w:pPr>
          </w:p>
        </w:tc>
        <w:tc>
          <w:tcPr>
            <w:tcW w:w="730" w:type="pct"/>
            <w:tcBorders>
              <w:top w:val="single" w:color="000000" w:sz="4" w:space="0"/>
              <w:left w:val="single" w:color="auto" w:sz="4" w:space="0"/>
              <w:bottom w:val="single" w:color="000000" w:sz="4" w:space="0"/>
              <w:right w:val="single" w:color="000000" w:sz="4" w:space="0"/>
            </w:tcBorders>
            <w:vAlign w:val="center"/>
          </w:tcPr>
          <w:p w14:paraId="2F3A1EC3">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小计</w:t>
            </w:r>
          </w:p>
        </w:tc>
        <w:tc>
          <w:tcPr>
            <w:tcW w:w="1056" w:type="pct"/>
            <w:tcBorders>
              <w:top w:val="single" w:color="000000" w:sz="4" w:space="0"/>
              <w:left w:val="single" w:color="000000" w:sz="4" w:space="0"/>
              <w:bottom w:val="single" w:color="000000" w:sz="4" w:space="0"/>
              <w:right w:val="single" w:color="auto" w:sz="4" w:space="0"/>
            </w:tcBorders>
            <w:vAlign w:val="center"/>
          </w:tcPr>
          <w:p w14:paraId="63BAF71B">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w:t>
            </w:r>
          </w:p>
        </w:tc>
        <w:tc>
          <w:tcPr>
            <w:tcW w:w="974" w:type="pct"/>
            <w:tcBorders>
              <w:top w:val="single" w:color="000000" w:sz="4" w:space="0"/>
              <w:left w:val="single" w:color="auto" w:sz="4" w:space="0"/>
              <w:bottom w:val="single" w:color="000000" w:sz="4" w:space="0"/>
              <w:right w:val="single" w:color="auto" w:sz="4" w:space="0"/>
            </w:tcBorders>
            <w:vAlign w:val="center"/>
          </w:tcPr>
          <w:p w14:paraId="16A69F9A">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w:t>
            </w:r>
          </w:p>
        </w:tc>
        <w:tc>
          <w:tcPr>
            <w:tcW w:w="1263" w:type="pct"/>
            <w:tcBorders>
              <w:top w:val="single" w:color="000000" w:sz="4" w:space="0"/>
              <w:left w:val="single" w:color="auto" w:sz="4" w:space="0"/>
              <w:bottom w:val="single" w:color="000000" w:sz="4" w:space="0"/>
              <w:right w:val="nil"/>
            </w:tcBorders>
            <w:vAlign w:val="center"/>
          </w:tcPr>
          <w:p w14:paraId="114593CA">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0.1625</w:t>
            </w:r>
          </w:p>
        </w:tc>
      </w:tr>
      <w:bookmarkEnd w:id="275"/>
      <w:bookmarkEnd w:id="278"/>
    </w:tbl>
    <w:p w14:paraId="6DEB51FA">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※硫化氢</w:t>
      </w:r>
    </w:p>
    <w:p w14:paraId="19FACBA6">
      <w:pPr>
        <w:adjustRightInd w:val="0"/>
        <w:snapToGrid w:val="0"/>
        <w:spacing w:line="500" w:lineRule="exact"/>
        <w:ind w:firstLine="480" w:firstLineChars="200"/>
        <w:jc w:val="left"/>
        <w:textAlignment w:val="baseline"/>
      </w:pPr>
      <w:r>
        <w:rPr>
          <w:rFonts w:hint="eastAsia" w:ascii="宋体" w:hAnsi="宋体"/>
          <w:kern w:val="0"/>
          <w:sz w:val="24"/>
        </w:rPr>
        <w:t>根据伴生气性质可知，伴生气硫化氢的浓度在0～254ppm，本次按照不利因素考虑，伴生气中硫化氢的浓度为0～254ppm（353mg/m</w:t>
      </w:r>
      <w:r>
        <w:rPr>
          <w:rFonts w:hint="eastAsia" w:ascii="宋体" w:hAnsi="宋体"/>
          <w:kern w:val="0"/>
          <w:sz w:val="24"/>
          <w:vertAlign w:val="superscript"/>
        </w:rPr>
        <w:t>3</w:t>
      </w:r>
      <w:r>
        <w:rPr>
          <w:rFonts w:hint="eastAsia" w:ascii="宋体" w:hAnsi="宋体"/>
          <w:kern w:val="0"/>
          <w:sz w:val="24"/>
        </w:rPr>
        <w:t>），本次按照不利因素考虑，硫化氢浓度取值为254ppm（353mg/m</w:t>
      </w:r>
      <w:r>
        <w:rPr>
          <w:rFonts w:hint="eastAsia" w:ascii="宋体" w:hAnsi="宋体"/>
          <w:kern w:val="0"/>
          <w:sz w:val="24"/>
          <w:vertAlign w:val="superscript"/>
        </w:rPr>
        <w:t>3</w:t>
      </w:r>
      <w:r>
        <w:rPr>
          <w:rFonts w:hint="eastAsia" w:ascii="宋体" w:hAnsi="宋体"/>
          <w:kern w:val="0"/>
          <w:sz w:val="24"/>
        </w:rPr>
        <w:t>）；根据井口采出物中硫化氢含量以及通过阀门、法兰等逸散的无组织废气计算出采油平台硫化氢的产生量，详见表3.3-6。</w:t>
      </w:r>
    </w:p>
    <w:p w14:paraId="30A6D77E">
      <w:pPr>
        <w:pStyle w:val="109"/>
        <w:rPr>
          <w:rFonts w:hint="eastAsia"/>
        </w:rPr>
      </w:pPr>
      <w:r>
        <w:rPr>
          <w:rFonts w:hint="eastAsia"/>
        </w:rPr>
        <w:t>表</w:t>
      </w:r>
      <w:r>
        <w:t>3.3</w:t>
      </w:r>
      <w:r>
        <w:rPr>
          <w:rFonts w:hint="eastAsia"/>
        </w:rPr>
        <w:t>-6</w:t>
      </w:r>
      <w:r>
        <w:t xml:space="preserve">  </w:t>
      </w:r>
      <w:r>
        <w:rPr>
          <w:rFonts w:hint="eastAsia"/>
        </w:rPr>
        <w:t>硫化氢产生情况一览表</w:t>
      </w:r>
    </w:p>
    <w:tbl>
      <w:tblPr>
        <w:tblStyle w:val="51"/>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61"/>
        <w:gridCol w:w="1451"/>
        <w:gridCol w:w="1598"/>
        <w:gridCol w:w="1313"/>
        <w:gridCol w:w="1823"/>
      </w:tblGrid>
      <w:tr w14:paraId="6E419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543" w:type="pct"/>
            <w:tcBorders>
              <w:top w:val="single" w:color="000000" w:sz="12" w:space="0"/>
              <w:left w:val="nil"/>
              <w:bottom w:val="single" w:color="000000" w:sz="4" w:space="0"/>
              <w:right w:val="single" w:color="auto" w:sz="4" w:space="0"/>
            </w:tcBorders>
            <w:vAlign w:val="center"/>
          </w:tcPr>
          <w:p w14:paraId="0BA5C455">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平台号</w:t>
            </w:r>
          </w:p>
        </w:tc>
        <w:tc>
          <w:tcPr>
            <w:tcW w:w="811" w:type="pct"/>
            <w:tcBorders>
              <w:top w:val="single" w:color="000000" w:sz="12" w:space="0"/>
              <w:left w:val="single" w:color="000000" w:sz="4" w:space="0"/>
              <w:bottom w:val="single" w:color="000000" w:sz="4" w:space="0"/>
              <w:right w:val="single" w:color="auto" w:sz="4" w:space="0"/>
            </w:tcBorders>
            <w:vAlign w:val="center"/>
          </w:tcPr>
          <w:p w14:paraId="3ABFA344">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硫化氢含量（mg/m</w:t>
            </w:r>
            <w:r>
              <w:rPr>
                <w:rFonts w:hint="eastAsia" w:cs="宋体"/>
                <w:bCs/>
                <w:snapToGrid w:val="0"/>
                <w:color w:val="auto"/>
                <w:w w:val="100"/>
                <w:kern w:val="0"/>
                <w:sz w:val="21"/>
                <w:szCs w:val="21"/>
                <w:vertAlign w:val="superscript"/>
              </w:rPr>
              <w:t>3</w:t>
            </w:r>
            <w:r>
              <w:rPr>
                <w:rFonts w:hint="eastAsia" w:cs="宋体"/>
                <w:bCs/>
                <w:snapToGrid w:val="0"/>
                <w:color w:val="auto"/>
                <w:w w:val="100"/>
                <w:kern w:val="0"/>
                <w:sz w:val="21"/>
                <w:szCs w:val="21"/>
              </w:rPr>
              <w:t>）</w:t>
            </w:r>
          </w:p>
        </w:tc>
        <w:tc>
          <w:tcPr>
            <w:tcW w:w="893" w:type="pct"/>
            <w:tcBorders>
              <w:top w:val="single" w:color="000000" w:sz="12" w:space="0"/>
              <w:left w:val="single" w:color="auto" w:sz="4" w:space="0"/>
              <w:bottom w:val="single" w:color="000000" w:sz="4" w:space="0"/>
              <w:right w:val="single" w:color="auto" w:sz="4" w:space="0"/>
            </w:tcBorders>
            <w:vAlign w:val="center"/>
          </w:tcPr>
          <w:p w14:paraId="180674F2">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无组织废气产生量</w:t>
            </w:r>
            <w:r>
              <w:rPr>
                <w:rFonts w:hint="eastAsia" w:cs="宋体"/>
                <w:snapToGrid w:val="0"/>
                <w:color w:val="auto"/>
                <w:w w:val="100"/>
                <w:kern w:val="0"/>
                <w:sz w:val="21"/>
                <w:szCs w:val="21"/>
              </w:rPr>
              <w:t>（t/a）</w:t>
            </w:r>
          </w:p>
        </w:tc>
        <w:tc>
          <w:tcPr>
            <w:tcW w:w="734" w:type="pct"/>
            <w:tcBorders>
              <w:top w:val="single" w:color="000000" w:sz="12" w:space="0"/>
              <w:left w:val="single" w:color="auto" w:sz="4" w:space="0"/>
              <w:bottom w:val="single" w:color="000000" w:sz="4" w:space="0"/>
              <w:right w:val="single" w:color="auto" w:sz="4" w:space="0"/>
            </w:tcBorders>
            <w:vAlign w:val="center"/>
          </w:tcPr>
          <w:p w14:paraId="1A62D78B">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天然气泄漏量（t/a）</w:t>
            </w:r>
          </w:p>
        </w:tc>
        <w:tc>
          <w:tcPr>
            <w:tcW w:w="1019" w:type="pct"/>
            <w:tcBorders>
              <w:top w:val="single" w:color="000000" w:sz="12" w:space="0"/>
              <w:left w:val="single" w:color="auto" w:sz="4" w:space="0"/>
              <w:bottom w:val="single" w:color="000000" w:sz="4" w:space="0"/>
              <w:right w:val="nil"/>
            </w:tcBorders>
            <w:vAlign w:val="center"/>
          </w:tcPr>
          <w:p w14:paraId="4AC121FC">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硫化氢产生量（kg/a）</w:t>
            </w:r>
          </w:p>
        </w:tc>
      </w:tr>
      <w:tr w14:paraId="2AB29F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543" w:type="pct"/>
            <w:tcBorders>
              <w:left w:val="nil"/>
              <w:right w:val="single" w:color="auto" w:sz="4" w:space="0"/>
            </w:tcBorders>
            <w:vAlign w:val="center"/>
          </w:tcPr>
          <w:p w14:paraId="647C48C4">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17号采油平台</w:t>
            </w:r>
          </w:p>
        </w:tc>
        <w:tc>
          <w:tcPr>
            <w:tcW w:w="811" w:type="pct"/>
            <w:tcBorders>
              <w:top w:val="single" w:color="000000" w:sz="4" w:space="0"/>
              <w:left w:val="single" w:color="000000" w:sz="4" w:space="0"/>
              <w:bottom w:val="single" w:color="000000" w:sz="4" w:space="0"/>
              <w:right w:val="single" w:color="auto" w:sz="4" w:space="0"/>
            </w:tcBorders>
            <w:vAlign w:val="center"/>
          </w:tcPr>
          <w:p w14:paraId="35A52A3E">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353</w:t>
            </w:r>
          </w:p>
        </w:tc>
        <w:tc>
          <w:tcPr>
            <w:tcW w:w="893" w:type="pct"/>
            <w:tcBorders>
              <w:top w:val="single" w:color="000000" w:sz="4" w:space="0"/>
              <w:left w:val="single" w:color="auto" w:sz="4" w:space="0"/>
              <w:bottom w:val="single" w:color="000000" w:sz="4" w:space="0"/>
              <w:right w:val="single" w:color="auto" w:sz="4" w:space="0"/>
            </w:tcBorders>
            <w:vAlign w:val="center"/>
          </w:tcPr>
          <w:p w14:paraId="1C5252CF">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0.3386</w:t>
            </w:r>
          </w:p>
        </w:tc>
        <w:tc>
          <w:tcPr>
            <w:tcW w:w="734" w:type="pct"/>
            <w:tcBorders>
              <w:top w:val="single" w:color="000000" w:sz="4" w:space="0"/>
              <w:left w:val="single" w:color="auto" w:sz="4" w:space="0"/>
              <w:bottom w:val="single" w:color="000000" w:sz="4" w:space="0"/>
              <w:right w:val="single" w:color="auto" w:sz="4" w:space="0"/>
            </w:tcBorders>
            <w:vAlign w:val="center"/>
          </w:tcPr>
          <w:p w14:paraId="0C3E1F6C">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1.0205</w:t>
            </w:r>
          </w:p>
        </w:tc>
        <w:tc>
          <w:tcPr>
            <w:tcW w:w="1019" w:type="pct"/>
            <w:tcBorders>
              <w:top w:val="single" w:color="000000" w:sz="4" w:space="0"/>
              <w:left w:val="single" w:color="auto" w:sz="4" w:space="0"/>
              <w:bottom w:val="single" w:color="000000" w:sz="4" w:space="0"/>
              <w:right w:val="nil"/>
            </w:tcBorders>
            <w:vAlign w:val="center"/>
          </w:tcPr>
          <w:p w14:paraId="1D3F9137">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0.3305</w:t>
            </w:r>
          </w:p>
        </w:tc>
      </w:tr>
      <w:tr w14:paraId="5059D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543" w:type="pct"/>
            <w:tcBorders>
              <w:left w:val="nil"/>
              <w:right w:val="single" w:color="auto" w:sz="4" w:space="0"/>
            </w:tcBorders>
            <w:vAlign w:val="center"/>
          </w:tcPr>
          <w:p w14:paraId="27467CDA">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17号采油平台计量拉油站</w:t>
            </w:r>
          </w:p>
        </w:tc>
        <w:tc>
          <w:tcPr>
            <w:tcW w:w="811" w:type="pct"/>
            <w:tcBorders>
              <w:top w:val="single" w:color="000000" w:sz="4" w:space="0"/>
              <w:left w:val="single" w:color="000000" w:sz="4" w:space="0"/>
              <w:bottom w:val="single" w:color="000000" w:sz="4" w:space="0"/>
              <w:right w:val="single" w:color="auto" w:sz="4" w:space="0"/>
            </w:tcBorders>
            <w:vAlign w:val="center"/>
          </w:tcPr>
          <w:p w14:paraId="1C02E871">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353</w:t>
            </w:r>
          </w:p>
        </w:tc>
        <w:tc>
          <w:tcPr>
            <w:tcW w:w="893" w:type="pct"/>
            <w:tcBorders>
              <w:top w:val="single" w:color="000000" w:sz="4" w:space="0"/>
              <w:left w:val="single" w:color="auto" w:sz="4" w:space="0"/>
              <w:bottom w:val="single" w:color="000000" w:sz="4" w:space="0"/>
              <w:right w:val="single" w:color="auto" w:sz="4" w:space="0"/>
            </w:tcBorders>
            <w:vAlign w:val="center"/>
          </w:tcPr>
          <w:p w14:paraId="369BF4F1">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0.1625</w:t>
            </w:r>
          </w:p>
        </w:tc>
        <w:tc>
          <w:tcPr>
            <w:tcW w:w="734" w:type="pct"/>
            <w:tcBorders>
              <w:top w:val="single" w:color="000000" w:sz="4" w:space="0"/>
              <w:left w:val="single" w:color="auto" w:sz="4" w:space="0"/>
              <w:bottom w:val="single" w:color="000000" w:sz="4" w:space="0"/>
              <w:right w:val="single" w:color="auto" w:sz="4" w:space="0"/>
            </w:tcBorders>
            <w:vAlign w:val="center"/>
          </w:tcPr>
          <w:p w14:paraId="3FD6E909">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0.4898</w:t>
            </w:r>
          </w:p>
        </w:tc>
        <w:tc>
          <w:tcPr>
            <w:tcW w:w="1019" w:type="pct"/>
            <w:tcBorders>
              <w:top w:val="single" w:color="000000" w:sz="4" w:space="0"/>
              <w:left w:val="single" w:color="auto" w:sz="4" w:space="0"/>
              <w:bottom w:val="single" w:color="000000" w:sz="4" w:space="0"/>
              <w:right w:val="nil"/>
            </w:tcBorders>
            <w:vAlign w:val="center"/>
          </w:tcPr>
          <w:p w14:paraId="18109CBE">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0.1586</w:t>
            </w:r>
          </w:p>
        </w:tc>
      </w:tr>
      <w:tr w14:paraId="0467A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543" w:type="pct"/>
            <w:tcBorders>
              <w:left w:val="nil"/>
              <w:right w:val="single" w:color="auto" w:sz="4" w:space="0"/>
            </w:tcBorders>
            <w:vAlign w:val="center"/>
          </w:tcPr>
          <w:p w14:paraId="75964919">
            <w:pPr>
              <w:pStyle w:val="322"/>
              <w:adjustRightInd w:val="0"/>
              <w:snapToGrid w:val="0"/>
              <w:spacing w:line="300" w:lineRule="exact"/>
              <w:rPr>
                <w:rFonts w:hint="eastAsia" w:cs="宋体"/>
                <w:snapToGrid w:val="0"/>
                <w:color w:val="auto"/>
                <w:w w:val="100"/>
                <w:kern w:val="0"/>
                <w:sz w:val="21"/>
                <w:szCs w:val="21"/>
              </w:rPr>
            </w:pPr>
            <w:r>
              <w:rPr>
                <w:rFonts w:hint="eastAsia" w:cs="宋体"/>
                <w:snapToGrid w:val="0"/>
                <w:color w:val="auto"/>
                <w:w w:val="100"/>
                <w:kern w:val="0"/>
                <w:sz w:val="21"/>
                <w:szCs w:val="21"/>
              </w:rPr>
              <w:t>合计</w:t>
            </w:r>
          </w:p>
        </w:tc>
        <w:tc>
          <w:tcPr>
            <w:tcW w:w="811" w:type="pct"/>
            <w:tcBorders>
              <w:top w:val="single" w:color="000000" w:sz="4" w:space="0"/>
              <w:left w:val="single" w:color="000000" w:sz="4" w:space="0"/>
              <w:bottom w:val="single" w:color="000000" w:sz="4" w:space="0"/>
              <w:right w:val="single" w:color="auto" w:sz="4" w:space="0"/>
            </w:tcBorders>
            <w:vAlign w:val="center"/>
          </w:tcPr>
          <w:p w14:paraId="217F33CD">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w:t>
            </w:r>
          </w:p>
        </w:tc>
        <w:tc>
          <w:tcPr>
            <w:tcW w:w="893" w:type="pct"/>
            <w:tcBorders>
              <w:top w:val="single" w:color="000000" w:sz="4" w:space="0"/>
              <w:left w:val="single" w:color="auto" w:sz="4" w:space="0"/>
              <w:bottom w:val="single" w:color="000000" w:sz="4" w:space="0"/>
              <w:right w:val="single" w:color="auto" w:sz="4" w:space="0"/>
            </w:tcBorders>
            <w:vAlign w:val="center"/>
          </w:tcPr>
          <w:p w14:paraId="27F312B8">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0.5011</w:t>
            </w:r>
          </w:p>
        </w:tc>
        <w:tc>
          <w:tcPr>
            <w:tcW w:w="734" w:type="pct"/>
            <w:tcBorders>
              <w:top w:val="single" w:color="000000" w:sz="4" w:space="0"/>
              <w:left w:val="single" w:color="auto" w:sz="4" w:space="0"/>
              <w:bottom w:val="single" w:color="000000" w:sz="4" w:space="0"/>
              <w:right w:val="single" w:color="auto" w:sz="4" w:space="0"/>
            </w:tcBorders>
            <w:vAlign w:val="center"/>
          </w:tcPr>
          <w:p w14:paraId="3321EF1E">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1.5102</w:t>
            </w:r>
          </w:p>
        </w:tc>
        <w:tc>
          <w:tcPr>
            <w:tcW w:w="1019" w:type="pct"/>
            <w:tcBorders>
              <w:top w:val="single" w:color="000000" w:sz="4" w:space="0"/>
              <w:left w:val="single" w:color="auto" w:sz="4" w:space="0"/>
              <w:bottom w:val="single" w:color="000000" w:sz="4" w:space="0"/>
              <w:right w:val="nil"/>
            </w:tcBorders>
            <w:vAlign w:val="center"/>
          </w:tcPr>
          <w:p w14:paraId="37DF164F">
            <w:pPr>
              <w:pStyle w:val="322"/>
              <w:adjustRightInd w:val="0"/>
              <w:snapToGrid w:val="0"/>
              <w:spacing w:line="300" w:lineRule="exact"/>
              <w:rPr>
                <w:rFonts w:hint="eastAsia" w:cs="宋体"/>
                <w:bCs/>
                <w:snapToGrid w:val="0"/>
                <w:color w:val="auto"/>
                <w:w w:val="100"/>
                <w:kern w:val="0"/>
                <w:sz w:val="21"/>
                <w:szCs w:val="21"/>
              </w:rPr>
            </w:pPr>
            <w:r>
              <w:rPr>
                <w:rFonts w:hint="eastAsia" w:cs="宋体"/>
                <w:bCs/>
                <w:snapToGrid w:val="0"/>
                <w:color w:val="auto"/>
                <w:w w:val="100"/>
                <w:kern w:val="0"/>
                <w:sz w:val="21"/>
                <w:szCs w:val="21"/>
              </w:rPr>
              <w:t>0.4891</w:t>
            </w:r>
          </w:p>
        </w:tc>
      </w:tr>
    </w:tbl>
    <w:p w14:paraId="7B84172A">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②</w:t>
      </w:r>
      <w:bookmarkStart w:id="279" w:name="OLE_LINK2"/>
      <w:r>
        <w:rPr>
          <w:rFonts w:hint="eastAsia" w:ascii="宋体" w:hAnsi="宋体"/>
          <w:kern w:val="0"/>
          <w:sz w:val="24"/>
        </w:rPr>
        <w:t>拉油方罐</w:t>
      </w:r>
      <w:bookmarkEnd w:id="279"/>
      <w:r>
        <w:rPr>
          <w:rFonts w:hint="eastAsia" w:ascii="宋体" w:hAnsi="宋体"/>
          <w:kern w:val="0"/>
          <w:sz w:val="24"/>
        </w:rPr>
        <w:t>无组织挥发性有机物</w:t>
      </w:r>
    </w:p>
    <w:p w14:paraId="04E79049">
      <w:pPr>
        <w:pStyle w:val="117"/>
        <w:spacing w:line="480" w:lineRule="exact"/>
        <w:ind w:firstLine="480"/>
        <w:rPr>
          <w:rFonts w:hint="eastAsia"/>
        </w:rPr>
      </w:pPr>
      <w:bookmarkStart w:id="280" w:name="OLE_LINK9"/>
      <w:r>
        <w:rPr>
          <w:rFonts w:hint="eastAsia"/>
        </w:rPr>
        <w:t>拉油方罐均采用固定顶罐，</w:t>
      </w:r>
      <w:bookmarkEnd w:id="280"/>
      <w:r>
        <w:rPr>
          <w:rFonts w:hint="eastAsia"/>
        </w:rPr>
        <w:t>拉油方罐产生的无组织废气目前无相应的源强核算技术指南，本次参照《石化行业VOCs污染源排查工作指南》中固定顶罐的损耗公式进行计算，固定顶罐的总损耗是静置损耗与工作损耗的总和：</w:t>
      </w:r>
    </w:p>
    <w:p w14:paraId="55FBE89A">
      <w:pPr>
        <w:adjustRightInd w:val="0"/>
        <w:snapToGrid w:val="0"/>
        <w:spacing w:line="500" w:lineRule="exact"/>
        <w:jc w:val="center"/>
        <w:textAlignment w:val="baseline"/>
        <w:rPr>
          <w:rFonts w:hint="eastAsia" w:ascii="宋体" w:hAnsi="宋体" w:cs="楷体"/>
          <w:kern w:val="0"/>
          <w:sz w:val="24"/>
          <w:szCs w:val="24"/>
        </w:rPr>
      </w:pPr>
      <w:r>
        <w:rPr>
          <w:rFonts w:hint="eastAsia" w:ascii="宋体" w:hAnsi="宋体" w:cs="楷体"/>
          <w:kern w:val="0"/>
          <w:sz w:val="24"/>
          <w:szCs w:val="24"/>
        </w:rPr>
        <w:t>L</w:t>
      </w:r>
      <w:bookmarkStart w:id="281" w:name="OLE_LINK14"/>
      <w:r>
        <w:rPr>
          <w:rFonts w:hint="eastAsia" w:ascii="宋体" w:hAnsi="宋体" w:cs="楷体"/>
          <w:kern w:val="0"/>
          <w:sz w:val="24"/>
          <w:szCs w:val="24"/>
          <w:vertAlign w:val="subscript"/>
        </w:rPr>
        <w:t>T</w:t>
      </w:r>
      <w:bookmarkEnd w:id="281"/>
      <w:r>
        <w:rPr>
          <w:rFonts w:hint="eastAsia" w:ascii="宋体" w:hAnsi="宋体" w:cs="楷体"/>
          <w:kern w:val="0"/>
          <w:sz w:val="24"/>
          <w:szCs w:val="24"/>
        </w:rPr>
        <w:t>=L</w:t>
      </w:r>
      <w:bookmarkStart w:id="282" w:name="OLE_LINK16"/>
      <w:r>
        <w:rPr>
          <w:rFonts w:hint="eastAsia" w:ascii="宋体" w:hAnsi="宋体" w:cs="楷体"/>
          <w:kern w:val="0"/>
          <w:sz w:val="24"/>
          <w:szCs w:val="24"/>
          <w:vertAlign w:val="subscript"/>
        </w:rPr>
        <w:t>S</w:t>
      </w:r>
      <w:bookmarkEnd w:id="282"/>
      <w:r>
        <w:rPr>
          <w:rFonts w:hint="eastAsia" w:ascii="宋体" w:hAnsi="宋体" w:cs="楷体"/>
          <w:kern w:val="0"/>
          <w:sz w:val="24"/>
          <w:szCs w:val="24"/>
        </w:rPr>
        <w:t>+L</w:t>
      </w:r>
      <w:r>
        <w:rPr>
          <w:rFonts w:hint="eastAsia" w:ascii="宋体" w:hAnsi="宋体" w:cs="楷体"/>
          <w:kern w:val="0"/>
          <w:sz w:val="24"/>
          <w:szCs w:val="24"/>
          <w:vertAlign w:val="subscript"/>
        </w:rPr>
        <w:t>W</w:t>
      </w:r>
    </w:p>
    <w:p w14:paraId="625A4779">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式中：</w:t>
      </w:r>
      <w:r>
        <w:rPr>
          <w:rFonts w:ascii="宋体" w:hAnsi="宋体" w:cs="楷体"/>
          <w:kern w:val="0"/>
          <w:sz w:val="24"/>
          <w:szCs w:val="24"/>
        </w:rPr>
        <w:t>L</w:t>
      </w:r>
      <w:bookmarkStart w:id="283" w:name="OLE_LINK18"/>
      <w:r>
        <w:rPr>
          <w:rFonts w:ascii="宋体" w:hAnsi="宋体" w:cs="楷体"/>
          <w:kern w:val="0"/>
          <w:sz w:val="24"/>
          <w:szCs w:val="24"/>
          <w:vertAlign w:val="subscript"/>
        </w:rPr>
        <w:t>T</w:t>
      </w:r>
      <w:bookmarkEnd w:id="283"/>
      <w:bookmarkStart w:id="284" w:name="OLE_LINK22"/>
      <w:r>
        <w:rPr>
          <w:rFonts w:hint="eastAsia" w:ascii="宋体" w:hAnsi="宋体" w:cs="楷体"/>
          <w:kern w:val="0"/>
          <w:sz w:val="24"/>
          <w:szCs w:val="24"/>
        </w:rPr>
        <w:t>——</w:t>
      </w:r>
      <w:bookmarkEnd w:id="284"/>
      <w:r>
        <w:rPr>
          <w:rFonts w:hint="eastAsia" w:ascii="宋体" w:hAnsi="宋体" w:cs="楷体"/>
          <w:kern w:val="0"/>
          <w:sz w:val="24"/>
          <w:szCs w:val="24"/>
        </w:rPr>
        <w:t>总损失，</w:t>
      </w:r>
      <w:r>
        <w:rPr>
          <w:rFonts w:ascii="宋体" w:hAnsi="宋体" w:cs="楷体"/>
          <w:kern w:val="0"/>
          <w:sz w:val="24"/>
          <w:szCs w:val="24"/>
        </w:rPr>
        <w:t>lb/a</w:t>
      </w:r>
      <w:r>
        <w:rPr>
          <w:rFonts w:hint="eastAsia" w:ascii="宋体" w:hAnsi="宋体" w:cs="楷体"/>
          <w:kern w:val="0"/>
          <w:sz w:val="24"/>
          <w:szCs w:val="24"/>
        </w:rPr>
        <w:t>；</w:t>
      </w:r>
    </w:p>
    <w:p w14:paraId="6203BBBA">
      <w:pPr>
        <w:adjustRightInd w:val="0"/>
        <w:snapToGrid w:val="0"/>
        <w:spacing w:line="500" w:lineRule="exact"/>
        <w:ind w:firstLine="1200" w:firstLineChars="500"/>
        <w:jc w:val="left"/>
        <w:textAlignment w:val="baseline"/>
        <w:rPr>
          <w:rFonts w:hint="eastAsia" w:ascii="宋体" w:hAnsi="宋体" w:cs="楷体"/>
          <w:kern w:val="0"/>
          <w:sz w:val="24"/>
          <w:szCs w:val="24"/>
        </w:rPr>
      </w:pPr>
      <w:bookmarkStart w:id="285" w:name="OLE_LINK48"/>
      <w:r>
        <w:rPr>
          <w:rFonts w:ascii="宋体" w:hAnsi="宋体" w:cs="楷体"/>
          <w:kern w:val="0"/>
          <w:sz w:val="24"/>
          <w:szCs w:val="24"/>
        </w:rPr>
        <w:t>L</w:t>
      </w:r>
      <w:r>
        <w:rPr>
          <w:rFonts w:ascii="宋体" w:hAnsi="宋体" w:cs="楷体"/>
          <w:kern w:val="0"/>
          <w:sz w:val="24"/>
          <w:szCs w:val="24"/>
          <w:vertAlign w:val="subscript"/>
        </w:rPr>
        <w:t>S</w:t>
      </w:r>
      <w:bookmarkEnd w:id="285"/>
      <w:r>
        <w:rPr>
          <w:rFonts w:hint="eastAsia" w:ascii="宋体" w:hAnsi="宋体" w:cs="楷体"/>
          <w:kern w:val="0"/>
          <w:sz w:val="24"/>
          <w:szCs w:val="24"/>
        </w:rPr>
        <w:t>——静置储藏损失，</w:t>
      </w:r>
      <w:r>
        <w:rPr>
          <w:rFonts w:ascii="宋体" w:hAnsi="宋体" w:cs="楷体"/>
          <w:kern w:val="0"/>
          <w:sz w:val="24"/>
          <w:szCs w:val="24"/>
        </w:rPr>
        <w:t>lb/a</w:t>
      </w:r>
      <w:bookmarkStart w:id="286" w:name="OLE_LINK17"/>
      <w:r>
        <w:rPr>
          <w:rFonts w:hint="eastAsia" w:ascii="宋体" w:hAnsi="宋体" w:cs="楷体"/>
          <w:kern w:val="0"/>
          <w:sz w:val="24"/>
          <w:szCs w:val="24"/>
        </w:rPr>
        <w:t>；</w:t>
      </w:r>
    </w:p>
    <w:bookmarkEnd w:id="286"/>
    <w:p w14:paraId="69DE108B">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L</w:t>
      </w:r>
      <w:r>
        <w:rPr>
          <w:rFonts w:ascii="宋体" w:hAnsi="宋体" w:cs="楷体"/>
          <w:kern w:val="0"/>
          <w:sz w:val="24"/>
          <w:szCs w:val="24"/>
          <w:vertAlign w:val="subscript"/>
        </w:rPr>
        <w:t>W</w:t>
      </w:r>
      <w:r>
        <w:rPr>
          <w:rFonts w:hint="eastAsia" w:ascii="宋体" w:hAnsi="宋体" w:cs="楷体"/>
          <w:kern w:val="0"/>
          <w:sz w:val="24"/>
          <w:szCs w:val="24"/>
        </w:rPr>
        <w:t>——工作损失，</w:t>
      </w:r>
      <w:r>
        <w:rPr>
          <w:rFonts w:ascii="宋体" w:hAnsi="宋体" w:cs="楷体"/>
          <w:kern w:val="0"/>
          <w:sz w:val="24"/>
          <w:szCs w:val="24"/>
        </w:rPr>
        <w:t>lb/a</w:t>
      </w:r>
      <w:r>
        <w:rPr>
          <w:rFonts w:hint="eastAsia" w:ascii="宋体" w:hAnsi="宋体" w:cs="楷体"/>
          <w:kern w:val="0"/>
          <w:sz w:val="24"/>
          <w:szCs w:val="24"/>
        </w:rPr>
        <w:t>；</w:t>
      </w:r>
    </w:p>
    <w:p w14:paraId="2765DEDF">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※静置储藏损耗</w:t>
      </w:r>
      <w:bookmarkStart w:id="287" w:name="OLE_LINK24"/>
    </w:p>
    <w:bookmarkEnd w:id="287"/>
    <w:p w14:paraId="12E3089D">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静置储藏损耗L</w:t>
      </w:r>
      <w:r>
        <w:rPr>
          <w:rFonts w:hint="eastAsia" w:ascii="宋体" w:hAnsi="宋体" w:cs="楷体"/>
          <w:kern w:val="0"/>
          <w:sz w:val="24"/>
          <w:szCs w:val="24"/>
          <w:vertAlign w:val="subscript"/>
        </w:rPr>
        <w:t>S</w:t>
      </w:r>
      <w:r>
        <w:rPr>
          <w:rFonts w:hint="eastAsia" w:ascii="宋体" w:hAnsi="宋体" w:cs="楷体"/>
          <w:kern w:val="0"/>
          <w:sz w:val="24"/>
          <w:szCs w:val="24"/>
        </w:rPr>
        <w:t xml:space="preserve">是指由于罐体气相空间呼吸导致的储存气相损耗。其计算公式如下：                      </w:t>
      </w:r>
      <w:r>
        <w:rPr>
          <w:rFonts w:ascii="宋体" w:hAnsi="宋体" w:cs="楷体"/>
          <w:kern w:val="0"/>
          <w:sz w:val="24"/>
          <w:szCs w:val="24"/>
        </w:rPr>
        <w:t>L</w:t>
      </w:r>
      <w:r>
        <w:rPr>
          <w:rFonts w:ascii="宋体" w:hAnsi="宋体" w:cs="楷体"/>
          <w:kern w:val="0"/>
          <w:sz w:val="24"/>
          <w:szCs w:val="24"/>
          <w:vertAlign w:val="subscript"/>
        </w:rPr>
        <w:t>S</w:t>
      </w:r>
      <w:r>
        <w:rPr>
          <w:rFonts w:hint="eastAsia" w:ascii="宋体" w:hAnsi="宋体" w:cs="楷体"/>
          <w:kern w:val="0"/>
          <w:sz w:val="24"/>
          <w:szCs w:val="24"/>
        </w:rPr>
        <w:t>=365V</w:t>
      </w:r>
      <w:r>
        <w:rPr>
          <w:rFonts w:hint="eastAsia" w:ascii="宋体" w:hAnsi="宋体" w:cs="楷体"/>
          <w:kern w:val="0"/>
          <w:sz w:val="24"/>
          <w:szCs w:val="24"/>
          <w:vertAlign w:val="subscript"/>
        </w:rPr>
        <w:t>V</w:t>
      </w:r>
      <w:r>
        <w:rPr>
          <w:rFonts w:hint="eastAsia" w:ascii="宋体" w:hAnsi="宋体" w:cs="楷体"/>
          <w:kern w:val="0"/>
          <w:sz w:val="24"/>
          <w:szCs w:val="24"/>
        </w:rPr>
        <w:t>W</w:t>
      </w:r>
      <w:r>
        <w:rPr>
          <w:rFonts w:hint="eastAsia" w:ascii="宋体" w:hAnsi="宋体" w:cs="楷体"/>
          <w:kern w:val="0"/>
          <w:sz w:val="24"/>
          <w:szCs w:val="24"/>
          <w:vertAlign w:val="subscript"/>
        </w:rPr>
        <w:t>V</w:t>
      </w:r>
      <w:r>
        <w:rPr>
          <w:rFonts w:hint="eastAsia" w:ascii="宋体" w:hAnsi="宋体" w:cs="楷体"/>
          <w:kern w:val="0"/>
          <w:sz w:val="24"/>
          <w:szCs w:val="24"/>
        </w:rPr>
        <w:t>K</w:t>
      </w:r>
      <w:r>
        <w:rPr>
          <w:rFonts w:hint="eastAsia" w:ascii="宋体" w:hAnsi="宋体" w:cs="楷体"/>
          <w:kern w:val="0"/>
          <w:sz w:val="24"/>
          <w:szCs w:val="24"/>
          <w:vertAlign w:val="subscript"/>
        </w:rPr>
        <w:t>E</w:t>
      </w:r>
      <w:r>
        <w:rPr>
          <w:rFonts w:hint="eastAsia" w:ascii="宋体" w:hAnsi="宋体" w:cs="楷体"/>
          <w:kern w:val="0"/>
          <w:sz w:val="24"/>
          <w:szCs w:val="24"/>
        </w:rPr>
        <w:t>K</w:t>
      </w:r>
      <w:r>
        <w:rPr>
          <w:rFonts w:hint="eastAsia" w:ascii="宋体" w:hAnsi="宋体" w:cs="楷体"/>
          <w:kern w:val="0"/>
          <w:sz w:val="24"/>
          <w:szCs w:val="24"/>
          <w:vertAlign w:val="subscript"/>
        </w:rPr>
        <w:t>S</w:t>
      </w:r>
    </w:p>
    <w:p w14:paraId="7167365E">
      <w:pPr>
        <w:adjustRightInd w:val="0"/>
        <w:snapToGrid w:val="0"/>
        <w:spacing w:line="500" w:lineRule="exact"/>
        <w:ind w:firstLine="480" w:firstLineChars="200"/>
        <w:jc w:val="left"/>
        <w:textAlignment w:val="baseline"/>
        <w:rPr>
          <w:rFonts w:hint="eastAsia" w:ascii="宋体" w:hAnsi="宋体" w:cs="楷体"/>
          <w:kern w:val="0"/>
          <w:sz w:val="24"/>
          <w:szCs w:val="24"/>
        </w:rPr>
      </w:pPr>
      <w:bookmarkStart w:id="288" w:name="OLE_LINK49"/>
      <w:r>
        <w:rPr>
          <w:rFonts w:hint="eastAsia" w:ascii="宋体" w:hAnsi="宋体" w:cs="楷体"/>
          <w:kern w:val="0"/>
          <w:sz w:val="24"/>
          <w:szCs w:val="24"/>
        </w:rPr>
        <w:t>式中：</w:t>
      </w:r>
      <w:r>
        <w:rPr>
          <w:rFonts w:ascii="宋体" w:hAnsi="宋体" w:cs="楷体"/>
          <w:kern w:val="0"/>
          <w:sz w:val="24"/>
          <w:szCs w:val="24"/>
        </w:rPr>
        <w:t>L</w:t>
      </w:r>
      <w:bookmarkStart w:id="289" w:name="OLE_LINK70"/>
      <w:r>
        <w:rPr>
          <w:rFonts w:ascii="宋体" w:hAnsi="宋体" w:cs="楷体"/>
          <w:kern w:val="0"/>
          <w:sz w:val="24"/>
          <w:szCs w:val="24"/>
          <w:vertAlign w:val="subscript"/>
        </w:rPr>
        <w:t>S</w:t>
      </w:r>
      <w:bookmarkEnd w:id="289"/>
      <w:bookmarkStart w:id="290" w:name="OLE_LINK71"/>
      <w:r>
        <w:rPr>
          <w:rFonts w:hint="eastAsia" w:ascii="宋体" w:hAnsi="宋体" w:cs="楷体"/>
          <w:kern w:val="0"/>
          <w:sz w:val="24"/>
          <w:szCs w:val="24"/>
        </w:rPr>
        <w:t>——</w:t>
      </w:r>
      <w:bookmarkEnd w:id="290"/>
      <w:r>
        <w:rPr>
          <w:rFonts w:hint="eastAsia" w:ascii="宋体" w:hAnsi="宋体" w:cs="楷体"/>
          <w:kern w:val="0"/>
          <w:sz w:val="24"/>
          <w:szCs w:val="24"/>
        </w:rPr>
        <w:t>静置储藏损失，</w:t>
      </w:r>
      <w:r>
        <w:rPr>
          <w:rFonts w:ascii="宋体" w:hAnsi="宋体" w:cs="楷体"/>
          <w:kern w:val="0"/>
          <w:sz w:val="24"/>
          <w:szCs w:val="24"/>
        </w:rPr>
        <w:t>lb/a</w:t>
      </w:r>
      <w:r>
        <w:rPr>
          <w:rFonts w:hint="eastAsia" w:ascii="宋体" w:hAnsi="宋体" w:cs="楷体"/>
          <w:kern w:val="0"/>
          <w:sz w:val="24"/>
          <w:szCs w:val="24"/>
        </w:rPr>
        <w:t>；</w:t>
      </w:r>
    </w:p>
    <w:p w14:paraId="1F9D9FBF">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V</w:t>
      </w:r>
      <w:r>
        <w:rPr>
          <w:rFonts w:ascii="宋体" w:hAnsi="宋体" w:cs="楷体"/>
          <w:kern w:val="0"/>
          <w:sz w:val="24"/>
          <w:szCs w:val="24"/>
          <w:vertAlign w:val="subscript"/>
        </w:rPr>
        <w:t>V</w:t>
      </w:r>
      <w:r>
        <w:rPr>
          <w:rFonts w:hint="eastAsia" w:ascii="宋体" w:hAnsi="宋体" w:cs="楷体"/>
          <w:kern w:val="0"/>
          <w:sz w:val="24"/>
          <w:szCs w:val="24"/>
        </w:rPr>
        <w:t>——气相空间容积，</w:t>
      </w:r>
      <w:r>
        <w:rPr>
          <w:rFonts w:ascii="宋体" w:hAnsi="宋体" w:cs="楷体"/>
          <w:kern w:val="0"/>
          <w:sz w:val="24"/>
          <w:szCs w:val="24"/>
        </w:rPr>
        <w:t>ft</w:t>
      </w:r>
      <w:bookmarkStart w:id="291" w:name="OLE_LINK74"/>
      <w:r>
        <w:rPr>
          <w:rFonts w:ascii="宋体" w:hAnsi="宋体" w:cs="楷体"/>
          <w:kern w:val="0"/>
          <w:sz w:val="24"/>
          <w:szCs w:val="24"/>
          <w:vertAlign w:val="superscript"/>
        </w:rPr>
        <w:t>3</w:t>
      </w:r>
      <w:bookmarkEnd w:id="291"/>
      <w:bookmarkStart w:id="292" w:name="OLE_LINK76"/>
      <w:r>
        <w:rPr>
          <w:rFonts w:hint="eastAsia" w:ascii="宋体" w:hAnsi="宋体" w:cs="楷体"/>
          <w:kern w:val="0"/>
          <w:sz w:val="24"/>
          <w:szCs w:val="24"/>
        </w:rPr>
        <w:t>，</w:t>
      </w:r>
      <w:bookmarkEnd w:id="292"/>
      <w:r>
        <w:rPr>
          <w:rFonts w:ascii="宋体" w:hAnsi="宋体" w:cs="楷体"/>
          <w:kern w:val="0"/>
          <w:sz w:val="24"/>
          <w:szCs w:val="24"/>
        </w:rPr>
        <w:t>V</w:t>
      </w:r>
      <w:r>
        <w:rPr>
          <w:rFonts w:ascii="宋体" w:hAnsi="宋体" w:cs="楷体"/>
          <w:kern w:val="0"/>
          <w:sz w:val="24"/>
          <w:szCs w:val="24"/>
          <w:vertAlign w:val="subscript"/>
        </w:rPr>
        <w:t>V</w:t>
      </w:r>
      <w:r>
        <w:rPr>
          <w:rFonts w:hint="eastAsia" w:ascii="宋体" w:hAnsi="宋体" w:cs="楷体"/>
          <w:kern w:val="0"/>
          <w:sz w:val="24"/>
          <w:szCs w:val="24"/>
        </w:rPr>
        <w:t>=πD</w:t>
      </w:r>
      <w:r>
        <w:rPr>
          <w:rFonts w:hint="eastAsia" w:ascii="宋体" w:hAnsi="宋体" w:cs="楷体"/>
          <w:kern w:val="0"/>
          <w:sz w:val="24"/>
          <w:szCs w:val="24"/>
          <w:vertAlign w:val="superscript"/>
        </w:rPr>
        <w:t>2</w:t>
      </w:r>
      <w:r>
        <w:rPr>
          <w:rFonts w:hint="eastAsia" w:ascii="宋体" w:hAnsi="宋体" w:cs="楷体"/>
          <w:kern w:val="0"/>
          <w:sz w:val="24"/>
          <w:szCs w:val="24"/>
        </w:rPr>
        <w:t>/4H</w:t>
      </w:r>
      <w:r>
        <w:rPr>
          <w:rFonts w:hint="eastAsia" w:ascii="宋体" w:hAnsi="宋体" w:cs="楷体"/>
          <w:kern w:val="0"/>
          <w:sz w:val="24"/>
          <w:szCs w:val="24"/>
          <w:vertAlign w:val="subscript"/>
        </w:rPr>
        <w:t>VO</w:t>
      </w:r>
      <w:r>
        <w:rPr>
          <w:rFonts w:hint="eastAsia" w:ascii="宋体" w:hAnsi="宋体" w:cs="楷体"/>
          <w:kern w:val="0"/>
          <w:sz w:val="24"/>
          <w:szCs w:val="24"/>
        </w:rPr>
        <w:t>（D罐径、H</w:t>
      </w:r>
      <w:r>
        <w:rPr>
          <w:rFonts w:hint="eastAsia" w:ascii="宋体" w:hAnsi="宋体" w:cs="楷体"/>
          <w:kern w:val="0"/>
          <w:sz w:val="24"/>
          <w:szCs w:val="24"/>
          <w:vertAlign w:val="subscript"/>
        </w:rPr>
        <w:t>VO</w:t>
      </w:r>
      <w:r>
        <w:rPr>
          <w:rFonts w:hint="eastAsia" w:ascii="宋体" w:hAnsi="宋体" w:cs="楷体"/>
          <w:kern w:val="0"/>
          <w:sz w:val="24"/>
          <w:szCs w:val="24"/>
        </w:rPr>
        <w:t>气相空间高度，ft）；</w:t>
      </w:r>
    </w:p>
    <w:p w14:paraId="7D0635EE">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W</w:t>
      </w:r>
      <w:bookmarkStart w:id="293" w:name="OLE_LINK73"/>
      <w:r>
        <w:rPr>
          <w:rFonts w:ascii="宋体" w:hAnsi="宋体" w:cs="楷体"/>
          <w:kern w:val="0"/>
          <w:sz w:val="24"/>
          <w:szCs w:val="24"/>
          <w:vertAlign w:val="subscript"/>
        </w:rPr>
        <w:t>V</w:t>
      </w:r>
      <w:bookmarkEnd w:id="293"/>
      <w:r>
        <w:rPr>
          <w:rFonts w:hint="eastAsia" w:ascii="宋体" w:hAnsi="宋体" w:cs="楷体"/>
          <w:kern w:val="0"/>
          <w:sz w:val="24"/>
          <w:szCs w:val="24"/>
        </w:rPr>
        <w:t>——储藏气相密度，</w:t>
      </w:r>
      <w:r>
        <w:rPr>
          <w:rFonts w:ascii="宋体" w:hAnsi="宋体" w:cs="楷体"/>
          <w:kern w:val="0"/>
          <w:sz w:val="24"/>
          <w:szCs w:val="24"/>
        </w:rPr>
        <w:t>lb/ft</w:t>
      </w:r>
      <w:r>
        <w:rPr>
          <w:rFonts w:ascii="宋体" w:hAnsi="宋体" w:cs="楷体"/>
          <w:kern w:val="0"/>
          <w:sz w:val="24"/>
          <w:szCs w:val="24"/>
          <w:vertAlign w:val="superscript"/>
        </w:rPr>
        <w:t>3</w:t>
      </w:r>
      <w:r>
        <w:rPr>
          <w:rFonts w:hint="eastAsia" w:ascii="宋体" w:hAnsi="宋体" w:cs="楷体"/>
          <w:kern w:val="0"/>
          <w:sz w:val="24"/>
          <w:szCs w:val="24"/>
        </w:rPr>
        <w:t>；</w:t>
      </w:r>
    </w:p>
    <w:p w14:paraId="724FD99A">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K</w:t>
      </w:r>
      <w:r>
        <w:rPr>
          <w:rFonts w:ascii="宋体" w:hAnsi="宋体" w:cs="楷体"/>
          <w:kern w:val="0"/>
          <w:sz w:val="24"/>
          <w:szCs w:val="24"/>
          <w:vertAlign w:val="subscript"/>
        </w:rPr>
        <w:t>E</w:t>
      </w:r>
      <w:r>
        <w:rPr>
          <w:rFonts w:hint="eastAsia" w:ascii="宋体" w:hAnsi="宋体" w:cs="楷体"/>
          <w:kern w:val="0"/>
          <w:sz w:val="24"/>
          <w:szCs w:val="24"/>
        </w:rPr>
        <w:t>——气相空间膨胀因子，无量纲量；</w:t>
      </w:r>
    </w:p>
    <w:p w14:paraId="7C5BE9BE">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K</w:t>
      </w:r>
      <w:bookmarkStart w:id="294" w:name="OLE_LINK72"/>
      <w:r>
        <w:rPr>
          <w:rFonts w:ascii="宋体" w:hAnsi="宋体" w:cs="楷体"/>
          <w:kern w:val="0"/>
          <w:sz w:val="24"/>
          <w:szCs w:val="24"/>
          <w:vertAlign w:val="subscript"/>
        </w:rPr>
        <w:t>S</w:t>
      </w:r>
      <w:bookmarkEnd w:id="294"/>
      <w:bookmarkStart w:id="295" w:name="OLE_LINK82"/>
      <w:r>
        <w:rPr>
          <w:rFonts w:hint="eastAsia" w:ascii="宋体" w:hAnsi="宋体" w:cs="楷体"/>
          <w:kern w:val="0"/>
          <w:sz w:val="24"/>
          <w:szCs w:val="24"/>
        </w:rPr>
        <w:t>——</w:t>
      </w:r>
      <w:bookmarkEnd w:id="295"/>
      <w:r>
        <w:rPr>
          <w:rFonts w:hint="eastAsia" w:ascii="宋体" w:hAnsi="宋体" w:cs="楷体"/>
          <w:kern w:val="0"/>
          <w:sz w:val="24"/>
          <w:szCs w:val="24"/>
        </w:rPr>
        <w:t>排放蒸汽饱和因子，无量纲量。</w:t>
      </w:r>
    </w:p>
    <w:bookmarkEnd w:id="288"/>
    <w:p w14:paraId="21FC7398">
      <w:pPr>
        <w:adjustRightInd w:val="0"/>
        <w:snapToGrid w:val="0"/>
        <w:spacing w:line="500" w:lineRule="exact"/>
        <w:ind w:firstLine="480" w:firstLineChars="200"/>
        <w:jc w:val="left"/>
        <w:textAlignment w:val="baseline"/>
        <w:rPr>
          <w:rFonts w:hint="eastAsia" w:ascii="宋体" w:hAnsi="宋体" w:cs="楷体"/>
          <w:kern w:val="0"/>
          <w:sz w:val="24"/>
          <w:szCs w:val="24"/>
        </w:rPr>
      </w:pPr>
      <w:bookmarkStart w:id="296" w:name="OLE_LINK77"/>
      <w:bookmarkStart w:id="297" w:name="OLE_LINK109"/>
      <w:r>
        <w:rPr>
          <w:rFonts w:hint="eastAsia" w:ascii="宋体" w:hAnsi="宋体" w:cs="楷体"/>
          <w:kern w:val="0"/>
          <w:sz w:val="24"/>
          <w:szCs w:val="24"/>
        </w:rPr>
        <w:t>※工作损耗</w:t>
      </w:r>
    </w:p>
    <w:p w14:paraId="1B23FA3B">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工作损耗</w:t>
      </w:r>
      <w:r>
        <w:rPr>
          <w:rFonts w:ascii="宋体" w:hAnsi="宋体" w:cs="楷体"/>
          <w:kern w:val="0"/>
          <w:sz w:val="24"/>
          <w:szCs w:val="24"/>
        </w:rPr>
        <w:t>L</w:t>
      </w:r>
      <w:r>
        <w:rPr>
          <w:rFonts w:ascii="宋体" w:hAnsi="宋体" w:cs="楷体"/>
          <w:kern w:val="0"/>
          <w:sz w:val="24"/>
          <w:szCs w:val="24"/>
          <w:vertAlign w:val="subscript"/>
        </w:rPr>
        <w:t>W</w:t>
      </w:r>
      <w:r>
        <w:rPr>
          <w:rFonts w:hint="eastAsia" w:ascii="宋体" w:hAnsi="宋体" w:cs="楷体"/>
          <w:kern w:val="0"/>
          <w:sz w:val="24"/>
          <w:szCs w:val="24"/>
        </w:rPr>
        <w:t>与装料或卸料是所储蒸汽的排放有关，计算公式如下：</w:t>
      </w:r>
    </w:p>
    <w:bookmarkEnd w:id="296"/>
    <w:p w14:paraId="0C2487BB">
      <w:pPr>
        <w:adjustRightInd w:val="0"/>
        <w:snapToGrid w:val="0"/>
        <w:spacing w:line="276" w:lineRule="auto"/>
        <w:jc w:val="center"/>
        <w:textAlignment w:val="baseline"/>
        <w:rPr>
          <w:rFonts w:hint="eastAsia" w:ascii="宋体" w:hAnsi="宋体" w:cs="楷体"/>
          <w:kern w:val="0"/>
          <w:sz w:val="24"/>
          <w:szCs w:val="24"/>
        </w:rPr>
      </w:pPr>
      <w:r>
        <w:drawing>
          <wp:inline distT="0" distB="0" distL="0" distR="0">
            <wp:extent cx="2106930" cy="448310"/>
            <wp:effectExtent l="0" t="0" r="7620"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6"/>
                    <a:stretch>
                      <a:fillRect/>
                    </a:stretch>
                  </pic:blipFill>
                  <pic:spPr>
                    <a:xfrm>
                      <a:off x="0" y="0"/>
                      <a:ext cx="2210946" cy="470806"/>
                    </a:xfrm>
                    <a:prstGeom prst="rect">
                      <a:avLst/>
                    </a:prstGeom>
                  </pic:spPr>
                </pic:pic>
              </a:graphicData>
            </a:graphic>
          </wp:inline>
        </w:drawing>
      </w:r>
    </w:p>
    <w:p w14:paraId="2BA75564">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式中：</w:t>
      </w:r>
      <w:r>
        <w:rPr>
          <w:rFonts w:ascii="宋体" w:hAnsi="宋体" w:cs="楷体"/>
          <w:kern w:val="0"/>
          <w:sz w:val="24"/>
          <w:szCs w:val="24"/>
        </w:rPr>
        <w:t>L</w:t>
      </w:r>
      <w:r>
        <w:rPr>
          <w:rFonts w:ascii="宋体" w:hAnsi="宋体" w:cs="楷体"/>
          <w:kern w:val="0"/>
          <w:sz w:val="24"/>
          <w:szCs w:val="24"/>
          <w:vertAlign w:val="subscript"/>
        </w:rPr>
        <w:t>W</w:t>
      </w:r>
      <w:r>
        <w:rPr>
          <w:rFonts w:hint="eastAsia" w:ascii="宋体" w:hAnsi="宋体" w:cs="楷体"/>
          <w:kern w:val="0"/>
          <w:sz w:val="24"/>
          <w:szCs w:val="24"/>
        </w:rPr>
        <w:t>——工作损耗，</w:t>
      </w:r>
      <w:r>
        <w:rPr>
          <w:rFonts w:ascii="宋体" w:hAnsi="宋体" w:cs="楷体"/>
          <w:kern w:val="0"/>
          <w:sz w:val="24"/>
          <w:szCs w:val="24"/>
        </w:rPr>
        <w:t>lb/a</w:t>
      </w:r>
      <w:r>
        <w:rPr>
          <w:rFonts w:hint="eastAsia" w:ascii="宋体" w:hAnsi="宋体" w:cs="楷体"/>
          <w:kern w:val="0"/>
          <w:sz w:val="24"/>
          <w:szCs w:val="24"/>
        </w:rPr>
        <w:t>；</w:t>
      </w:r>
    </w:p>
    <w:p w14:paraId="4D83B358">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M</w:t>
      </w:r>
      <w:r>
        <w:rPr>
          <w:rFonts w:ascii="宋体" w:hAnsi="宋体" w:cs="楷体"/>
          <w:kern w:val="0"/>
          <w:sz w:val="24"/>
          <w:szCs w:val="24"/>
          <w:vertAlign w:val="subscript"/>
        </w:rPr>
        <w:t>V</w:t>
      </w:r>
      <w:r>
        <w:rPr>
          <w:rFonts w:hint="eastAsia" w:ascii="宋体" w:hAnsi="宋体" w:cs="楷体"/>
          <w:kern w:val="0"/>
          <w:sz w:val="24"/>
          <w:szCs w:val="24"/>
        </w:rPr>
        <w:t>——气相分子量，</w:t>
      </w:r>
      <w:r>
        <w:rPr>
          <w:rFonts w:ascii="宋体" w:hAnsi="宋体" w:cs="楷体"/>
          <w:kern w:val="0"/>
          <w:sz w:val="24"/>
          <w:szCs w:val="24"/>
        </w:rPr>
        <w:t>lb/lb-mol</w:t>
      </w:r>
      <w:r>
        <w:rPr>
          <w:rFonts w:hint="eastAsia" w:ascii="宋体" w:hAnsi="宋体" w:cs="楷体"/>
          <w:kern w:val="0"/>
          <w:sz w:val="24"/>
          <w:szCs w:val="24"/>
        </w:rPr>
        <w:t>；</w:t>
      </w:r>
    </w:p>
    <w:p w14:paraId="508424E3">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P</w:t>
      </w:r>
      <w:r>
        <w:rPr>
          <w:rFonts w:ascii="宋体" w:hAnsi="宋体" w:cs="楷体"/>
          <w:kern w:val="0"/>
          <w:sz w:val="24"/>
          <w:szCs w:val="24"/>
          <w:vertAlign w:val="subscript"/>
        </w:rPr>
        <w:t>VA</w:t>
      </w:r>
      <w:r>
        <w:rPr>
          <w:rFonts w:hint="eastAsia" w:ascii="宋体" w:hAnsi="宋体" w:cs="楷体"/>
          <w:kern w:val="0"/>
          <w:sz w:val="24"/>
          <w:szCs w:val="24"/>
        </w:rPr>
        <w:t>——真实蒸汽压，</w:t>
      </w:r>
      <w:r>
        <w:rPr>
          <w:rFonts w:ascii="宋体" w:hAnsi="宋体" w:cs="楷体"/>
          <w:kern w:val="0"/>
          <w:sz w:val="24"/>
          <w:szCs w:val="24"/>
        </w:rPr>
        <w:t>psia</w:t>
      </w:r>
      <w:r>
        <w:rPr>
          <w:rFonts w:hint="eastAsia" w:ascii="宋体" w:hAnsi="宋体" w:cs="楷体"/>
          <w:kern w:val="0"/>
          <w:sz w:val="24"/>
          <w:szCs w:val="24"/>
        </w:rPr>
        <w:t>；</w:t>
      </w:r>
    </w:p>
    <w:p w14:paraId="78880435">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Q</w:t>
      </w:r>
      <w:r>
        <w:rPr>
          <w:rFonts w:hint="eastAsia" w:ascii="宋体" w:hAnsi="宋体" w:cs="楷体"/>
          <w:kern w:val="0"/>
          <w:sz w:val="24"/>
          <w:szCs w:val="24"/>
        </w:rPr>
        <w:t>——年周转量，</w:t>
      </w:r>
      <w:r>
        <w:rPr>
          <w:rFonts w:ascii="宋体" w:hAnsi="宋体" w:cs="楷体"/>
          <w:kern w:val="0"/>
          <w:sz w:val="24"/>
          <w:szCs w:val="24"/>
        </w:rPr>
        <w:t>bbl/a</w:t>
      </w:r>
      <w:r>
        <w:rPr>
          <w:rFonts w:hint="eastAsia" w:ascii="宋体" w:hAnsi="宋体" w:cs="楷体"/>
          <w:kern w:val="0"/>
          <w:sz w:val="24"/>
          <w:szCs w:val="24"/>
        </w:rPr>
        <w:t>；</w:t>
      </w:r>
    </w:p>
    <w:p w14:paraId="18643E10">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K</w:t>
      </w:r>
      <w:r>
        <w:rPr>
          <w:rFonts w:ascii="宋体" w:hAnsi="宋体" w:cs="楷体"/>
          <w:kern w:val="0"/>
          <w:sz w:val="24"/>
          <w:szCs w:val="24"/>
          <w:vertAlign w:val="subscript"/>
        </w:rPr>
        <w:t>P</w:t>
      </w:r>
      <w:r>
        <w:rPr>
          <w:rFonts w:hint="eastAsia" w:ascii="宋体" w:hAnsi="宋体" w:cs="楷体"/>
          <w:kern w:val="0"/>
          <w:sz w:val="24"/>
          <w:szCs w:val="24"/>
        </w:rPr>
        <w:t>——工作损耗产品因子，无量纲量；对于原油</w:t>
      </w:r>
      <w:r>
        <w:rPr>
          <w:rFonts w:ascii="宋体" w:hAnsi="宋体" w:cs="楷体"/>
          <w:kern w:val="0"/>
          <w:sz w:val="24"/>
          <w:szCs w:val="24"/>
        </w:rPr>
        <w:t>KP=0.75</w:t>
      </w:r>
      <w:r>
        <w:rPr>
          <w:rFonts w:hint="eastAsia" w:ascii="宋体" w:hAnsi="宋体" w:cs="楷体"/>
          <w:kern w:val="0"/>
          <w:sz w:val="24"/>
          <w:szCs w:val="24"/>
        </w:rPr>
        <w:t>；</w:t>
      </w:r>
    </w:p>
    <w:p w14:paraId="31E5D355">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K</w:t>
      </w:r>
      <w:bookmarkStart w:id="298" w:name="OLE_LINK83"/>
      <w:r>
        <w:rPr>
          <w:rFonts w:ascii="宋体" w:hAnsi="宋体" w:cs="楷体"/>
          <w:kern w:val="0"/>
          <w:sz w:val="24"/>
          <w:szCs w:val="24"/>
          <w:vertAlign w:val="subscript"/>
        </w:rPr>
        <w:t>N</w:t>
      </w:r>
      <w:bookmarkEnd w:id="298"/>
      <w:r>
        <w:rPr>
          <w:rFonts w:hint="eastAsia" w:ascii="宋体" w:hAnsi="宋体" w:cs="楷体"/>
          <w:kern w:val="0"/>
          <w:sz w:val="24"/>
          <w:szCs w:val="24"/>
        </w:rPr>
        <w:t>——工作排放周转（饱和）因</w:t>
      </w:r>
      <w:bookmarkEnd w:id="297"/>
      <w:r>
        <w:rPr>
          <w:rFonts w:hint="eastAsia" w:ascii="宋体" w:hAnsi="宋体" w:cs="楷体"/>
          <w:kern w:val="0"/>
          <w:sz w:val="24"/>
          <w:szCs w:val="24"/>
        </w:rPr>
        <w:t>子，无量纲量；当周转数＞</w:t>
      </w:r>
      <w:r>
        <w:rPr>
          <w:rFonts w:ascii="宋体" w:hAnsi="宋体" w:cs="楷体"/>
          <w:kern w:val="0"/>
          <w:sz w:val="24"/>
          <w:szCs w:val="24"/>
        </w:rPr>
        <w:t>36</w:t>
      </w:r>
      <w:r>
        <w:rPr>
          <w:rFonts w:hint="eastAsia" w:ascii="宋体" w:hAnsi="宋体" w:cs="楷体"/>
          <w:kern w:val="0"/>
          <w:sz w:val="24"/>
          <w:szCs w:val="24"/>
        </w:rPr>
        <w:t>，</w:t>
      </w:r>
      <w:r>
        <w:rPr>
          <w:rFonts w:ascii="宋体" w:hAnsi="宋体" w:cs="楷体"/>
          <w:kern w:val="0"/>
          <w:sz w:val="24"/>
          <w:szCs w:val="24"/>
        </w:rPr>
        <w:t>KN=</w:t>
      </w:r>
      <w:r>
        <w:rPr>
          <w:rFonts w:hint="eastAsia" w:ascii="宋体" w:hAnsi="宋体" w:cs="楷体"/>
          <w:kern w:val="0"/>
          <w:sz w:val="24"/>
          <w:szCs w:val="24"/>
        </w:rPr>
        <w:t>（</w:t>
      </w:r>
      <w:r>
        <w:rPr>
          <w:rFonts w:ascii="宋体" w:hAnsi="宋体" w:cs="楷体"/>
          <w:kern w:val="0"/>
          <w:sz w:val="24"/>
          <w:szCs w:val="24"/>
        </w:rPr>
        <w:t>180+N</w:t>
      </w:r>
      <w:r>
        <w:rPr>
          <w:rFonts w:hint="eastAsia" w:ascii="宋体" w:hAnsi="宋体" w:cs="楷体"/>
          <w:kern w:val="0"/>
          <w:sz w:val="24"/>
          <w:szCs w:val="24"/>
        </w:rPr>
        <w:t>）</w:t>
      </w:r>
      <w:r>
        <w:rPr>
          <w:rFonts w:ascii="宋体" w:hAnsi="宋体" w:cs="楷体"/>
          <w:kern w:val="0"/>
          <w:sz w:val="24"/>
          <w:szCs w:val="24"/>
        </w:rPr>
        <w:t>/6N</w:t>
      </w:r>
      <w:r>
        <w:rPr>
          <w:rFonts w:hint="eastAsia" w:ascii="宋体" w:hAnsi="宋体" w:cs="楷体"/>
          <w:kern w:val="0"/>
          <w:sz w:val="24"/>
          <w:szCs w:val="24"/>
        </w:rPr>
        <w:t>；当周转数≤</w:t>
      </w:r>
      <w:r>
        <w:rPr>
          <w:rFonts w:ascii="宋体" w:hAnsi="宋体" w:cs="楷体"/>
          <w:kern w:val="0"/>
          <w:sz w:val="24"/>
          <w:szCs w:val="24"/>
        </w:rPr>
        <w:t>36</w:t>
      </w:r>
      <w:r>
        <w:rPr>
          <w:rFonts w:hint="eastAsia" w:ascii="宋体" w:hAnsi="宋体" w:cs="楷体"/>
          <w:kern w:val="0"/>
          <w:sz w:val="24"/>
          <w:szCs w:val="24"/>
        </w:rPr>
        <w:t>，</w:t>
      </w:r>
      <w:r>
        <w:rPr>
          <w:rFonts w:ascii="宋体" w:hAnsi="宋体" w:cs="楷体"/>
          <w:kern w:val="0"/>
          <w:sz w:val="24"/>
          <w:szCs w:val="24"/>
        </w:rPr>
        <w:t>KN=1</w:t>
      </w:r>
      <w:r>
        <w:rPr>
          <w:rFonts w:hint="eastAsia" w:ascii="宋体" w:hAnsi="宋体" w:cs="楷体"/>
          <w:kern w:val="0"/>
          <w:sz w:val="24"/>
          <w:szCs w:val="24"/>
        </w:rPr>
        <w:t>；</w:t>
      </w:r>
    </w:p>
    <w:p w14:paraId="7A06EEA8">
      <w:pPr>
        <w:adjustRightInd w:val="0"/>
        <w:snapToGrid w:val="0"/>
        <w:spacing w:line="500" w:lineRule="exact"/>
        <w:ind w:firstLine="1200" w:firstLineChars="500"/>
        <w:jc w:val="left"/>
        <w:textAlignment w:val="baseline"/>
        <w:rPr>
          <w:rFonts w:hint="eastAsia" w:ascii="宋体" w:hAnsi="宋体" w:cs="楷体"/>
          <w:kern w:val="0"/>
          <w:sz w:val="24"/>
          <w:szCs w:val="24"/>
        </w:rPr>
      </w:pPr>
      <w:r>
        <w:rPr>
          <w:rFonts w:ascii="宋体" w:hAnsi="宋体" w:cs="楷体"/>
          <w:kern w:val="0"/>
          <w:sz w:val="24"/>
          <w:szCs w:val="24"/>
        </w:rPr>
        <w:t>K</w:t>
      </w:r>
      <w:r>
        <w:rPr>
          <w:rFonts w:ascii="宋体" w:hAnsi="宋体" w:cs="楷体"/>
          <w:kern w:val="0"/>
          <w:sz w:val="24"/>
          <w:szCs w:val="24"/>
          <w:vertAlign w:val="subscript"/>
        </w:rPr>
        <w:t>B</w:t>
      </w:r>
      <w:r>
        <w:rPr>
          <w:rFonts w:hint="eastAsia" w:ascii="宋体" w:hAnsi="宋体" w:cs="楷体"/>
          <w:kern w:val="0"/>
          <w:sz w:val="24"/>
          <w:szCs w:val="24"/>
        </w:rPr>
        <w:t>——呼吸阀工作校正因子。</w:t>
      </w:r>
    </w:p>
    <w:p w14:paraId="1DF85800">
      <w:pPr>
        <w:adjustRightInd w:val="0"/>
        <w:snapToGrid w:val="0"/>
        <w:spacing w:line="500" w:lineRule="exact"/>
        <w:ind w:firstLine="480" w:firstLineChars="200"/>
        <w:jc w:val="left"/>
        <w:textAlignment w:val="baseline"/>
        <w:rPr>
          <w:rFonts w:hint="eastAsia" w:ascii="宋体" w:hAnsi="宋体" w:cs="楷体"/>
          <w:kern w:val="0"/>
          <w:sz w:val="24"/>
          <w:szCs w:val="24"/>
        </w:rPr>
      </w:pPr>
      <w:r>
        <w:rPr>
          <w:rFonts w:hint="eastAsia" w:ascii="宋体" w:hAnsi="宋体" w:cs="楷体"/>
          <w:kern w:val="0"/>
          <w:sz w:val="24"/>
          <w:szCs w:val="24"/>
        </w:rPr>
        <w:t>根据上述公式计算出的静置储藏损耗和工作损耗分别为0.677t/a、3.974t/a。</w:t>
      </w:r>
    </w:p>
    <w:p w14:paraId="1934983C">
      <w:pPr>
        <w:autoSpaceDE w:val="0"/>
        <w:autoSpaceDN w:val="0"/>
        <w:adjustRightInd w:val="0"/>
        <w:snapToGrid w:val="0"/>
        <w:spacing w:line="500" w:lineRule="exact"/>
        <w:ind w:firstLine="480" w:firstLineChars="200"/>
        <w:jc w:val="left"/>
        <w:rPr>
          <w:rFonts w:hint="eastAsia" w:ascii="宋体" w:hAnsi="宋体" w:cs="楷体"/>
          <w:kern w:val="0"/>
          <w:sz w:val="24"/>
          <w:szCs w:val="24"/>
        </w:rPr>
      </w:pPr>
      <w:bookmarkStart w:id="299" w:name="OLE_LINK4"/>
      <w:r>
        <w:rPr>
          <w:rFonts w:hint="eastAsia" w:ascii="宋体" w:hAnsi="宋体" w:cs="楷体"/>
          <w:kern w:val="0"/>
          <w:sz w:val="24"/>
          <w:szCs w:val="24"/>
        </w:rPr>
        <w:t>③采出液装卸过程中无组织挥发性有机物</w:t>
      </w:r>
    </w:p>
    <w:p w14:paraId="11C0F663">
      <w:pPr>
        <w:autoSpaceDE w:val="0"/>
        <w:autoSpaceDN w:val="0"/>
        <w:adjustRightInd w:val="0"/>
        <w:snapToGrid w:val="0"/>
        <w:spacing w:line="500" w:lineRule="exact"/>
        <w:ind w:firstLine="480" w:firstLineChars="200"/>
        <w:jc w:val="left"/>
        <w:rPr>
          <w:rFonts w:hint="eastAsia" w:ascii="宋体" w:hAnsi="宋体" w:cs="楷体"/>
          <w:kern w:val="0"/>
          <w:sz w:val="24"/>
          <w:szCs w:val="24"/>
        </w:rPr>
      </w:pPr>
      <w:r>
        <w:rPr>
          <w:rFonts w:hint="eastAsia" w:ascii="宋体" w:hAnsi="宋体" w:cs="楷体"/>
          <w:kern w:val="0"/>
          <w:sz w:val="24"/>
          <w:szCs w:val="24"/>
        </w:rPr>
        <w:t>采出液装车时产生的无组织挥发性有机物无相应的污染源强核算技术指南，其产生量参考《污染源</w:t>
      </w:r>
      <w:bookmarkEnd w:id="299"/>
      <w:r>
        <w:rPr>
          <w:rFonts w:hint="eastAsia" w:ascii="宋体" w:hAnsi="宋体" w:cs="楷体"/>
          <w:kern w:val="0"/>
          <w:sz w:val="24"/>
          <w:szCs w:val="24"/>
        </w:rPr>
        <w:t xml:space="preserve">源强核算技术指南 </w:t>
      </w:r>
      <w:r>
        <w:rPr>
          <w:rFonts w:ascii="宋体" w:hAnsi="宋体" w:cs="楷体"/>
          <w:kern w:val="0"/>
          <w:sz w:val="24"/>
          <w:szCs w:val="24"/>
        </w:rPr>
        <w:t xml:space="preserve"> </w:t>
      </w:r>
      <w:r>
        <w:rPr>
          <w:rFonts w:hint="eastAsia" w:ascii="宋体" w:hAnsi="宋体" w:cs="楷体"/>
          <w:kern w:val="0"/>
          <w:sz w:val="24"/>
          <w:szCs w:val="24"/>
        </w:rPr>
        <w:t>石油炼制》（H</w:t>
      </w:r>
      <w:r>
        <w:rPr>
          <w:rFonts w:ascii="宋体" w:hAnsi="宋体" w:cs="楷体"/>
          <w:kern w:val="0"/>
          <w:sz w:val="24"/>
          <w:szCs w:val="24"/>
        </w:rPr>
        <w:t>J982-2018</w:t>
      </w:r>
      <w:r>
        <w:rPr>
          <w:rFonts w:hint="eastAsia" w:ascii="宋体" w:hAnsi="宋体" w:cs="楷体"/>
          <w:kern w:val="0"/>
          <w:sz w:val="24"/>
          <w:szCs w:val="24"/>
        </w:rPr>
        <w:t>）中挥发性有机液体装载过程挥发性有机物的产生量计算，计算公式如下：</w:t>
      </w:r>
    </w:p>
    <w:p w14:paraId="17815B09">
      <w:pPr>
        <w:pStyle w:val="117"/>
        <w:adjustRightInd w:val="0"/>
        <w:snapToGrid w:val="0"/>
        <w:spacing w:line="240" w:lineRule="auto"/>
        <w:ind w:firstLine="480"/>
        <w:rPr>
          <w:rFonts w:hint="eastAsia"/>
        </w:rPr>
      </w:pPr>
      <m:oMathPara>
        <m:oMathParaPr>
          <m:jc m:val="center"/>
        </m:oMathParaPr>
        <m:oMath>
          <m:sSub>
            <m:sSubPr>
              <m:ctrlPr>
                <w:rPr>
                  <w:rFonts w:ascii="Cambria Math" w:hAnsi="Cambria Math"/>
                  <w:i/>
                </w:rPr>
              </m:ctrlPr>
            </m:sSubPr>
            <m:e>
              <m:r>
                <m:rPr>
                  <m:nor/>
                  <m:sty m:val="p"/>
                </m:rPr>
                <w:rPr>
                  <w:b w:val="0"/>
                  <w:i w:val="0"/>
                </w:rPr>
                <m:t>D</m:t>
              </m:r>
              <m:ctrlPr>
                <w:rPr>
                  <w:rFonts w:ascii="Cambria Math" w:hAnsi="Cambria Math"/>
                  <w:i/>
                </w:rPr>
              </m:ctrlPr>
            </m:e>
            <m:sub>
              <m:r>
                <m:rPr>
                  <m:nor/>
                  <m:sty m:val="p"/>
                </m:rPr>
                <w:rPr>
                  <w:rFonts w:hint="eastAsia"/>
                  <w:b w:val="0"/>
                  <w:i w:val="0"/>
                  <w:iCs/>
                </w:rPr>
                <m:t>产生量</m:t>
              </m:r>
              <m:ctrlPr>
                <w:rPr>
                  <w:rFonts w:ascii="Cambria Math" w:hAnsi="Cambria Math"/>
                  <w:i/>
                </w:rPr>
              </m:ctrlPr>
            </m:sub>
          </m:sSub>
          <m:r>
            <m:rPr>
              <m:nor/>
              <m:sty m:val="p"/>
            </m:rPr>
            <w:rPr>
              <w:b w:val="0"/>
              <w:i w:val="0"/>
            </w:rPr>
            <m:t>=</m:t>
          </m:r>
          <m:f>
            <m:fPr>
              <m:ctrlPr>
                <w:rPr>
                  <w:rFonts w:ascii="Cambria Math" w:hAnsi="Cambria Math"/>
                  <w:i/>
                </w:rPr>
              </m:ctrlPr>
            </m:fPr>
            <m:num>
              <m:sSub>
                <m:sSubPr>
                  <m:ctrlPr>
                    <w:rPr>
                      <w:rFonts w:ascii="Cambria Math" w:hAnsi="Cambria Math"/>
                      <w:i/>
                    </w:rPr>
                  </m:ctrlPr>
                </m:sSubPr>
                <m:e>
                  <m:r>
                    <m:rPr>
                      <m:nor/>
                      <m:sty m:val="p"/>
                    </m:rPr>
                    <w:rPr>
                      <w:b w:val="0"/>
                      <w:i w:val="0"/>
                    </w:rPr>
                    <m:t>L</m:t>
                  </m:r>
                  <m:ctrlPr>
                    <w:rPr>
                      <w:rFonts w:ascii="Cambria Math" w:hAnsi="Cambria Math"/>
                      <w:i/>
                    </w:rPr>
                  </m:ctrlPr>
                </m:e>
                <m:sub>
                  <m:r>
                    <m:rPr>
                      <m:nor/>
                      <m:sty m:val="p"/>
                    </m:rPr>
                    <w:rPr>
                      <w:b w:val="0"/>
                      <w:i w:val="0"/>
                    </w:rPr>
                    <m:t>L</m:t>
                  </m:r>
                  <m:ctrlPr>
                    <w:rPr>
                      <w:rFonts w:ascii="Cambria Math" w:hAnsi="Cambria Math"/>
                      <w:i/>
                    </w:rPr>
                  </m:ctrlPr>
                </m:sub>
              </m:sSub>
              <m:r>
                <m:rPr>
                  <m:nor/>
                  <m:sty m:val="p"/>
                </m:rPr>
                <w:rPr>
                  <w:b w:val="0"/>
                  <w:i w:val="0"/>
                </w:rPr>
                <m:t>×Q</m:t>
              </m:r>
              <m:ctrlPr>
                <w:rPr>
                  <w:rFonts w:ascii="Cambria Math" w:hAnsi="Cambria Math"/>
                  <w:i/>
                </w:rPr>
              </m:ctrlPr>
            </m:num>
            <m:den>
              <m:r>
                <m:rPr>
                  <m:nor/>
                  <m:sty m:val="p"/>
                </m:rPr>
                <w:rPr>
                  <w:b w:val="0"/>
                  <w:i w:val="0"/>
                </w:rPr>
                <m:t>1000</m:t>
              </m:r>
              <m:ctrlPr>
                <w:rPr>
                  <w:rFonts w:ascii="Cambria Math" w:hAnsi="Cambria Math"/>
                  <w:i/>
                </w:rPr>
              </m:ctrlPr>
            </m:den>
          </m:f>
        </m:oMath>
      </m:oMathPara>
    </w:p>
    <w:p w14:paraId="7DE0C5B3">
      <w:pPr>
        <w:pStyle w:val="117"/>
        <w:adjustRightInd w:val="0"/>
        <w:snapToGrid w:val="0"/>
        <w:ind w:firstLine="480"/>
        <w:rPr>
          <w:rFonts w:hint="eastAsia"/>
        </w:rPr>
      </w:pPr>
      <w:r>
        <w:rPr>
          <w:rFonts w:hint="eastAsia"/>
        </w:rPr>
        <w:t>式中：</w:t>
      </w:r>
      <w:r>
        <w:t>D</w:t>
      </w:r>
      <w:r>
        <w:rPr>
          <w:rFonts w:hint="eastAsia"/>
          <w:vertAlign w:val="subscript"/>
        </w:rPr>
        <w:t>产生量</w:t>
      </w:r>
      <w:r>
        <w:rPr>
          <w:rFonts w:hint="eastAsia"/>
        </w:rPr>
        <w:t>——核算时段内挥发性有机液体装载过程挥发性有机物的产生量，t/a；</w:t>
      </w:r>
    </w:p>
    <w:p w14:paraId="330D4D74">
      <w:pPr>
        <w:pStyle w:val="117"/>
        <w:adjustRightInd w:val="0"/>
        <w:snapToGrid w:val="0"/>
        <w:ind w:firstLine="1200" w:firstLineChars="500"/>
        <w:rPr>
          <w:rFonts w:hint="eastAsia"/>
        </w:rPr>
      </w:pPr>
      <w:r>
        <w:rPr>
          <w:rFonts w:hint="eastAsia"/>
        </w:rPr>
        <w:t>Q-核算时段内物料装载量，m</w:t>
      </w:r>
      <w:r>
        <w:rPr>
          <w:rFonts w:hint="eastAsia"/>
          <w:vertAlign w:val="superscript"/>
        </w:rPr>
        <w:t>3</w:t>
      </w:r>
      <w:r>
        <w:rPr>
          <w:rFonts w:hint="eastAsia"/>
        </w:rPr>
        <w:t>/a；</w:t>
      </w:r>
    </w:p>
    <w:p w14:paraId="2061247F">
      <w:pPr>
        <w:pStyle w:val="117"/>
        <w:adjustRightInd w:val="0"/>
        <w:snapToGrid w:val="0"/>
        <w:ind w:firstLine="1200" w:firstLineChars="500"/>
        <w:rPr>
          <w:rFonts w:hint="eastAsia"/>
        </w:rPr>
      </w:pPr>
      <w:r>
        <w:rPr>
          <w:rFonts w:hint="eastAsia"/>
        </w:rPr>
        <w:t>L</w:t>
      </w:r>
      <w:r>
        <w:rPr>
          <w:vertAlign w:val="subscript"/>
        </w:rPr>
        <w:t>L</w:t>
      </w:r>
      <w:r>
        <w:rPr>
          <w:rFonts w:hint="eastAsia"/>
        </w:rPr>
        <w:t>-挥发性有机液体装载过程的排放系数，kg/m</w:t>
      </w:r>
      <w:r>
        <w:rPr>
          <w:rFonts w:hint="eastAsia"/>
          <w:vertAlign w:val="superscript"/>
        </w:rPr>
        <w:t>3</w:t>
      </w:r>
      <w:r>
        <w:rPr>
          <w:rFonts w:hint="eastAsia"/>
        </w:rPr>
        <w:t>，计算公式如下：</w:t>
      </w:r>
    </w:p>
    <w:p w14:paraId="084A6B76">
      <w:pPr>
        <w:pStyle w:val="117"/>
        <w:spacing w:line="240" w:lineRule="auto"/>
        <w:ind w:firstLine="480"/>
        <w:rPr>
          <w:rFonts w:hint="eastAsia"/>
          <w:iCs/>
        </w:rPr>
      </w:pPr>
      <m:oMathPara>
        <m:oMath>
          <m:sSub>
            <m:sSubPr>
              <m:ctrlPr>
                <w:rPr>
                  <w:rFonts w:ascii="Cambria Math" w:hAnsi="Cambria Math"/>
                  <w:iCs/>
                </w:rPr>
              </m:ctrlPr>
            </m:sSubPr>
            <m:e>
              <m:r>
                <m:rPr>
                  <m:nor/>
                  <m:sty m:val="p"/>
                </m:rPr>
                <w:rPr>
                  <w:b w:val="0"/>
                  <w:i w:val="0"/>
                  <w:iCs/>
                </w:rPr>
                <m:t>L</m:t>
              </m:r>
              <m:ctrlPr>
                <w:rPr>
                  <w:rFonts w:ascii="Cambria Math" w:hAnsi="Cambria Math"/>
                  <w:iCs/>
                </w:rPr>
              </m:ctrlPr>
            </m:e>
            <m:sub>
              <m:r>
                <m:rPr>
                  <m:nor/>
                  <m:sty m:val="p"/>
                </m:rPr>
                <w:rPr>
                  <w:b w:val="0"/>
                  <w:i w:val="0"/>
                  <w:iCs/>
                </w:rPr>
                <m:t>L</m:t>
              </m:r>
              <m:ctrlPr>
                <w:rPr>
                  <w:rFonts w:ascii="Cambria Math" w:hAnsi="Cambria Math"/>
                  <w:iCs/>
                </w:rPr>
              </m:ctrlPr>
            </m:sub>
          </m:sSub>
          <m:r>
            <m:rPr>
              <m:nor/>
              <m:sty m:val="p"/>
            </m:rPr>
            <w:rPr>
              <w:b w:val="0"/>
              <w:i w:val="0"/>
              <w:iCs/>
            </w:rPr>
            <m:t>=1.20×</m:t>
          </m:r>
          <m:sSup>
            <m:sSupPr>
              <m:ctrlPr>
                <w:rPr>
                  <w:rFonts w:ascii="Cambria Math" w:hAnsi="Cambria Math"/>
                  <w:iCs/>
                </w:rPr>
              </m:ctrlPr>
            </m:sSupPr>
            <m:e>
              <m:r>
                <m:rPr>
                  <m:nor/>
                  <m:sty m:val="p"/>
                </m:rPr>
                <w:rPr>
                  <w:b w:val="0"/>
                  <w:i w:val="0"/>
                  <w:iCs/>
                </w:rPr>
                <m:t>10</m:t>
              </m:r>
              <m:ctrlPr>
                <w:rPr>
                  <w:rFonts w:ascii="Cambria Math" w:hAnsi="Cambria Math"/>
                  <w:iCs/>
                </w:rPr>
              </m:ctrlPr>
            </m:e>
            <m:sup>
              <m:r>
                <m:rPr>
                  <m:nor/>
                  <m:sty m:val="p"/>
                </m:rPr>
                <w:rPr>
                  <w:b w:val="0"/>
                  <w:i w:val="0"/>
                  <w:iCs/>
                </w:rPr>
                <m:t>-4</m:t>
              </m:r>
              <m:ctrlPr>
                <w:rPr>
                  <w:rFonts w:ascii="Cambria Math" w:hAnsi="Cambria Math"/>
                  <w:iCs/>
                </w:rPr>
              </m:ctrlPr>
            </m:sup>
          </m:sSup>
          <m:r>
            <m:rPr>
              <m:nor/>
              <m:sty m:val="p"/>
            </m:rPr>
            <w:rPr>
              <w:b w:val="0"/>
              <w:i w:val="0"/>
              <w:iCs/>
            </w:rPr>
            <m:t>×</m:t>
          </m:r>
          <m:f>
            <m:fPr>
              <m:ctrlPr>
                <w:rPr>
                  <w:rFonts w:ascii="Cambria Math" w:hAnsi="Cambria Math"/>
                  <w:iCs/>
                </w:rPr>
              </m:ctrlPr>
            </m:fPr>
            <m:num>
              <m:r>
                <m:rPr>
                  <m:nor/>
                  <m:sty m:val="p"/>
                </m:rPr>
                <w:rPr>
                  <w:b w:val="0"/>
                  <w:i w:val="0"/>
                  <w:iCs/>
                </w:rPr>
                <m:t>S×</m:t>
              </m:r>
              <m:sSub>
                <m:sSubPr>
                  <m:ctrlPr>
                    <w:rPr>
                      <w:rFonts w:ascii="Cambria Math" w:hAnsi="Cambria Math"/>
                      <w:iCs/>
                    </w:rPr>
                  </m:ctrlPr>
                </m:sSubPr>
                <m:e>
                  <m:r>
                    <m:rPr>
                      <m:nor/>
                      <m:sty m:val="p"/>
                    </m:rPr>
                    <w:rPr>
                      <w:b w:val="0"/>
                      <w:i w:val="0"/>
                      <w:iCs/>
                    </w:rPr>
                    <m:t>P</m:t>
                  </m:r>
                  <m:ctrlPr>
                    <w:rPr>
                      <w:rFonts w:ascii="Cambria Math" w:hAnsi="Cambria Math"/>
                      <w:iCs/>
                    </w:rPr>
                  </m:ctrlPr>
                </m:e>
                <m:sub>
                  <m:r>
                    <m:rPr>
                      <m:nor/>
                      <m:sty m:val="p"/>
                    </m:rPr>
                    <w:rPr>
                      <w:b w:val="0"/>
                      <w:i w:val="0"/>
                      <w:iCs/>
                    </w:rPr>
                    <m:t>T</m:t>
                  </m:r>
                  <m:ctrlPr>
                    <w:rPr>
                      <w:rFonts w:ascii="Cambria Math" w:hAnsi="Cambria Math"/>
                      <w:iCs/>
                    </w:rPr>
                  </m:ctrlPr>
                </m:sub>
              </m:sSub>
              <m:r>
                <m:rPr>
                  <m:nor/>
                  <m:sty m:val="p"/>
                </m:rPr>
                <w:rPr>
                  <w:b w:val="0"/>
                  <w:i w:val="0"/>
                  <w:iCs/>
                </w:rPr>
                <m:t>×</m:t>
              </m:r>
              <m:sSub>
                <m:sSubPr>
                  <m:ctrlPr>
                    <w:rPr>
                      <w:rFonts w:ascii="Cambria Math" w:hAnsi="Cambria Math"/>
                      <w:iCs/>
                    </w:rPr>
                  </m:ctrlPr>
                </m:sSubPr>
                <m:e>
                  <m:r>
                    <m:rPr>
                      <m:nor/>
                      <m:sty m:val="p"/>
                    </m:rPr>
                    <w:rPr>
                      <w:b w:val="0"/>
                      <w:i w:val="0"/>
                      <w:iCs/>
                    </w:rPr>
                    <m:t>M</m:t>
                  </m:r>
                  <m:ctrlPr>
                    <w:rPr>
                      <w:rFonts w:ascii="Cambria Math" w:hAnsi="Cambria Math"/>
                      <w:iCs/>
                    </w:rPr>
                  </m:ctrlPr>
                </m:e>
                <m:sub>
                  <m:r>
                    <m:rPr>
                      <m:nor/>
                      <m:sty m:val="p"/>
                    </m:rPr>
                    <w:rPr>
                      <w:b w:val="0"/>
                      <w:i w:val="0"/>
                      <w:iCs/>
                    </w:rPr>
                    <m:t>vap</m:t>
                  </m:r>
                  <m:ctrlPr>
                    <w:rPr>
                      <w:rFonts w:ascii="Cambria Math" w:hAnsi="Cambria Math"/>
                      <w:iCs/>
                    </w:rPr>
                  </m:ctrlPr>
                </m:sub>
              </m:sSub>
              <m:ctrlPr>
                <w:rPr>
                  <w:rFonts w:ascii="Cambria Math" w:hAnsi="Cambria Math"/>
                  <w:iCs/>
                </w:rPr>
              </m:ctrlPr>
            </m:num>
            <m:den>
              <m:r>
                <m:rPr>
                  <m:nor/>
                  <m:sty m:val="p"/>
                </m:rPr>
                <w:rPr>
                  <w:b w:val="0"/>
                  <w:i w:val="0"/>
                  <w:iCs/>
                </w:rPr>
                <m:t>273.15</m:t>
              </m:r>
              <m:r>
                <m:rPr>
                  <m:nor/>
                  <m:sty m:val="p"/>
                </m:rPr>
                <w:rPr>
                  <w:rFonts w:hint="eastAsia"/>
                  <w:b w:val="0"/>
                  <w:i w:val="0"/>
                  <w:iCs/>
                </w:rPr>
                <m:t>+</m:t>
              </m:r>
              <m:r>
                <m:rPr>
                  <m:nor/>
                  <m:sty m:val="p"/>
                </m:rPr>
                <w:rPr>
                  <w:b w:val="0"/>
                  <w:i w:val="0"/>
                  <w:iCs/>
                </w:rPr>
                <m:t>T</m:t>
              </m:r>
              <m:ctrlPr>
                <w:rPr>
                  <w:rFonts w:ascii="Cambria Math" w:hAnsi="Cambria Math"/>
                  <w:iCs/>
                </w:rPr>
              </m:ctrlPr>
            </m:den>
          </m:f>
        </m:oMath>
      </m:oMathPara>
    </w:p>
    <w:p w14:paraId="30067501">
      <w:pPr>
        <w:pStyle w:val="117"/>
        <w:adjustRightInd w:val="0"/>
        <w:snapToGrid w:val="0"/>
        <w:ind w:firstLine="480"/>
        <w:rPr>
          <w:rFonts w:hint="eastAsia"/>
        </w:rPr>
      </w:pPr>
      <w:r>
        <w:rPr>
          <w:rFonts w:hint="eastAsia"/>
        </w:rPr>
        <w:t>式中：S——饱和系数，无量纲，一般取0.6。</w:t>
      </w:r>
    </w:p>
    <w:p w14:paraId="02C36FE6">
      <w:pPr>
        <w:pStyle w:val="117"/>
        <w:adjustRightInd w:val="0"/>
        <w:snapToGrid w:val="0"/>
        <w:ind w:firstLine="1200" w:firstLineChars="500"/>
        <w:rPr>
          <w:rFonts w:hint="eastAsia"/>
        </w:rPr>
      </w:pPr>
      <w:r>
        <w:rPr>
          <w:rFonts w:hint="eastAsia"/>
        </w:rPr>
        <w:t>P</w:t>
      </w:r>
      <w:r>
        <w:rPr>
          <w:vertAlign w:val="subscript"/>
        </w:rPr>
        <w:t>T</w:t>
      </w:r>
      <w:r>
        <w:rPr>
          <w:rFonts w:hint="eastAsia"/>
        </w:rPr>
        <w:t>——温度T时装载物料的真实蒸气压，Pa；本次取32k</w:t>
      </w:r>
      <w:r>
        <w:t>Pa</w:t>
      </w:r>
      <w:r>
        <w:rPr>
          <w:rFonts w:hint="eastAsia"/>
        </w:rPr>
        <w:t>。</w:t>
      </w:r>
    </w:p>
    <w:p w14:paraId="1EA87770">
      <w:pPr>
        <w:pStyle w:val="117"/>
        <w:adjustRightInd w:val="0"/>
        <w:snapToGrid w:val="0"/>
        <w:ind w:firstLine="1200" w:firstLineChars="500"/>
        <w:rPr>
          <w:rFonts w:hint="eastAsia"/>
        </w:rPr>
      </w:pPr>
      <w:r>
        <w:rPr>
          <w:rFonts w:hint="eastAsia"/>
        </w:rPr>
        <w:t>M</w:t>
      </w:r>
      <w:r>
        <w:rPr>
          <w:rFonts w:hint="eastAsia"/>
          <w:vertAlign w:val="subscript"/>
        </w:rPr>
        <w:t>vap</w:t>
      </w:r>
      <w:r>
        <w:rPr>
          <w:rFonts w:hint="eastAsia"/>
        </w:rPr>
        <w:t>——油气分子量，g/mol；本次取5</w:t>
      </w:r>
      <w:r>
        <w:t>0</w:t>
      </w:r>
      <w:r>
        <w:rPr>
          <w:rFonts w:hint="eastAsia"/>
        </w:rPr>
        <w:t>g</w:t>
      </w:r>
      <w:r>
        <w:t>/mol</w:t>
      </w:r>
      <w:r>
        <w:rPr>
          <w:rFonts w:hint="eastAsia"/>
        </w:rPr>
        <w:t>。</w:t>
      </w:r>
    </w:p>
    <w:p w14:paraId="3FFAD5F6">
      <w:pPr>
        <w:pStyle w:val="117"/>
        <w:adjustRightInd w:val="0"/>
        <w:snapToGrid w:val="0"/>
        <w:ind w:firstLine="1200" w:firstLineChars="500"/>
        <w:rPr>
          <w:rFonts w:hint="eastAsia"/>
        </w:rPr>
      </w:pPr>
      <w:r>
        <w:rPr>
          <w:rFonts w:hint="eastAsia"/>
        </w:rPr>
        <w:t>T——物料装载温度，℃；本次取2</w:t>
      </w:r>
      <w:r>
        <w:t>5</w:t>
      </w:r>
      <w:r>
        <w:rPr>
          <w:rFonts w:hint="eastAsia"/>
        </w:rPr>
        <w:t>℃。</w:t>
      </w:r>
    </w:p>
    <w:p w14:paraId="14EF19C8">
      <w:pPr>
        <w:pStyle w:val="117"/>
        <w:adjustRightInd w:val="0"/>
        <w:snapToGrid w:val="0"/>
        <w:ind w:firstLine="480"/>
        <w:rPr>
          <w:rFonts w:hint="eastAsia"/>
        </w:rPr>
      </w:pPr>
      <w:r>
        <w:rPr>
          <w:rFonts w:hint="eastAsia"/>
        </w:rPr>
        <w:t>根据L</w:t>
      </w:r>
      <w:r>
        <w:rPr>
          <w:vertAlign w:val="subscript"/>
        </w:rPr>
        <w:t>L</w:t>
      </w:r>
      <w:r>
        <w:rPr>
          <w:rFonts w:hint="eastAsia"/>
        </w:rPr>
        <w:t>计算公式计算出L</w:t>
      </w:r>
      <w:r>
        <w:rPr>
          <w:vertAlign w:val="subscript"/>
        </w:rPr>
        <w:t>L</w:t>
      </w:r>
      <w:r>
        <w:rPr>
          <w:rFonts w:hint="eastAsia"/>
        </w:rPr>
        <w:t>为0</w:t>
      </w:r>
      <w:r>
        <w:t>.</w:t>
      </w:r>
      <w:r>
        <w:rPr>
          <w:rFonts w:hint="eastAsia"/>
        </w:rPr>
        <w:t>39，根据产能预测表可知拉油生产时年均产油量为2.7×10</w:t>
      </w:r>
      <w:r>
        <w:rPr>
          <w:rFonts w:hint="eastAsia"/>
          <w:vertAlign w:val="superscript"/>
        </w:rPr>
        <w:t>4</w:t>
      </w:r>
      <w:r>
        <w:rPr>
          <w:rFonts w:hint="eastAsia"/>
        </w:rPr>
        <w:t>t/a，原油密度为</w:t>
      </w:r>
      <w:r>
        <w:t>0.8</w:t>
      </w:r>
      <w:r>
        <w:rPr>
          <w:rFonts w:hint="eastAsia"/>
        </w:rPr>
        <w:t>854t/m</w:t>
      </w:r>
      <w:r>
        <w:rPr>
          <w:rFonts w:hint="eastAsia"/>
          <w:vertAlign w:val="superscript"/>
        </w:rPr>
        <w:t>3</w:t>
      </w:r>
      <w:r>
        <w:rPr>
          <w:rFonts w:hint="eastAsia"/>
        </w:rPr>
        <w:t>。根据上述计算公式计算出采出液装车时产生的无组织挥发性</w:t>
      </w:r>
      <w:bookmarkStart w:id="300" w:name="OLE_LINK8"/>
      <w:r>
        <w:rPr>
          <w:rFonts w:hint="eastAsia"/>
        </w:rPr>
        <w:t>有机物为9.32</w:t>
      </w:r>
      <w:bookmarkStart w:id="301" w:name="OLE_LINK266"/>
      <w:r>
        <w:rPr>
          <w:rFonts w:hint="eastAsia"/>
        </w:rPr>
        <w:t>t/a</w:t>
      </w:r>
      <w:bookmarkEnd w:id="301"/>
      <w:r>
        <w:rPr>
          <w:rFonts w:hint="eastAsia"/>
        </w:rPr>
        <w:t>。</w:t>
      </w:r>
      <w:bookmarkEnd w:id="300"/>
    </w:p>
    <w:p w14:paraId="70EF38D9">
      <w:pPr>
        <w:pStyle w:val="117"/>
        <w:adjustRightInd w:val="0"/>
        <w:snapToGrid w:val="0"/>
        <w:ind w:firstLine="480"/>
        <w:rPr>
          <w:rFonts w:hint="eastAsia"/>
        </w:rPr>
      </w:pPr>
      <w:r>
        <w:rPr>
          <w:rFonts w:hint="eastAsia"/>
        </w:rPr>
        <w:t>根据上述计算结果可知</w:t>
      </w:r>
      <w:bookmarkStart w:id="302" w:name="OLE_LINK269"/>
      <w:bookmarkStart w:id="303" w:name="OLE_LINK268"/>
      <w:r>
        <w:rPr>
          <w:rFonts w:hint="eastAsia"/>
        </w:rPr>
        <w:t>拉油罐的工作损失和采出液装车时产生的无组织非甲烷总烃</w:t>
      </w:r>
      <w:bookmarkEnd w:id="302"/>
      <w:r>
        <w:rPr>
          <w:rFonts w:hint="eastAsia"/>
        </w:rPr>
        <w:t>合计为13.294t/a</w:t>
      </w:r>
      <w:bookmarkEnd w:id="303"/>
      <w:r>
        <w:rPr>
          <w:rFonts w:hint="eastAsia"/>
        </w:rPr>
        <w:t>，对拉油罐、罐车采用气相平衡系统，使拉油罐、</w:t>
      </w:r>
      <w:bookmarkStart w:id="304" w:name="OLE_LINK267"/>
      <w:r>
        <w:rPr>
          <w:rFonts w:hint="eastAsia"/>
        </w:rPr>
        <w:t>罐车储罐形成闭路循环，减少拉油罐及装车时产生的无组织废气；根据《利用气相平衡管原</w:t>
      </w:r>
      <w:bookmarkEnd w:id="304"/>
      <w:r>
        <w:rPr>
          <w:rFonts w:hint="eastAsia"/>
        </w:rPr>
        <w:t>理控制有机污染物的无组织排放》（齐刚）研究可知，采用气相平衡系统之后无组织废气排放量可减少90%以上，则</w:t>
      </w:r>
      <w:bookmarkStart w:id="305" w:name="OLE_LINK274"/>
      <w:r>
        <w:rPr>
          <w:rFonts w:hint="eastAsia"/>
        </w:rPr>
        <w:t>拉油罐的工作损失和采出液装车时无组织非甲烷总烃排放量约为1.3294t/a。</w:t>
      </w:r>
    </w:p>
    <w:bookmarkEnd w:id="305"/>
    <w:p w14:paraId="68A7448D">
      <w:pPr>
        <w:pStyle w:val="117"/>
        <w:adjustRightInd w:val="0"/>
        <w:snapToGrid w:val="0"/>
        <w:ind w:firstLine="480"/>
        <w:rPr>
          <w:rFonts w:hint="eastAsia"/>
        </w:rPr>
      </w:pPr>
      <w:r>
        <w:rPr>
          <w:rFonts w:hint="eastAsia"/>
        </w:rPr>
        <w:t>拉油罐的静止损耗、工作损失和采出液装车时无组织非甲烷总烃排放量约为2.0064t/a。</w:t>
      </w:r>
    </w:p>
    <w:p w14:paraId="5A4EB328">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④放空火炬燃烧废气</w:t>
      </w:r>
    </w:p>
    <w:p w14:paraId="183BDB41">
      <w:pPr>
        <w:pStyle w:val="117"/>
        <w:ind w:firstLine="480"/>
        <w:rPr>
          <w:rFonts w:hint="eastAsia"/>
          <w:kern w:val="0"/>
        </w:rPr>
      </w:pPr>
      <w:r>
        <w:rPr>
          <w:rFonts w:hint="eastAsia"/>
        </w:rPr>
        <w:t>石油天然气开采业中未回收的伴生气通过放空火炬燃烧放空，燃烧烟气污染物为二氧化硫、氮氧化物和颗粒物，目前石油天然气开采业的放空火炬燃烧烟气中各污染物的产生量无相应的源强核算技术指南，本次评价参照</w:t>
      </w:r>
      <w:r>
        <w:rPr>
          <w:rFonts w:hint="eastAsia"/>
          <w:kern w:val="0"/>
        </w:rPr>
        <w:t>《社会区域类环境影响评价》一书中天然气燃料产污系数（SO</w:t>
      </w:r>
      <w:r>
        <w:rPr>
          <w:rFonts w:hint="eastAsia"/>
          <w:kern w:val="0"/>
          <w:vertAlign w:val="subscript"/>
        </w:rPr>
        <w:t>2</w:t>
      </w:r>
      <w:r>
        <w:rPr>
          <w:rFonts w:hint="eastAsia"/>
          <w:kern w:val="0"/>
        </w:rPr>
        <w:t>：0.18kg/km</w:t>
      </w:r>
      <w:r>
        <w:rPr>
          <w:rFonts w:hint="eastAsia"/>
          <w:kern w:val="0"/>
          <w:vertAlign w:val="superscript"/>
        </w:rPr>
        <w:t>3</w:t>
      </w:r>
      <w:r>
        <w:rPr>
          <w:rFonts w:hint="eastAsia"/>
          <w:kern w:val="0"/>
        </w:rPr>
        <w:t>天然气，NO</w:t>
      </w:r>
      <w:r>
        <w:rPr>
          <w:kern w:val="0"/>
          <w:vertAlign w:val="subscript"/>
        </w:rPr>
        <w:t>x</w:t>
      </w:r>
      <w:r>
        <w:rPr>
          <w:rFonts w:hint="eastAsia"/>
          <w:kern w:val="0"/>
        </w:rPr>
        <w:t>：1.76kg/km</w:t>
      </w:r>
      <w:r>
        <w:rPr>
          <w:rFonts w:hint="eastAsia"/>
          <w:kern w:val="0"/>
          <w:vertAlign w:val="superscript"/>
        </w:rPr>
        <w:t>3</w:t>
      </w:r>
      <w:r>
        <w:rPr>
          <w:rFonts w:hint="eastAsia"/>
          <w:kern w:val="0"/>
        </w:rPr>
        <w:t>天然气，颗粒物：0.14kg/km</w:t>
      </w:r>
      <w:r>
        <w:rPr>
          <w:rFonts w:hint="eastAsia"/>
          <w:kern w:val="0"/>
          <w:vertAlign w:val="superscript"/>
        </w:rPr>
        <w:t>3</w:t>
      </w:r>
      <w:r>
        <w:rPr>
          <w:rFonts w:hint="eastAsia"/>
          <w:kern w:val="0"/>
        </w:rPr>
        <w:t>天然气）核算各污染物的产生量，根据上述系数计算放空火炬燃烧烟气中各污染物排放情况，见表</w:t>
      </w:r>
      <w:r>
        <w:rPr>
          <w:kern w:val="0"/>
        </w:rPr>
        <w:t>3.3</w:t>
      </w:r>
      <w:r>
        <w:rPr>
          <w:rFonts w:hint="eastAsia"/>
          <w:kern w:val="0"/>
        </w:rPr>
        <w:t>-7。</w:t>
      </w:r>
    </w:p>
    <w:p w14:paraId="4B56F84C">
      <w:pPr>
        <w:adjustRightInd w:val="0"/>
        <w:snapToGrid w:val="0"/>
        <w:spacing w:line="500" w:lineRule="exact"/>
        <w:jc w:val="center"/>
        <w:textAlignment w:val="baseline"/>
        <w:rPr>
          <w:rFonts w:hint="eastAsia" w:ascii="黑体" w:hAnsi="黑体" w:eastAsia="黑体"/>
          <w:szCs w:val="21"/>
        </w:rPr>
      </w:pPr>
      <w:bookmarkStart w:id="306" w:name="_Hlk132987770"/>
      <w:bookmarkStart w:id="307" w:name="OLE_LINK7"/>
      <w:r>
        <w:rPr>
          <w:rFonts w:hint="eastAsia" w:ascii="黑体" w:hAnsi="黑体" w:eastAsia="黑体"/>
          <w:szCs w:val="21"/>
        </w:rPr>
        <w:t>表</w:t>
      </w:r>
      <w:r>
        <w:rPr>
          <w:rFonts w:ascii="黑体" w:hAnsi="黑体" w:eastAsia="黑体"/>
          <w:szCs w:val="21"/>
        </w:rPr>
        <w:t>3.3</w:t>
      </w:r>
      <w:r>
        <w:rPr>
          <w:rFonts w:hint="eastAsia" w:ascii="黑体" w:hAnsi="黑体" w:eastAsia="黑体"/>
          <w:szCs w:val="21"/>
        </w:rPr>
        <w:t xml:space="preserve">-7 </w:t>
      </w:r>
      <w:r>
        <w:rPr>
          <w:rFonts w:ascii="黑体" w:hAnsi="黑体" w:eastAsia="黑体"/>
          <w:szCs w:val="21"/>
        </w:rPr>
        <w:t xml:space="preserve"> </w:t>
      </w:r>
      <w:r>
        <w:rPr>
          <w:rFonts w:hint="eastAsia" w:ascii="黑体" w:hAnsi="黑体" w:eastAsia="黑体"/>
          <w:szCs w:val="21"/>
        </w:rPr>
        <w:t>放空火炬</w:t>
      </w:r>
      <w:r>
        <w:rPr>
          <w:rFonts w:ascii="黑体" w:hAnsi="黑体" w:eastAsia="黑体"/>
          <w:szCs w:val="21"/>
        </w:rPr>
        <w:t>大气污染物排放统计表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28" w:type="dxa"/>
          <w:bottom w:w="0" w:type="dxa"/>
          <w:right w:w="28" w:type="dxa"/>
        </w:tblCellMar>
      </w:tblPr>
      <w:tblGrid>
        <w:gridCol w:w="988"/>
        <w:gridCol w:w="1316"/>
        <w:gridCol w:w="1564"/>
        <w:gridCol w:w="993"/>
        <w:gridCol w:w="852"/>
        <w:gridCol w:w="996"/>
        <w:gridCol w:w="2077"/>
      </w:tblGrid>
      <w:tr w14:paraId="16E9AA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65" w:type="pct"/>
            <w:vMerge w:val="restart"/>
            <w:vAlign w:val="center"/>
          </w:tcPr>
          <w:p w14:paraId="6280517A">
            <w:pPr>
              <w:autoSpaceDE w:val="0"/>
              <w:autoSpaceDN w:val="0"/>
              <w:adjustRightInd w:val="0"/>
              <w:snapToGrid w:val="0"/>
              <w:jc w:val="center"/>
              <w:rPr>
                <w:rFonts w:hint="eastAsia" w:ascii="宋体" w:hAnsi="宋体"/>
                <w:szCs w:val="21"/>
              </w:rPr>
            </w:pPr>
            <w:r>
              <w:rPr>
                <w:rFonts w:ascii="宋体" w:hAnsi="宋体"/>
                <w:szCs w:val="21"/>
              </w:rPr>
              <w:t>污染源</w:t>
            </w:r>
          </w:p>
        </w:tc>
        <w:tc>
          <w:tcPr>
            <w:tcW w:w="734" w:type="pct"/>
            <w:vMerge w:val="restart"/>
            <w:vAlign w:val="center"/>
          </w:tcPr>
          <w:p w14:paraId="6FC2954D">
            <w:pPr>
              <w:autoSpaceDE w:val="0"/>
              <w:autoSpaceDN w:val="0"/>
              <w:adjustRightInd w:val="0"/>
              <w:snapToGrid w:val="0"/>
              <w:jc w:val="center"/>
              <w:rPr>
                <w:rFonts w:hint="eastAsia" w:ascii="宋体" w:hAnsi="宋体"/>
                <w:szCs w:val="21"/>
              </w:rPr>
            </w:pPr>
            <w:r>
              <w:rPr>
                <w:rFonts w:hint="eastAsia" w:ascii="宋体" w:hAnsi="宋体"/>
                <w:szCs w:val="21"/>
              </w:rPr>
              <w:t>伴生气</w:t>
            </w:r>
            <w:r>
              <w:rPr>
                <w:rFonts w:ascii="宋体" w:hAnsi="宋体"/>
                <w:szCs w:val="21"/>
              </w:rPr>
              <w:t>（</w:t>
            </w:r>
            <w:r>
              <w:rPr>
                <w:rFonts w:hint="eastAsia" w:ascii="宋体" w:hAnsi="宋体"/>
                <w:szCs w:val="21"/>
              </w:rPr>
              <w:t>×10</w:t>
            </w:r>
            <w:r>
              <w:rPr>
                <w:rFonts w:hint="eastAsia" w:ascii="宋体" w:hAnsi="宋体"/>
                <w:szCs w:val="21"/>
                <w:vertAlign w:val="superscript"/>
              </w:rPr>
              <w:t>4</w:t>
            </w:r>
            <w:r>
              <w:rPr>
                <w:rFonts w:hint="eastAsia" w:ascii="宋体" w:hAnsi="宋体"/>
                <w:szCs w:val="21"/>
              </w:rPr>
              <w:t>m</w:t>
            </w:r>
            <w:r>
              <w:rPr>
                <w:rFonts w:hint="eastAsia" w:ascii="宋体" w:hAnsi="宋体"/>
                <w:szCs w:val="21"/>
                <w:vertAlign w:val="superscript"/>
              </w:rPr>
              <w:t>3</w:t>
            </w:r>
            <w:r>
              <w:rPr>
                <w:rFonts w:hint="eastAsia" w:ascii="宋体" w:hAnsi="宋体"/>
                <w:szCs w:val="21"/>
              </w:rPr>
              <w:t>/a</w:t>
            </w:r>
            <w:r>
              <w:rPr>
                <w:rFonts w:ascii="宋体" w:hAnsi="宋体"/>
                <w:szCs w:val="21"/>
              </w:rPr>
              <w:t>）</w:t>
            </w:r>
          </w:p>
        </w:tc>
        <w:tc>
          <w:tcPr>
            <w:tcW w:w="893" w:type="pct"/>
            <w:vMerge w:val="restart"/>
            <w:vAlign w:val="center"/>
          </w:tcPr>
          <w:p w14:paraId="16E69EF7">
            <w:pPr>
              <w:autoSpaceDE w:val="0"/>
              <w:autoSpaceDN w:val="0"/>
              <w:adjustRightInd w:val="0"/>
              <w:snapToGrid w:val="0"/>
              <w:jc w:val="center"/>
              <w:rPr>
                <w:rFonts w:hint="eastAsia" w:ascii="宋体" w:hAnsi="宋体"/>
                <w:szCs w:val="21"/>
              </w:rPr>
            </w:pPr>
            <w:r>
              <w:rPr>
                <w:rFonts w:hint="eastAsia" w:ascii="宋体" w:hAnsi="宋体" w:cs="宋体"/>
                <w:szCs w:val="21"/>
              </w:rPr>
              <w:t>燃烧总热释放率（Cal/s）</w:t>
            </w:r>
          </w:p>
        </w:tc>
        <w:tc>
          <w:tcPr>
            <w:tcW w:w="1624" w:type="pct"/>
            <w:gridSpan w:val="3"/>
            <w:vAlign w:val="center"/>
          </w:tcPr>
          <w:p w14:paraId="286D241A">
            <w:pPr>
              <w:autoSpaceDE w:val="0"/>
              <w:autoSpaceDN w:val="0"/>
              <w:adjustRightInd w:val="0"/>
              <w:snapToGrid w:val="0"/>
              <w:jc w:val="center"/>
              <w:rPr>
                <w:rFonts w:hint="eastAsia" w:ascii="宋体" w:hAnsi="宋体"/>
                <w:szCs w:val="21"/>
              </w:rPr>
            </w:pPr>
            <w:r>
              <w:rPr>
                <w:rFonts w:ascii="宋体" w:hAnsi="宋体"/>
                <w:szCs w:val="21"/>
              </w:rPr>
              <w:t>污染物排放量(t</w:t>
            </w:r>
            <w:r>
              <w:rPr>
                <w:rFonts w:hint="eastAsia" w:ascii="宋体" w:hAnsi="宋体"/>
                <w:szCs w:val="21"/>
              </w:rPr>
              <w:t>/a</w:t>
            </w:r>
            <w:r>
              <w:rPr>
                <w:rFonts w:ascii="宋体" w:hAnsi="宋体"/>
                <w:szCs w:val="21"/>
              </w:rPr>
              <w:t>)</w:t>
            </w:r>
          </w:p>
        </w:tc>
        <w:tc>
          <w:tcPr>
            <w:tcW w:w="1184" w:type="pct"/>
            <w:vMerge w:val="restart"/>
            <w:vAlign w:val="center"/>
          </w:tcPr>
          <w:p w14:paraId="7E0EC006">
            <w:pPr>
              <w:autoSpaceDE w:val="0"/>
              <w:autoSpaceDN w:val="0"/>
              <w:adjustRightInd w:val="0"/>
              <w:snapToGrid w:val="0"/>
              <w:jc w:val="center"/>
              <w:rPr>
                <w:rFonts w:hint="eastAsia" w:ascii="宋体" w:hAnsi="宋体"/>
                <w:szCs w:val="21"/>
              </w:rPr>
            </w:pPr>
            <w:r>
              <w:rPr>
                <w:rFonts w:hint="eastAsia" w:ascii="宋体" w:hAnsi="宋体"/>
                <w:szCs w:val="21"/>
              </w:rPr>
              <w:t>排放源参数</w:t>
            </w:r>
          </w:p>
        </w:tc>
      </w:tr>
      <w:tr w14:paraId="0E6287D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jc w:val="center"/>
        </w:trPr>
        <w:tc>
          <w:tcPr>
            <w:tcW w:w="565" w:type="pct"/>
            <w:vMerge w:val="continue"/>
            <w:vAlign w:val="center"/>
          </w:tcPr>
          <w:p w14:paraId="1D3C085E">
            <w:pPr>
              <w:autoSpaceDE w:val="0"/>
              <w:autoSpaceDN w:val="0"/>
              <w:adjustRightInd w:val="0"/>
              <w:snapToGrid w:val="0"/>
              <w:jc w:val="center"/>
              <w:rPr>
                <w:rFonts w:hint="eastAsia" w:ascii="宋体" w:hAnsi="宋体"/>
                <w:szCs w:val="21"/>
              </w:rPr>
            </w:pPr>
          </w:p>
        </w:tc>
        <w:tc>
          <w:tcPr>
            <w:tcW w:w="734" w:type="pct"/>
            <w:vMerge w:val="continue"/>
            <w:vAlign w:val="center"/>
          </w:tcPr>
          <w:p w14:paraId="2319BFCA">
            <w:pPr>
              <w:autoSpaceDE w:val="0"/>
              <w:autoSpaceDN w:val="0"/>
              <w:adjustRightInd w:val="0"/>
              <w:snapToGrid w:val="0"/>
              <w:jc w:val="center"/>
              <w:rPr>
                <w:rFonts w:hint="eastAsia" w:ascii="宋体" w:hAnsi="宋体"/>
                <w:szCs w:val="21"/>
              </w:rPr>
            </w:pPr>
          </w:p>
        </w:tc>
        <w:tc>
          <w:tcPr>
            <w:tcW w:w="893" w:type="pct"/>
            <w:vMerge w:val="continue"/>
            <w:vAlign w:val="center"/>
          </w:tcPr>
          <w:p w14:paraId="2DDF605B">
            <w:pPr>
              <w:autoSpaceDE w:val="0"/>
              <w:autoSpaceDN w:val="0"/>
              <w:adjustRightInd w:val="0"/>
              <w:snapToGrid w:val="0"/>
              <w:jc w:val="center"/>
              <w:rPr>
                <w:rFonts w:hint="eastAsia" w:ascii="宋体" w:hAnsi="宋体"/>
                <w:szCs w:val="21"/>
              </w:rPr>
            </w:pPr>
          </w:p>
        </w:tc>
        <w:tc>
          <w:tcPr>
            <w:tcW w:w="568" w:type="pct"/>
            <w:vAlign w:val="center"/>
          </w:tcPr>
          <w:p w14:paraId="6D8050D5">
            <w:pPr>
              <w:autoSpaceDE w:val="0"/>
              <w:autoSpaceDN w:val="0"/>
              <w:adjustRightInd w:val="0"/>
              <w:snapToGrid w:val="0"/>
              <w:jc w:val="center"/>
              <w:rPr>
                <w:rFonts w:hint="eastAsia" w:ascii="宋体" w:hAnsi="宋体"/>
                <w:szCs w:val="21"/>
              </w:rPr>
            </w:pPr>
            <w:r>
              <w:rPr>
                <w:rFonts w:ascii="宋体" w:hAnsi="宋体"/>
                <w:szCs w:val="21"/>
              </w:rPr>
              <w:t>SO</w:t>
            </w:r>
            <w:r>
              <w:rPr>
                <w:rFonts w:ascii="宋体" w:hAnsi="宋体"/>
                <w:szCs w:val="21"/>
                <w:vertAlign w:val="subscript"/>
              </w:rPr>
              <w:t>2</w:t>
            </w:r>
          </w:p>
        </w:tc>
        <w:tc>
          <w:tcPr>
            <w:tcW w:w="487" w:type="pct"/>
            <w:vAlign w:val="center"/>
          </w:tcPr>
          <w:p w14:paraId="6EA9EA0C">
            <w:pPr>
              <w:autoSpaceDE w:val="0"/>
              <w:autoSpaceDN w:val="0"/>
              <w:adjustRightInd w:val="0"/>
              <w:snapToGrid w:val="0"/>
              <w:jc w:val="center"/>
              <w:rPr>
                <w:rFonts w:hint="eastAsia" w:ascii="宋体" w:hAnsi="宋体"/>
                <w:szCs w:val="21"/>
              </w:rPr>
            </w:pPr>
            <w:r>
              <w:rPr>
                <w:rFonts w:ascii="宋体" w:hAnsi="宋体"/>
                <w:szCs w:val="21"/>
              </w:rPr>
              <w:t>NO</w:t>
            </w:r>
            <w:r>
              <w:rPr>
                <w:rFonts w:ascii="宋体" w:hAnsi="宋体"/>
                <w:szCs w:val="21"/>
                <w:vertAlign w:val="subscript"/>
              </w:rPr>
              <w:t>x</w:t>
            </w:r>
          </w:p>
        </w:tc>
        <w:tc>
          <w:tcPr>
            <w:tcW w:w="569" w:type="pct"/>
            <w:vAlign w:val="center"/>
          </w:tcPr>
          <w:p w14:paraId="0784B324">
            <w:pPr>
              <w:autoSpaceDE w:val="0"/>
              <w:autoSpaceDN w:val="0"/>
              <w:adjustRightInd w:val="0"/>
              <w:snapToGrid w:val="0"/>
              <w:jc w:val="center"/>
              <w:rPr>
                <w:rFonts w:hint="eastAsia" w:ascii="宋体" w:hAnsi="宋体"/>
                <w:szCs w:val="21"/>
              </w:rPr>
            </w:pPr>
            <w:r>
              <w:rPr>
                <w:rFonts w:hint="eastAsia" w:ascii="宋体" w:hAnsi="宋体"/>
                <w:szCs w:val="21"/>
              </w:rPr>
              <w:t>颗粒物</w:t>
            </w:r>
          </w:p>
        </w:tc>
        <w:tc>
          <w:tcPr>
            <w:tcW w:w="1184" w:type="pct"/>
            <w:vMerge w:val="continue"/>
            <w:tcBorders>
              <w:bottom w:val="single" w:color="000000" w:sz="4" w:space="0"/>
            </w:tcBorders>
            <w:vAlign w:val="center"/>
          </w:tcPr>
          <w:p w14:paraId="08D92B65">
            <w:pPr>
              <w:autoSpaceDE w:val="0"/>
              <w:autoSpaceDN w:val="0"/>
              <w:adjustRightInd w:val="0"/>
              <w:snapToGrid w:val="0"/>
              <w:jc w:val="center"/>
              <w:rPr>
                <w:rFonts w:hint="eastAsia" w:ascii="宋体" w:hAnsi="宋体"/>
                <w:szCs w:val="21"/>
              </w:rPr>
            </w:pPr>
          </w:p>
        </w:tc>
      </w:tr>
      <w:tr w14:paraId="6D858B9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04" w:hRule="atLeast"/>
          <w:jc w:val="center"/>
        </w:trPr>
        <w:tc>
          <w:tcPr>
            <w:tcW w:w="565" w:type="pct"/>
            <w:vAlign w:val="center"/>
          </w:tcPr>
          <w:p w14:paraId="679983D4">
            <w:pPr>
              <w:autoSpaceDE w:val="0"/>
              <w:autoSpaceDN w:val="0"/>
              <w:adjustRightInd w:val="0"/>
              <w:snapToGrid w:val="0"/>
              <w:jc w:val="center"/>
              <w:rPr>
                <w:rFonts w:hint="eastAsia" w:ascii="宋体" w:hAnsi="宋体"/>
                <w:szCs w:val="21"/>
              </w:rPr>
            </w:pPr>
            <w:r>
              <w:rPr>
                <w:rFonts w:hint="eastAsia" w:ascii="宋体" w:hAnsi="宋体"/>
                <w:szCs w:val="21"/>
              </w:rPr>
              <w:t>放空火炬</w:t>
            </w:r>
          </w:p>
        </w:tc>
        <w:tc>
          <w:tcPr>
            <w:tcW w:w="734" w:type="pct"/>
            <w:vAlign w:val="center"/>
          </w:tcPr>
          <w:p w14:paraId="07635D1F">
            <w:pPr>
              <w:autoSpaceDE w:val="0"/>
              <w:autoSpaceDN w:val="0"/>
              <w:adjustRightInd w:val="0"/>
              <w:snapToGrid w:val="0"/>
              <w:jc w:val="center"/>
              <w:rPr>
                <w:rFonts w:hint="eastAsia" w:ascii="宋体" w:hAnsi="宋体"/>
                <w:szCs w:val="21"/>
              </w:rPr>
            </w:pPr>
            <w:bookmarkStart w:id="308" w:name="OLE_LINK322"/>
            <w:r>
              <w:rPr>
                <w:rFonts w:hint="eastAsia" w:ascii="宋体" w:hAnsi="宋体"/>
                <w:szCs w:val="21"/>
              </w:rPr>
              <w:t>26.98</w:t>
            </w:r>
            <w:bookmarkEnd w:id="308"/>
          </w:p>
        </w:tc>
        <w:tc>
          <w:tcPr>
            <w:tcW w:w="893" w:type="pct"/>
            <w:vAlign w:val="center"/>
          </w:tcPr>
          <w:p w14:paraId="09F82078">
            <w:pPr>
              <w:autoSpaceDE w:val="0"/>
              <w:autoSpaceDN w:val="0"/>
              <w:adjustRightInd w:val="0"/>
              <w:snapToGrid w:val="0"/>
              <w:jc w:val="center"/>
              <w:rPr>
                <w:rFonts w:hint="eastAsia" w:ascii="宋体" w:hAnsi="宋体"/>
                <w:szCs w:val="21"/>
              </w:rPr>
            </w:pPr>
            <w:r>
              <w:rPr>
                <w:rFonts w:hint="eastAsia" w:ascii="宋体" w:hAnsi="宋体"/>
                <w:szCs w:val="21"/>
              </w:rPr>
              <w:t>80450</w:t>
            </w:r>
          </w:p>
        </w:tc>
        <w:tc>
          <w:tcPr>
            <w:tcW w:w="568" w:type="pct"/>
            <w:vAlign w:val="center"/>
          </w:tcPr>
          <w:p w14:paraId="0F024389">
            <w:pPr>
              <w:autoSpaceDE w:val="0"/>
              <w:autoSpaceDN w:val="0"/>
              <w:adjustRightInd w:val="0"/>
              <w:snapToGrid w:val="0"/>
              <w:jc w:val="center"/>
              <w:rPr>
                <w:rFonts w:hint="eastAsia" w:ascii="宋体" w:hAnsi="宋体"/>
                <w:szCs w:val="21"/>
              </w:rPr>
            </w:pPr>
            <w:r>
              <w:rPr>
                <w:rFonts w:hint="eastAsia" w:ascii="宋体" w:hAnsi="宋体"/>
                <w:szCs w:val="21"/>
              </w:rPr>
              <w:t>0.05</w:t>
            </w:r>
          </w:p>
        </w:tc>
        <w:tc>
          <w:tcPr>
            <w:tcW w:w="487" w:type="pct"/>
            <w:vAlign w:val="center"/>
          </w:tcPr>
          <w:p w14:paraId="64E58B20">
            <w:pPr>
              <w:autoSpaceDE w:val="0"/>
              <w:autoSpaceDN w:val="0"/>
              <w:adjustRightInd w:val="0"/>
              <w:snapToGrid w:val="0"/>
              <w:jc w:val="center"/>
              <w:rPr>
                <w:rFonts w:hint="eastAsia" w:ascii="宋体" w:hAnsi="宋体"/>
                <w:szCs w:val="21"/>
              </w:rPr>
            </w:pPr>
            <w:r>
              <w:rPr>
                <w:rFonts w:hint="eastAsia" w:ascii="宋体" w:hAnsi="宋体"/>
                <w:szCs w:val="21"/>
              </w:rPr>
              <w:t>0.475</w:t>
            </w:r>
          </w:p>
        </w:tc>
        <w:tc>
          <w:tcPr>
            <w:tcW w:w="569" w:type="pct"/>
            <w:vAlign w:val="center"/>
          </w:tcPr>
          <w:p w14:paraId="551738D8">
            <w:pPr>
              <w:autoSpaceDE w:val="0"/>
              <w:autoSpaceDN w:val="0"/>
              <w:adjustRightInd w:val="0"/>
              <w:snapToGrid w:val="0"/>
              <w:jc w:val="center"/>
              <w:rPr>
                <w:rFonts w:hint="eastAsia" w:ascii="宋体" w:hAnsi="宋体"/>
                <w:szCs w:val="21"/>
              </w:rPr>
            </w:pPr>
            <w:r>
              <w:rPr>
                <w:rFonts w:hint="eastAsia" w:ascii="宋体" w:hAnsi="宋体"/>
                <w:szCs w:val="21"/>
              </w:rPr>
              <w:t>0.0375</w:t>
            </w:r>
          </w:p>
        </w:tc>
        <w:tc>
          <w:tcPr>
            <w:tcW w:w="1184" w:type="pct"/>
            <w:vAlign w:val="center"/>
          </w:tcPr>
          <w:p w14:paraId="76EC97B9">
            <w:pPr>
              <w:autoSpaceDE w:val="0"/>
              <w:autoSpaceDN w:val="0"/>
              <w:adjustRightInd w:val="0"/>
              <w:snapToGrid w:val="0"/>
              <w:jc w:val="center"/>
              <w:rPr>
                <w:rFonts w:hint="eastAsia" w:ascii="宋体" w:hAnsi="宋体"/>
                <w:szCs w:val="21"/>
              </w:rPr>
            </w:pPr>
            <w:r>
              <w:rPr>
                <w:rFonts w:hint="eastAsia" w:ascii="宋体" w:hAnsi="宋体"/>
                <w:szCs w:val="21"/>
              </w:rPr>
              <w:t>高度1</w:t>
            </w:r>
            <w:r>
              <w:rPr>
                <w:rFonts w:ascii="宋体" w:hAnsi="宋体"/>
                <w:szCs w:val="21"/>
              </w:rPr>
              <w:t>0m</w:t>
            </w:r>
            <w:r>
              <w:rPr>
                <w:rFonts w:hint="eastAsia" w:ascii="宋体" w:hAnsi="宋体"/>
                <w:szCs w:val="21"/>
              </w:rPr>
              <w:t>、内径0</w:t>
            </w:r>
            <w:r>
              <w:rPr>
                <w:rFonts w:ascii="宋体" w:hAnsi="宋体"/>
                <w:szCs w:val="21"/>
              </w:rPr>
              <w:t>.4m</w:t>
            </w:r>
            <w:r>
              <w:rPr>
                <w:rFonts w:hint="eastAsia" w:ascii="宋体" w:hAnsi="宋体"/>
                <w:szCs w:val="21"/>
              </w:rPr>
              <w:t>，温度为150℃</w:t>
            </w:r>
          </w:p>
        </w:tc>
      </w:tr>
      <w:bookmarkEnd w:id="306"/>
    </w:tbl>
    <w:p w14:paraId="56D5C46C">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⑤温室气体排放</w:t>
      </w:r>
    </w:p>
    <w:p w14:paraId="282675FE">
      <w:pPr>
        <w:pStyle w:val="191"/>
        <w:ind w:firstLine="480"/>
        <w:rPr>
          <w:rFonts w:hint="eastAsia"/>
        </w:rPr>
      </w:pPr>
      <w:r>
        <w:rPr>
          <w:rFonts w:hint="eastAsia"/>
        </w:rPr>
        <w:t>根据</w:t>
      </w:r>
      <w:bookmarkStart w:id="309" w:name="_Hlk164162522"/>
      <w:r>
        <w:rPr>
          <w:rFonts w:hint="eastAsia"/>
        </w:rPr>
        <w:t>《中国石油天然气生产企业温室气体排放核算方法与报告指南（试行）》</w:t>
      </w:r>
      <w:bookmarkEnd w:id="309"/>
      <w:r>
        <w:rPr>
          <w:rFonts w:hint="eastAsia"/>
        </w:rPr>
        <w:t>，石油天然气开采企业碳排放源主要包括：燃料燃烧CO</w:t>
      </w:r>
      <w:r>
        <w:rPr>
          <w:rFonts w:hint="eastAsia"/>
          <w:vertAlign w:val="subscript"/>
        </w:rPr>
        <w:t>2</w:t>
      </w:r>
      <w:r>
        <w:rPr>
          <w:rFonts w:hint="eastAsia"/>
        </w:rPr>
        <w:t>排放、火炬燃烧和CH</w:t>
      </w:r>
      <w:r>
        <w:rPr>
          <w:rFonts w:hint="eastAsia"/>
          <w:vertAlign w:val="subscript"/>
        </w:rPr>
        <w:t>4</w:t>
      </w:r>
      <w:r>
        <w:rPr>
          <w:rFonts w:hint="eastAsia"/>
        </w:rPr>
        <w:t>排放、工艺放空CO</w:t>
      </w:r>
      <w:r>
        <w:rPr>
          <w:rFonts w:hint="eastAsia"/>
          <w:vertAlign w:val="subscript"/>
        </w:rPr>
        <w:t>2</w:t>
      </w:r>
      <w:r>
        <w:rPr>
          <w:rFonts w:hint="eastAsia"/>
        </w:rPr>
        <w:t>和CH</w:t>
      </w:r>
      <w:r>
        <w:rPr>
          <w:rFonts w:hint="eastAsia"/>
          <w:vertAlign w:val="subscript"/>
        </w:rPr>
        <w:t>4</w:t>
      </w:r>
      <w:r>
        <w:rPr>
          <w:rFonts w:hint="eastAsia"/>
        </w:rPr>
        <w:t>排放、设备泄漏CH</w:t>
      </w:r>
      <w:r>
        <w:rPr>
          <w:rFonts w:hint="eastAsia"/>
          <w:vertAlign w:val="subscript"/>
        </w:rPr>
        <w:t>4</w:t>
      </w:r>
      <w:r>
        <w:rPr>
          <w:rFonts w:hint="eastAsia"/>
        </w:rPr>
        <w:t>逃逸排放、CH</w:t>
      </w:r>
      <w:r>
        <w:rPr>
          <w:rFonts w:hint="eastAsia"/>
          <w:vertAlign w:val="subscript"/>
        </w:rPr>
        <w:t>4</w:t>
      </w:r>
      <w:r>
        <w:rPr>
          <w:rFonts w:hint="eastAsia"/>
        </w:rPr>
        <w:t>回收利用量、CO</w:t>
      </w:r>
      <w:r>
        <w:rPr>
          <w:rFonts w:hint="eastAsia"/>
          <w:vertAlign w:val="subscript"/>
        </w:rPr>
        <w:t>2</w:t>
      </w:r>
      <w:r>
        <w:rPr>
          <w:rFonts w:hint="eastAsia"/>
        </w:rPr>
        <w:t>回收利用量、净购入电力和热力隐含的CO</w:t>
      </w:r>
      <w:r>
        <w:rPr>
          <w:rFonts w:hint="eastAsia"/>
          <w:vertAlign w:val="subscript"/>
        </w:rPr>
        <w:t>2</w:t>
      </w:r>
      <w:r>
        <w:rPr>
          <w:rFonts w:hint="eastAsia"/>
        </w:rPr>
        <w:t>排放，公式如下：</w:t>
      </w:r>
    </w:p>
    <w:p w14:paraId="6689553B">
      <w:pPr>
        <w:pStyle w:val="191"/>
        <w:spacing w:line="360" w:lineRule="auto"/>
        <w:ind w:firstLine="0" w:firstLineChars="0"/>
        <w:jc w:val="center"/>
        <w:rPr>
          <w:rFonts w:hint="eastAsia"/>
        </w:rPr>
      </w:pPr>
      <w:r>
        <w:drawing>
          <wp:inline distT="0" distB="0" distL="0" distR="0">
            <wp:extent cx="5437505" cy="980440"/>
            <wp:effectExtent l="0" t="0" r="0" b="0"/>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900"/>
                    <pic:cNvPicPr>
                      <a:picLocks noChangeAspect="1"/>
                    </pic:cNvPicPr>
                  </pic:nvPicPr>
                  <pic:blipFill>
                    <a:blip r:embed="rId37"/>
                    <a:stretch>
                      <a:fillRect/>
                    </a:stretch>
                  </pic:blipFill>
                  <pic:spPr>
                    <a:xfrm>
                      <a:off x="0" y="0"/>
                      <a:ext cx="5438095" cy="980952"/>
                    </a:xfrm>
                    <a:prstGeom prst="rect">
                      <a:avLst/>
                    </a:prstGeom>
                  </pic:spPr>
                </pic:pic>
              </a:graphicData>
            </a:graphic>
          </wp:inline>
        </w:drawing>
      </w:r>
    </w:p>
    <w:p w14:paraId="517BEB35">
      <w:pPr>
        <w:pStyle w:val="191"/>
        <w:ind w:firstLine="480"/>
        <w:rPr>
          <w:rFonts w:hint="eastAsia"/>
        </w:rPr>
      </w:pPr>
      <w:r>
        <w:rPr>
          <w:rFonts w:hint="eastAsia"/>
        </w:rPr>
        <w:t>一期工程涉及温室气体排放的环节为原油开采过程中CH</w:t>
      </w:r>
      <w:r>
        <w:rPr>
          <w:rFonts w:hint="eastAsia"/>
          <w:vertAlign w:val="subscript"/>
        </w:rPr>
        <w:t>4</w:t>
      </w:r>
      <w:r>
        <w:rPr>
          <w:rFonts w:hint="eastAsia"/>
        </w:rPr>
        <w:t>排放</w:t>
      </w:r>
      <w:bookmarkStart w:id="310" w:name="_Hlk162001575"/>
      <w:r>
        <w:rPr>
          <w:rFonts w:hint="eastAsia"/>
        </w:rPr>
        <w:t>、正常工况火炬燃烧CO</w:t>
      </w:r>
      <w:r>
        <w:rPr>
          <w:rFonts w:hint="eastAsia"/>
          <w:vertAlign w:val="subscript"/>
        </w:rPr>
        <w:t>2</w:t>
      </w:r>
      <w:r>
        <w:rPr>
          <w:rFonts w:hint="eastAsia"/>
        </w:rPr>
        <w:t>、CH</w:t>
      </w:r>
      <w:r>
        <w:rPr>
          <w:rFonts w:hint="eastAsia"/>
          <w:vertAlign w:val="subscript"/>
        </w:rPr>
        <w:t>4</w:t>
      </w:r>
      <w:r>
        <w:rPr>
          <w:rFonts w:hint="eastAsia"/>
        </w:rPr>
        <w:t>排放和净购入电力隐含的CO</w:t>
      </w:r>
      <w:r>
        <w:rPr>
          <w:rFonts w:hint="eastAsia"/>
          <w:vertAlign w:val="subscript"/>
        </w:rPr>
        <w:t>2</w:t>
      </w:r>
      <w:r>
        <w:rPr>
          <w:rFonts w:hint="eastAsia"/>
        </w:rPr>
        <w:t>排放</w:t>
      </w:r>
      <w:bookmarkEnd w:id="310"/>
      <w:r>
        <w:rPr>
          <w:rFonts w:hint="eastAsia"/>
        </w:rPr>
        <w:t>。二期工程涉及温室气体排放的环节为原油开采过程中CH</w:t>
      </w:r>
      <w:r>
        <w:rPr>
          <w:rFonts w:hint="eastAsia"/>
          <w:vertAlign w:val="subscript"/>
        </w:rPr>
        <w:t>4</w:t>
      </w:r>
      <w:r>
        <w:rPr>
          <w:rFonts w:hint="eastAsia"/>
        </w:rPr>
        <w:t>排放和净购入电力隐含的CO</w:t>
      </w:r>
      <w:r>
        <w:rPr>
          <w:rFonts w:hint="eastAsia"/>
          <w:vertAlign w:val="subscript"/>
        </w:rPr>
        <w:t>2</w:t>
      </w:r>
      <w:r>
        <w:rPr>
          <w:rFonts w:hint="eastAsia"/>
        </w:rPr>
        <w:t>排放。</w:t>
      </w:r>
    </w:p>
    <w:p w14:paraId="7F204791">
      <w:pPr>
        <w:pStyle w:val="191"/>
        <w:ind w:firstLine="480"/>
        <w:rPr>
          <w:rFonts w:hint="eastAsia"/>
        </w:rPr>
      </w:pPr>
      <w:r>
        <w:rPr>
          <w:rFonts w:hint="eastAsia"/>
        </w:rPr>
        <w:t>※原油开采过程中CH</w:t>
      </w:r>
      <w:r>
        <w:rPr>
          <w:rFonts w:hint="eastAsia"/>
          <w:vertAlign w:val="subscript"/>
        </w:rPr>
        <w:t>4</w:t>
      </w:r>
      <w:r>
        <w:rPr>
          <w:rFonts w:hint="eastAsia"/>
        </w:rPr>
        <w:t>逃逸排放量</w:t>
      </w:r>
    </w:p>
    <w:p w14:paraId="14667FF6">
      <w:pPr>
        <w:pStyle w:val="191"/>
        <w:ind w:firstLine="480"/>
        <w:rPr>
          <w:rFonts w:hint="eastAsia"/>
        </w:rPr>
      </w:pPr>
      <w:r>
        <w:drawing>
          <wp:anchor distT="0" distB="0" distL="114300" distR="114300" simplePos="0" relativeHeight="251670528" behindDoc="1" locked="0" layoutInCell="1" allowOverlap="1">
            <wp:simplePos x="0" y="0"/>
            <wp:positionH relativeFrom="column">
              <wp:posOffset>465455</wp:posOffset>
            </wp:positionH>
            <wp:positionV relativeFrom="paragraph">
              <wp:posOffset>305435</wp:posOffset>
            </wp:positionV>
            <wp:extent cx="4709160" cy="662940"/>
            <wp:effectExtent l="0" t="0" r="0" b="3810"/>
            <wp:wrapNone/>
            <wp:docPr id="899" name="图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89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709160" cy="662940"/>
                    </a:xfrm>
                    <a:prstGeom prst="rect">
                      <a:avLst/>
                    </a:prstGeom>
                    <a:noFill/>
                    <a:ln>
                      <a:noFill/>
                    </a:ln>
                  </pic:spPr>
                </pic:pic>
              </a:graphicData>
            </a:graphic>
          </wp:anchor>
        </w:drawing>
      </w:r>
      <w:r>
        <w:rPr>
          <w:rFonts w:hint="eastAsia"/>
        </w:rPr>
        <w:t>页岩油开采过程中CH</w:t>
      </w:r>
      <w:r>
        <w:rPr>
          <w:rFonts w:hint="eastAsia"/>
          <w:vertAlign w:val="subscript"/>
        </w:rPr>
        <w:t>4</w:t>
      </w:r>
      <w:r>
        <w:rPr>
          <w:rFonts w:hint="eastAsia"/>
        </w:rPr>
        <w:t>逃逸排放量按照下式计算：</w:t>
      </w:r>
    </w:p>
    <w:p w14:paraId="3B47C4A1">
      <w:pPr>
        <w:pStyle w:val="191"/>
        <w:ind w:firstLine="480"/>
        <w:rPr>
          <w:rFonts w:hint="eastAsia"/>
        </w:rPr>
      </w:pPr>
    </w:p>
    <w:p w14:paraId="4B4F1A2C">
      <w:pPr>
        <w:pStyle w:val="191"/>
        <w:ind w:firstLine="480"/>
        <w:rPr>
          <w:rFonts w:hint="eastAsia"/>
        </w:rPr>
      </w:pPr>
    </w:p>
    <w:p w14:paraId="34ABE0FA">
      <w:pPr>
        <w:pStyle w:val="191"/>
        <w:ind w:firstLine="480"/>
        <w:rPr>
          <w:rFonts w:hint="eastAsia"/>
        </w:rPr>
      </w:pPr>
      <w:r>
        <w:rPr>
          <w:rFonts w:hint="eastAsia"/>
        </w:rPr>
        <w:t>式中：E</w:t>
      </w:r>
      <w:r>
        <w:rPr>
          <w:rFonts w:hint="eastAsia"/>
          <w:vertAlign w:val="subscript"/>
        </w:rPr>
        <w:t>CH4-开采逃逸</w:t>
      </w:r>
      <w:r>
        <w:rPr>
          <w:rFonts w:hint="eastAsia"/>
        </w:rPr>
        <w:t>为原油开采或天然气开采中所有设施类型产生的CH</w:t>
      </w:r>
      <w:r>
        <w:rPr>
          <w:rFonts w:hint="eastAsia"/>
          <w:vertAlign w:val="subscript"/>
        </w:rPr>
        <w:t>4</w:t>
      </w:r>
      <w:r>
        <w:rPr>
          <w:rFonts w:hint="eastAsia"/>
        </w:rPr>
        <w:t>逃逸排放，单位为吨CH</w:t>
      </w:r>
      <w:r>
        <w:rPr>
          <w:rFonts w:hint="eastAsia"/>
          <w:vertAlign w:val="subscript"/>
        </w:rPr>
        <w:t>4</w:t>
      </w:r>
      <w:r>
        <w:rPr>
          <w:rFonts w:hint="eastAsia"/>
        </w:rPr>
        <w:t>；</w:t>
      </w:r>
    </w:p>
    <w:p w14:paraId="40E2AC3D">
      <w:pPr>
        <w:pStyle w:val="191"/>
        <w:ind w:firstLine="1200" w:firstLineChars="500"/>
        <w:rPr>
          <w:rFonts w:hint="eastAsia"/>
        </w:rPr>
      </w:pPr>
      <w:r>
        <w:rPr>
          <w:rFonts w:hint="eastAsia"/>
        </w:rPr>
        <w:t>j为不同的设施类型；</w:t>
      </w:r>
    </w:p>
    <w:p w14:paraId="52F67CB2">
      <w:pPr>
        <w:pStyle w:val="191"/>
        <w:ind w:firstLine="1200" w:firstLineChars="500"/>
        <w:rPr>
          <w:rFonts w:hint="eastAsia"/>
        </w:rPr>
      </w:pPr>
      <w:r>
        <w:rPr>
          <w:rFonts w:hint="eastAsia"/>
        </w:rPr>
        <w:t>Num</w:t>
      </w:r>
      <w:r>
        <w:rPr>
          <w:rFonts w:hint="eastAsia"/>
          <w:vertAlign w:val="subscript"/>
        </w:rPr>
        <w:t>oil,j</w:t>
      </w:r>
      <w:r>
        <w:rPr>
          <w:rFonts w:hint="eastAsia"/>
        </w:rPr>
        <w:t>为原油开采业务所涉及的泄漏设施类型数量，单位为个；</w:t>
      </w:r>
    </w:p>
    <w:p w14:paraId="551A9F04">
      <w:pPr>
        <w:pStyle w:val="191"/>
        <w:ind w:firstLine="1200" w:firstLineChars="500"/>
        <w:rPr>
          <w:rFonts w:hint="eastAsia"/>
        </w:rPr>
      </w:pPr>
      <w:r>
        <w:rPr>
          <w:rFonts w:hint="eastAsia"/>
        </w:rPr>
        <w:t>EF</w:t>
      </w:r>
      <w:r>
        <w:rPr>
          <w:rFonts w:hint="eastAsia"/>
          <w:vertAlign w:val="subscript"/>
        </w:rPr>
        <w:t>oil,j</w:t>
      </w:r>
      <w:r>
        <w:rPr>
          <w:rFonts w:hint="eastAsia"/>
        </w:rPr>
        <w:t>为原油开采业务中涉及的每种设施类型j的CH</w:t>
      </w:r>
      <w:r>
        <w:rPr>
          <w:rFonts w:hint="eastAsia"/>
          <w:vertAlign w:val="subscript"/>
        </w:rPr>
        <w:t>4</w:t>
      </w:r>
      <w:r>
        <w:rPr>
          <w:rFonts w:hint="eastAsia"/>
        </w:rPr>
        <w:t>逃逸排放因子，单位为吨CH</w:t>
      </w:r>
      <w:r>
        <w:rPr>
          <w:rFonts w:hint="eastAsia"/>
          <w:vertAlign w:val="subscript"/>
        </w:rPr>
        <w:t>4</w:t>
      </w:r>
      <w:r>
        <w:rPr>
          <w:rFonts w:hint="eastAsia"/>
        </w:rPr>
        <w:t>/(年·个)；</w:t>
      </w:r>
    </w:p>
    <w:p w14:paraId="79533AEF">
      <w:pPr>
        <w:pStyle w:val="191"/>
        <w:ind w:firstLine="1200" w:firstLineChars="500"/>
        <w:rPr>
          <w:rFonts w:hint="eastAsia"/>
        </w:rPr>
      </w:pPr>
      <w:r>
        <w:rPr>
          <w:rFonts w:hint="eastAsia"/>
        </w:rPr>
        <w:t>Num</w:t>
      </w:r>
      <w:r>
        <w:rPr>
          <w:rFonts w:hint="eastAsia"/>
          <w:vertAlign w:val="subscript"/>
        </w:rPr>
        <w:t>gas,j</w:t>
      </w:r>
      <w:r>
        <w:rPr>
          <w:rFonts w:hint="eastAsia"/>
        </w:rPr>
        <w:t>为天然气开采业务所涉及的泄漏设施类型数量，单位为个；</w:t>
      </w:r>
    </w:p>
    <w:p w14:paraId="0908E4E7">
      <w:pPr>
        <w:pStyle w:val="191"/>
        <w:ind w:firstLine="1200" w:firstLineChars="500"/>
        <w:rPr>
          <w:rFonts w:hint="eastAsia"/>
        </w:rPr>
      </w:pPr>
      <w:r>
        <w:rPr>
          <w:rFonts w:hint="eastAsia"/>
        </w:rPr>
        <w:t>EF</w:t>
      </w:r>
      <w:r>
        <w:rPr>
          <w:rFonts w:hint="eastAsia"/>
          <w:vertAlign w:val="subscript"/>
        </w:rPr>
        <w:t>gas,j</w:t>
      </w:r>
      <w:r>
        <w:rPr>
          <w:rFonts w:hint="eastAsia"/>
        </w:rPr>
        <w:t>为天然气开采业务中涉及的每种设施类型j的CH</w:t>
      </w:r>
      <w:r>
        <w:rPr>
          <w:rFonts w:hint="eastAsia"/>
          <w:vertAlign w:val="subscript"/>
        </w:rPr>
        <w:t>4</w:t>
      </w:r>
      <w:r>
        <w:rPr>
          <w:rFonts w:hint="eastAsia"/>
        </w:rPr>
        <w:t>逃逸排放因子，单位为吨CH</w:t>
      </w:r>
      <w:r>
        <w:rPr>
          <w:rFonts w:hint="eastAsia"/>
          <w:vertAlign w:val="subscript"/>
        </w:rPr>
        <w:t>4</w:t>
      </w:r>
      <w:r>
        <w:rPr>
          <w:rFonts w:hint="eastAsia"/>
        </w:rPr>
        <w:t>/(年·个)。</w:t>
      </w:r>
    </w:p>
    <w:p w14:paraId="552379BC">
      <w:pPr>
        <w:pStyle w:val="191"/>
        <w:ind w:firstLine="480"/>
        <w:rPr>
          <w:rFonts w:hint="eastAsia"/>
        </w:rPr>
      </w:pPr>
      <w:r>
        <w:rPr>
          <w:rFonts w:hint="eastAsia"/>
        </w:rPr>
        <w:t>本项目为页岩油开采，亦属于原油开采，涉及CH</w:t>
      </w:r>
      <w:r>
        <w:rPr>
          <w:rFonts w:hint="eastAsia"/>
          <w:vertAlign w:val="subscript"/>
        </w:rPr>
        <w:t>4</w:t>
      </w:r>
      <w:r>
        <w:rPr>
          <w:rFonts w:hint="eastAsia"/>
        </w:rPr>
        <w:t>排放的设施主要为井口装置，相关参数取值及计算结果见表3.3-8。</w:t>
      </w:r>
    </w:p>
    <w:p w14:paraId="47844FA3">
      <w:pPr>
        <w:pStyle w:val="15"/>
        <w:rPr>
          <w:rFonts w:hint="eastAsia"/>
        </w:rPr>
      </w:pPr>
      <w:r>
        <w:rPr>
          <w:rFonts w:hint="eastAsia"/>
        </w:rPr>
        <w:t>表3.3-8  页岩油开采过程甲烷逃逸排放排放量计算参数及结果一览表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13"/>
        <w:gridCol w:w="1855"/>
        <w:gridCol w:w="2319"/>
        <w:gridCol w:w="1236"/>
        <w:gridCol w:w="1523"/>
      </w:tblGrid>
      <w:tr w14:paraId="43B0E4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5" w:type="pct"/>
            <w:shd w:val="clear" w:color="auto" w:fill="auto"/>
            <w:vAlign w:val="center"/>
          </w:tcPr>
          <w:p w14:paraId="39EFF7CF">
            <w:pPr>
              <w:pStyle w:val="278"/>
              <w:rPr>
                <w:rFonts w:hint="eastAsia"/>
              </w:rPr>
            </w:pPr>
            <w:r>
              <w:rPr>
                <w:rFonts w:hint="eastAsia"/>
              </w:rPr>
              <w:t>场所</w:t>
            </w:r>
          </w:p>
        </w:tc>
        <w:tc>
          <w:tcPr>
            <w:tcW w:w="1037" w:type="pct"/>
            <w:shd w:val="clear" w:color="auto" w:fill="auto"/>
            <w:vAlign w:val="center"/>
          </w:tcPr>
          <w:p w14:paraId="460280A3">
            <w:pPr>
              <w:pStyle w:val="278"/>
              <w:rPr>
                <w:rFonts w:hint="eastAsia"/>
              </w:rPr>
            </w:pPr>
            <w:r>
              <w:rPr>
                <w:rFonts w:hint="eastAsia"/>
              </w:rPr>
              <w:t>逃逸设施</w:t>
            </w:r>
          </w:p>
        </w:tc>
        <w:tc>
          <w:tcPr>
            <w:tcW w:w="1296" w:type="pct"/>
            <w:shd w:val="clear" w:color="auto" w:fill="auto"/>
            <w:vAlign w:val="center"/>
          </w:tcPr>
          <w:p w14:paraId="690DCF25">
            <w:pPr>
              <w:pStyle w:val="278"/>
              <w:rPr>
                <w:rFonts w:hint="eastAsia"/>
              </w:rPr>
            </w:pPr>
            <w:r>
              <w:rPr>
                <w:rFonts w:hint="eastAsia"/>
              </w:rPr>
              <w:t>设施逃逸</w:t>
            </w:r>
          </w:p>
        </w:tc>
        <w:tc>
          <w:tcPr>
            <w:tcW w:w="691" w:type="pct"/>
            <w:shd w:val="clear" w:color="auto" w:fill="auto"/>
            <w:vAlign w:val="center"/>
          </w:tcPr>
          <w:p w14:paraId="51D0A7CA">
            <w:pPr>
              <w:pStyle w:val="278"/>
              <w:rPr>
                <w:rFonts w:hint="eastAsia"/>
              </w:rPr>
            </w:pPr>
            <w:r>
              <w:rPr>
                <w:rFonts w:hint="eastAsia"/>
              </w:rPr>
              <w:t>井场个数</w:t>
            </w:r>
          </w:p>
        </w:tc>
        <w:tc>
          <w:tcPr>
            <w:tcW w:w="851" w:type="pct"/>
            <w:shd w:val="clear" w:color="auto" w:fill="auto"/>
            <w:vAlign w:val="center"/>
          </w:tcPr>
          <w:p w14:paraId="4CC1D90F">
            <w:pPr>
              <w:pStyle w:val="278"/>
              <w:rPr>
                <w:rFonts w:hint="eastAsia"/>
              </w:rPr>
            </w:pPr>
            <w:r>
              <w:rPr>
                <w:rFonts w:hint="eastAsia"/>
              </w:rPr>
              <w:t>甲烷排放量（t/a）</w:t>
            </w:r>
          </w:p>
        </w:tc>
      </w:tr>
      <w:tr w14:paraId="4575BA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5" w:type="pct"/>
            <w:shd w:val="clear" w:color="auto" w:fill="auto"/>
            <w:vAlign w:val="center"/>
          </w:tcPr>
          <w:p w14:paraId="74454EFA">
            <w:pPr>
              <w:pStyle w:val="278"/>
              <w:rPr>
                <w:rFonts w:hint="eastAsia"/>
              </w:rPr>
            </w:pPr>
            <w:r>
              <w:rPr>
                <w:rFonts w:hint="eastAsia"/>
              </w:rPr>
              <w:t>5口采油井</w:t>
            </w:r>
          </w:p>
        </w:tc>
        <w:tc>
          <w:tcPr>
            <w:tcW w:w="1037" w:type="pct"/>
            <w:shd w:val="clear" w:color="auto" w:fill="auto"/>
            <w:vAlign w:val="center"/>
          </w:tcPr>
          <w:p w14:paraId="21F3BEDD">
            <w:pPr>
              <w:pStyle w:val="278"/>
              <w:rPr>
                <w:rFonts w:hint="eastAsia"/>
              </w:rPr>
            </w:pPr>
            <w:r>
              <w:rPr>
                <w:rFonts w:hint="eastAsia"/>
              </w:rPr>
              <w:t>井口装置</w:t>
            </w:r>
          </w:p>
        </w:tc>
        <w:tc>
          <w:tcPr>
            <w:tcW w:w="1296" w:type="pct"/>
            <w:shd w:val="clear" w:color="auto" w:fill="auto"/>
            <w:vAlign w:val="center"/>
          </w:tcPr>
          <w:p w14:paraId="1EEDE972">
            <w:pPr>
              <w:pStyle w:val="278"/>
              <w:rPr>
                <w:rFonts w:hint="eastAsia"/>
              </w:rPr>
            </w:pPr>
            <w:r>
              <w:rPr>
                <w:rFonts w:hint="eastAsia"/>
              </w:rPr>
              <w:t>0.23吨/年</w:t>
            </w:r>
            <w:r>
              <w:rPr>
                <w:rFonts w:hint="eastAsia" w:cs="宋体"/>
              </w:rPr>
              <w:t>·</w:t>
            </w:r>
            <w:r>
              <w:rPr>
                <w:rFonts w:hint="eastAsia"/>
              </w:rPr>
              <w:t>个</w:t>
            </w:r>
          </w:p>
        </w:tc>
        <w:tc>
          <w:tcPr>
            <w:tcW w:w="691" w:type="pct"/>
            <w:shd w:val="clear" w:color="auto" w:fill="auto"/>
            <w:vAlign w:val="center"/>
          </w:tcPr>
          <w:p w14:paraId="282186FE">
            <w:pPr>
              <w:pStyle w:val="278"/>
              <w:rPr>
                <w:rFonts w:hint="eastAsia"/>
              </w:rPr>
            </w:pPr>
            <w:r>
              <w:rPr>
                <w:rFonts w:hint="eastAsia"/>
              </w:rPr>
              <w:t>5</w:t>
            </w:r>
          </w:p>
        </w:tc>
        <w:tc>
          <w:tcPr>
            <w:tcW w:w="851" w:type="pct"/>
            <w:shd w:val="clear" w:color="auto" w:fill="auto"/>
            <w:vAlign w:val="center"/>
          </w:tcPr>
          <w:p w14:paraId="29448A2D">
            <w:pPr>
              <w:pStyle w:val="278"/>
              <w:rPr>
                <w:rFonts w:hint="eastAsia"/>
              </w:rPr>
            </w:pPr>
            <w:r>
              <w:rPr>
                <w:rFonts w:hint="eastAsia"/>
              </w:rPr>
              <w:t>1.15</w:t>
            </w:r>
          </w:p>
        </w:tc>
      </w:tr>
    </w:tbl>
    <w:p w14:paraId="741CF043">
      <w:pPr>
        <w:pStyle w:val="191"/>
        <w:ind w:firstLine="480"/>
        <w:rPr>
          <w:rFonts w:hint="eastAsia"/>
        </w:rPr>
      </w:pPr>
      <w:r>
        <w:rPr>
          <w:rFonts w:hint="eastAsia"/>
        </w:rPr>
        <w:t>根据表中参数，结合公式计算可知，CH</w:t>
      </w:r>
      <w:r>
        <w:rPr>
          <w:rFonts w:hint="eastAsia"/>
          <w:vertAlign w:val="subscript"/>
        </w:rPr>
        <w:t>4</w:t>
      </w:r>
      <w:r>
        <w:rPr>
          <w:rFonts w:hint="eastAsia"/>
        </w:rPr>
        <w:t>逃逸排放量为1.15t。</w:t>
      </w:r>
    </w:p>
    <w:p w14:paraId="3D30E9F9">
      <w:pPr>
        <w:pStyle w:val="191"/>
        <w:ind w:firstLine="480"/>
        <w:rPr>
          <w:rFonts w:hint="eastAsia"/>
        </w:rPr>
      </w:pPr>
      <w:r>
        <w:rPr>
          <w:rFonts w:hint="eastAsia"/>
        </w:rPr>
        <w:t>※正常工况火炬燃烧CO</w:t>
      </w:r>
      <w:r>
        <w:rPr>
          <w:rFonts w:hint="eastAsia"/>
          <w:vertAlign w:val="subscript"/>
        </w:rPr>
        <w:t>2</w:t>
      </w:r>
      <w:r>
        <w:rPr>
          <w:rFonts w:hint="eastAsia"/>
        </w:rPr>
        <w:t>、CH</w:t>
      </w:r>
      <w:r>
        <w:rPr>
          <w:rFonts w:hint="eastAsia"/>
          <w:vertAlign w:val="subscript"/>
        </w:rPr>
        <w:t>4</w:t>
      </w:r>
      <w:r>
        <w:rPr>
          <w:rFonts w:hint="eastAsia"/>
        </w:rPr>
        <w:t>排放</w:t>
      </w:r>
    </w:p>
    <w:p w14:paraId="188CC0EA">
      <w:pPr>
        <w:pStyle w:val="191"/>
        <w:ind w:firstLine="480"/>
        <w:rPr>
          <w:rFonts w:hint="eastAsia"/>
        </w:rPr>
      </w:pPr>
      <w:r>
        <w:rPr>
          <w:rFonts w:hint="eastAsia"/>
        </w:rPr>
        <w:t>正常工况火炬燃烧CO</w:t>
      </w:r>
      <w:r>
        <w:rPr>
          <w:rFonts w:hint="eastAsia"/>
          <w:vertAlign w:val="subscript"/>
        </w:rPr>
        <w:t>2</w:t>
      </w:r>
      <w:r>
        <w:rPr>
          <w:rFonts w:hint="eastAsia"/>
        </w:rPr>
        <w:t>、CH</w:t>
      </w:r>
      <w:r>
        <w:rPr>
          <w:rFonts w:hint="eastAsia"/>
          <w:vertAlign w:val="subscript"/>
        </w:rPr>
        <w:t>4</w:t>
      </w:r>
      <w:r>
        <w:rPr>
          <w:rFonts w:hint="eastAsia"/>
        </w:rPr>
        <w:t>的排放量按照以下公式进行计算：</w:t>
      </w:r>
    </w:p>
    <w:p w14:paraId="6AD1811C">
      <w:pPr>
        <w:pStyle w:val="191"/>
        <w:spacing w:line="360" w:lineRule="auto"/>
        <w:ind w:firstLine="0" w:firstLineChars="0"/>
        <w:jc w:val="center"/>
        <w:rPr>
          <w:rFonts w:hint="eastAsia"/>
        </w:rPr>
      </w:pPr>
      <w:r>
        <w:drawing>
          <wp:inline distT="0" distB="0" distL="0" distR="0">
            <wp:extent cx="4810125" cy="506095"/>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9"/>
                    <a:stretch>
                      <a:fillRect/>
                    </a:stretch>
                  </pic:blipFill>
                  <pic:spPr>
                    <a:xfrm>
                      <a:off x="0" y="0"/>
                      <a:ext cx="4876001" cy="513293"/>
                    </a:xfrm>
                    <a:prstGeom prst="rect">
                      <a:avLst/>
                    </a:prstGeom>
                  </pic:spPr>
                </pic:pic>
              </a:graphicData>
            </a:graphic>
          </wp:inline>
        </w:drawing>
      </w:r>
    </w:p>
    <w:p w14:paraId="0253008B">
      <w:pPr>
        <w:pStyle w:val="191"/>
        <w:spacing w:line="360" w:lineRule="auto"/>
        <w:ind w:firstLine="480"/>
        <w:jc w:val="center"/>
        <w:rPr>
          <w:rFonts w:hint="eastAsia"/>
        </w:rPr>
      </w:pPr>
      <w:r>
        <w:drawing>
          <wp:inline distT="0" distB="0" distL="0" distR="0">
            <wp:extent cx="4428490" cy="51943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0"/>
                    <a:stretch>
                      <a:fillRect/>
                    </a:stretch>
                  </pic:blipFill>
                  <pic:spPr>
                    <a:xfrm>
                      <a:off x="0" y="0"/>
                      <a:ext cx="4506280" cy="529088"/>
                    </a:xfrm>
                    <a:prstGeom prst="rect">
                      <a:avLst/>
                    </a:prstGeom>
                  </pic:spPr>
                </pic:pic>
              </a:graphicData>
            </a:graphic>
          </wp:inline>
        </w:drawing>
      </w:r>
    </w:p>
    <w:p w14:paraId="4548813A">
      <w:pPr>
        <w:pStyle w:val="191"/>
        <w:spacing w:line="360" w:lineRule="auto"/>
        <w:ind w:firstLine="480"/>
        <w:jc w:val="center"/>
        <w:rPr>
          <w:rFonts w:hint="eastAsia"/>
        </w:rPr>
      </w:pPr>
      <w:r>
        <w:drawing>
          <wp:inline distT="0" distB="0" distL="0" distR="0">
            <wp:extent cx="2759710" cy="50419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1"/>
                    <a:stretch>
                      <a:fillRect/>
                    </a:stretch>
                  </pic:blipFill>
                  <pic:spPr>
                    <a:xfrm>
                      <a:off x="0" y="0"/>
                      <a:ext cx="2855379" cy="522126"/>
                    </a:xfrm>
                    <a:prstGeom prst="rect">
                      <a:avLst/>
                    </a:prstGeom>
                  </pic:spPr>
                </pic:pic>
              </a:graphicData>
            </a:graphic>
          </wp:inline>
        </w:drawing>
      </w:r>
    </w:p>
    <w:p w14:paraId="099278C6">
      <w:pPr>
        <w:pStyle w:val="191"/>
        <w:ind w:firstLine="480"/>
        <w:rPr>
          <w:rFonts w:hint="eastAsia"/>
        </w:rPr>
      </w:pPr>
      <w:r>
        <w:rPr>
          <w:rFonts w:hint="eastAsia"/>
        </w:rPr>
        <w:t>式中：</w:t>
      </w:r>
      <w:r>
        <w:rPr>
          <w:rFonts w:ascii="Cambria Math" w:hAnsi="Cambria Math" w:cs="Cambria Math"/>
        </w:rPr>
        <w:t>𝑖</w:t>
      </w:r>
      <w:r>
        <w:rPr>
          <w:rFonts w:hint="eastAsia"/>
        </w:rPr>
        <w:t>为火炬系统序号；</w:t>
      </w:r>
      <w:r>
        <w:t xml:space="preserve"> </w:t>
      </w:r>
    </w:p>
    <w:p w14:paraId="53300138">
      <w:pPr>
        <w:pStyle w:val="191"/>
        <w:ind w:firstLine="1200" w:firstLineChars="500"/>
        <w:rPr>
          <w:rFonts w:hint="eastAsia"/>
        </w:rPr>
      </w:pPr>
      <w:r>
        <w:t>Q</w:t>
      </w:r>
      <w:r>
        <w:rPr>
          <w:rFonts w:hint="eastAsia"/>
        </w:rPr>
        <w:t>正常火炬为正常生产状态下第</w:t>
      </w:r>
      <w:r>
        <w:rPr>
          <w:rFonts w:ascii="Cambria Math" w:hAnsi="Cambria Math" w:cs="Cambria Math"/>
        </w:rPr>
        <w:t>𝑖</w:t>
      </w:r>
      <w:r>
        <w:rPr>
          <w:rFonts w:hint="eastAsia"/>
        </w:rPr>
        <w:t>号火炬系统的火炬气流量，单位为万</w:t>
      </w:r>
      <w:r>
        <w:t>Nm</w:t>
      </w:r>
      <w:r>
        <w:rPr>
          <w:vertAlign w:val="superscript"/>
        </w:rPr>
        <w:t>3</w:t>
      </w:r>
      <w:r>
        <w:rPr>
          <w:rFonts w:hint="eastAsia"/>
        </w:rPr>
        <w:t>；本次取26.98；</w:t>
      </w:r>
    </w:p>
    <w:p w14:paraId="73ABB182">
      <w:pPr>
        <w:pStyle w:val="191"/>
        <w:ind w:firstLine="1200" w:firstLineChars="500"/>
        <w:rPr>
          <w:rFonts w:hint="eastAsia"/>
        </w:rPr>
      </w:pPr>
      <w:r>
        <w:rPr>
          <w:rFonts w:ascii="Cambria Math" w:hAnsi="Cambria Math" w:cs="Cambria Math"/>
        </w:rPr>
        <w:t>𝐶𝐶</w:t>
      </w:r>
      <w:r>
        <w:rPr>
          <w:rFonts w:hint="eastAsia"/>
          <w:vertAlign w:val="subscript"/>
        </w:rPr>
        <w:t>非</w:t>
      </w:r>
      <w:r>
        <w:rPr>
          <w:rFonts w:ascii="Cambria Math" w:hAnsi="Cambria Math" w:cs="Cambria Math"/>
          <w:vertAlign w:val="subscript"/>
        </w:rPr>
        <w:t>𝐶𝑂</w:t>
      </w:r>
      <w:r>
        <w:rPr>
          <w:vertAlign w:val="subscript"/>
        </w:rPr>
        <w:t>2</w:t>
      </w:r>
      <w:r>
        <w:rPr>
          <w:rFonts w:hint="eastAsia"/>
        </w:rPr>
        <w:t>为火炬气中除</w:t>
      </w:r>
      <w:r>
        <w:t>CO</w:t>
      </w:r>
      <w:r>
        <w:rPr>
          <w:vertAlign w:val="subscript"/>
        </w:rPr>
        <w:t>2</w:t>
      </w:r>
      <w:r>
        <w:rPr>
          <w:rFonts w:hint="eastAsia"/>
        </w:rPr>
        <w:t>外其他含碳化合物的总含碳量，单位为吨碳</w:t>
      </w:r>
      <w:r>
        <w:t>/</w:t>
      </w:r>
      <w:r>
        <w:rPr>
          <w:rFonts w:hint="eastAsia"/>
        </w:rPr>
        <w:t>万</w:t>
      </w:r>
      <w:r>
        <w:t>Nm</w:t>
      </w:r>
      <w:r>
        <w:rPr>
          <w:vertAlign w:val="superscript"/>
        </w:rPr>
        <w:t>3</w:t>
      </w:r>
      <w:r>
        <w:rPr>
          <w:rFonts w:hint="eastAsia"/>
        </w:rPr>
        <w:t>；</w:t>
      </w:r>
    </w:p>
    <w:p w14:paraId="1CC5C536">
      <w:pPr>
        <w:pStyle w:val="191"/>
        <w:ind w:firstLine="1200" w:firstLineChars="500"/>
        <w:rPr>
          <w:rFonts w:hint="eastAsia"/>
        </w:rPr>
      </w:pPr>
      <w:r>
        <w:t>OF</w:t>
      </w:r>
      <w:r>
        <w:rPr>
          <w:rFonts w:hint="eastAsia"/>
        </w:rPr>
        <w:t>为第</w:t>
      </w:r>
      <w:r>
        <w:rPr>
          <w:rFonts w:ascii="Cambria Math" w:hAnsi="Cambria Math" w:cs="Cambria Math"/>
        </w:rPr>
        <w:t>𝑖</w:t>
      </w:r>
      <w:r>
        <w:rPr>
          <w:rFonts w:hint="eastAsia"/>
        </w:rPr>
        <w:t>号火炬系统的碳氧化率，如无实测数据可采用缺省值</w:t>
      </w:r>
      <w:r>
        <w:t>0.98</w:t>
      </w:r>
      <w:r>
        <w:rPr>
          <w:rFonts w:hint="eastAsia"/>
        </w:rPr>
        <w:t>；</w:t>
      </w:r>
    </w:p>
    <w:p w14:paraId="6A2B5B31">
      <w:pPr>
        <w:pStyle w:val="191"/>
        <w:ind w:firstLine="1200" w:firstLineChars="500"/>
        <w:rPr>
          <w:rFonts w:hint="eastAsia"/>
        </w:rPr>
      </w:pPr>
      <w:r>
        <w:rPr>
          <w:rFonts w:ascii="Cambria Math" w:hAnsi="Cambria Math" w:cs="Cambria Math"/>
        </w:rPr>
        <w:t>𝑉</w:t>
      </w:r>
      <w:r>
        <w:rPr>
          <w:rFonts w:ascii="Cambria Math" w:hAnsi="Cambria Math" w:cs="Cambria Math"/>
          <w:vertAlign w:val="subscript"/>
        </w:rPr>
        <w:t>𝐶𝑂</w:t>
      </w:r>
      <w:r>
        <w:rPr>
          <w:vertAlign w:val="subscript"/>
        </w:rPr>
        <w:t>2</w:t>
      </w:r>
      <w:r>
        <w:rPr>
          <w:rFonts w:hint="eastAsia"/>
        </w:rPr>
        <w:t>为火炬气中</w:t>
      </w:r>
      <w:r>
        <w:t>CO</w:t>
      </w:r>
      <w:r>
        <w:rPr>
          <w:vertAlign w:val="subscript"/>
        </w:rPr>
        <w:t>2</w:t>
      </w:r>
      <w:r>
        <w:rPr>
          <w:rFonts w:hint="eastAsia"/>
        </w:rPr>
        <w:t>的体积浓度，取值范围为</w:t>
      </w:r>
      <w:r>
        <w:t>0</w:t>
      </w:r>
      <w:r>
        <w:rPr>
          <w:rFonts w:hint="eastAsia"/>
        </w:rPr>
        <w:t>～</w:t>
      </w:r>
      <w:r>
        <w:t>1</w:t>
      </w:r>
      <w:r>
        <w:rPr>
          <w:rFonts w:hint="eastAsia"/>
        </w:rPr>
        <w:t>，本项目火炬气中</w:t>
      </w:r>
      <w:r>
        <w:t>CO</w:t>
      </w:r>
      <w:r>
        <w:rPr>
          <w:vertAlign w:val="subscript"/>
        </w:rPr>
        <w:t>2</w:t>
      </w:r>
      <w:r>
        <w:rPr>
          <w:rFonts w:hint="eastAsia"/>
        </w:rPr>
        <w:t>的体积浓度为1</w:t>
      </w:r>
      <w:r>
        <w:t>%</w:t>
      </w:r>
      <w:r>
        <w:rPr>
          <w:rFonts w:hint="eastAsia"/>
        </w:rPr>
        <w:t>，则</w:t>
      </w:r>
      <w:r>
        <w:rPr>
          <w:rFonts w:ascii="Cambria Math" w:hAnsi="Cambria Math" w:cs="Cambria Math"/>
        </w:rPr>
        <w:t>𝑉</w:t>
      </w:r>
      <w:r>
        <w:rPr>
          <w:rFonts w:ascii="Cambria Math" w:hAnsi="Cambria Math" w:cs="Cambria Math"/>
          <w:vertAlign w:val="subscript"/>
        </w:rPr>
        <w:t>𝐶𝑂</w:t>
      </w:r>
      <w:r>
        <w:rPr>
          <w:vertAlign w:val="subscript"/>
        </w:rPr>
        <w:t>2</w:t>
      </w:r>
      <w:r>
        <w:rPr>
          <w:rFonts w:hint="eastAsia"/>
        </w:rPr>
        <w:t>取</w:t>
      </w:r>
      <w:r>
        <w:t>0.0</w:t>
      </w:r>
      <w:r>
        <w:rPr>
          <w:rFonts w:hint="eastAsia"/>
        </w:rPr>
        <w:t>1；</w:t>
      </w:r>
      <w:r>
        <w:t xml:space="preserve"> </w:t>
      </w:r>
    </w:p>
    <w:p w14:paraId="2CFB6237">
      <w:pPr>
        <w:pStyle w:val="191"/>
        <w:ind w:firstLine="1200" w:firstLineChars="500"/>
        <w:rPr>
          <w:rFonts w:hint="eastAsia"/>
        </w:rPr>
      </w:pPr>
      <w:r>
        <w:rPr>
          <w:rFonts w:ascii="Cambria Math" w:hAnsi="Cambria Math" w:cs="Cambria Math"/>
        </w:rPr>
        <w:t>𝑉</w:t>
      </w:r>
      <w:r>
        <w:rPr>
          <w:rFonts w:ascii="Cambria Math" w:hAnsi="Cambria Math" w:cs="Cambria Math"/>
          <w:vertAlign w:val="subscript"/>
        </w:rPr>
        <w:t>𝐶𝐻</w:t>
      </w:r>
      <w:r>
        <w:rPr>
          <w:vertAlign w:val="subscript"/>
        </w:rPr>
        <w:t>4</w:t>
      </w:r>
      <w:r>
        <w:rPr>
          <w:rFonts w:hint="eastAsia"/>
        </w:rPr>
        <w:t>为火炬气中</w:t>
      </w:r>
      <w:r>
        <w:t>CH</w:t>
      </w:r>
      <w:r>
        <w:rPr>
          <w:vertAlign w:val="subscript"/>
        </w:rPr>
        <w:t>4</w:t>
      </w:r>
      <w:r>
        <w:rPr>
          <w:rFonts w:hint="eastAsia"/>
        </w:rPr>
        <w:t>的体积浓度；本次取0.7107；</w:t>
      </w:r>
    </w:p>
    <w:p w14:paraId="1C5657F2">
      <w:pPr>
        <w:pStyle w:val="191"/>
        <w:ind w:firstLine="1200" w:firstLineChars="500"/>
        <w:rPr>
          <w:rFonts w:hint="eastAsia"/>
        </w:rPr>
      </w:pPr>
      <w:r>
        <w:t>44</w:t>
      </w:r>
      <w:r>
        <w:rPr>
          <w:rFonts w:hint="eastAsia"/>
        </w:rPr>
        <w:t>/</w:t>
      </w:r>
      <w:r>
        <w:t>12</w:t>
      </w:r>
      <w:r>
        <w:rPr>
          <w:rFonts w:hint="eastAsia"/>
        </w:rPr>
        <w:t>为碳与二氧化碳转换系数；</w:t>
      </w:r>
      <w:r>
        <w:t xml:space="preserve"> </w:t>
      </w:r>
    </w:p>
    <w:p w14:paraId="37789D08">
      <w:pPr>
        <w:pStyle w:val="191"/>
        <w:ind w:firstLine="1200" w:firstLineChars="500"/>
        <w:rPr>
          <w:rFonts w:hint="eastAsia"/>
        </w:rPr>
      </w:pPr>
      <w:r>
        <w:t>19.7</w:t>
      </w:r>
      <w:r>
        <w:rPr>
          <w:rFonts w:hint="eastAsia"/>
        </w:rPr>
        <w:t>为</w:t>
      </w:r>
      <w:r>
        <w:t>CO</w:t>
      </w:r>
      <w:r>
        <w:rPr>
          <w:vertAlign w:val="subscript"/>
        </w:rPr>
        <w:t>2</w:t>
      </w:r>
      <w:r>
        <w:rPr>
          <w:rFonts w:hint="eastAsia"/>
        </w:rPr>
        <w:t>气体在标准状况下的密度，单位为吨</w:t>
      </w:r>
      <w:r>
        <w:t>/</w:t>
      </w:r>
      <w:r>
        <w:rPr>
          <w:rFonts w:hint="eastAsia"/>
        </w:rPr>
        <w:t>万</w:t>
      </w:r>
      <w:r>
        <w:t>Nm</w:t>
      </w:r>
      <w:r>
        <w:rPr>
          <w:vertAlign w:val="superscript"/>
        </w:rPr>
        <w:t>3</w:t>
      </w:r>
      <w:r>
        <w:rPr>
          <w:rFonts w:hint="eastAsia"/>
        </w:rPr>
        <w:t>；</w:t>
      </w:r>
    </w:p>
    <w:p w14:paraId="292D05A3">
      <w:pPr>
        <w:pStyle w:val="191"/>
        <w:ind w:firstLine="1200" w:firstLineChars="500"/>
        <w:rPr>
          <w:rFonts w:hint="eastAsia"/>
        </w:rPr>
      </w:pPr>
      <w:r>
        <w:t>7.17</w:t>
      </w:r>
      <w:r>
        <w:rPr>
          <w:rFonts w:hint="eastAsia"/>
        </w:rPr>
        <w:t>为</w:t>
      </w:r>
      <w:r>
        <w:t>CH</w:t>
      </w:r>
      <w:r>
        <w:rPr>
          <w:vertAlign w:val="subscript"/>
        </w:rPr>
        <w:t>4</w:t>
      </w:r>
      <w:r>
        <w:rPr>
          <w:rFonts w:hint="eastAsia"/>
        </w:rPr>
        <w:t>气体在标准状况下的密度，单位为吨</w:t>
      </w:r>
      <w:r>
        <w:t>/</w:t>
      </w:r>
      <w:r>
        <w:rPr>
          <w:rFonts w:hint="eastAsia"/>
        </w:rPr>
        <w:t>万</w:t>
      </w:r>
      <w:r>
        <w:t>Nm</w:t>
      </w:r>
      <w:r>
        <w:rPr>
          <w:vertAlign w:val="superscript"/>
        </w:rPr>
        <w:t>3</w:t>
      </w:r>
      <w:r>
        <w:rPr>
          <w:rFonts w:hint="eastAsia"/>
        </w:rPr>
        <w:t>。</w:t>
      </w:r>
    </w:p>
    <w:p w14:paraId="3F3E0DDD">
      <w:pPr>
        <w:pStyle w:val="191"/>
        <w:ind w:firstLine="1200" w:firstLineChars="500"/>
        <w:rPr>
          <w:rFonts w:hint="eastAsia"/>
        </w:rPr>
      </w:pPr>
      <w:r>
        <w:rPr>
          <w:rFonts w:ascii="Cambria Math" w:hAnsi="Cambria Math" w:cs="Cambria Math"/>
        </w:rPr>
        <w:t>𝑛</w:t>
      </w:r>
      <w:r>
        <w:rPr>
          <w:rFonts w:hint="eastAsia"/>
        </w:rPr>
        <w:t>为火炬气的各种气体组分，</w:t>
      </w:r>
      <w:r>
        <w:t>CO</w:t>
      </w:r>
      <w:r>
        <w:rPr>
          <w:vertAlign w:val="subscript"/>
        </w:rPr>
        <w:t>2</w:t>
      </w:r>
      <w:r>
        <w:rPr>
          <w:rFonts w:hint="eastAsia"/>
        </w:rPr>
        <w:t>除外；</w:t>
      </w:r>
      <w:r>
        <w:t xml:space="preserve"> </w:t>
      </w:r>
    </w:p>
    <w:p w14:paraId="4AA6B459">
      <w:pPr>
        <w:pStyle w:val="191"/>
        <w:ind w:firstLine="1200" w:firstLineChars="500"/>
        <w:rPr>
          <w:rFonts w:hint="eastAsia"/>
        </w:rPr>
      </w:pPr>
      <w:r>
        <w:rPr>
          <w:rFonts w:ascii="Cambria Math" w:hAnsi="Cambria Math" w:cs="Cambria Math"/>
        </w:rPr>
        <w:t>𝐶𝐶</w:t>
      </w:r>
      <w:r>
        <w:rPr>
          <w:rFonts w:hint="eastAsia"/>
          <w:vertAlign w:val="subscript"/>
        </w:rPr>
        <w:t>非</w:t>
      </w:r>
      <w:r>
        <w:rPr>
          <w:rFonts w:ascii="Cambria Math" w:hAnsi="Cambria Math" w:cs="Cambria Math"/>
          <w:vertAlign w:val="subscript"/>
        </w:rPr>
        <w:t>𝐶𝑂</w:t>
      </w:r>
      <w:r>
        <w:rPr>
          <w:vertAlign w:val="subscript"/>
        </w:rPr>
        <w:t>2</w:t>
      </w:r>
      <w:r>
        <w:rPr>
          <w:rFonts w:hint="eastAsia"/>
        </w:rPr>
        <w:t>为火炬气中除</w:t>
      </w:r>
      <w:r>
        <w:t>CO</w:t>
      </w:r>
      <w:r>
        <w:rPr>
          <w:vertAlign w:val="subscript"/>
        </w:rPr>
        <w:t>2</w:t>
      </w:r>
      <w:r>
        <w:rPr>
          <w:rFonts w:hint="eastAsia"/>
        </w:rPr>
        <w:t>外的其它含碳化合物的含碳量，单位为吨碳</w:t>
      </w:r>
      <w:r>
        <w:t>/</w:t>
      </w:r>
      <w:r>
        <w:rPr>
          <w:rFonts w:hint="eastAsia"/>
        </w:rPr>
        <w:t>万</w:t>
      </w:r>
      <w:r>
        <w:t>Nm</w:t>
      </w:r>
      <w:r>
        <w:rPr>
          <w:vertAlign w:val="superscript"/>
        </w:rPr>
        <w:t>3</w:t>
      </w:r>
      <w:r>
        <w:rPr>
          <w:rFonts w:hint="eastAsia"/>
        </w:rPr>
        <w:t>；</w:t>
      </w:r>
    </w:p>
    <w:p w14:paraId="786184BC">
      <w:pPr>
        <w:pStyle w:val="191"/>
        <w:ind w:firstLine="1200" w:firstLineChars="500"/>
        <w:rPr>
          <w:rFonts w:hint="eastAsia"/>
        </w:rPr>
      </w:pPr>
      <w:r>
        <w:t>V</w:t>
      </w:r>
      <w:r>
        <w:rPr>
          <w:rFonts w:ascii="Cambria Math" w:hAnsi="Cambria Math" w:cs="Cambria Math"/>
          <w:vertAlign w:val="subscript"/>
        </w:rPr>
        <w:t>𝑛</w:t>
      </w:r>
      <w:r>
        <w:rPr>
          <w:rFonts w:hint="eastAsia"/>
        </w:rPr>
        <w:t>为火炬气中除</w:t>
      </w:r>
      <w:r>
        <w:t>CO</w:t>
      </w:r>
      <w:r>
        <w:rPr>
          <w:vertAlign w:val="subscript"/>
        </w:rPr>
        <w:t>2</w:t>
      </w:r>
      <w:r>
        <w:rPr>
          <w:rFonts w:hint="eastAsia"/>
        </w:rPr>
        <w:t>外的第</w:t>
      </w:r>
      <w:r>
        <w:t>n</w:t>
      </w:r>
      <w:r>
        <w:rPr>
          <w:rFonts w:hint="eastAsia"/>
        </w:rPr>
        <w:t>种含碳化合物（包括一氧化碳）的体积浓度，取值范围</w:t>
      </w:r>
      <w:r>
        <w:t>0</w:t>
      </w:r>
      <w:r>
        <w:rPr>
          <w:rFonts w:hint="eastAsia"/>
        </w:rPr>
        <w:t>～</w:t>
      </w:r>
      <w:r>
        <w:t>1</w:t>
      </w:r>
      <w:r>
        <w:rPr>
          <w:rFonts w:hint="eastAsia"/>
        </w:rPr>
        <w:t>，如某含碳化合物的体积浓度为96.13</w:t>
      </w:r>
      <w:r>
        <w:t>%</w:t>
      </w:r>
      <w:r>
        <w:rPr>
          <w:rFonts w:hint="eastAsia"/>
        </w:rPr>
        <w:t>，则</w:t>
      </w:r>
      <w:r>
        <w:rPr>
          <w:rFonts w:ascii="Cambria Math" w:hAnsi="Cambria Math" w:cs="Cambria Math"/>
        </w:rPr>
        <w:t>𝑉</w:t>
      </w:r>
      <w:r>
        <w:rPr>
          <w:rFonts w:ascii="Cambria Math" w:hAnsi="Cambria Math" w:cs="Cambria Math"/>
          <w:vertAlign w:val="subscript"/>
        </w:rPr>
        <w:t>𝑛</w:t>
      </w:r>
      <w:r>
        <w:rPr>
          <w:rFonts w:hint="eastAsia"/>
        </w:rPr>
        <w:t>取</w:t>
      </w:r>
      <w:r>
        <w:t>0.9</w:t>
      </w:r>
      <w:r>
        <w:rPr>
          <w:rFonts w:hint="eastAsia"/>
        </w:rPr>
        <w:t>613；</w:t>
      </w:r>
    </w:p>
    <w:p w14:paraId="502E084C">
      <w:pPr>
        <w:pStyle w:val="191"/>
        <w:ind w:firstLine="1200" w:firstLineChars="500"/>
        <w:rPr>
          <w:rFonts w:hint="eastAsia"/>
        </w:rPr>
      </w:pPr>
      <w:r>
        <w:rPr>
          <w:rFonts w:ascii="Cambria Math" w:hAnsi="Cambria Math" w:cs="Cambria Math"/>
        </w:rPr>
        <w:t>𝐶𝑁</w:t>
      </w:r>
      <w:r>
        <w:rPr>
          <w:rFonts w:ascii="Cambria Math" w:hAnsi="Cambria Math" w:cs="Cambria Math"/>
          <w:vertAlign w:val="subscript"/>
        </w:rPr>
        <w:t>𝑛</w:t>
      </w:r>
      <w:r>
        <w:rPr>
          <w:rFonts w:hint="eastAsia"/>
        </w:rPr>
        <w:t>为火炬气中第</w:t>
      </w:r>
      <w:r>
        <w:t>n</w:t>
      </w:r>
      <w:r>
        <w:rPr>
          <w:rFonts w:hint="eastAsia"/>
        </w:rPr>
        <w:t>种含碳化合物（包括一氧化碳）化学分子式中的碳原子数目。</w:t>
      </w:r>
    </w:p>
    <w:p w14:paraId="110129F3">
      <w:pPr>
        <w:pStyle w:val="191"/>
        <w:ind w:firstLine="480"/>
        <w:rPr>
          <w:rFonts w:hint="eastAsia"/>
        </w:rPr>
      </w:pPr>
      <w:r>
        <w:rPr>
          <w:rFonts w:hint="eastAsia"/>
        </w:rPr>
        <w:t>根据以上公式计算出正常工况火炬燃烧CO</w:t>
      </w:r>
      <w:r>
        <w:rPr>
          <w:rFonts w:hint="eastAsia"/>
          <w:vertAlign w:val="subscript"/>
        </w:rPr>
        <w:t>2</w:t>
      </w:r>
      <w:r>
        <w:rPr>
          <w:rFonts w:hint="eastAsia"/>
        </w:rPr>
        <w:t>、CH</w:t>
      </w:r>
      <w:r>
        <w:rPr>
          <w:rFonts w:hint="eastAsia"/>
          <w:vertAlign w:val="subscript"/>
        </w:rPr>
        <w:t>4</w:t>
      </w:r>
      <w:r>
        <w:rPr>
          <w:rFonts w:hint="eastAsia"/>
        </w:rPr>
        <w:t>的排放量分别为720.5t/a、2.75t/a。</w:t>
      </w:r>
    </w:p>
    <w:p w14:paraId="5C5030A5">
      <w:pPr>
        <w:pStyle w:val="191"/>
        <w:ind w:firstLine="480"/>
        <w:rPr>
          <w:rFonts w:hint="eastAsia"/>
        </w:rPr>
      </w:pPr>
      <w:bookmarkStart w:id="311" w:name="OLE_LINK320"/>
      <w:r>
        <w:rPr>
          <w:rFonts w:hint="eastAsia"/>
        </w:rPr>
        <w:t>※</w:t>
      </w:r>
      <w:bookmarkEnd w:id="311"/>
      <w:r>
        <w:rPr>
          <w:rFonts w:hint="eastAsia"/>
        </w:rPr>
        <w:t>净购入电力隐含的CO</w:t>
      </w:r>
      <w:r>
        <w:rPr>
          <w:rFonts w:hint="eastAsia"/>
          <w:vertAlign w:val="subscript"/>
        </w:rPr>
        <w:t>2</w:t>
      </w:r>
      <w:r>
        <w:rPr>
          <w:rFonts w:hint="eastAsia"/>
        </w:rPr>
        <w:t>排放量</w:t>
      </w:r>
    </w:p>
    <w:p w14:paraId="0B671CBC">
      <w:pPr>
        <w:pStyle w:val="191"/>
        <w:ind w:firstLine="480"/>
        <w:rPr>
          <w:rFonts w:hint="eastAsia"/>
        </w:rPr>
      </w:pPr>
      <w:r>
        <w:rPr>
          <w:rFonts w:hint="eastAsia"/>
        </w:rPr>
        <w:t>购入电力生产的二氧化碳排放量按如下公式计算：</w:t>
      </w:r>
    </w:p>
    <w:p w14:paraId="0DC61644">
      <w:pPr>
        <w:pStyle w:val="19"/>
        <w:kinsoku w:val="0"/>
        <w:overflowPunct w:val="0"/>
        <w:spacing w:before="3"/>
        <w:jc w:val="center"/>
        <w:rPr>
          <w:sz w:val="17"/>
          <w:szCs w:val="17"/>
        </w:rPr>
      </w:pPr>
      <w:r>
        <w:drawing>
          <wp:inline distT="0" distB="0" distL="0" distR="0">
            <wp:extent cx="1911350" cy="360045"/>
            <wp:effectExtent l="0" t="0" r="0" b="1905"/>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8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39762" cy="365628"/>
                    </a:xfrm>
                    <a:prstGeom prst="rect">
                      <a:avLst/>
                    </a:prstGeom>
                    <a:noFill/>
                    <a:ln>
                      <a:noFill/>
                    </a:ln>
                  </pic:spPr>
                </pic:pic>
              </a:graphicData>
            </a:graphic>
          </wp:inline>
        </w:drawing>
      </w:r>
    </w:p>
    <w:p w14:paraId="0350EA80">
      <w:pPr>
        <w:pStyle w:val="191"/>
        <w:ind w:firstLine="476"/>
        <w:rPr>
          <w:rFonts w:hint="eastAsia"/>
        </w:rPr>
      </w:pPr>
      <w:r>
        <w:rPr>
          <w:rFonts w:hint="eastAsia"/>
          <w:spacing w:val="-2"/>
          <w:position w:val="2"/>
        </w:rPr>
        <w:t>式中：</w:t>
      </w:r>
      <w:r>
        <w:rPr>
          <w:rFonts w:hint="eastAsia"/>
        </w:rPr>
        <w:t>E</w:t>
      </w:r>
      <w:r>
        <w:rPr>
          <w:rFonts w:hint="eastAsia"/>
          <w:vertAlign w:val="subscript"/>
        </w:rPr>
        <w:t>C02-净电</w:t>
      </w:r>
      <w:r>
        <w:rPr>
          <w:rFonts w:hint="eastAsia"/>
        </w:rPr>
        <w:t>为报告主体净购入电力隐含的C0</w:t>
      </w:r>
      <w:r>
        <w:rPr>
          <w:rFonts w:hint="eastAsia"/>
          <w:vertAlign w:val="subscript"/>
        </w:rPr>
        <w:t>2</w:t>
      </w:r>
      <w:r>
        <w:rPr>
          <w:rFonts w:hint="eastAsia"/>
        </w:rPr>
        <w:t>排放量，单位为吨C0</w:t>
      </w:r>
      <w:r>
        <w:rPr>
          <w:rFonts w:hint="eastAsia"/>
          <w:vertAlign w:val="subscript"/>
        </w:rPr>
        <w:t>2</w:t>
      </w:r>
      <w:r>
        <w:rPr>
          <w:rFonts w:hint="eastAsia"/>
        </w:rPr>
        <w:t>；</w:t>
      </w:r>
    </w:p>
    <w:p w14:paraId="5240E207">
      <w:pPr>
        <w:pStyle w:val="191"/>
        <w:ind w:firstLine="1200" w:firstLineChars="500"/>
        <w:rPr>
          <w:rFonts w:hint="eastAsia"/>
        </w:rPr>
      </w:pPr>
      <w:r>
        <w:rPr>
          <w:rFonts w:hint="eastAsia"/>
        </w:rPr>
        <w:t>AD</w:t>
      </w:r>
      <w:r>
        <w:rPr>
          <w:rFonts w:hint="eastAsia"/>
          <w:vertAlign w:val="subscript"/>
        </w:rPr>
        <w:t>电力</w:t>
      </w:r>
      <w:r>
        <w:rPr>
          <w:rFonts w:hint="eastAsia"/>
        </w:rPr>
        <w:t>为企业净购入的电力消费量，单位为兆瓦时（MWh）；</w:t>
      </w:r>
    </w:p>
    <w:p w14:paraId="1E2C02DC">
      <w:pPr>
        <w:pStyle w:val="191"/>
        <w:ind w:firstLine="1200" w:firstLineChars="500"/>
        <w:rPr>
          <w:rFonts w:hint="eastAsia"/>
        </w:rPr>
      </w:pPr>
      <w:r>
        <w:rPr>
          <w:rFonts w:hint="eastAsia"/>
        </w:rPr>
        <w:t>EF</w:t>
      </w:r>
      <w:r>
        <w:rPr>
          <w:rFonts w:hint="eastAsia"/>
          <w:vertAlign w:val="subscript"/>
        </w:rPr>
        <w:t>电力</w:t>
      </w:r>
      <w:r>
        <w:rPr>
          <w:rFonts w:hint="eastAsia"/>
        </w:rPr>
        <w:t>为电力供应的C0</w:t>
      </w:r>
      <w:r>
        <w:rPr>
          <w:rFonts w:hint="eastAsia"/>
          <w:vertAlign w:val="subscript"/>
        </w:rPr>
        <w:t>2</w:t>
      </w:r>
      <w:r>
        <w:rPr>
          <w:rFonts w:hint="eastAsia"/>
        </w:rPr>
        <w:t>排放因子，单位为吨C0</w:t>
      </w:r>
      <w:r>
        <w:rPr>
          <w:rFonts w:hint="eastAsia"/>
          <w:vertAlign w:val="subscript"/>
        </w:rPr>
        <w:t>2</w:t>
      </w:r>
      <w:r>
        <w:rPr>
          <w:rFonts w:hint="eastAsia"/>
        </w:rPr>
        <w:t>/MWh。</w:t>
      </w:r>
    </w:p>
    <w:p w14:paraId="19767403">
      <w:pPr>
        <w:pStyle w:val="191"/>
        <w:ind w:firstLine="456"/>
        <w:rPr>
          <w:rFonts w:hint="eastAsia"/>
          <w:spacing w:val="-12"/>
          <w:sz w:val="18"/>
          <w:szCs w:val="18"/>
        </w:rPr>
      </w:pPr>
      <w:r>
        <w:rPr>
          <w:rFonts w:hint="eastAsia"/>
          <w:spacing w:val="-12"/>
        </w:rPr>
        <w:t>本工程电力消耗约190MW·h，据此计算购入电力所产生的二氧化碳，详见表3.3-9。</w:t>
      </w:r>
    </w:p>
    <w:p w14:paraId="704D5281">
      <w:pPr>
        <w:pStyle w:val="15"/>
        <w:rPr>
          <w:rFonts w:hint="eastAsia" w:ascii="黑体" w:cs="黑体"/>
          <w:spacing w:val="-1"/>
          <w:szCs w:val="21"/>
        </w:rPr>
      </w:pPr>
      <w:r>
        <w:t>表</w:t>
      </w:r>
      <w:r>
        <w:rPr>
          <w:rFonts w:hint="eastAsia"/>
        </w:rPr>
        <w:t xml:space="preserve">3.3-9 </w:t>
      </w:r>
      <w:r>
        <w:t xml:space="preserve"> </w:t>
      </w:r>
      <w:r>
        <w:rPr>
          <w:rFonts w:hint="eastAsia" w:ascii="黑体" w:cs="黑体"/>
          <w:spacing w:val="-1"/>
          <w:szCs w:val="21"/>
        </w:rPr>
        <w:t>年净购入电力所产生的二氧化碳排放情况</w:t>
      </w:r>
    </w:p>
    <w:tbl>
      <w:tblPr>
        <w:tblStyle w:val="51"/>
        <w:tblW w:w="8789" w:type="dxa"/>
        <w:tblInd w:w="208"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938"/>
        <w:gridCol w:w="2911"/>
        <w:gridCol w:w="2940"/>
      </w:tblGrid>
      <w:tr w14:paraId="59A7B3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38" w:type="dxa"/>
            <w:shd w:val="clear" w:color="auto" w:fill="auto"/>
            <w:vAlign w:val="center"/>
          </w:tcPr>
          <w:p w14:paraId="616320A3">
            <w:pPr>
              <w:pStyle w:val="278"/>
              <w:adjustRightInd w:val="0"/>
              <w:snapToGrid w:val="0"/>
              <w:spacing w:line="300" w:lineRule="exact"/>
              <w:rPr>
                <w:rFonts w:hint="eastAsia"/>
              </w:rPr>
            </w:pPr>
            <w:r>
              <w:rPr>
                <w:rFonts w:hint="eastAsia"/>
              </w:rPr>
              <w:t>净购入电量（</w:t>
            </w:r>
            <w:r>
              <w:t>MW</w:t>
            </w:r>
            <w:r>
              <w:rPr>
                <w:rFonts w:hint="eastAsia"/>
              </w:rPr>
              <w:t>·</w:t>
            </w:r>
            <w:r>
              <w:t>h</w:t>
            </w:r>
            <w:r>
              <w:rPr>
                <w:rFonts w:hint="eastAsia"/>
              </w:rPr>
              <w:t>）</w:t>
            </w:r>
          </w:p>
        </w:tc>
        <w:tc>
          <w:tcPr>
            <w:tcW w:w="2911" w:type="dxa"/>
            <w:shd w:val="clear" w:color="auto" w:fill="auto"/>
            <w:vAlign w:val="center"/>
          </w:tcPr>
          <w:p w14:paraId="32E7FE22">
            <w:pPr>
              <w:pStyle w:val="278"/>
              <w:adjustRightInd w:val="0"/>
              <w:snapToGrid w:val="0"/>
              <w:spacing w:line="300" w:lineRule="exact"/>
              <w:rPr>
                <w:rFonts w:hint="eastAsia"/>
                <w:position w:val="1"/>
              </w:rPr>
            </w:pPr>
            <w:r>
              <w:rPr>
                <w:rFonts w:hint="eastAsia"/>
                <w:position w:val="1"/>
              </w:rPr>
              <w:t>排放因子（</w:t>
            </w:r>
            <w:r>
              <w:rPr>
                <w:position w:val="1"/>
              </w:rPr>
              <w:t>tCO</w:t>
            </w:r>
            <w:r>
              <w:rPr>
                <w:sz w:val="11"/>
                <w:szCs w:val="11"/>
              </w:rPr>
              <w:t>2</w:t>
            </w:r>
            <w:r>
              <w:rPr>
                <w:position w:val="1"/>
              </w:rPr>
              <w:t>/MW</w:t>
            </w:r>
            <w:r>
              <w:rPr>
                <w:rFonts w:hint="eastAsia"/>
                <w:position w:val="1"/>
              </w:rPr>
              <w:t>·</w:t>
            </w:r>
            <w:r>
              <w:rPr>
                <w:position w:val="1"/>
              </w:rPr>
              <w:t>h</w:t>
            </w:r>
            <w:r>
              <w:rPr>
                <w:rFonts w:hint="eastAsia"/>
                <w:position w:val="1"/>
              </w:rPr>
              <w:t>）</w:t>
            </w:r>
          </w:p>
        </w:tc>
        <w:tc>
          <w:tcPr>
            <w:tcW w:w="2940" w:type="dxa"/>
            <w:shd w:val="clear" w:color="auto" w:fill="auto"/>
            <w:vAlign w:val="center"/>
          </w:tcPr>
          <w:p w14:paraId="090D2DEE">
            <w:pPr>
              <w:pStyle w:val="278"/>
              <w:adjustRightInd w:val="0"/>
              <w:snapToGrid w:val="0"/>
              <w:spacing w:line="300" w:lineRule="exact"/>
              <w:rPr>
                <w:rFonts w:hint="eastAsia"/>
                <w:position w:val="1"/>
              </w:rPr>
            </w:pPr>
            <w:r>
              <w:rPr>
                <w:rFonts w:hint="eastAsia"/>
                <w:position w:val="1"/>
              </w:rPr>
              <w:t>排放量（</w:t>
            </w:r>
            <w:r>
              <w:rPr>
                <w:position w:val="1"/>
              </w:rPr>
              <w:t>tCO</w:t>
            </w:r>
            <w:r>
              <w:rPr>
                <w:sz w:val="11"/>
                <w:szCs w:val="11"/>
              </w:rPr>
              <w:t>2</w:t>
            </w:r>
            <w:r>
              <w:rPr>
                <w:rFonts w:hint="eastAsia"/>
                <w:position w:val="1"/>
              </w:rPr>
              <w:t>）</w:t>
            </w:r>
          </w:p>
        </w:tc>
      </w:tr>
      <w:tr w14:paraId="577128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38" w:type="dxa"/>
            <w:shd w:val="clear" w:color="auto" w:fill="auto"/>
            <w:vAlign w:val="center"/>
          </w:tcPr>
          <w:p w14:paraId="11922D54">
            <w:pPr>
              <w:pStyle w:val="278"/>
              <w:adjustRightInd w:val="0"/>
              <w:snapToGrid w:val="0"/>
              <w:spacing w:line="300" w:lineRule="exact"/>
              <w:rPr>
                <w:rFonts w:hint="eastAsia"/>
              </w:rPr>
            </w:pPr>
            <w:r>
              <w:rPr>
                <w:rFonts w:hint="eastAsia"/>
              </w:rPr>
              <w:t>190</w:t>
            </w:r>
          </w:p>
        </w:tc>
        <w:tc>
          <w:tcPr>
            <w:tcW w:w="2911" w:type="dxa"/>
            <w:shd w:val="clear" w:color="auto" w:fill="auto"/>
            <w:vAlign w:val="center"/>
          </w:tcPr>
          <w:p w14:paraId="2FE1B0C8">
            <w:pPr>
              <w:pStyle w:val="278"/>
              <w:adjustRightInd w:val="0"/>
              <w:snapToGrid w:val="0"/>
              <w:spacing w:line="300" w:lineRule="exact"/>
              <w:rPr>
                <w:rFonts w:hint="eastAsia"/>
              </w:rPr>
            </w:pPr>
            <w:r>
              <w:t>0.8922</w:t>
            </w:r>
          </w:p>
        </w:tc>
        <w:tc>
          <w:tcPr>
            <w:tcW w:w="2940" w:type="dxa"/>
            <w:shd w:val="clear" w:color="auto" w:fill="auto"/>
            <w:vAlign w:val="center"/>
          </w:tcPr>
          <w:p w14:paraId="0047A427">
            <w:pPr>
              <w:pStyle w:val="278"/>
              <w:adjustRightInd w:val="0"/>
              <w:snapToGrid w:val="0"/>
              <w:spacing w:line="300" w:lineRule="exact"/>
              <w:rPr>
                <w:rFonts w:hint="eastAsia"/>
              </w:rPr>
            </w:pPr>
            <w:r>
              <w:rPr>
                <w:rFonts w:hint="eastAsia"/>
              </w:rPr>
              <w:t>170</w:t>
            </w:r>
          </w:p>
        </w:tc>
      </w:tr>
      <w:tr w14:paraId="72796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789" w:type="dxa"/>
            <w:gridSpan w:val="3"/>
            <w:shd w:val="clear" w:color="auto" w:fill="auto"/>
            <w:vAlign w:val="center"/>
          </w:tcPr>
          <w:p w14:paraId="2B1F7FE0">
            <w:pPr>
              <w:pStyle w:val="278"/>
              <w:keepNext/>
              <w:adjustRightInd w:val="0"/>
              <w:snapToGrid w:val="0"/>
              <w:spacing w:line="300" w:lineRule="exact"/>
              <w:jc w:val="left"/>
              <w:rPr>
                <w:rFonts w:hint="eastAsia"/>
              </w:rPr>
            </w:pPr>
            <w:r>
              <w:rPr>
                <w:rFonts w:hint="eastAsia"/>
                <w:spacing w:val="-3"/>
              </w:rPr>
              <w:t>备注：排放因子来源于生态环境部</w:t>
            </w:r>
            <w:r>
              <w:t>2020</w:t>
            </w:r>
            <w:r>
              <w:rPr>
                <w:rFonts w:hint="eastAsia"/>
                <w:spacing w:val="-37"/>
              </w:rPr>
              <w:t>年</w:t>
            </w:r>
            <w:r>
              <w:t>12</w:t>
            </w:r>
            <w:r>
              <w:rPr>
                <w:rFonts w:hint="eastAsia"/>
                <w:lang w:val="en-US" w:eastAsia="zh-CN"/>
              </w:rPr>
              <w:t>月</w:t>
            </w:r>
            <w:r>
              <w:t>29</w:t>
            </w:r>
            <w:r>
              <w:rPr>
                <w:rFonts w:hint="eastAsia"/>
                <w:spacing w:val="-10"/>
              </w:rPr>
              <w:t>日发布的《</w:t>
            </w:r>
            <w:r>
              <w:t>2019</w:t>
            </w:r>
            <w:r>
              <w:rPr>
                <w:rFonts w:hint="eastAsia"/>
                <w:spacing w:val="-14"/>
              </w:rPr>
              <w:t>年度减排</w:t>
            </w:r>
            <w:r>
              <w:rPr>
                <w:rFonts w:hint="eastAsia"/>
              </w:rPr>
              <w:t>项目中国区域电网基准线排放因子》中规定的西北电网的排放因子</w:t>
            </w:r>
          </w:p>
        </w:tc>
      </w:tr>
      <w:bookmarkEnd w:id="307"/>
    </w:tbl>
    <w:p w14:paraId="373E601C">
      <w:pPr>
        <w:pStyle w:val="191"/>
        <w:ind w:firstLine="480"/>
        <w:rPr>
          <w:rFonts w:hint="eastAsia"/>
        </w:rPr>
      </w:pPr>
      <w:r>
        <w:rPr>
          <w:rFonts w:hint="eastAsia"/>
        </w:rPr>
        <w:t>根据上述计算可知，一期工程本项目</w:t>
      </w:r>
      <w:r>
        <w:rPr>
          <w:rFonts w:hint="eastAsia"/>
          <w:lang w:val="zh-CN"/>
        </w:rPr>
        <w:t>CH</w:t>
      </w:r>
      <w:r>
        <w:rPr>
          <w:rFonts w:hint="eastAsia"/>
          <w:vertAlign w:val="subscript"/>
          <w:lang w:val="zh-CN"/>
        </w:rPr>
        <w:t>4</w:t>
      </w:r>
      <w:r>
        <w:rPr>
          <w:rFonts w:hint="eastAsia"/>
          <w:lang w:val="zh-CN"/>
        </w:rPr>
        <w:t>排放量为3.9t/a，</w:t>
      </w:r>
      <w:r>
        <w:rPr>
          <w:rFonts w:hint="eastAsia"/>
        </w:rPr>
        <w:t>CO</w:t>
      </w:r>
      <w:r>
        <w:rPr>
          <w:rFonts w:hint="eastAsia"/>
          <w:vertAlign w:val="subscript"/>
        </w:rPr>
        <w:t>2</w:t>
      </w:r>
      <w:r>
        <w:rPr>
          <w:rFonts w:hint="eastAsia"/>
        </w:rPr>
        <w:t>排放量为890.5t/a。二期工程实施后油气集输实现了密闭集输，无伴生气燃烧放空，故温室气体排放仅包含原油开采过程中CH</w:t>
      </w:r>
      <w:r>
        <w:rPr>
          <w:rFonts w:hint="eastAsia"/>
          <w:vertAlign w:val="subscript"/>
        </w:rPr>
        <w:t>4</w:t>
      </w:r>
      <w:r>
        <w:rPr>
          <w:rFonts w:hint="eastAsia"/>
        </w:rPr>
        <w:t>排放和净购入电力隐含的CO</w:t>
      </w:r>
      <w:r>
        <w:rPr>
          <w:rFonts w:hint="eastAsia"/>
          <w:vertAlign w:val="subscript"/>
        </w:rPr>
        <w:t>2</w:t>
      </w:r>
      <w:r>
        <w:rPr>
          <w:rFonts w:hint="eastAsia"/>
        </w:rPr>
        <w:t>排放，二期工程</w:t>
      </w:r>
      <w:r>
        <w:rPr>
          <w:rFonts w:hint="eastAsia"/>
          <w:lang w:val="zh-CN"/>
        </w:rPr>
        <w:t>CH</w:t>
      </w:r>
      <w:r>
        <w:rPr>
          <w:rFonts w:hint="eastAsia"/>
          <w:vertAlign w:val="subscript"/>
          <w:lang w:val="zh-CN"/>
        </w:rPr>
        <w:t>4</w:t>
      </w:r>
      <w:r>
        <w:rPr>
          <w:rFonts w:hint="eastAsia"/>
          <w:lang w:val="zh-CN"/>
        </w:rPr>
        <w:t>排放量为1.15t/a，</w:t>
      </w:r>
      <w:r>
        <w:rPr>
          <w:rFonts w:hint="eastAsia"/>
        </w:rPr>
        <w:t>CO</w:t>
      </w:r>
      <w:r>
        <w:rPr>
          <w:rFonts w:hint="eastAsia"/>
          <w:vertAlign w:val="subscript"/>
        </w:rPr>
        <w:t>2</w:t>
      </w:r>
      <w:r>
        <w:rPr>
          <w:rFonts w:hint="eastAsia"/>
        </w:rPr>
        <w:t>排放量为170t/a。</w:t>
      </w:r>
    </w:p>
    <w:p w14:paraId="634D4DE1">
      <w:pPr>
        <w:pStyle w:val="191"/>
        <w:ind w:firstLine="480"/>
        <w:rPr>
          <w:rFonts w:hint="eastAsia" w:ascii="黑体" w:hAnsi="黑体" w:eastAsia="黑体"/>
          <w:szCs w:val="21"/>
        </w:rPr>
      </w:pPr>
      <w:r>
        <w:rPr>
          <w:rFonts w:hint="eastAsia"/>
        </w:rPr>
        <w:t>⑥二期工程实施后，拆除了拉油方罐、生产分离器、放空火炬，由其产生的废气也随之消失，</w:t>
      </w:r>
      <w:bookmarkStart w:id="312" w:name="OLE_LINK19"/>
      <w:r>
        <w:rPr>
          <w:rFonts w:hint="eastAsia"/>
        </w:rPr>
        <w:t>油气实现了密闭集输，</w:t>
      </w:r>
      <w:bookmarkEnd w:id="312"/>
      <w:r>
        <w:rPr>
          <w:rFonts w:hint="eastAsia"/>
        </w:rPr>
        <w:t>对周围大气环境有利。二期工程实施后废气主要为油气集输过程中阀门、法兰等部位产生的无组织挥发性有机物（以非甲烷总烃计）和无组织硫化氢，废气产生量及排放量见表3.3-10。</w:t>
      </w:r>
    </w:p>
    <w:p w14:paraId="0AF797A0">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-10  二期工程大气污染物无组织排放量核算表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92"/>
        <w:gridCol w:w="1668"/>
        <w:gridCol w:w="2033"/>
        <w:gridCol w:w="4153"/>
      </w:tblGrid>
      <w:tr w14:paraId="497626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611" w:type="pct"/>
            <w:vMerge w:val="restart"/>
            <w:vAlign w:val="center"/>
          </w:tcPr>
          <w:p w14:paraId="5780863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序号</w:t>
            </w:r>
          </w:p>
        </w:tc>
        <w:tc>
          <w:tcPr>
            <w:tcW w:w="932" w:type="pct"/>
            <w:vMerge w:val="restart"/>
            <w:vAlign w:val="center"/>
          </w:tcPr>
          <w:p w14:paraId="12B2434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污染源</w:t>
            </w:r>
          </w:p>
        </w:tc>
        <w:tc>
          <w:tcPr>
            <w:tcW w:w="1136" w:type="pct"/>
            <w:vMerge w:val="restart"/>
            <w:vAlign w:val="center"/>
          </w:tcPr>
          <w:p w14:paraId="5BCC3031">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w:t>
            </w:r>
          </w:p>
        </w:tc>
        <w:tc>
          <w:tcPr>
            <w:tcW w:w="2321" w:type="pct"/>
            <w:vMerge w:val="restart"/>
            <w:vAlign w:val="center"/>
          </w:tcPr>
          <w:p w14:paraId="4D4E21D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年排放量</w:t>
            </w:r>
          </w:p>
        </w:tc>
      </w:tr>
      <w:tr w14:paraId="57A59F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611" w:type="pct"/>
            <w:vMerge w:val="continue"/>
            <w:vAlign w:val="center"/>
          </w:tcPr>
          <w:p w14:paraId="54B888AF">
            <w:pPr>
              <w:pStyle w:val="322"/>
              <w:adjustRightInd w:val="0"/>
              <w:snapToGrid w:val="0"/>
              <w:spacing w:line="300" w:lineRule="exact"/>
              <w:rPr>
                <w:rFonts w:hint="eastAsia" w:cs="宋体"/>
                <w:bCs/>
                <w:snapToGrid w:val="0"/>
                <w:color w:val="auto"/>
                <w:w w:val="100"/>
                <w:sz w:val="21"/>
                <w:szCs w:val="21"/>
              </w:rPr>
            </w:pPr>
          </w:p>
        </w:tc>
        <w:tc>
          <w:tcPr>
            <w:tcW w:w="932" w:type="pct"/>
            <w:vMerge w:val="continue"/>
            <w:vAlign w:val="center"/>
          </w:tcPr>
          <w:p w14:paraId="7DB36B74">
            <w:pPr>
              <w:pStyle w:val="322"/>
              <w:adjustRightInd w:val="0"/>
              <w:snapToGrid w:val="0"/>
              <w:spacing w:line="300" w:lineRule="exact"/>
              <w:rPr>
                <w:rFonts w:hint="eastAsia" w:cs="宋体"/>
                <w:bCs/>
                <w:snapToGrid w:val="0"/>
                <w:color w:val="auto"/>
                <w:w w:val="100"/>
                <w:sz w:val="21"/>
                <w:szCs w:val="21"/>
              </w:rPr>
            </w:pPr>
          </w:p>
        </w:tc>
        <w:tc>
          <w:tcPr>
            <w:tcW w:w="1136" w:type="pct"/>
            <w:vMerge w:val="continue"/>
            <w:vAlign w:val="center"/>
          </w:tcPr>
          <w:p w14:paraId="672E3C19">
            <w:pPr>
              <w:pStyle w:val="322"/>
              <w:adjustRightInd w:val="0"/>
              <w:snapToGrid w:val="0"/>
              <w:spacing w:line="300" w:lineRule="exact"/>
              <w:rPr>
                <w:rFonts w:hint="eastAsia" w:cs="宋体"/>
                <w:bCs/>
                <w:snapToGrid w:val="0"/>
                <w:color w:val="auto"/>
                <w:w w:val="100"/>
                <w:sz w:val="21"/>
                <w:szCs w:val="21"/>
              </w:rPr>
            </w:pPr>
          </w:p>
        </w:tc>
        <w:tc>
          <w:tcPr>
            <w:tcW w:w="2321" w:type="pct"/>
            <w:vMerge w:val="continue"/>
            <w:vAlign w:val="center"/>
          </w:tcPr>
          <w:p w14:paraId="43B37BEA">
            <w:pPr>
              <w:pStyle w:val="322"/>
              <w:adjustRightInd w:val="0"/>
              <w:snapToGrid w:val="0"/>
              <w:spacing w:line="300" w:lineRule="exact"/>
              <w:rPr>
                <w:rFonts w:hint="eastAsia" w:cs="宋体"/>
                <w:bCs/>
                <w:snapToGrid w:val="0"/>
                <w:color w:val="auto"/>
                <w:w w:val="100"/>
                <w:sz w:val="21"/>
                <w:szCs w:val="21"/>
              </w:rPr>
            </w:pPr>
          </w:p>
        </w:tc>
      </w:tr>
      <w:tr w14:paraId="3B412F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1" w:type="pct"/>
            <w:vMerge w:val="restart"/>
            <w:vAlign w:val="center"/>
          </w:tcPr>
          <w:p w14:paraId="07E0AF93">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1</w:t>
            </w:r>
          </w:p>
        </w:tc>
        <w:tc>
          <w:tcPr>
            <w:tcW w:w="932" w:type="pct"/>
            <w:vMerge w:val="restart"/>
            <w:vAlign w:val="center"/>
          </w:tcPr>
          <w:p w14:paraId="40943BF2">
            <w:pPr>
              <w:adjustRightInd w:val="0"/>
              <w:snapToGrid w:val="0"/>
              <w:spacing w:line="300" w:lineRule="exact"/>
              <w:jc w:val="center"/>
              <w:rPr>
                <w:rFonts w:hint="eastAsia" w:ascii="宋体" w:hAnsi="宋体" w:cs="宋体"/>
                <w:bCs/>
                <w:snapToGrid w:val="0"/>
                <w:szCs w:val="21"/>
              </w:rPr>
            </w:pPr>
            <w:r>
              <w:rPr>
                <w:rFonts w:hint="eastAsia" w:ascii="宋体" w:hAnsi="宋体" w:cs="宋体"/>
                <w:snapToGrid w:val="0"/>
                <w:kern w:val="0"/>
                <w:szCs w:val="21"/>
              </w:rPr>
              <w:t>采油平台</w:t>
            </w:r>
          </w:p>
        </w:tc>
        <w:tc>
          <w:tcPr>
            <w:tcW w:w="1136" w:type="pct"/>
            <w:vAlign w:val="center"/>
          </w:tcPr>
          <w:p w14:paraId="11CC7E12">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2321" w:type="pct"/>
            <w:vAlign w:val="center"/>
          </w:tcPr>
          <w:p w14:paraId="7272DACF">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0.3386t/a</w:t>
            </w:r>
          </w:p>
        </w:tc>
      </w:tr>
      <w:tr w14:paraId="4D55F76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1" w:type="pct"/>
            <w:vMerge w:val="continue"/>
            <w:vAlign w:val="center"/>
          </w:tcPr>
          <w:p w14:paraId="4ED7C919">
            <w:pPr>
              <w:pStyle w:val="322"/>
              <w:adjustRightInd w:val="0"/>
              <w:snapToGrid w:val="0"/>
              <w:spacing w:line="300" w:lineRule="exact"/>
              <w:rPr>
                <w:rFonts w:hint="eastAsia" w:cs="宋体"/>
                <w:bCs/>
                <w:snapToGrid w:val="0"/>
                <w:color w:val="auto"/>
                <w:w w:val="100"/>
                <w:sz w:val="21"/>
                <w:szCs w:val="21"/>
              </w:rPr>
            </w:pPr>
          </w:p>
        </w:tc>
        <w:tc>
          <w:tcPr>
            <w:tcW w:w="932" w:type="pct"/>
            <w:vMerge w:val="continue"/>
            <w:vAlign w:val="center"/>
          </w:tcPr>
          <w:p w14:paraId="1417DE3B">
            <w:pPr>
              <w:adjustRightInd w:val="0"/>
              <w:snapToGrid w:val="0"/>
              <w:spacing w:line="300" w:lineRule="exact"/>
              <w:jc w:val="center"/>
              <w:rPr>
                <w:rFonts w:hint="eastAsia" w:ascii="宋体" w:hAnsi="宋体" w:cs="宋体"/>
                <w:snapToGrid w:val="0"/>
                <w:kern w:val="0"/>
                <w:szCs w:val="21"/>
              </w:rPr>
            </w:pPr>
          </w:p>
        </w:tc>
        <w:tc>
          <w:tcPr>
            <w:tcW w:w="1136" w:type="pct"/>
            <w:vAlign w:val="center"/>
          </w:tcPr>
          <w:p w14:paraId="72B52A17">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2321" w:type="pct"/>
            <w:vAlign w:val="center"/>
          </w:tcPr>
          <w:p w14:paraId="29A8D73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0.3305kg/a</w:t>
            </w:r>
          </w:p>
        </w:tc>
      </w:tr>
      <w:tr w14:paraId="20BBC5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1" w:type="pct"/>
            <w:vMerge w:val="restart"/>
            <w:vAlign w:val="center"/>
          </w:tcPr>
          <w:p w14:paraId="7602209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w:t>
            </w:r>
          </w:p>
        </w:tc>
        <w:tc>
          <w:tcPr>
            <w:tcW w:w="932" w:type="pct"/>
            <w:vMerge w:val="restart"/>
            <w:vAlign w:val="center"/>
          </w:tcPr>
          <w:p w14:paraId="71D75DD5">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17号计量站</w:t>
            </w:r>
          </w:p>
        </w:tc>
        <w:tc>
          <w:tcPr>
            <w:tcW w:w="1136" w:type="pct"/>
            <w:vAlign w:val="center"/>
          </w:tcPr>
          <w:p w14:paraId="6E37B242">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2321" w:type="pct"/>
            <w:vAlign w:val="center"/>
          </w:tcPr>
          <w:p w14:paraId="7B6304C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0.1625t/a</w:t>
            </w:r>
          </w:p>
        </w:tc>
      </w:tr>
      <w:tr w14:paraId="5DCD3A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1" w:type="pct"/>
            <w:vMerge w:val="continue"/>
            <w:vAlign w:val="center"/>
          </w:tcPr>
          <w:p w14:paraId="5E862D52">
            <w:pPr>
              <w:pStyle w:val="322"/>
              <w:adjustRightInd w:val="0"/>
              <w:snapToGrid w:val="0"/>
              <w:spacing w:line="300" w:lineRule="exact"/>
              <w:rPr>
                <w:rFonts w:hint="eastAsia" w:cs="宋体"/>
                <w:bCs/>
                <w:snapToGrid w:val="0"/>
                <w:color w:val="auto"/>
                <w:w w:val="100"/>
                <w:sz w:val="21"/>
                <w:szCs w:val="21"/>
              </w:rPr>
            </w:pPr>
          </w:p>
        </w:tc>
        <w:tc>
          <w:tcPr>
            <w:tcW w:w="932" w:type="pct"/>
            <w:vMerge w:val="continue"/>
            <w:vAlign w:val="center"/>
          </w:tcPr>
          <w:p w14:paraId="0BA5B4A6">
            <w:pPr>
              <w:adjustRightInd w:val="0"/>
              <w:snapToGrid w:val="0"/>
              <w:spacing w:line="300" w:lineRule="exact"/>
              <w:jc w:val="center"/>
              <w:rPr>
                <w:rFonts w:hint="eastAsia" w:ascii="宋体" w:hAnsi="宋体" w:cs="宋体"/>
                <w:snapToGrid w:val="0"/>
                <w:kern w:val="0"/>
                <w:szCs w:val="21"/>
              </w:rPr>
            </w:pPr>
          </w:p>
        </w:tc>
        <w:tc>
          <w:tcPr>
            <w:tcW w:w="1136" w:type="pct"/>
            <w:vAlign w:val="center"/>
          </w:tcPr>
          <w:p w14:paraId="6F100B2F">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2321" w:type="pct"/>
            <w:vAlign w:val="center"/>
          </w:tcPr>
          <w:p w14:paraId="790F5F70">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0.1586kg/a</w:t>
            </w:r>
          </w:p>
        </w:tc>
      </w:tr>
    </w:tbl>
    <w:p w14:paraId="653FF1D8">
      <w:pPr>
        <w:pStyle w:val="191"/>
        <w:ind w:firstLine="480"/>
        <w:rPr>
          <w:rFonts w:hint="eastAsia"/>
        </w:rPr>
      </w:pPr>
      <w:r>
        <w:rPr>
          <w:rFonts w:hint="eastAsia"/>
        </w:rPr>
        <w:t>⑦无组织废气汇总</w:t>
      </w:r>
    </w:p>
    <w:p w14:paraId="261A0910">
      <w:pPr>
        <w:pStyle w:val="191"/>
        <w:ind w:firstLine="480"/>
        <w:rPr>
          <w:rFonts w:hint="eastAsia" w:ascii="黑体" w:hAnsi="黑体" w:eastAsia="黑体"/>
          <w:szCs w:val="21"/>
        </w:rPr>
      </w:pPr>
      <w:r>
        <w:rPr>
          <w:rFonts w:hint="eastAsia"/>
        </w:rPr>
        <w:t>一期工程</w:t>
      </w:r>
      <w:bookmarkStart w:id="313" w:name="OLE_LINK351"/>
      <w:r>
        <w:rPr>
          <w:rFonts w:hint="eastAsia"/>
        </w:rPr>
        <w:t>无组织废气排放量核算汇总情况见表3.3-11和表3.3-12</w:t>
      </w:r>
      <w:bookmarkEnd w:id="313"/>
      <w:r>
        <w:rPr>
          <w:rFonts w:hint="eastAsia"/>
        </w:rPr>
        <w:t>；二期工程无组织废气排放量核算汇总情况见表3.3-13和表3.3-14。</w:t>
      </w:r>
    </w:p>
    <w:p w14:paraId="65976141">
      <w:pPr>
        <w:adjustRightInd w:val="0"/>
        <w:snapToGrid w:val="0"/>
        <w:spacing w:line="500" w:lineRule="exact"/>
        <w:jc w:val="center"/>
        <w:textAlignment w:val="baseline"/>
        <w:rPr>
          <w:rFonts w:hint="eastAsia" w:ascii="黑体" w:hAnsi="黑体" w:eastAsia="黑体"/>
          <w:kern w:val="0"/>
          <w:szCs w:val="21"/>
        </w:rPr>
      </w:pPr>
      <w:bookmarkStart w:id="314" w:name="OLE_LINK347"/>
      <w:bookmarkStart w:id="315" w:name="OLE_LINK352"/>
    </w:p>
    <w:p w14:paraId="0807338F">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-11  一期工程大气污染物无组织排放量核算表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38"/>
        <w:gridCol w:w="714"/>
        <w:gridCol w:w="882"/>
        <w:gridCol w:w="1017"/>
        <w:gridCol w:w="2180"/>
        <w:gridCol w:w="1161"/>
        <w:gridCol w:w="1308"/>
        <w:gridCol w:w="1247"/>
      </w:tblGrid>
      <w:tr w14:paraId="627FF3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245" w:type="pct"/>
            <w:vMerge w:val="restart"/>
            <w:vAlign w:val="center"/>
          </w:tcPr>
          <w:p w14:paraId="1751BC3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序号</w:t>
            </w:r>
          </w:p>
        </w:tc>
        <w:tc>
          <w:tcPr>
            <w:tcW w:w="399" w:type="pct"/>
            <w:vMerge w:val="restart"/>
            <w:vAlign w:val="center"/>
          </w:tcPr>
          <w:p w14:paraId="35AE0D21">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排放口编号</w:t>
            </w:r>
          </w:p>
        </w:tc>
        <w:tc>
          <w:tcPr>
            <w:tcW w:w="493" w:type="pct"/>
            <w:vMerge w:val="restart"/>
            <w:vAlign w:val="center"/>
          </w:tcPr>
          <w:p w14:paraId="713A769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产污环节</w:t>
            </w:r>
          </w:p>
        </w:tc>
        <w:tc>
          <w:tcPr>
            <w:tcW w:w="568" w:type="pct"/>
            <w:vMerge w:val="restart"/>
            <w:vAlign w:val="center"/>
          </w:tcPr>
          <w:p w14:paraId="6AE4634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w:t>
            </w:r>
          </w:p>
        </w:tc>
        <w:tc>
          <w:tcPr>
            <w:tcW w:w="1218" w:type="pct"/>
            <w:vMerge w:val="restart"/>
            <w:vAlign w:val="center"/>
          </w:tcPr>
          <w:p w14:paraId="56C0C41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主要污染</w:t>
            </w:r>
          </w:p>
          <w:p w14:paraId="3C2FED4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防治措施</w:t>
            </w:r>
          </w:p>
        </w:tc>
        <w:tc>
          <w:tcPr>
            <w:tcW w:w="1380" w:type="pct"/>
            <w:gridSpan w:val="2"/>
            <w:vAlign w:val="center"/>
          </w:tcPr>
          <w:p w14:paraId="15AF138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国家污染物排放标准</w:t>
            </w:r>
          </w:p>
        </w:tc>
        <w:tc>
          <w:tcPr>
            <w:tcW w:w="697" w:type="pct"/>
            <w:vMerge w:val="restart"/>
            <w:vAlign w:val="center"/>
          </w:tcPr>
          <w:p w14:paraId="788D5EEF">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年排放量（t/a）</w:t>
            </w:r>
          </w:p>
        </w:tc>
      </w:tr>
      <w:tr w14:paraId="30341E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245" w:type="pct"/>
            <w:vMerge w:val="continue"/>
            <w:vAlign w:val="center"/>
          </w:tcPr>
          <w:p w14:paraId="61B8FEC6">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1112E313">
            <w:pPr>
              <w:pStyle w:val="322"/>
              <w:adjustRightInd w:val="0"/>
              <w:snapToGrid w:val="0"/>
              <w:spacing w:line="300" w:lineRule="exact"/>
              <w:rPr>
                <w:rFonts w:hint="eastAsia" w:cs="宋体"/>
                <w:bCs/>
                <w:snapToGrid w:val="0"/>
                <w:color w:val="auto"/>
                <w:w w:val="100"/>
                <w:sz w:val="21"/>
                <w:szCs w:val="21"/>
              </w:rPr>
            </w:pPr>
          </w:p>
        </w:tc>
        <w:tc>
          <w:tcPr>
            <w:tcW w:w="493" w:type="pct"/>
            <w:vMerge w:val="continue"/>
            <w:vAlign w:val="center"/>
          </w:tcPr>
          <w:p w14:paraId="1C9E0E05">
            <w:pPr>
              <w:pStyle w:val="322"/>
              <w:adjustRightInd w:val="0"/>
              <w:snapToGrid w:val="0"/>
              <w:spacing w:line="300" w:lineRule="exact"/>
              <w:rPr>
                <w:rFonts w:hint="eastAsia" w:cs="宋体"/>
                <w:bCs/>
                <w:snapToGrid w:val="0"/>
                <w:color w:val="auto"/>
                <w:w w:val="100"/>
                <w:sz w:val="21"/>
                <w:szCs w:val="21"/>
              </w:rPr>
            </w:pPr>
          </w:p>
        </w:tc>
        <w:tc>
          <w:tcPr>
            <w:tcW w:w="568" w:type="pct"/>
            <w:vMerge w:val="continue"/>
            <w:vAlign w:val="center"/>
          </w:tcPr>
          <w:p w14:paraId="768C9F8B">
            <w:pPr>
              <w:pStyle w:val="322"/>
              <w:adjustRightInd w:val="0"/>
              <w:snapToGrid w:val="0"/>
              <w:spacing w:line="300" w:lineRule="exact"/>
              <w:rPr>
                <w:rFonts w:hint="eastAsia" w:cs="宋体"/>
                <w:bCs/>
                <w:snapToGrid w:val="0"/>
                <w:color w:val="auto"/>
                <w:w w:val="100"/>
                <w:sz w:val="21"/>
                <w:szCs w:val="21"/>
              </w:rPr>
            </w:pPr>
          </w:p>
        </w:tc>
        <w:tc>
          <w:tcPr>
            <w:tcW w:w="1218" w:type="pct"/>
            <w:vMerge w:val="continue"/>
            <w:vAlign w:val="center"/>
          </w:tcPr>
          <w:p w14:paraId="0BD18D83">
            <w:pPr>
              <w:pStyle w:val="322"/>
              <w:adjustRightInd w:val="0"/>
              <w:snapToGrid w:val="0"/>
              <w:spacing w:line="300" w:lineRule="exact"/>
              <w:rPr>
                <w:rFonts w:hint="eastAsia" w:cs="宋体"/>
                <w:bCs/>
                <w:snapToGrid w:val="0"/>
                <w:color w:val="auto"/>
                <w:w w:val="100"/>
                <w:sz w:val="21"/>
                <w:szCs w:val="21"/>
              </w:rPr>
            </w:pPr>
          </w:p>
        </w:tc>
        <w:tc>
          <w:tcPr>
            <w:tcW w:w="649" w:type="pct"/>
            <w:vAlign w:val="center"/>
          </w:tcPr>
          <w:p w14:paraId="012E915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标准名称</w:t>
            </w:r>
          </w:p>
        </w:tc>
        <w:tc>
          <w:tcPr>
            <w:tcW w:w="731" w:type="pct"/>
            <w:vAlign w:val="center"/>
          </w:tcPr>
          <w:p w14:paraId="728B6E28">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浓度限值（mg/m</w:t>
            </w:r>
            <w:r>
              <w:rPr>
                <w:rFonts w:hint="eastAsia" w:cs="宋体"/>
                <w:bCs/>
                <w:snapToGrid w:val="0"/>
                <w:color w:val="auto"/>
                <w:w w:val="100"/>
                <w:sz w:val="21"/>
                <w:szCs w:val="21"/>
                <w:vertAlign w:val="superscript"/>
              </w:rPr>
              <w:t>3</w:t>
            </w:r>
            <w:r>
              <w:rPr>
                <w:rFonts w:hint="eastAsia" w:cs="宋体"/>
                <w:bCs/>
                <w:snapToGrid w:val="0"/>
                <w:color w:val="auto"/>
                <w:w w:val="100"/>
                <w:sz w:val="21"/>
                <w:szCs w:val="21"/>
              </w:rPr>
              <w:t>）</w:t>
            </w:r>
          </w:p>
        </w:tc>
        <w:tc>
          <w:tcPr>
            <w:tcW w:w="697" w:type="pct"/>
            <w:vMerge w:val="continue"/>
            <w:vAlign w:val="center"/>
          </w:tcPr>
          <w:p w14:paraId="6A0DD869">
            <w:pPr>
              <w:pStyle w:val="322"/>
              <w:adjustRightInd w:val="0"/>
              <w:snapToGrid w:val="0"/>
              <w:spacing w:line="300" w:lineRule="exact"/>
              <w:rPr>
                <w:rFonts w:hint="eastAsia" w:cs="宋体"/>
                <w:bCs/>
                <w:snapToGrid w:val="0"/>
                <w:color w:val="auto"/>
                <w:w w:val="100"/>
                <w:sz w:val="21"/>
                <w:szCs w:val="21"/>
              </w:rPr>
            </w:pPr>
          </w:p>
        </w:tc>
      </w:tr>
      <w:tr w14:paraId="186D8B9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restart"/>
            <w:vAlign w:val="center"/>
          </w:tcPr>
          <w:p w14:paraId="5A81B1C4">
            <w:pPr>
              <w:pStyle w:val="322"/>
              <w:adjustRightInd w:val="0"/>
              <w:snapToGrid w:val="0"/>
              <w:spacing w:line="300" w:lineRule="exact"/>
              <w:rPr>
                <w:rFonts w:hint="eastAsia" w:cs="宋体"/>
                <w:bCs/>
                <w:snapToGrid w:val="0"/>
                <w:color w:val="auto"/>
                <w:w w:val="100"/>
                <w:sz w:val="21"/>
                <w:szCs w:val="21"/>
              </w:rPr>
            </w:pPr>
            <w:bookmarkStart w:id="316" w:name="_Hlk173433193"/>
            <w:r>
              <w:rPr>
                <w:rFonts w:hint="eastAsia" w:cs="宋体"/>
                <w:bCs/>
                <w:snapToGrid w:val="0"/>
                <w:color w:val="auto"/>
                <w:w w:val="100"/>
                <w:sz w:val="21"/>
                <w:szCs w:val="21"/>
              </w:rPr>
              <w:t>1</w:t>
            </w:r>
          </w:p>
        </w:tc>
        <w:tc>
          <w:tcPr>
            <w:tcW w:w="399" w:type="pct"/>
            <w:vMerge w:val="restart"/>
            <w:vAlign w:val="center"/>
          </w:tcPr>
          <w:p w14:paraId="3C8D93AE">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M1</w:t>
            </w:r>
          </w:p>
        </w:tc>
        <w:tc>
          <w:tcPr>
            <w:tcW w:w="493" w:type="pct"/>
            <w:vMerge w:val="restart"/>
            <w:vAlign w:val="center"/>
          </w:tcPr>
          <w:p w14:paraId="1E674E22">
            <w:pPr>
              <w:adjustRightInd w:val="0"/>
              <w:snapToGrid w:val="0"/>
              <w:spacing w:line="300" w:lineRule="exact"/>
              <w:jc w:val="center"/>
              <w:rPr>
                <w:rFonts w:hint="eastAsia" w:ascii="宋体" w:hAnsi="宋体" w:cs="宋体"/>
                <w:bCs/>
                <w:snapToGrid w:val="0"/>
                <w:szCs w:val="21"/>
              </w:rPr>
            </w:pPr>
            <w:r>
              <w:rPr>
                <w:rFonts w:hint="eastAsia" w:ascii="宋体" w:hAnsi="宋体" w:cs="宋体"/>
                <w:snapToGrid w:val="0"/>
                <w:kern w:val="0"/>
                <w:szCs w:val="21"/>
              </w:rPr>
              <w:t>采油平台</w:t>
            </w:r>
          </w:p>
        </w:tc>
        <w:tc>
          <w:tcPr>
            <w:tcW w:w="568" w:type="pct"/>
            <w:vAlign w:val="center"/>
          </w:tcPr>
          <w:p w14:paraId="7C2D329C">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1218" w:type="pct"/>
            <w:vMerge w:val="restart"/>
            <w:vAlign w:val="center"/>
          </w:tcPr>
          <w:p w14:paraId="6CFB76B7">
            <w:pPr>
              <w:pStyle w:val="322"/>
              <w:adjustRightInd w:val="0"/>
              <w:snapToGrid w:val="0"/>
              <w:spacing w:line="300" w:lineRule="exact"/>
              <w:rPr>
                <w:rFonts w:hint="eastAsia" w:cs="宋体"/>
                <w:bCs/>
                <w:snapToGrid w:val="0"/>
                <w:color w:val="auto"/>
                <w:w w:val="100"/>
                <w:sz w:val="21"/>
                <w:szCs w:val="21"/>
              </w:rPr>
            </w:pPr>
            <w:bookmarkStart w:id="317" w:name="OLE_LINK5"/>
            <w:r>
              <w:rPr>
                <w:rFonts w:hint="eastAsia" w:cs="宋体"/>
                <w:bCs/>
                <w:snapToGrid w:val="0"/>
                <w:color w:val="auto"/>
                <w:w w:val="100"/>
                <w:sz w:val="21"/>
                <w:szCs w:val="21"/>
              </w:rPr>
              <w:t>选用质量可靠的设备、仪表、阀门等；定期对井场的设备、阀门等检查</w:t>
            </w:r>
            <w:bookmarkEnd w:id="317"/>
          </w:p>
        </w:tc>
        <w:tc>
          <w:tcPr>
            <w:tcW w:w="649" w:type="pct"/>
            <w:vAlign w:val="center"/>
          </w:tcPr>
          <w:p w14:paraId="060647FD">
            <w:pPr>
              <w:pStyle w:val="322"/>
              <w:adjustRightInd w:val="0"/>
              <w:snapToGrid w:val="0"/>
              <w:spacing w:line="300" w:lineRule="exact"/>
              <w:rPr>
                <w:rFonts w:hint="eastAsia" w:cs="宋体"/>
                <w:bCs/>
                <w:snapToGrid w:val="0"/>
                <w:color w:val="auto"/>
                <w:w w:val="100"/>
                <w:sz w:val="21"/>
                <w:szCs w:val="21"/>
              </w:rPr>
            </w:pPr>
            <w:bookmarkStart w:id="318" w:name="OLE_LINK10"/>
            <w:r>
              <w:rPr>
                <w:rFonts w:hint="eastAsia" w:cs="宋体"/>
                <w:bCs/>
                <w:snapToGrid w:val="0"/>
                <w:color w:val="auto"/>
                <w:w w:val="100"/>
                <w:sz w:val="21"/>
                <w:szCs w:val="21"/>
              </w:rPr>
              <w:t>GB39728-2020</w:t>
            </w:r>
            <w:bookmarkEnd w:id="318"/>
          </w:p>
        </w:tc>
        <w:tc>
          <w:tcPr>
            <w:tcW w:w="731" w:type="pct"/>
            <w:vAlign w:val="center"/>
          </w:tcPr>
          <w:p w14:paraId="3A0471F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4</w:t>
            </w:r>
          </w:p>
        </w:tc>
        <w:tc>
          <w:tcPr>
            <w:tcW w:w="697" w:type="pct"/>
            <w:vAlign w:val="center"/>
          </w:tcPr>
          <w:p w14:paraId="57955F1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0.3386</w:t>
            </w:r>
          </w:p>
        </w:tc>
      </w:tr>
      <w:tr w14:paraId="2AAEB1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389EA108">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389491C3">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36A8C839">
            <w:pPr>
              <w:adjustRightInd w:val="0"/>
              <w:snapToGrid w:val="0"/>
              <w:spacing w:line="300" w:lineRule="exact"/>
              <w:jc w:val="center"/>
              <w:rPr>
                <w:rFonts w:hint="eastAsia" w:ascii="宋体" w:hAnsi="宋体" w:cs="宋体"/>
                <w:snapToGrid w:val="0"/>
                <w:kern w:val="0"/>
                <w:szCs w:val="21"/>
              </w:rPr>
            </w:pPr>
          </w:p>
        </w:tc>
        <w:tc>
          <w:tcPr>
            <w:tcW w:w="568" w:type="pct"/>
            <w:tcBorders>
              <w:bottom w:val="single" w:color="000000" w:sz="4" w:space="0"/>
            </w:tcBorders>
            <w:vAlign w:val="center"/>
          </w:tcPr>
          <w:p w14:paraId="0415F925">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1218" w:type="pct"/>
            <w:vMerge w:val="continue"/>
            <w:tcBorders>
              <w:bottom w:val="single" w:color="000000" w:sz="4" w:space="0"/>
            </w:tcBorders>
            <w:vAlign w:val="center"/>
          </w:tcPr>
          <w:p w14:paraId="5A03AA06">
            <w:pPr>
              <w:pStyle w:val="322"/>
              <w:adjustRightInd w:val="0"/>
              <w:snapToGrid w:val="0"/>
              <w:spacing w:line="300" w:lineRule="exact"/>
              <w:rPr>
                <w:rFonts w:hint="eastAsia" w:cs="宋体"/>
                <w:bCs/>
                <w:snapToGrid w:val="0"/>
                <w:color w:val="auto"/>
                <w:w w:val="100"/>
                <w:sz w:val="21"/>
                <w:szCs w:val="21"/>
              </w:rPr>
            </w:pPr>
          </w:p>
        </w:tc>
        <w:tc>
          <w:tcPr>
            <w:tcW w:w="649" w:type="pct"/>
            <w:tcBorders>
              <w:bottom w:val="single" w:color="000000" w:sz="4" w:space="0"/>
            </w:tcBorders>
            <w:vAlign w:val="center"/>
          </w:tcPr>
          <w:p w14:paraId="599EA11D">
            <w:pPr>
              <w:pStyle w:val="322"/>
              <w:adjustRightInd w:val="0"/>
              <w:snapToGrid w:val="0"/>
              <w:spacing w:line="300" w:lineRule="exact"/>
              <w:rPr>
                <w:rFonts w:hint="eastAsia" w:cs="宋体"/>
                <w:bCs/>
                <w:snapToGrid w:val="0"/>
                <w:color w:val="auto"/>
                <w:w w:val="100"/>
                <w:sz w:val="21"/>
                <w:szCs w:val="21"/>
              </w:rPr>
            </w:pPr>
            <w:bookmarkStart w:id="319" w:name="OLE_LINK11"/>
            <w:r>
              <w:rPr>
                <w:rFonts w:hint="eastAsia" w:cs="宋体"/>
                <w:bCs/>
                <w:snapToGrid w:val="0"/>
                <w:color w:val="auto"/>
                <w:w w:val="100"/>
                <w:sz w:val="21"/>
                <w:szCs w:val="21"/>
              </w:rPr>
              <w:t>GB14554-93表1</w:t>
            </w:r>
            <w:bookmarkEnd w:id="319"/>
          </w:p>
        </w:tc>
        <w:tc>
          <w:tcPr>
            <w:tcW w:w="731" w:type="pct"/>
            <w:vAlign w:val="center"/>
          </w:tcPr>
          <w:p w14:paraId="3597B5D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0.06</w:t>
            </w:r>
          </w:p>
        </w:tc>
        <w:tc>
          <w:tcPr>
            <w:tcW w:w="697" w:type="pct"/>
            <w:vAlign w:val="center"/>
          </w:tcPr>
          <w:p w14:paraId="1826FC6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0.3305</w:t>
            </w:r>
            <w:bookmarkStart w:id="320" w:name="OLE_LINK324"/>
            <w:r>
              <w:rPr>
                <w:rFonts w:hint="eastAsia" w:cs="宋体"/>
                <w:bCs/>
                <w:snapToGrid w:val="0"/>
                <w:color w:val="auto"/>
                <w:w w:val="100"/>
                <w:sz w:val="21"/>
                <w:szCs w:val="21"/>
              </w:rPr>
              <w:t>kg/a</w:t>
            </w:r>
            <w:bookmarkEnd w:id="320"/>
          </w:p>
        </w:tc>
      </w:tr>
      <w:bookmarkEnd w:id="316"/>
      <w:tr w14:paraId="192556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restart"/>
            <w:vAlign w:val="center"/>
          </w:tcPr>
          <w:p w14:paraId="722818A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w:t>
            </w:r>
          </w:p>
        </w:tc>
        <w:tc>
          <w:tcPr>
            <w:tcW w:w="399" w:type="pct"/>
            <w:vMerge w:val="restart"/>
            <w:vAlign w:val="center"/>
          </w:tcPr>
          <w:p w14:paraId="074672E6">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M</w:t>
            </w:r>
            <w:r>
              <w:rPr>
                <w:rFonts w:ascii="宋体" w:hAnsi="宋体" w:cs="宋体"/>
                <w:bCs/>
                <w:snapToGrid w:val="0"/>
                <w:szCs w:val="21"/>
              </w:rPr>
              <w:t>2</w:t>
            </w:r>
          </w:p>
        </w:tc>
        <w:tc>
          <w:tcPr>
            <w:tcW w:w="493" w:type="pct"/>
            <w:vMerge w:val="restart"/>
            <w:vAlign w:val="center"/>
          </w:tcPr>
          <w:p w14:paraId="34B285E5">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计量拉油站阀门、拉油方罐及装车废气</w:t>
            </w:r>
          </w:p>
        </w:tc>
        <w:tc>
          <w:tcPr>
            <w:tcW w:w="568" w:type="pct"/>
            <w:tcBorders>
              <w:bottom w:val="single" w:color="000000" w:sz="4" w:space="0"/>
            </w:tcBorders>
            <w:vAlign w:val="center"/>
          </w:tcPr>
          <w:p w14:paraId="3FC77FB4">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1218" w:type="pct"/>
            <w:vMerge w:val="restart"/>
            <w:vAlign w:val="center"/>
          </w:tcPr>
          <w:p w14:paraId="637AEA3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选用质量可靠的设备、仪表、阀门等；定期对站场的设备、阀门等检查采用固定顶罐，装车采用顶部浸没式装载</w:t>
            </w:r>
          </w:p>
        </w:tc>
        <w:tc>
          <w:tcPr>
            <w:tcW w:w="649" w:type="pct"/>
            <w:tcBorders>
              <w:bottom w:val="single" w:color="000000" w:sz="4" w:space="0"/>
            </w:tcBorders>
            <w:vAlign w:val="center"/>
          </w:tcPr>
          <w:p w14:paraId="7D791BC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GB39728-2020</w:t>
            </w:r>
          </w:p>
        </w:tc>
        <w:tc>
          <w:tcPr>
            <w:tcW w:w="731" w:type="pct"/>
            <w:vAlign w:val="center"/>
          </w:tcPr>
          <w:p w14:paraId="2A2C41B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4</w:t>
            </w:r>
          </w:p>
        </w:tc>
        <w:tc>
          <w:tcPr>
            <w:tcW w:w="697" w:type="pct"/>
            <w:vAlign w:val="center"/>
          </w:tcPr>
          <w:p w14:paraId="7EE1026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2.1689</w:t>
            </w:r>
          </w:p>
        </w:tc>
      </w:tr>
      <w:tr w14:paraId="7F27A8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2C91533D">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5E3322F9">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6AD1A629">
            <w:pPr>
              <w:adjustRightInd w:val="0"/>
              <w:snapToGrid w:val="0"/>
              <w:spacing w:line="300" w:lineRule="exact"/>
              <w:jc w:val="center"/>
              <w:rPr>
                <w:rFonts w:hint="eastAsia" w:ascii="宋体" w:hAnsi="宋体" w:cs="宋体"/>
                <w:snapToGrid w:val="0"/>
                <w:kern w:val="0"/>
                <w:szCs w:val="21"/>
              </w:rPr>
            </w:pPr>
          </w:p>
        </w:tc>
        <w:tc>
          <w:tcPr>
            <w:tcW w:w="568" w:type="pct"/>
            <w:vAlign w:val="center"/>
          </w:tcPr>
          <w:p w14:paraId="07E06ED4">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1218" w:type="pct"/>
            <w:vMerge w:val="continue"/>
            <w:vAlign w:val="center"/>
          </w:tcPr>
          <w:p w14:paraId="48087F46">
            <w:pPr>
              <w:pStyle w:val="322"/>
              <w:adjustRightInd w:val="0"/>
              <w:snapToGrid w:val="0"/>
              <w:spacing w:line="300" w:lineRule="exact"/>
              <w:rPr>
                <w:rFonts w:hint="eastAsia" w:cs="宋体"/>
                <w:bCs/>
                <w:snapToGrid w:val="0"/>
                <w:color w:val="auto"/>
                <w:w w:val="100"/>
                <w:sz w:val="21"/>
                <w:szCs w:val="21"/>
              </w:rPr>
            </w:pPr>
          </w:p>
        </w:tc>
        <w:tc>
          <w:tcPr>
            <w:tcW w:w="649" w:type="pct"/>
            <w:vAlign w:val="center"/>
          </w:tcPr>
          <w:p w14:paraId="09078C7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GB14554-93表1</w:t>
            </w:r>
          </w:p>
        </w:tc>
        <w:tc>
          <w:tcPr>
            <w:tcW w:w="731" w:type="pct"/>
            <w:vAlign w:val="center"/>
          </w:tcPr>
          <w:p w14:paraId="01A4FB51">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0.06</w:t>
            </w:r>
          </w:p>
        </w:tc>
        <w:tc>
          <w:tcPr>
            <w:tcW w:w="697" w:type="pct"/>
            <w:vAlign w:val="center"/>
          </w:tcPr>
          <w:p w14:paraId="314A017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 xml:space="preserve">0.1586 </w:t>
            </w:r>
            <w:bookmarkStart w:id="321" w:name="OLE_LINK327"/>
            <w:r>
              <w:rPr>
                <w:rFonts w:hint="eastAsia" w:cs="宋体"/>
                <w:bCs/>
                <w:snapToGrid w:val="0"/>
                <w:color w:val="auto"/>
                <w:w w:val="100"/>
                <w:sz w:val="21"/>
                <w:szCs w:val="21"/>
              </w:rPr>
              <w:t>kg/a</w:t>
            </w:r>
            <w:bookmarkEnd w:id="321"/>
          </w:p>
        </w:tc>
      </w:tr>
      <w:tr w14:paraId="35437B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193AD2CA">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00B55884">
            <w:pPr>
              <w:adjustRightInd w:val="0"/>
              <w:snapToGrid w:val="0"/>
              <w:spacing w:line="300" w:lineRule="exact"/>
              <w:jc w:val="center"/>
              <w:rPr>
                <w:rFonts w:hint="eastAsia" w:ascii="宋体" w:hAnsi="宋体" w:cs="宋体"/>
                <w:bCs/>
                <w:snapToGrid w:val="0"/>
                <w:szCs w:val="21"/>
              </w:rPr>
            </w:pPr>
          </w:p>
        </w:tc>
        <w:tc>
          <w:tcPr>
            <w:tcW w:w="493" w:type="pct"/>
            <w:vMerge w:val="restart"/>
            <w:vAlign w:val="center"/>
          </w:tcPr>
          <w:p w14:paraId="48117E38">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放空火炬燃烧烟气</w:t>
            </w:r>
          </w:p>
        </w:tc>
        <w:tc>
          <w:tcPr>
            <w:tcW w:w="568" w:type="pct"/>
            <w:vAlign w:val="center"/>
          </w:tcPr>
          <w:p w14:paraId="62240202">
            <w:pPr>
              <w:adjustRightInd w:val="0"/>
              <w:snapToGrid w:val="0"/>
              <w:spacing w:line="300" w:lineRule="exact"/>
              <w:jc w:val="center"/>
              <w:rPr>
                <w:rFonts w:hint="eastAsia" w:ascii="宋体" w:hAnsi="宋体" w:cs="宋体"/>
                <w:bCs/>
                <w:snapToGrid w:val="0"/>
                <w:szCs w:val="21"/>
              </w:rPr>
            </w:pPr>
            <w:r>
              <w:rPr>
                <w:rFonts w:hint="eastAsia" w:cs="宋体"/>
                <w:bCs/>
                <w:snapToGrid w:val="0"/>
                <w:szCs w:val="21"/>
              </w:rPr>
              <w:t>S</w:t>
            </w:r>
            <w:r>
              <w:rPr>
                <w:rFonts w:cs="宋体"/>
                <w:bCs/>
                <w:snapToGrid w:val="0"/>
                <w:szCs w:val="21"/>
              </w:rPr>
              <w:t>O</w:t>
            </w:r>
            <w:r>
              <w:rPr>
                <w:rFonts w:cs="宋体"/>
                <w:bCs/>
                <w:snapToGrid w:val="0"/>
                <w:szCs w:val="21"/>
                <w:vertAlign w:val="subscript"/>
              </w:rPr>
              <w:t>2</w:t>
            </w:r>
          </w:p>
        </w:tc>
        <w:tc>
          <w:tcPr>
            <w:tcW w:w="1218" w:type="pct"/>
            <w:vMerge w:val="restart"/>
            <w:vAlign w:val="center"/>
          </w:tcPr>
          <w:p w14:paraId="1A6DFFF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及时检维修</w:t>
            </w:r>
          </w:p>
        </w:tc>
        <w:tc>
          <w:tcPr>
            <w:tcW w:w="649" w:type="pct"/>
            <w:vMerge w:val="restart"/>
            <w:vAlign w:val="center"/>
          </w:tcPr>
          <w:p w14:paraId="0901562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GB16297-1996</w:t>
            </w:r>
          </w:p>
        </w:tc>
        <w:tc>
          <w:tcPr>
            <w:tcW w:w="731" w:type="pct"/>
            <w:vAlign w:val="center"/>
          </w:tcPr>
          <w:p w14:paraId="13533BE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0.12</w:t>
            </w:r>
          </w:p>
        </w:tc>
        <w:tc>
          <w:tcPr>
            <w:tcW w:w="697" w:type="pct"/>
            <w:vAlign w:val="center"/>
          </w:tcPr>
          <w:p w14:paraId="7B2E2B63">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0.05</w:t>
            </w:r>
          </w:p>
        </w:tc>
      </w:tr>
      <w:tr w14:paraId="6B2C55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3687D1AE">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1383BFE7">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4065C388">
            <w:pPr>
              <w:adjustRightInd w:val="0"/>
              <w:snapToGrid w:val="0"/>
              <w:spacing w:line="300" w:lineRule="exact"/>
              <w:jc w:val="center"/>
              <w:rPr>
                <w:rFonts w:hint="eastAsia" w:ascii="宋体" w:hAnsi="宋体" w:cs="宋体"/>
                <w:snapToGrid w:val="0"/>
                <w:kern w:val="0"/>
                <w:szCs w:val="21"/>
              </w:rPr>
            </w:pPr>
          </w:p>
        </w:tc>
        <w:tc>
          <w:tcPr>
            <w:tcW w:w="568" w:type="pct"/>
            <w:vAlign w:val="center"/>
          </w:tcPr>
          <w:p w14:paraId="1B0AFE3E">
            <w:pPr>
              <w:adjustRightInd w:val="0"/>
              <w:snapToGrid w:val="0"/>
              <w:spacing w:line="300" w:lineRule="exact"/>
              <w:jc w:val="center"/>
              <w:rPr>
                <w:rFonts w:hint="eastAsia" w:ascii="宋体" w:hAnsi="宋体" w:cs="宋体"/>
                <w:bCs/>
                <w:snapToGrid w:val="0"/>
                <w:szCs w:val="21"/>
              </w:rPr>
            </w:pPr>
            <w:r>
              <w:rPr>
                <w:rFonts w:hint="eastAsia" w:cs="宋体"/>
                <w:bCs/>
                <w:snapToGrid w:val="0"/>
                <w:szCs w:val="21"/>
              </w:rPr>
              <w:t>N</w:t>
            </w:r>
            <w:r>
              <w:rPr>
                <w:rFonts w:cs="宋体"/>
                <w:bCs/>
                <w:snapToGrid w:val="0"/>
                <w:szCs w:val="21"/>
              </w:rPr>
              <w:t>O</w:t>
            </w:r>
            <w:r>
              <w:rPr>
                <w:rFonts w:cs="宋体"/>
                <w:bCs/>
                <w:snapToGrid w:val="0"/>
                <w:szCs w:val="21"/>
                <w:vertAlign w:val="subscript"/>
              </w:rPr>
              <w:t>x</w:t>
            </w:r>
          </w:p>
        </w:tc>
        <w:tc>
          <w:tcPr>
            <w:tcW w:w="1218" w:type="pct"/>
            <w:vMerge w:val="continue"/>
            <w:vAlign w:val="center"/>
          </w:tcPr>
          <w:p w14:paraId="0FC84F18">
            <w:pPr>
              <w:pStyle w:val="322"/>
              <w:adjustRightInd w:val="0"/>
              <w:snapToGrid w:val="0"/>
              <w:spacing w:line="300" w:lineRule="exact"/>
              <w:rPr>
                <w:rFonts w:hint="eastAsia" w:cs="宋体"/>
                <w:bCs/>
                <w:snapToGrid w:val="0"/>
                <w:color w:val="auto"/>
                <w:w w:val="100"/>
                <w:sz w:val="21"/>
                <w:szCs w:val="21"/>
              </w:rPr>
            </w:pPr>
          </w:p>
        </w:tc>
        <w:tc>
          <w:tcPr>
            <w:tcW w:w="649" w:type="pct"/>
            <w:vMerge w:val="continue"/>
            <w:vAlign w:val="center"/>
          </w:tcPr>
          <w:p w14:paraId="128EF289">
            <w:pPr>
              <w:pStyle w:val="322"/>
              <w:adjustRightInd w:val="0"/>
              <w:snapToGrid w:val="0"/>
              <w:spacing w:line="300" w:lineRule="exact"/>
              <w:rPr>
                <w:rFonts w:hint="eastAsia" w:cs="宋体"/>
                <w:bCs/>
                <w:snapToGrid w:val="0"/>
                <w:color w:val="auto"/>
                <w:w w:val="100"/>
                <w:sz w:val="21"/>
                <w:szCs w:val="21"/>
              </w:rPr>
            </w:pPr>
          </w:p>
        </w:tc>
        <w:tc>
          <w:tcPr>
            <w:tcW w:w="731" w:type="pct"/>
            <w:vAlign w:val="center"/>
          </w:tcPr>
          <w:p w14:paraId="10FB28B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0.4</w:t>
            </w:r>
          </w:p>
        </w:tc>
        <w:tc>
          <w:tcPr>
            <w:tcW w:w="697" w:type="pct"/>
            <w:vAlign w:val="center"/>
          </w:tcPr>
          <w:p w14:paraId="0E54ED9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0.475</w:t>
            </w:r>
          </w:p>
        </w:tc>
      </w:tr>
      <w:tr w14:paraId="0E12DC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0C2900FF">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1C17E34C">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5B7797F9">
            <w:pPr>
              <w:adjustRightInd w:val="0"/>
              <w:snapToGrid w:val="0"/>
              <w:spacing w:line="300" w:lineRule="exact"/>
              <w:jc w:val="center"/>
              <w:rPr>
                <w:rFonts w:hint="eastAsia" w:ascii="宋体" w:hAnsi="宋体" w:cs="宋体"/>
                <w:snapToGrid w:val="0"/>
                <w:kern w:val="0"/>
                <w:szCs w:val="21"/>
              </w:rPr>
            </w:pPr>
          </w:p>
        </w:tc>
        <w:tc>
          <w:tcPr>
            <w:tcW w:w="568" w:type="pct"/>
            <w:tcBorders>
              <w:bottom w:val="single" w:color="000000" w:sz="4" w:space="0"/>
            </w:tcBorders>
            <w:vAlign w:val="center"/>
          </w:tcPr>
          <w:p w14:paraId="160E2299">
            <w:pPr>
              <w:adjustRightInd w:val="0"/>
              <w:snapToGrid w:val="0"/>
              <w:spacing w:line="300" w:lineRule="exact"/>
              <w:jc w:val="center"/>
              <w:rPr>
                <w:rFonts w:hint="eastAsia" w:ascii="宋体" w:hAnsi="宋体" w:cs="宋体"/>
                <w:bCs/>
                <w:snapToGrid w:val="0"/>
                <w:szCs w:val="21"/>
              </w:rPr>
            </w:pPr>
            <w:r>
              <w:rPr>
                <w:rFonts w:hint="eastAsia" w:cs="宋体"/>
                <w:bCs/>
                <w:snapToGrid w:val="0"/>
                <w:szCs w:val="21"/>
              </w:rPr>
              <w:t>颗粒物</w:t>
            </w:r>
          </w:p>
        </w:tc>
        <w:tc>
          <w:tcPr>
            <w:tcW w:w="1218" w:type="pct"/>
            <w:vMerge w:val="continue"/>
            <w:tcBorders>
              <w:bottom w:val="single" w:color="000000" w:sz="4" w:space="0"/>
            </w:tcBorders>
            <w:vAlign w:val="center"/>
          </w:tcPr>
          <w:p w14:paraId="3751F3B7">
            <w:pPr>
              <w:pStyle w:val="322"/>
              <w:adjustRightInd w:val="0"/>
              <w:snapToGrid w:val="0"/>
              <w:spacing w:line="300" w:lineRule="exact"/>
              <w:rPr>
                <w:rFonts w:hint="eastAsia" w:cs="宋体"/>
                <w:bCs/>
                <w:snapToGrid w:val="0"/>
                <w:color w:val="auto"/>
                <w:w w:val="100"/>
                <w:sz w:val="21"/>
                <w:szCs w:val="21"/>
              </w:rPr>
            </w:pPr>
          </w:p>
        </w:tc>
        <w:tc>
          <w:tcPr>
            <w:tcW w:w="649" w:type="pct"/>
            <w:vMerge w:val="continue"/>
            <w:tcBorders>
              <w:bottom w:val="single" w:color="000000" w:sz="4" w:space="0"/>
            </w:tcBorders>
            <w:vAlign w:val="center"/>
          </w:tcPr>
          <w:p w14:paraId="5DFF8CCB">
            <w:pPr>
              <w:pStyle w:val="322"/>
              <w:adjustRightInd w:val="0"/>
              <w:snapToGrid w:val="0"/>
              <w:spacing w:line="300" w:lineRule="exact"/>
              <w:rPr>
                <w:rFonts w:hint="eastAsia" w:cs="宋体"/>
                <w:bCs/>
                <w:snapToGrid w:val="0"/>
                <w:color w:val="auto"/>
                <w:w w:val="100"/>
                <w:sz w:val="21"/>
                <w:szCs w:val="21"/>
              </w:rPr>
            </w:pPr>
          </w:p>
        </w:tc>
        <w:tc>
          <w:tcPr>
            <w:tcW w:w="731" w:type="pct"/>
            <w:vAlign w:val="center"/>
          </w:tcPr>
          <w:p w14:paraId="2FC9355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1.0</w:t>
            </w:r>
          </w:p>
        </w:tc>
        <w:tc>
          <w:tcPr>
            <w:tcW w:w="697" w:type="pct"/>
            <w:vAlign w:val="center"/>
          </w:tcPr>
          <w:p w14:paraId="5511270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0.0375</w:t>
            </w:r>
          </w:p>
        </w:tc>
      </w:tr>
      <w:bookmarkEnd w:id="314"/>
    </w:tbl>
    <w:p w14:paraId="35505900">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w:t>
      </w:r>
      <w:r>
        <w:rPr>
          <w:rFonts w:ascii="黑体" w:hAnsi="黑体" w:eastAsia="黑体"/>
          <w:kern w:val="0"/>
          <w:szCs w:val="21"/>
        </w:rPr>
        <w:t>1</w:t>
      </w:r>
      <w:r>
        <w:rPr>
          <w:rFonts w:hint="eastAsia" w:ascii="黑体" w:hAnsi="黑体" w:eastAsia="黑体"/>
          <w:kern w:val="0"/>
          <w:szCs w:val="21"/>
        </w:rPr>
        <w:t>2</w:t>
      </w:r>
      <w:r>
        <w:rPr>
          <w:rFonts w:ascii="黑体" w:hAnsi="黑体" w:eastAsia="黑体"/>
          <w:kern w:val="0"/>
          <w:szCs w:val="21"/>
        </w:rPr>
        <w:t xml:space="preserve">  </w:t>
      </w:r>
      <w:r>
        <w:rPr>
          <w:rFonts w:hint="eastAsia" w:ascii="黑体" w:hAnsi="黑体" w:eastAsia="黑体"/>
          <w:kern w:val="0"/>
          <w:szCs w:val="21"/>
        </w:rPr>
        <w:t>一期工程各污染物排放量一览表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90"/>
        <w:gridCol w:w="3102"/>
        <w:gridCol w:w="4454"/>
      </w:tblGrid>
      <w:tr w14:paraId="7DAD5D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667328E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序号</w:t>
            </w:r>
          </w:p>
        </w:tc>
        <w:tc>
          <w:tcPr>
            <w:tcW w:w="1734" w:type="pct"/>
            <w:vAlign w:val="center"/>
          </w:tcPr>
          <w:p w14:paraId="6AF5A9F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污染物名称</w:t>
            </w:r>
          </w:p>
        </w:tc>
        <w:tc>
          <w:tcPr>
            <w:tcW w:w="2489" w:type="pct"/>
            <w:vAlign w:val="center"/>
          </w:tcPr>
          <w:p w14:paraId="6D876151">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污染物排放量</w:t>
            </w:r>
          </w:p>
        </w:tc>
      </w:tr>
      <w:tr w14:paraId="7C5849D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7EF956E3">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1</w:t>
            </w:r>
          </w:p>
        </w:tc>
        <w:tc>
          <w:tcPr>
            <w:tcW w:w="1734" w:type="pct"/>
            <w:vAlign w:val="center"/>
          </w:tcPr>
          <w:p w14:paraId="3E87442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N</w:t>
            </w:r>
            <w:r>
              <w:rPr>
                <w:rFonts w:cs="宋体"/>
                <w:bCs/>
                <w:snapToGrid w:val="0"/>
                <w:color w:val="auto"/>
                <w:w w:val="100"/>
                <w:sz w:val="21"/>
                <w:szCs w:val="21"/>
              </w:rPr>
              <w:t>MHC</w:t>
            </w:r>
          </w:p>
        </w:tc>
        <w:tc>
          <w:tcPr>
            <w:tcW w:w="2489" w:type="pct"/>
            <w:vAlign w:val="center"/>
          </w:tcPr>
          <w:p w14:paraId="664EE948">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2.5075</w:t>
            </w:r>
            <w:bookmarkStart w:id="322" w:name="OLE_LINK369"/>
            <w:r>
              <w:rPr>
                <w:rFonts w:hint="eastAsia" w:cs="宋体"/>
                <w:bCs/>
                <w:snapToGrid w:val="0"/>
                <w:color w:val="auto"/>
                <w:w w:val="100"/>
                <w:sz w:val="21"/>
                <w:szCs w:val="21"/>
              </w:rPr>
              <w:t>t</w:t>
            </w:r>
            <w:r>
              <w:rPr>
                <w:rFonts w:cs="宋体"/>
                <w:bCs/>
                <w:snapToGrid w:val="0"/>
                <w:color w:val="auto"/>
                <w:w w:val="100"/>
                <w:sz w:val="21"/>
                <w:szCs w:val="21"/>
              </w:rPr>
              <w:t>/a</w:t>
            </w:r>
            <w:bookmarkEnd w:id="322"/>
          </w:p>
        </w:tc>
      </w:tr>
      <w:tr w14:paraId="68562A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6214CEE2">
            <w:pPr>
              <w:pStyle w:val="322"/>
              <w:adjustRightInd w:val="0"/>
              <w:snapToGrid w:val="0"/>
              <w:spacing w:line="300" w:lineRule="exact"/>
              <w:rPr>
                <w:rFonts w:hint="eastAsia" w:cs="宋体"/>
                <w:bCs/>
                <w:snapToGrid w:val="0"/>
                <w:color w:val="auto"/>
                <w:w w:val="100"/>
                <w:sz w:val="21"/>
                <w:szCs w:val="21"/>
              </w:rPr>
            </w:pPr>
            <w:bookmarkStart w:id="323" w:name="_Hlk173840561"/>
            <w:r>
              <w:rPr>
                <w:rFonts w:hint="eastAsia" w:cs="宋体"/>
                <w:bCs/>
                <w:snapToGrid w:val="0"/>
                <w:color w:val="auto"/>
                <w:w w:val="100"/>
                <w:sz w:val="21"/>
                <w:szCs w:val="21"/>
              </w:rPr>
              <w:t>2</w:t>
            </w:r>
          </w:p>
        </w:tc>
        <w:tc>
          <w:tcPr>
            <w:tcW w:w="1734" w:type="pct"/>
            <w:vAlign w:val="center"/>
          </w:tcPr>
          <w:p w14:paraId="5351ACF6">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S</w:t>
            </w:r>
            <w:r>
              <w:rPr>
                <w:rFonts w:cs="宋体"/>
                <w:bCs/>
                <w:snapToGrid w:val="0"/>
                <w:color w:val="auto"/>
                <w:w w:val="100"/>
                <w:sz w:val="21"/>
                <w:szCs w:val="21"/>
              </w:rPr>
              <w:t>O</w:t>
            </w:r>
            <w:r>
              <w:rPr>
                <w:rFonts w:cs="宋体"/>
                <w:bCs/>
                <w:snapToGrid w:val="0"/>
                <w:color w:val="auto"/>
                <w:w w:val="100"/>
                <w:sz w:val="21"/>
                <w:szCs w:val="21"/>
                <w:vertAlign w:val="subscript"/>
              </w:rPr>
              <w:t>2</w:t>
            </w:r>
          </w:p>
        </w:tc>
        <w:tc>
          <w:tcPr>
            <w:tcW w:w="2489" w:type="pct"/>
            <w:vAlign w:val="center"/>
          </w:tcPr>
          <w:p w14:paraId="7F6532A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0.05t</w:t>
            </w:r>
            <w:r>
              <w:rPr>
                <w:rFonts w:cs="宋体"/>
                <w:bCs/>
                <w:snapToGrid w:val="0"/>
                <w:color w:val="auto"/>
                <w:w w:val="100"/>
                <w:sz w:val="21"/>
                <w:szCs w:val="21"/>
              </w:rPr>
              <w:t>/a</w:t>
            </w:r>
          </w:p>
        </w:tc>
      </w:tr>
      <w:tr w14:paraId="6B2DC50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4CB5FD5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3</w:t>
            </w:r>
          </w:p>
        </w:tc>
        <w:tc>
          <w:tcPr>
            <w:tcW w:w="1734" w:type="pct"/>
            <w:vAlign w:val="center"/>
          </w:tcPr>
          <w:p w14:paraId="7CC4521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N</w:t>
            </w:r>
            <w:r>
              <w:rPr>
                <w:rFonts w:cs="宋体"/>
                <w:bCs/>
                <w:snapToGrid w:val="0"/>
                <w:color w:val="auto"/>
                <w:w w:val="100"/>
                <w:sz w:val="21"/>
                <w:szCs w:val="21"/>
              </w:rPr>
              <w:t>O</w:t>
            </w:r>
            <w:r>
              <w:rPr>
                <w:rFonts w:cs="宋体"/>
                <w:bCs/>
                <w:snapToGrid w:val="0"/>
                <w:color w:val="auto"/>
                <w:w w:val="100"/>
                <w:sz w:val="21"/>
                <w:szCs w:val="21"/>
                <w:vertAlign w:val="subscript"/>
              </w:rPr>
              <w:t>x</w:t>
            </w:r>
          </w:p>
        </w:tc>
        <w:tc>
          <w:tcPr>
            <w:tcW w:w="2489" w:type="pct"/>
            <w:vAlign w:val="center"/>
          </w:tcPr>
          <w:p w14:paraId="128DF64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0.475t</w:t>
            </w:r>
            <w:r>
              <w:rPr>
                <w:rFonts w:cs="宋体"/>
                <w:bCs/>
                <w:snapToGrid w:val="0"/>
                <w:color w:val="auto"/>
                <w:w w:val="100"/>
                <w:sz w:val="21"/>
                <w:szCs w:val="21"/>
              </w:rPr>
              <w:t>/a</w:t>
            </w:r>
          </w:p>
        </w:tc>
      </w:tr>
      <w:tr w14:paraId="37A4BA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55EB8E9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4</w:t>
            </w:r>
          </w:p>
        </w:tc>
        <w:tc>
          <w:tcPr>
            <w:tcW w:w="1734" w:type="pct"/>
            <w:vAlign w:val="center"/>
          </w:tcPr>
          <w:p w14:paraId="48C9AE1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颗粒物</w:t>
            </w:r>
          </w:p>
        </w:tc>
        <w:tc>
          <w:tcPr>
            <w:tcW w:w="2489" w:type="pct"/>
            <w:vAlign w:val="center"/>
          </w:tcPr>
          <w:p w14:paraId="7C28788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0.0375t</w:t>
            </w:r>
            <w:r>
              <w:rPr>
                <w:rFonts w:cs="宋体"/>
                <w:bCs/>
                <w:snapToGrid w:val="0"/>
                <w:color w:val="auto"/>
                <w:w w:val="100"/>
                <w:sz w:val="21"/>
                <w:szCs w:val="21"/>
              </w:rPr>
              <w:t>/a</w:t>
            </w:r>
          </w:p>
        </w:tc>
      </w:tr>
      <w:bookmarkEnd w:id="323"/>
      <w:tr w14:paraId="544E17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1EADE73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5</w:t>
            </w:r>
          </w:p>
        </w:tc>
        <w:tc>
          <w:tcPr>
            <w:tcW w:w="1734" w:type="pct"/>
            <w:vAlign w:val="center"/>
          </w:tcPr>
          <w:p w14:paraId="108D0361">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硫化氢</w:t>
            </w:r>
          </w:p>
        </w:tc>
        <w:tc>
          <w:tcPr>
            <w:tcW w:w="2489" w:type="pct"/>
            <w:vAlign w:val="center"/>
          </w:tcPr>
          <w:p w14:paraId="0CC7492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0.4891kg/a</w:t>
            </w:r>
          </w:p>
        </w:tc>
      </w:tr>
      <w:bookmarkEnd w:id="268"/>
      <w:bookmarkEnd w:id="315"/>
    </w:tbl>
    <w:p w14:paraId="04A1DAF9">
      <w:pPr>
        <w:adjustRightInd w:val="0"/>
        <w:snapToGrid w:val="0"/>
        <w:spacing w:line="500" w:lineRule="exact"/>
        <w:jc w:val="center"/>
        <w:textAlignment w:val="baseline"/>
        <w:rPr>
          <w:rFonts w:hint="eastAsia" w:ascii="黑体" w:hAnsi="黑体" w:eastAsia="黑体"/>
          <w:kern w:val="0"/>
          <w:szCs w:val="21"/>
        </w:rPr>
      </w:pPr>
      <w:bookmarkStart w:id="324" w:name="_Hlk160375551"/>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-13  二期工程大气污染物无组织排放量核算表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38"/>
        <w:gridCol w:w="714"/>
        <w:gridCol w:w="882"/>
        <w:gridCol w:w="1017"/>
        <w:gridCol w:w="2180"/>
        <w:gridCol w:w="1161"/>
        <w:gridCol w:w="1308"/>
        <w:gridCol w:w="1247"/>
      </w:tblGrid>
      <w:tr w14:paraId="591153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245" w:type="pct"/>
            <w:vMerge w:val="restart"/>
            <w:vAlign w:val="center"/>
          </w:tcPr>
          <w:p w14:paraId="505A3016">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序号</w:t>
            </w:r>
          </w:p>
        </w:tc>
        <w:tc>
          <w:tcPr>
            <w:tcW w:w="399" w:type="pct"/>
            <w:vMerge w:val="restart"/>
            <w:vAlign w:val="center"/>
          </w:tcPr>
          <w:p w14:paraId="2EF3AD96">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排放口编号</w:t>
            </w:r>
          </w:p>
        </w:tc>
        <w:tc>
          <w:tcPr>
            <w:tcW w:w="493" w:type="pct"/>
            <w:vMerge w:val="restart"/>
            <w:vAlign w:val="center"/>
          </w:tcPr>
          <w:p w14:paraId="5557150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产污环节</w:t>
            </w:r>
          </w:p>
        </w:tc>
        <w:tc>
          <w:tcPr>
            <w:tcW w:w="568" w:type="pct"/>
            <w:vMerge w:val="restart"/>
            <w:vAlign w:val="center"/>
          </w:tcPr>
          <w:p w14:paraId="08CF9175">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w:t>
            </w:r>
          </w:p>
        </w:tc>
        <w:tc>
          <w:tcPr>
            <w:tcW w:w="1218" w:type="pct"/>
            <w:vMerge w:val="restart"/>
            <w:vAlign w:val="center"/>
          </w:tcPr>
          <w:p w14:paraId="1E0BE10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主要污染</w:t>
            </w:r>
          </w:p>
          <w:p w14:paraId="48C50490">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防治措施</w:t>
            </w:r>
          </w:p>
        </w:tc>
        <w:tc>
          <w:tcPr>
            <w:tcW w:w="1380" w:type="pct"/>
            <w:gridSpan w:val="2"/>
            <w:vAlign w:val="center"/>
          </w:tcPr>
          <w:p w14:paraId="494CF08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国家污染物排放标准</w:t>
            </w:r>
          </w:p>
        </w:tc>
        <w:tc>
          <w:tcPr>
            <w:tcW w:w="697" w:type="pct"/>
            <w:vMerge w:val="restart"/>
            <w:vAlign w:val="center"/>
          </w:tcPr>
          <w:p w14:paraId="27B4AB03">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年排放量（t/a）</w:t>
            </w:r>
          </w:p>
        </w:tc>
      </w:tr>
      <w:tr w14:paraId="6D88F4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245" w:type="pct"/>
            <w:vMerge w:val="continue"/>
            <w:vAlign w:val="center"/>
          </w:tcPr>
          <w:p w14:paraId="08BD454C">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60182862">
            <w:pPr>
              <w:pStyle w:val="322"/>
              <w:adjustRightInd w:val="0"/>
              <w:snapToGrid w:val="0"/>
              <w:spacing w:line="300" w:lineRule="exact"/>
              <w:rPr>
                <w:rFonts w:hint="eastAsia" w:cs="宋体"/>
                <w:bCs/>
                <w:snapToGrid w:val="0"/>
                <w:color w:val="auto"/>
                <w:w w:val="100"/>
                <w:sz w:val="21"/>
                <w:szCs w:val="21"/>
              </w:rPr>
            </w:pPr>
          </w:p>
        </w:tc>
        <w:tc>
          <w:tcPr>
            <w:tcW w:w="493" w:type="pct"/>
            <w:vMerge w:val="continue"/>
            <w:vAlign w:val="center"/>
          </w:tcPr>
          <w:p w14:paraId="19D22526">
            <w:pPr>
              <w:pStyle w:val="322"/>
              <w:adjustRightInd w:val="0"/>
              <w:snapToGrid w:val="0"/>
              <w:spacing w:line="300" w:lineRule="exact"/>
              <w:rPr>
                <w:rFonts w:hint="eastAsia" w:cs="宋体"/>
                <w:bCs/>
                <w:snapToGrid w:val="0"/>
                <w:color w:val="auto"/>
                <w:w w:val="100"/>
                <w:sz w:val="21"/>
                <w:szCs w:val="21"/>
              </w:rPr>
            </w:pPr>
          </w:p>
        </w:tc>
        <w:tc>
          <w:tcPr>
            <w:tcW w:w="568" w:type="pct"/>
            <w:vMerge w:val="continue"/>
            <w:vAlign w:val="center"/>
          </w:tcPr>
          <w:p w14:paraId="2DE7EBB6">
            <w:pPr>
              <w:pStyle w:val="322"/>
              <w:adjustRightInd w:val="0"/>
              <w:snapToGrid w:val="0"/>
              <w:spacing w:line="300" w:lineRule="exact"/>
              <w:rPr>
                <w:rFonts w:hint="eastAsia" w:cs="宋体"/>
                <w:bCs/>
                <w:snapToGrid w:val="0"/>
                <w:color w:val="auto"/>
                <w:w w:val="100"/>
                <w:sz w:val="21"/>
                <w:szCs w:val="21"/>
              </w:rPr>
            </w:pPr>
          </w:p>
        </w:tc>
        <w:tc>
          <w:tcPr>
            <w:tcW w:w="1218" w:type="pct"/>
            <w:vMerge w:val="continue"/>
            <w:vAlign w:val="center"/>
          </w:tcPr>
          <w:p w14:paraId="354A74D8">
            <w:pPr>
              <w:pStyle w:val="322"/>
              <w:adjustRightInd w:val="0"/>
              <w:snapToGrid w:val="0"/>
              <w:spacing w:line="300" w:lineRule="exact"/>
              <w:rPr>
                <w:rFonts w:hint="eastAsia" w:cs="宋体"/>
                <w:bCs/>
                <w:snapToGrid w:val="0"/>
                <w:color w:val="auto"/>
                <w:w w:val="100"/>
                <w:sz w:val="21"/>
                <w:szCs w:val="21"/>
              </w:rPr>
            </w:pPr>
          </w:p>
        </w:tc>
        <w:tc>
          <w:tcPr>
            <w:tcW w:w="649" w:type="pct"/>
            <w:vAlign w:val="center"/>
          </w:tcPr>
          <w:p w14:paraId="0471402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标准名称</w:t>
            </w:r>
          </w:p>
        </w:tc>
        <w:tc>
          <w:tcPr>
            <w:tcW w:w="731" w:type="pct"/>
            <w:vAlign w:val="center"/>
          </w:tcPr>
          <w:p w14:paraId="07B64500">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浓度限值（mg/m</w:t>
            </w:r>
            <w:r>
              <w:rPr>
                <w:rFonts w:hint="eastAsia" w:cs="宋体"/>
                <w:bCs/>
                <w:snapToGrid w:val="0"/>
                <w:color w:val="auto"/>
                <w:w w:val="100"/>
                <w:sz w:val="21"/>
                <w:szCs w:val="21"/>
                <w:vertAlign w:val="superscript"/>
              </w:rPr>
              <w:t>3</w:t>
            </w:r>
            <w:r>
              <w:rPr>
                <w:rFonts w:hint="eastAsia" w:cs="宋体"/>
                <w:bCs/>
                <w:snapToGrid w:val="0"/>
                <w:color w:val="auto"/>
                <w:w w:val="100"/>
                <w:sz w:val="21"/>
                <w:szCs w:val="21"/>
              </w:rPr>
              <w:t>）</w:t>
            </w:r>
          </w:p>
        </w:tc>
        <w:tc>
          <w:tcPr>
            <w:tcW w:w="697" w:type="pct"/>
            <w:vMerge w:val="continue"/>
            <w:vAlign w:val="center"/>
          </w:tcPr>
          <w:p w14:paraId="7681D302">
            <w:pPr>
              <w:pStyle w:val="322"/>
              <w:adjustRightInd w:val="0"/>
              <w:snapToGrid w:val="0"/>
              <w:spacing w:line="300" w:lineRule="exact"/>
              <w:rPr>
                <w:rFonts w:hint="eastAsia" w:cs="宋体"/>
                <w:bCs/>
                <w:snapToGrid w:val="0"/>
                <w:color w:val="auto"/>
                <w:w w:val="100"/>
                <w:sz w:val="21"/>
                <w:szCs w:val="21"/>
              </w:rPr>
            </w:pPr>
          </w:p>
        </w:tc>
      </w:tr>
      <w:tr w14:paraId="03C5CE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restart"/>
            <w:vAlign w:val="center"/>
          </w:tcPr>
          <w:p w14:paraId="3A28217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1</w:t>
            </w:r>
          </w:p>
        </w:tc>
        <w:tc>
          <w:tcPr>
            <w:tcW w:w="399" w:type="pct"/>
            <w:vMerge w:val="restart"/>
            <w:vAlign w:val="center"/>
          </w:tcPr>
          <w:p w14:paraId="30982965">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M1</w:t>
            </w:r>
          </w:p>
        </w:tc>
        <w:tc>
          <w:tcPr>
            <w:tcW w:w="493" w:type="pct"/>
            <w:vMerge w:val="restart"/>
            <w:vAlign w:val="center"/>
          </w:tcPr>
          <w:p w14:paraId="5878E1C1">
            <w:pPr>
              <w:adjustRightInd w:val="0"/>
              <w:snapToGrid w:val="0"/>
              <w:spacing w:line="300" w:lineRule="exact"/>
              <w:jc w:val="center"/>
              <w:rPr>
                <w:rFonts w:hint="eastAsia" w:ascii="宋体" w:hAnsi="宋体" w:cs="宋体"/>
                <w:bCs/>
                <w:snapToGrid w:val="0"/>
                <w:szCs w:val="21"/>
              </w:rPr>
            </w:pPr>
            <w:r>
              <w:rPr>
                <w:rFonts w:hint="eastAsia" w:ascii="宋体" w:hAnsi="宋体" w:cs="宋体"/>
                <w:snapToGrid w:val="0"/>
                <w:kern w:val="0"/>
                <w:szCs w:val="21"/>
              </w:rPr>
              <w:t>采油平台阀门、法兰等</w:t>
            </w:r>
          </w:p>
        </w:tc>
        <w:tc>
          <w:tcPr>
            <w:tcW w:w="568" w:type="pct"/>
            <w:vAlign w:val="center"/>
          </w:tcPr>
          <w:p w14:paraId="30798FB1">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1218" w:type="pct"/>
            <w:vMerge w:val="restart"/>
            <w:vAlign w:val="center"/>
          </w:tcPr>
          <w:p w14:paraId="428A465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选用质量可靠的设备、仪表、阀门等；定期对井场的设备、阀门等检查</w:t>
            </w:r>
          </w:p>
        </w:tc>
        <w:tc>
          <w:tcPr>
            <w:tcW w:w="649" w:type="pct"/>
            <w:vAlign w:val="center"/>
          </w:tcPr>
          <w:p w14:paraId="4DB8D3D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GB39728-2020</w:t>
            </w:r>
          </w:p>
        </w:tc>
        <w:tc>
          <w:tcPr>
            <w:tcW w:w="731" w:type="pct"/>
            <w:vAlign w:val="center"/>
          </w:tcPr>
          <w:p w14:paraId="46A4ACD6">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4</w:t>
            </w:r>
          </w:p>
        </w:tc>
        <w:tc>
          <w:tcPr>
            <w:tcW w:w="697" w:type="pct"/>
            <w:vAlign w:val="center"/>
          </w:tcPr>
          <w:p w14:paraId="368768A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0.3386</w:t>
            </w:r>
          </w:p>
        </w:tc>
      </w:tr>
      <w:tr w14:paraId="6D12643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56A2AC55">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39BA0C5A">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31789982">
            <w:pPr>
              <w:adjustRightInd w:val="0"/>
              <w:snapToGrid w:val="0"/>
              <w:spacing w:line="300" w:lineRule="exact"/>
              <w:jc w:val="center"/>
              <w:rPr>
                <w:rFonts w:hint="eastAsia" w:ascii="宋体" w:hAnsi="宋体" w:cs="宋体"/>
                <w:snapToGrid w:val="0"/>
                <w:kern w:val="0"/>
                <w:szCs w:val="21"/>
              </w:rPr>
            </w:pPr>
          </w:p>
        </w:tc>
        <w:tc>
          <w:tcPr>
            <w:tcW w:w="568" w:type="pct"/>
            <w:vAlign w:val="center"/>
          </w:tcPr>
          <w:p w14:paraId="7AA5EEA2">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1218" w:type="pct"/>
            <w:vMerge w:val="continue"/>
            <w:vAlign w:val="center"/>
          </w:tcPr>
          <w:p w14:paraId="4AC0B7F5">
            <w:pPr>
              <w:pStyle w:val="322"/>
              <w:adjustRightInd w:val="0"/>
              <w:snapToGrid w:val="0"/>
              <w:spacing w:line="300" w:lineRule="exact"/>
              <w:rPr>
                <w:rFonts w:hint="eastAsia" w:cs="宋体"/>
                <w:bCs/>
                <w:snapToGrid w:val="0"/>
                <w:color w:val="auto"/>
                <w:w w:val="100"/>
                <w:sz w:val="21"/>
                <w:szCs w:val="21"/>
              </w:rPr>
            </w:pPr>
          </w:p>
        </w:tc>
        <w:tc>
          <w:tcPr>
            <w:tcW w:w="649" w:type="pct"/>
            <w:vAlign w:val="center"/>
          </w:tcPr>
          <w:p w14:paraId="5E5E1CA0">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GB14554-93表1</w:t>
            </w:r>
          </w:p>
        </w:tc>
        <w:tc>
          <w:tcPr>
            <w:tcW w:w="731" w:type="pct"/>
            <w:vAlign w:val="center"/>
          </w:tcPr>
          <w:p w14:paraId="5B7D122C">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0.06</w:t>
            </w:r>
          </w:p>
        </w:tc>
        <w:tc>
          <w:tcPr>
            <w:tcW w:w="697" w:type="pct"/>
            <w:vAlign w:val="center"/>
          </w:tcPr>
          <w:p w14:paraId="682EF8F9">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0.3305kg/a</w:t>
            </w:r>
          </w:p>
        </w:tc>
      </w:tr>
      <w:tr w14:paraId="7FC1F4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restart"/>
            <w:vAlign w:val="center"/>
          </w:tcPr>
          <w:p w14:paraId="759C54B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w:t>
            </w:r>
          </w:p>
        </w:tc>
        <w:tc>
          <w:tcPr>
            <w:tcW w:w="399" w:type="pct"/>
            <w:vMerge w:val="restart"/>
            <w:vAlign w:val="center"/>
          </w:tcPr>
          <w:p w14:paraId="096A1718">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M</w:t>
            </w:r>
            <w:r>
              <w:rPr>
                <w:rFonts w:ascii="宋体" w:hAnsi="宋体" w:cs="宋体"/>
                <w:bCs/>
                <w:snapToGrid w:val="0"/>
                <w:szCs w:val="21"/>
              </w:rPr>
              <w:t>2</w:t>
            </w:r>
          </w:p>
        </w:tc>
        <w:tc>
          <w:tcPr>
            <w:tcW w:w="493" w:type="pct"/>
            <w:vMerge w:val="restart"/>
            <w:vAlign w:val="center"/>
          </w:tcPr>
          <w:p w14:paraId="4604B2E2">
            <w:pPr>
              <w:adjustRightInd w:val="0"/>
              <w:snapToGrid w:val="0"/>
              <w:spacing w:line="300" w:lineRule="exact"/>
              <w:jc w:val="center"/>
              <w:rPr>
                <w:rFonts w:hint="eastAsia" w:ascii="宋体" w:hAnsi="宋体" w:cs="宋体"/>
                <w:snapToGrid w:val="0"/>
                <w:kern w:val="0"/>
                <w:szCs w:val="21"/>
              </w:rPr>
            </w:pPr>
            <w:r>
              <w:rPr>
                <w:rFonts w:hint="eastAsia" w:ascii="宋体" w:hAnsi="宋体" w:cs="宋体"/>
                <w:snapToGrid w:val="0"/>
                <w:kern w:val="0"/>
                <w:szCs w:val="21"/>
              </w:rPr>
              <w:t>计量站阀门、法兰等</w:t>
            </w:r>
          </w:p>
        </w:tc>
        <w:tc>
          <w:tcPr>
            <w:tcW w:w="568" w:type="pct"/>
            <w:vAlign w:val="center"/>
          </w:tcPr>
          <w:p w14:paraId="3D4F66A9">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N</w:t>
            </w:r>
            <w:r>
              <w:rPr>
                <w:rFonts w:ascii="宋体" w:hAnsi="宋体" w:cs="宋体"/>
                <w:bCs/>
                <w:snapToGrid w:val="0"/>
                <w:szCs w:val="21"/>
              </w:rPr>
              <w:t>MHC</w:t>
            </w:r>
          </w:p>
        </w:tc>
        <w:tc>
          <w:tcPr>
            <w:tcW w:w="1218" w:type="pct"/>
            <w:vMerge w:val="restart"/>
            <w:vAlign w:val="center"/>
          </w:tcPr>
          <w:p w14:paraId="2A22441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选用质量可靠的设备、仪表、阀门等；定期对站场的设备、阀门等检查</w:t>
            </w:r>
          </w:p>
        </w:tc>
        <w:tc>
          <w:tcPr>
            <w:tcW w:w="649" w:type="pct"/>
            <w:vAlign w:val="center"/>
          </w:tcPr>
          <w:p w14:paraId="7F9A6F3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GB39728-2020</w:t>
            </w:r>
          </w:p>
        </w:tc>
        <w:tc>
          <w:tcPr>
            <w:tcW w:w="731" w:type="pct"/>
            <w:vAlign w:val="center"/>
          </w:tcPr>
          <w:p w14:paraId="62A92A1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4</w:t>
            </w:r>
          </w:p>
        </w:tc>
        <w:tc>
          <w:tcPr>
            <w:tcW w:w="697" w:type="pct"/>
            <w:vAlign w:val="center"/>
          </w:tcPr>
          <w:p w14:paraId="0EC03BC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0.1625</w:t>
            </w:r>
          </w:p>
        </w:tc>
      </w:tr>
      <w:tr w14:paraId="24FAB7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4EBE1C67">
            <w:pPr>
              <w:pStyle w:val="322"/>
              <w:adjustRightInd w:val="0"/>
              <w:snapToGrid w:val="0"/>
              <w:spacing w:line="300" w:lineRule="exact"/>
              <w:rPr>
                <w:rFonts w:hint="eastAsia" w:cs="宋体"/>
                <w:bCs/>
                <w:snapToGrid w:val="0"/>
                <w:color w:val="auto"/>
                <w:w w:val="100"/>
                <w:sz w:val="21"/>
                <w:szCs w:val="21"/>
              </w:rPr>
            </w:pPr>
          </w:p>
        </w:tc>
        <w:tc>
          <w:tcPr>
            <w:tcW w:w="399" w:type="pct"/>
            <w:vMerge w:val="continue"/>
            <w:vAlign w:val="center"/>
          </w:tcPr>
          <w:p w14:paraId="6E54739B">
            <w:pPr>
              <w:adjustRightInd w:val="0"/>
              <w:snapToGrid w:val="0"/>
              <w:spacing w:line="300" w:lineRule="exact"/>
              <w:jc w:val="center"/>
              <w:rPr>
                <w:rFonts w:hint="eastAsia" w:ascii="宋体" w:hAnsi="宋体" w:cs="宋体"/>
                <w:bCs/>
                <w:snapToGrid w:val="0"/>
                <w:szCs w:val="21"/>
              </w:rPr>
            </w:pPr>
          </w:p>
        </w:tc>
        <w:tc>
          <w:tcPr>
            <w:tcW w:w="493" w:type="pct"/>
            <w:vMerge w:val="continue"/>
            <w:vAlign w:val="center"/>
          </w:tcPr>
          <w:p w14:paraId="38E3F97F">
            <w:pPr>
              <w:adjustRightInd w:val="0"/>
              <w:snapToGrid w:val="0"/>
              <w:spacing w:line="300" w:lineRule="exact"/>
              <w:jc w:val="center"/>
              <w:rPr>
                <w:rFonts w:hint="eastAsia" w:ascii="宋体" w:hAnsi="宋体" w:cs="宋体"/>
                <w:snapToGrid w:val="0"/>
                <w:kern w:val="0"/>
                <w:szCs w:val="21"/>
              </w:rPr>
            </w:pPr>
          </w:p>
        </w:tc>
        <w:tc>
          <w:tcPr>
            <w:tcW w:w="568" w:type="pct"/>
            <w:vAlign w:val="center"/>
          </w:tcPr>
          <w:p w14:paraId="1CE73E1A">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硫化氢</w:t>
            </w:r>
          </w:p>
        </w:tc>
        <w:tc>
          <w:tcPr>
            <w:tcW w:w="1218" w:type="pct"/>
            <w:vMerge w:val="continue"/>
            <w:vAlign w:val="center"/>
          </w:tcPr>
          <w:p w14:paraId="6E46316D">
            <w:pPr>
              <w:pStyle w:val="322"/>
              <w:adjustRightInd w:val="0"/>
              <w:snapToGrid w:val="0"/>
              <w:spacing w:line="300" w:lineRule="exact"/>
              <w:rPr>
                <w:rFonts w:hint="eastAsia" w:cs="宋体"/>
                <w:bCs/>
                <w:snapToGrid w:val="0"/>
                <w:color w:val="auto"/>
                <w:w w:val="100"/>
                <w:sz w:val="21"/>
                <w:szCs w:val="21"/>
              </w:rPr>
            </w:pPr>
          </w:p>
        </w:tc>
        <w:tc>
          <w:tcPr>
            <w:tcW w:w="649" w:type="pct"/>
            <w:vAlign w:val="center"/>
          </w:tcPr>
          <w:p w14:paraId="15E3157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GB14554-93表1</w:t>
            </w:r>
          </w:p>
        </w:tc>
        <w:tc>
          <w:tcPr>
            <w:tcW w:w="731" w:type="pct"/>
            <w:vAlign w:val="center"/>
          </w:tcPr>
          <w:p w14:paraId="43BB3B3D">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0.06</w:t>
            </w:r>
          </w:p>
        </w:tc>
        <w:tc>
          <w:tcPr>
            <w:tcW w:w="697" w:type="pct"/>
            <w:vAlign w:val="center"/>
          </w:tcPr>
          <w:p w14:paraId="00DC782B">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0.1586 kg/a</w:t>
            </w:r>
          </w:p>
        </w:tc>
      </w:tr>
    </w:tbl>
    <w:p w14:paraId="415AC396">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w:t>
      </w:r>
      <w:r>
        <w:rPr>
          <w:rFonts w:ascii="黑体" w:hAnsi="黑体" w:eastAsia="黑体"/>
          <w:kern w:val="0"/>
          <w:szCs w:val="21"/>
        </w:rPr>
        <w:t>1</w:t>
      </w:r>
      <w:r>
        <w:rPr>
          <w:rFonts w:hint="eastAsia" w:ascii="黑体" w:hAnsi="黑体" w:eastAsia="黑体"/>
          <w:kern w:val="0"/>
          <w:szCs w:val="21"/>
        </w:rPr>
        <w:t>4</w:t>
      </w:r>
      <w:r>
        <w:rPr>
          <w:rFonts w:ascii="黑体" w:hAnsi="黑体" w:eastAsia="黑体"/>
          <w:kern w:val="0"/>
          <w:szCs w:val="21"/>
        </w:rPr>
        <w:t xml:space="preserve">  </w:t>
      </w:r>
      <w:r>
        <w:rPr>
          <w:rFonts w:hint="eastAsia" w:ascii="黑体" w:hAnsi="黑体" w:eastAsia="黑体"/>
          <w:kern w:val="0"/>
          <w:szCs w:val="21"/>
        </w:rPr>
        <w:t>二期工程各污染物排放量一览表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90"/>
        <w:gridCol w:w="3102"/>
        <w:gridCol w:w="4454"/>
      </w:tblGrid>
      <w:tr w14:paraId="0F62D0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520E1650">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序号</w:t>
            </w:r>
          </w:p>
        </w:tc>
        <w:tc>
          <w:tcPr>
            <w:tcW w:w="1734" w:type="pct"/>
            <w:vAlign w:val="center"/>
          </w:tcPr>
          <w:p w14:paraId="017AE1DE">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污染物名称</w:t>
            </w:r>
          </w:p>
        </w:tc>
        <w:tc>
          <w:tcPr>
            <w:tcW w:w="2489" w:type="pct"/>
            <w:vAlign w:val="center"/>
          </w:tcPr>
          <w:p w14:paraId="6237BD3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污染物排放量</w:t>
            </w:r>
          </w:p>
        </w:tc>
      </w:tr>
      <w:tr w14:paraId="73724C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5CDF1AA7">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1</w:t>
            </w:r>
          </w:p>
        </w:tc>
        <w:tc>
          <w:tcPr>
            <w:tcW w:w="1734" w:type="pct"/>
            <w:vAlign w:val="center"/>
          </w:tcPr>
          <w:p w14:paraId="760E6756">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N</w:t>
            </w:r>
            <w:r>
              <w:rPr>
                <w:rFonts w:cs="宋体"/>
                <w:bCs/>
                <w:snapToGrid w:val="0"/>
                <w:color w:val="auto"/>
                <w:w w:val="100"/>
                <w:sz w:val="21"/>
                <w:szCs w:val="21"/>
              </w:rPr>
              <w:t>MHC</w:t>
            </w:r>
          </w:p>
        </w:tc>
        <w:tc>
          <w:tcPr>
            <w:tcW w:w="2489" w:type="pct"/>
            <w:vAlign w:val="center"/>
          </w:tcPr>
          <w:p w14:paraId="219F32F3">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0.5011t</w:t>
            </w:r>
            <w:r>
              <w:rPr>
                <w:rFonts w:cs="宋体"/>
                <w:bCs/>
                <w:snapToGrid w:val="0"/>
                <w:color w:val="auto"/>
                <w:w w:val="100"/>
                <w:sz w:val="21"/>
                <w:szCs w:val="21"/>
              </w:rPr>
              <w:t>/a</w:t>
            </w:r>
          </w:p>
        </w:tc>
      </w:tr>
      <w:tr w14:paraId="427FC5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777" w:type="pct"/>
            <w:vAlign w:val="center"/>
          </w:tcPr>
          <w:p w14:paraId="1F9A59B4">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2</w:t>
            </w:r>
          </w:p>
        </w:tc>
        <w:tc>
          <w:tcPr>
            <w:tcW w:w="1734" w:type="pct"/>
            <w:vAlign w:val="center"/>
          </w:tcPr>
          <w:p w14:paraId="7F7015F2">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硫化氢</w:t>
            </w:r>
          </w:p>
        </w:tc>
        <w:tc>
          <w:tcPr>
            <w:tcW w:w="2489" w:type="pct"/>
            <w:vAlign w:val="center"/>
          </w:tcPr>
          <w:p w14:paraId="0A06D0AA">
            <w:pPr>
              <w:pStyle w:val="322"/>
              <w:adjustRightInd w:val="0"/>
              <w:snapToGrid w:val="0"/>
              <w:spacing w:line="300" w:lineRule="exact"/>
              <w:rPr>
                <w:rFonts w:hint="eastAsia" w:cs="宋体"/>
                <w:bCs/>
                <w:snapToGrid w:val="0"/>
                <w:color w:val="auto"/>
                <w:w w:val="100"/>
                <w:sz w:val="21"/>
                <w:szCs w:val="21"/>
              </w:rPr>
            </w:pPr>
            <w:r>
              <w:rPr>
                <w:rFonts w:hint="eastAsia" w:cs="宋体"/>
                <w:bCs/>
                <w:snapToGrid w:val="0"/>
                <w:color w:val="auto"/>
                <w:w w:val="100"/>
                <w:sz w:val="21"/>
                <w:szCs w:val="21"/>
              </w:rPr>
              <w:t>0.4891kg/a</w:t>
            </w:r>
          </w:p>
        </w:tc>
      </w:tr>
    </w:tbl>
    <w:p w14:paraId="672B916C">
      <w:pPr>
        <w:pStyle w:val="117"/>
        <w:ind w:firstLine="480"/>
        <w:rPr>
          <w:rFonts w:hint="eastAsia"/>
        </w:rPr>
      </w:pPr>
      <w:r>
        <w:rPr>
          <w:rFonts w:hint="eastAsia"/>
          <w:kern w:val="0"/>
          <w:szCs w:val="22"/>
        </w:rPr>
        <w:t>（2）</w:t>
      </w:r>
      <w:r>
        <w:rPr>
          <w:rFonts w:hint="eastAsia"/>
        </w:rPr>
        <w:t>废水</w:t>
      </w:r>
    </w:p>
    <w:bookmarkEnd w:id="276"/>
    <w:p w14:paraId="3F45C0A0">
      <w:pPr>
        <w:pStyle w:val="117"/>
        <w:ind w:firstLine="480"/>
        <w:rPr>
          <w:rFonts w:hint="eastAsia"/>
        </w:rPr>
      </w:pPr>
      <w:r>
        <w:rPr>
          <w:rFonts w:hint="eastAsia"/>
        </w:rPr>
        <w:t>一期工程废水主要为洗井废水和井下作业废液（酸化返排液、压裂返排液和废洗井液）。二期工程不新增废水，整体工程实施后废水产生及处理情况与一期工程相同。</w:t>
      </w:r>
    </w:p>
    <w:p w14:paraId="71FB832D">
      <w:pPr>
        <w:pStyle w:val="117"/>
        <w:ind w:firstLine="480" w:firstLineChars="0"/>
        <w:rPr>
          <w:rFonts w:hint="eastAsia"/>
        </w:rPr>
      </w:pPr>
      <w:r>
        <w:rPr>
          <w:rFonts w:hint="eastAsia"/>
        </w:rPr>
        <w:t>※洗井废水</w:t>
      </w:r>
    </w:p>
    <w:p w14:paraId="023DC202">
      <w:pPr>
        <w:pStyle w:val="117"/>
        <w:ind w:firstLine="480"/>
        <w:rPr>
          <w:rFonts w:hint="eastAsia" w:cs="黑体"/>
        </w:rPr>
      </w:pPr>
      <w:r>
        <w:rPr>
          <w:rFonts w:hint="eastAsia"/>
        </w:rPr>
        <w:t>洗井废水产生量无相应的源强核算技术指南，本次评价参照《排放源统计调查产排污核算方法和系数手册》（</w:t>
      </w:r>
      <w:r>
        <w:t>2021</w:t>
      </w:r>
      <w:r>
        <w:rPr>
          <w:rFonts w:hint="eastAsia"/>
        </w:rPr>
        <w:t>年第</w:t>
      </w:r>
      <w:r>
        <w:t>24</w:t>
      </w:r>
      <w:r>
        <w:rPr>
          <w:rFonts w:hint="eastAsia"/>
        </w:rPr>
        <w:t>号）中的《工业源产排污核算方法和系数手册》</w:t>
      </w:r>
      <w:r>
        <w:t>-1120</w:t>
      </w:r>
      <w:r>
        <w:rPr>
          <w:rFonts w:hint="eastAsia"/>
        </w:rPr>
        <w:t>石油和天然气开采专业及辅助性活动行业系数手册中的产排污系数（见表</w:t>
      </w:r>
      <w:r>
        <w:t>3.3</w:t>
      </w:r>
      <w:r>
        <w:rPr>
          <w:rFonts w:hint="eastAsia"/>
        </w:rPr>
        <w:t>-15）进行核算。</w:t>
      </w:r>
    </w:p>
    <w:p w14:paraId="4B456D73">
      <w:pPr>
        <w:pStyle w:val="109"/>
        <w:adjustRightInd w:val="0"/>
        <w:snapToGrid w:val="0"/>
        <w:spacing w:line="500" w:lineRule="exact"/>
        <w:rPr>
          <w:rFonts w:hint="eastAsia" w:cs="黑体"/>
        </w:rPr>
      </w:pPr>
      <w:r>
        <w:rPr>
          <w:rFonts w:hint="eastAsia" w:cs="黑体"/>
        </w:rPr>
        <w:t>表</w:t>
      </w:r>
      <w:r>
        <w:rPr>
          <w:rFonts w:cs="黑体"/>
        </w:rPr>
        <w:t>3.3</w:t>
      </w:r>
      <w:r>
        <w:rPr>
          <w:rFonts w:hint="eastAsia" w:cs="黑体"/>
        </w:rPr>
        <w:t>-15  与石油和天然气开采有关的服务活动产排污系数一览表</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15"/>
        <w:gridCol w:w="863"/>
        <w:gridCol w:w="1569"/>
        <w:gridCol w:w="1788"/>
        <w:gridCol w:w="1262"/>
        <w:gridCol w:w="1364"/>
        <w:gridCol w:w="785"/>
      </w:tblGrid>
      <w:tr w14:paraId="3D298C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Align w:val="center"/>
          </w:tcPr>
          <w:p w14:paraId="4184A9BF">
            <w:pPr>
              <w:pStyle w:val="45"/>
              <w:widowControl w:val="0"/>
              <w:adjustRightInd w:val="0"/>
              <w:snapToGrid w:val="0"/>
              <w:spacing w:line="280" w:lineRule="exact"/>
              <w:jc w:val="center"/>
              <w:rPr>
                <w:rFonts w:hint="eastAsia" w:ascii="宋体" w:hAnsi="宋体"/>
                <w:kern w:val="2"/>
                <w:sz w:val="21"/>
                <w:szCs w:val="21"/>
                <w:lang w:bidi="ar"/>
              </w:rPr>
            </w:pPr>
            <w:bookmarkStart w:id="325" w:name="_Hlk36741739"/>
            <w:r>
              <w:rPr>
                <w:rFonts w:hint="eastAsia" w:ascii="宋体" w:hAnsi="宋体"/>
                <w:kern w:val="2"/>
                <w:sz w:val="21"/>
                <w:szCs w:val="21"/>
                <w:lang w:bidi="ar"/>
              </w:rPr>
              <w:t>工艺名称</w:t>
            </w:r>
          </w:p>
        </w:tc>
        <w:tc>
          <w:tcPr>
            <w:tcW w:w="863" w:type="dxa"/>
            <w:vAlign w:val="center"/>
          </w:tcPr>
          <w:p w14:paraId="1970DD7B">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规模</w:t>
            </w:r>
          </w:p>
          <w:p w14:paraId="19ED6A0A">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等级</w:t>
            </w:r>
          </w:p>
        </w:tc>
        <w:tc>
          <w:tcPr>
            <w:tcW w:w="1569" w:type="dxa"/>
            <w:vAlign w:val="center"/>
          </w:tcPr>
          <w:p w14:paraId="4409B782">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污染物指标</w:t>
            </w:r>
          </w:p>
        </w:tc>
        <w:tc>
          <w:tcPr>
            <w:tcW w:w="1788" w:type="dxa"/>
            <w:vAlign w:val="center"/>
          </w:tcPr>
          <w:p w14:paraId="43D1C0B5">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单位</w:t>
            </w:r>
          </w:p>
        </w:tc>
        <w:tc>
          <w:tcPr>
            <w:tcW w:w="1262" w:type="dxa"/>
            <w:vAlign w:val="center"/>
          </w:tcPr>
          <w:p w14:paraId="60DAA85C">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产污系数</w:t>
            </w:r>
          </w:p>
        </w:tc>
        <w:tc>
          <w:tcPr>
            <w:tcW w:w="1364" w:type="dxa"/>
            <w:vAlign w:val="center"/>
          </w:tcPr>
          <w:p w14:paraId="3F79ABA3">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末端治理技术名称</w:t>
            </w:r>
          </w:p>
        </w:tc>
        <w:tc>
          <w:tcPr>
            <w:tcW w:w="785" w:type="dxa"/>
            <w:vAlign w:val="center"/>
          </w:tcPr>
          <w:p w14:paraId="39BA5A5E">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排污系数</w:t>
            </w:r>
          </w:p>
        </w:tc>
      </w:tr>
      <w:tr w14:paraId="218EED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restart"/>
            <w:vAlign w:val="center"/>
          </w:tcPr>
          <w:p w14:paraId="7E107CEB">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非低渗透油井洗井作业</w:t>
            </w:r>
          </w:p>
        </w:tc>
        <w:tc>
          <w:tcPr>
            <w:tcW w:w="863" w:type="dxa"/>
            <w:vMerge w:val="restart"/>
            <w:vAlign w:val="center"/>
          </w:tcPr>
          <w:p w14:paraId="59954A3E">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所有</w:t>
            </w:r>
          </w:p>
          <w:p w14:paraId="4F4E0490">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规模</w:t>
            </w:r>
          </w:p>
        </w:tc>
        <w:tc>
          <w:tcPr>
            <w:tcW w:w="1569" w:type="dxa"/>
            <w:vAlign w:val="center"/>
          </w:tcPr>
          <w:p w14:paraId="7F11F28F">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工业废水量</w:t>
            </w:r>
          </w:p>
        </w:tc>
        <w:tc>
          <w:tcPr>
            <w:tcW w:w="1788" w:type="dxa"/>
            <w:vAlign w:val="center"/>
          </w:tcPr>
          <w:p w14:paraId="6E934784">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t/井次-产品</w:t>
            </w:r>
          </w:p>
        </w:tc>
        <w:tc>
          <w:tcPr>
            <w:tcW w:w="1262" w:type="dxa"/>
            <w:vAlign w:val="center"/>
          </w:tcPr>
          <w:p w14:paraId="232B7EA1">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76.0</w:t>
            </w:r>
          </w:p>
        </w:tc>
        <w:tc>
          <w:tcPr>
            <w:tcW w:w="1364" w:type="dxa"/>
            <w:vAlign w:val="center"/>
          </w:tcPr>
          <w:p w14:paraId="56A59AB6">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回收回注</w:t>
            </w:r>
          </w:p>
        </w:tc>
        <w:tc>
          <w:tcPr>
            <w:tcW w:w="785" w:type="dxa"/>
            <w:vAlign w:val="center"/>
          </w:tcPr>
          <w:p w14:paraId="2A2D291C">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tr w14:paraId="0E40A6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continue"/>
            <w:vAlign w:val="center"/>
          </w:tcPr>
          <w:p w14:paraId="03425775">
            <w:pPr>
              <w:pStyle w:val="45"/>
              <w:widowControl w:val="0"/>
              <w:adjustRightInd w:val="0"/>
              <w:snapToGrid w:val="0"/>
              <w:spacing w:line="280" w:lineRule="exact"/>
              <w:jc w:val="center"/>
              <w:rPr>
                <w:rFonts w:hint="eastAsia" w:ascii="宋体" w:hAnsi="宋体"/>
                <w:kern w:val="2"/>
                <w:sz w:val="21"/>
                <w:szCs w:val="21"/>
                <w:lang w:bidi="ar"/>
              </w:rPr>
            </w:pPr>
          </w:p>
        </w:tc>
        <w:tc>
          <w:tcPr>
            <w:tcW w:w="863" w:type="dxa"/>
            <w:vMerge w:val="continue"/>
            <w:vAlign w:val="center"/>
          </w:tcPr>
          <w:p w14:paraId="2321CC0B">
            <w:pPr>
              <w:pStyle w:val="45"/>
              <w:widowControl w:val="0"/>
              <w:adjustRightInd w:val="0"/>
              <w:snapToGrid w:val="0"/>
              <w:spacing w:line="280" w:lineRule="exact"/>
              <w:jc w:val="center"/>
              <w:rPr>
                <w:rFonts w:hint="eastAsia" w:ascii="宋体" w:hAnsi="宋体"/>
                <w:kern w:val="2"/>
                <w:sz w:val="21"/>
                <w:szCs w:val="21"/>
                <w:lang w:bidi="ar"/>
              </w:rPr>
            </w:pPr>
          </w:p>
        </w:tc>
        <w:tc>
          <w:tcPr>
            <w:tcW w:w="1569" w:type="dxa"/>
            <w:vAlign w:val="center"/>
          </w:tcPr>
          <w:p w14:paraId="629D7FBD">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化学需氧量</w:t>
            </w:r>
          </w:p>
        </w:tc>
        <w:tc>
          <w:tcPr>
            <w:tcW w:w="1788" w:type="dxa"/>
            <w:vAlign w:val="center"/>
          </w:tcPr>
          <w:p w14:paraId="4F3A59EA">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g/井次-产品</w:t>
            </w:r>
          </w:p>
        </w:tc>
        <w:tc>
          <w:tcPr>
            <w:tcW w:w="1262" w:type="dxa"/>
            <w:vAlign w:val="center"/>
          </w:tcPr>
          <w:p w14:paraId="0C984133">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104525</w:t>
            </w:r>
          </w:p>
        </w:tc>
        <w:tc>
          <w:tcPr>
            <w:tcW w:w="1364" w:type="dxa"/>
            <w:vAlign w:val="center"/>
          </w:tcPr>
          <w:p w14:paraId="4809F72D">
            <w:pPr>
              <w:adjustRightInd w:val="0"/>
              <w:snapToGrid w:val="0"/>
              <w:spacing w:line="280" w:lineRule="exact"/>
              <w:jc w:val="center"/>
              <w:rPr>
                <w:rFonts w:hint="eastAsia" w:ascii="宋体" w:hAnsi="宋体" w:cs="宋体"/>
                <w:lang w:bidi="ar"/>
              </w:rPr>
            </w:pPr>
            <w:r>
              <w:rPr>
                <w:rFonts w:hint="eastAsia" w:ascii="宋体" w:hAnsi="宋体" w:cs="宋体"/>
                <w:lang w:bidi="ar"/>
              </w:rPr>
              <w:t>回收回注</w:t>
            </w:r>
          </w:p>
        </w:tc>
        <w:tc>
          <w:tcPr>
            <w:tcW w:w="785" w:type="dxa"/>
            <w:vAlign w:val="center"/>
          </w:tcPr>
          <w:p w14:paraId="415C5549">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tr w14:paraId="035587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continue"/>
            <w:vAlign w:val="center"/>
          </w:tcPr>
          <w:p w14:paraId="613FE280">
            <w:pPr>
              <w:pStyle w:val="45"/>
              <w:widowControl w:val="0"/>
              <w:adjustRightInd w:val="0"/>
              <w:snapToGrid w:val="0"/>
              <w:spacing w:line="280" w:lineRule="exact"/>
              <w:jc w:val="center"/>
              <w:rPr>
                <w:rFonts w:hint="eastAsia" w:ascii="宋体" w:hAnsi="宋体"/>
                <w:kern w:val="2"/>
                <w:sz w:val="21"/>
                <w:szCs w:val="21"/>
                <w:lang w:bidi="ar"/>
              </w:rPr>
            </w:pPr>
          </w:p>
        </w:tc>
        <w:tc>
          <w:tcPr>
            <w:tcW w:w="863" w:type="dxa"/>
            <w:vMerge w:val="continue"/>
            <w:vAlign w:val="center"/>
          </w:tcPr>
          <w:p w14:paraId="6AE12136">
            <w:pPr>
              <w:pStyle w:val="45"/>
              <w:widowControl w:val="0"/>
              <w:adjustRightInd w:val="0"/>
              <w:snapToGrid w:val="0"/>
              <w:spacing w:line="280" w:lineRule="exact"/>
              <w:jc w:val="center"/>
              <w:rPr>
                <w:rFonts w:hint="eastAsia" w:ascii="宋体" w:hAnsi="宋体"/>
                <w:kern w:val="2"/>
                <w:sz w:val="21"/>
                <w:szCs w:val="21"/>
                <w:lang w:bidi="ar"/>
              </w:rPr>
            </w:pPr>
          </w:p>
        </w:tc>
        <w:tc>
          <w:tcPr>
            <w:tcW w:w="1569" w:type="dxa"/>
            <w:vAlign w:val="center"/>
          </w:tcPr>
          <w:p w14:paraId="59C41737">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石油类</w:t>
            </w:r>
          </w:p>
        </w:tc>
        <w:tc>
          <w:tcPr>
            <w:tcW w:w="1788" w:type="dxa"/>
            <w:vAlign w:val="center"/>
          </w:tcPr>
          <w:p w14:paraId="52BB89E6">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g/井次-产品</w:t>
            </w:r>
          </w:p>
        </w:tc>
        <w:tc>
          <w:tcPr>
            <w:tcW w:w="1262" w:type="dxa"/>
            <w:vAlign w:val="center"/>
          </w:tcPr>
          <w:p w14:paraId="7FA60C20">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17645</w:t>
            </w:r>
          </w:p>
        </w:tc>
        <w:tc>
          <w:tcPr>
            <w:tcW w:w="1364" w:type="dxa"/>
            <w:vAlign w:val="center"/>
          </w:tcPr>
          <w:p w14:paraId="202C2415">
            <w:pPr>
              <w:adjustRightInd w:val="0"/>
              <w:snapToGrid w:val="0"/>
              <w:spacing w:line="280" w:lineRule="exact"/>
              <w:jc w:val="center"/>
              <w:rPr>
                <w:rFonts w:hint="eastAsia" w:ascii="宋体" w:hAnsi="宋体" w:cs="宋体"/>
                <w:lang w:bidi="ar"/>
              </w:rPr>
            </w:pPr>
            <w:r>
              <w:rPr>
                <w:rFonts w:hint="eastAsia" w:ascii="宋体" w:hAnsi="宋体" w:cs="宋体"/>
                <w:lang w:bidi="ar"/>
              </w:rPr>
              <w:t>回收回注</w:t>
            </w:r>
          </w:p>
        </w:tc>
        <w:tc>
          <w:tcPr>
            <w:tcW w:w="785" w:type="dxa"/>
            <w:vAlign w:val="center"/>
          </w:tcPr>
          <w:p w14:paraId="5871083A">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tr w14:paraId="2A4B44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restart"/>
            <w:vAlign w:val="center"/>
          </w:tcPr>
          <w:p w14:paraId="0342627F">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低渗透油井洗井作业</w:t>
            </w:r>
          </w:p>
        </w:tc>
        <w:tc>
          <w:tcPr>
            <w:tcW w:w="863" w:type="dxa"/>
            <w:vMerge w:val="restart"/>
            <w:vAlign w:val="center"/>
          </w:tcPr>
          <w:p w14:paraId="24C95E88">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所有</w:t>
            </w:r>
          </w:p>
          <w:p w14:paraId="5C3C4A51">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规模</w:t>
            </w:r>
          </w:p>
        </w:tc>
        <w:tc>
          <w:tcPr>
            <w:tcW w:w="1569" w:type="dxa"/>
            <w:vAlign w:val="center"/>
          </w:tcPr>
          <w:p w14:paraId="0FFBFE23">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工业废水量</w:t>
            </w:r>
          </w:p>
        </w:tc>
        <w:tc>
          <w:tcPr>
            <w:tcW w:w="1788" w:type="dxa"/>
            <w:vAlign w:val="center"/>
          </w:tcPr>
          <w:p w14:paraId="51515018">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t/井次-产品</w:t>
            </w:r>
          </w:p>
        </w:tc>
        <w:tc>
          <w:tcPr>
            <w:tcW w:w="1262" w:type="dxa"/>
            <w:vAlign w:val="center"/>
          </w:tcPr>
          <w:p w14:paraId="377A7838">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27.13</w:t>
            </w:r>
          </w:p>
        </w:tc>
        <w:tc>
          <w:tcPr>
            <w:tcW w:w="1364" w:type="dxa"/>
            <w:vAlign w:val="center"/>
          </w:tcPr>
          <w:p w14:paraId="7062CB77">
            <w:pPr>
              <w:adjustRightInd w:val="0"/>
              <w:snapToGrid w:val="0"/>
              <w:spacing w:line="280" w:lineRule="exact"/>
              <w:jc w:val="center"/>
              <w:rPr>
                <w:rFonts w:hint="eastAsia" w:ascii="宋体" w:hAnsi="宋体" w:cs="宋体"/>
                <w:lang w:bidi="ar"/>
              </w:rPr>
            </w:pPr>
            <w:r>
              <w:rPr>
                <w:rFonts w:hint="eastAsia" w:ascii="宋体" w:hAnsi="宋体" w:cs="宋体"/>
                <w:lang w:bidi="ar"/>
              </w:rPr>
              <w:t>回收回注</w:t>
            </w:r>
          </w:p>
        </w:tc>
        <w:tc>
          <w:tcPr>
            <w:tcW w:w="785" w:type="dxa"/>
            <w:vAlign w:val="center"/>
          </w:tcPr>
          <w:p w14:paraId="19248D3E">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tr w14:paraId="1A9EC2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continue"/>
            <w:vAlign w:val="center"/>
          </w:tcPr>
          <w:p w14:paraId="248F3565">
            <w:pPr>
              <w:pStyle w:val="45"/>
              <w:widowControl w:val="0"/>
              <w:adjustRightInd w:val="0"/>
              <w:snapToGrid w:val="0"/>
              <w:spacing w:line="280" w:lineRule="exact"/>
              <w:jc w:val="center"/>
              <w:rPr>
                <w:rFonts w:hint="eastAsia" w:ascii="宋体" w:hAnsi="宋体"/>
                <w:kern w:val="2"/>
                <w:sz w:val="21"/>
                <w:szCs w:val="21"/>
                <w:lang w:bidi="ar"/>
              </w:rPr>
            </w:pPr>
          </w:p>
        </w:tc>
        <w:tc>
          <w:tcPr>
            <w:tcW w:w="863" w:type="dxa"/>
            <w:vMerge w:val="continue"/>
            <w:vAlign w:val="center"/>
          </w:tcPr>
          <w:p w14:paraId="25003032">
            <w:pPr>
              <w:pStyle w:val="45"/>
              <w:widowControl w:val="0"/>
              <w:adjustRightInd w:val="0"/>
              <w:snapToGrid w:val="0"/>
              <w:spacing w:line="280" w:lineRule="exact"/>
              <w:jc w:val="center"/>
              <w:rPr>
                <w:rFonts w:hint="eastAsia" w:ascii="宋体" w:hAnsi="宋体"/>
                <w:kern w:val="2"/>
                <w:sz w:val="21"/>
                <w:szCs w:val="21"/>
                <w:lang w:bidi="ar"/>
              </w:rPr>
            </w:pPr>
          </w:p>
        </w:tc>
        <w:tc>
          <w:tcPr>
            <w:tcW w:w="1569" w:type="dxa"/>
            <w:vAlign w:val="center"/>
          </w:tcPr>
          <w:p w14:paraId="1345B31A">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化学需氧量</w:t>
            </w:r>
          </w:p>
        </w:tc>
        <w:tc>
          <w:tcPr>
            <w:tcW w:w="1788" w:type="dxa"/>
            <w:vAlign w:val="center"/>
          </w:tcPr>
          <w:p w14:paraId="73F4A41D">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g/井次-产品</w:t>
            </w:r>
          </w:p>
        </w:tc>
        <w:tc>
          <w:tcPr>
            <w:tcW w:w="1262" w:type="dxa"/>
            <w:vAlign w:val="center"/>
          </w:tcPr>
          <w:p w14:paraId="0B48EB2B">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34679</w:t>
            </w:r>
          </w:p>
        </w:tc>
        <w:tc>
          <w:tcPr>
            <w:tcW w:w="1364" w:type="dxa"/>
            <w:vAlign w:val="center"/>
          </w:tcPr>
          <w:p w14:paraId="07728334">
            <w:pPr>
              <w:adjustRightInd w:val="0"/>
              <w:snapToGrid w:val="0"/>
              <w:spacing w:line="280" w:lineRule="exact"/>
              <w:jc w:val="center"/>
              <w:rPr>
                <w:rFonts w:hint="eastAsia" w:ascii="宋体" w:hAnsi="宋体" w:cs="宋体"/>
                <w:lang w:bidi="ar"/>
              </w:rPr>
            </w:pPr>
            <w:r>
              <w:rPr>
                <w:rFonts w:hint="eastAsia" w:ascii="宋体" w:hAnsi="宋体" w:cs="宋体"/>
                <w:lang w:bidi="ar"/>
              </w:rPr>
              <w:t>回收回注</w:t>
            </w:r>
          </w:p>
        </w:tc>
        <w:tc>
          <w:tcPr>
            <w:tcW w:w="785" w:type="dxa"/>
            <w:vAlign w:val="center"/>
          </w:tcPr>
          <w:p w14:paraId="4F20064E">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tr w14:paraId="156F08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5" w:type="dxa"/>
            <w:vMerge w:val="continue"/>
            <w:vAlign w:val="center"/>
          </w:tcPr>
          <w:p w14:paraId="57A495A7">
            <w:pPr>
              <w:pStyle w:val="45"/>
              <w:widowControl w:val="0"/>
              <w:adjustRightInd w:val="0"/>
              <w:snapToGrid w:val="0"/>
              <w:spacing w:line="280" w:lineRule="exact"/>
              <w:jc w:val="center"/>
              <w:rPr>
                <w:rFonts w:hint="eastAsia" w:ascii="宋体" w:hAnsi="宋体"/>
                <w:kern w:val="2"/>
                <w:sz w:val="21"/>
                <w:szCs w:val="21"/>
                <w:lang w:bidi="ar"/>
              </w:rPr>
            </w:pPr>
          </w:p>
        </w:tc>
        <w:tc>
          <w:tcPr>
            <w:tcW w:w="863" w:type="dxa"/>
            <w:vMerge w:val="continue"/>
            <w:vAlign w:val="center"/>
          </w:tcPr>
          <w:p w14:paraId="600E1DAE">
            <w:pPr>
              <w:pStyle w:val="45"/>
              <w:widowControl w:val="0"/>
              <w:adjustRightInd w:val="0"/>
              <w:snapToGrid w:val="0"/>
              <w:spacing w:line="280" w:lineRule="exact"/>
              <w:jc w:val="center"/>
              <w:rPr>
                <w:rFonts w:hint="eastAsia" w:ascii="宋体" w:hAnsi="宋体"/>
                <w:kern w:val="2"/>
                <w:sz w:val="21"/>
                <w:szCs w:val="21"/>
                <w:lang w:bidi="ar"/>
              </w:rPr>
            </w:pPr>
          </w:p>
        </w:tc>
        <w:tc>
          <w:tcPr>
            <w:tcW w:w="1569" w:type="dxa"/>
            <w:vAlign w:val="center"/>
          </w:tcPr>
          <w:p w14:paraId="18957946">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石油类</w:t>
            </w:r>
          </w:p>
        </w:tc>
        <w:tc>
          <w:tcPr>
            <w:tcW w:w="1788" w:type="dxa"/>
            <w:vAlign w:val="center"/>
          </w:tcPr>
          <w:p w14:paraId="395A3CD6">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g/井次-产品</w:t>
            </w:r>
          </w:p>
        </w:tc>
        <w:tc>
          <w:tcPr>
            <w:tcW w:w="1262" w:type="dxa"/>
            <w:vAlign w:val="center"/>
          </w:tcPr>
          <w:p w14:paraId="55DC9F61">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6122</w:t>
            </w:r>
          </w:p>
        </w:tc>
        <w:tc>
          <w:tcPr>
            <w:tcW w:w="1364" w:type="dxa"/>
            <w:vAlign w:val="center"/>
          </w:tcPr>
          <w:p w14:paraId="0BDB2A94">
            <w:pPr>
              <w:adjustRightInd w:val="0"/>
              <w:snapToGrid w:val="0"/>
              <w:spacing w:line="280" w:lineRule="exact"/>
              <w:jc w:val="center"/>
              <w:rPr>
                <w:rFonts w:hint="eastAsia" w:ascii="宋体" w:hAnsi="宋体" w:cs="宋体"/>
                <w:lang w:bidi="ar"/>
              </w:rPr>
            </w:pPr>
            <w:r>
              <w:rPr>
                <w:rFonts w:hint="eastAsia" w:ascii="宋体" w:hAnsi="宋体" w:cs="宋体"/>
                <w:lang w:bidi="ar"/>
              </w:rPr>
              <w:t>回收回注</w:t>
            </w:r>
          </w:p>
        </w:tc>
        <w:tc>
          <w:tcPr>
            <w:tcW w:w="785" w:type="dxa"/>
            <w:vAlign w:val="center"/>
          </w:tcPr>
          <w:p w14:paraId="71FD172D">
            <w:pPr>
              <w:pStyle w:val="45"/>
              <w:widowControl w:val="0"/>
              <w:adjustRightInd w:val="0"/>
              <w:snapToGrid w:val="0"/>
              <w:spacing w:line="280" w:lineRule="exact"/>
              <w:jc w:val="center"/>
              <w:rPr>
                <w:rFonts w:hint="eastAsia" w:ascii="宋体" w:hAnsi="宋体"/>
                <w:kern w:val="2"/>
                <w:sz w:val="21"/>
                <w:szCs w:val="21"/>
                <w:lang w:bidi="ar"/>
              </w:rPr>
            </w:pPr>
            <w:r>
              <w:rPr>
                <w:rFonts w:hint="eastAsia" w:ascii="宋体" w:hAnsi="宋体"/>
                <w:kern w:val="2"/>
                <w:sz w:val="21"/>
                <w:szCs w:val="21"/>
                <w:lang w:bidi="ar"/>
              </w:rPr>
              <w:t>0</w:t>
            </w:r>
          </w:p>
        </w:tc>
      </w:tr>
      <w:bookmarkEnd w:id="325"/>
    </w:tbl>
    <w:p w14:paraId="5F93663B">
      <w:pPr>
        <w:pStyle w:val="117"/>
        <w:ind w:firstLine="480"/>
        <w:rPr>
          <w:rFonts w:hint="eastAsia" w:cs="黑体"/>
        </w:rPr>
      </w:pPr>
      <w:r>
        <w:rPr>
          <w:rFonts w:hint="eastAsia"/>
        </w:rPr>
        <w:t>项目区为低渗透油井，</w:t>
      </w:r>
      <w:r>
        <w:rPr>
          <w:rFonts w:hint="eastAsia" w:cs="宋体"/>
        </w:rPr>
        <w:t>采用表</w:t>
      </w:r>
      <w:r>
        <w:rPr>
          <w:rFonts w:cs="宋体"/>
        </w:rPr>
        <w:t>3.3</w:t>
      </w:r>
      <w:r>
        <w:rPr>
          <w:rFonts w:hint="eastAsia" w:cs="宋体"/>
        </w:rPr>
        <w:t>-15低渗透油井洗井作业产污系数计算洗井废水及废水中各污染物的产生量，计算结果详见表</w:t>
      </w:r>
      <w:r>
        <w:rPr>
          <w:rFonts w:cs="宋体"/>
        </w:rPr>
        <w:t>3.3</w:t>
      </w:r>
      <w:r>
        <w:rPr>
          <w:rFonts w:hint="eastAsia" w:cs="宋体"/>
        </w:rPr>
        <w:t>-</w:t>
      </w:r>
      <w:r>
        <w:rPr>
          <w:rFonts w:cs="宋体"/>
        </w:rPr>
        <w:t>1</w:t>
      </w:r>
      <w:r>
        <w:rPr>
          <w:rFonts w:hint="eastAsia" w:cs="宋体"/>
        </w:rPr>
        <w:t>6。</w:t>
      </w:r>
      <w:bookmarkStart w:id="326" w:name="_Hlk20135089"/>
    </w:p>
    <w:p w14:paraId="34C5CB0A">
      <w:pPr>
        <w:pStyle w:val="109"/>
        <w:adjustRightInd w:val="0"/>
        <w:snapToGrid w:val="0"/>
        <w:spacing w:line="500" w:lineRule="exact"/>
        <w:rPr>
          <w:rFonts w:hint="eastAsia" w:cs="黑体"/>
        </w:rPr>
      </w:pPr>
      <w:r>
        <w:rPr>
          <w:rFonts w:hint="eastAsia" w:cs="黑体"/>
        </w:rPr>
        <w:t>表</w:t>
      </w:r>
      <w:r>
        <w:rPr>
          <w:rFonts w:cs="黑体"/>
        </w:rPr>
        <w:t>3.3</w:t>
      </w:r>
      <w:r>
        <w:rPr>
          <w:rFonts w:hint="eastAsia" w:cs="黑体"/>
        </w:rPr>
        <w:t>-</w:t>
      </w:r>
      <w:r>
        <w:rPr>
          <w:rFonts w:cs="黑体"/>
        </w:rPr>
        <w:t>1</w:t>
      </w:r>
      <w:r>
        <w:rPr>
          <w:rFonts w:hint="eastAsia" w:cs="黑体"/>
        </w:rPr>
        <w:t>6  洗井废水产生量一览表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62"/>
        <w:gridCol w:w="2836"/>
        <w:gridCol w:w="4248"/>
      </w:tblGrid>
      <w:tr w14:paraId="721EB5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pct"/>
            <w:shd w:val="clear" w:color="auto" w:fill="auto"/>
            <w:vAlign w:val="center"/>
          </w:tcPr>
          <w:p w14:paraId="230AFDCD">
            <w:pPr>
              <w:pStyle w:val="45"/>
              <w:widowControl w:val="0"/>
              <w:adjustRightInd w:val="0"/>
              <w:snapToGrid w:val="0"/>
              <w:spacing w:line="240" w:lineRule="exact"/>
              <w:jc w:val="center"/>
              <w:rPr>
                <w:rFonts w:hint="eastAsia" w:ascii="宋体" w:hAnsi="宋体"/>
                <w:kern w:val="2"/>
                <w:sz w:val="21"/>
                <w:szCs w:val="21"/>
                <w:lang w:bidi="ar"/>
              </w:rPr>
            </w:pPr>
            <w:bookmarkStart w:id="327" w:name="_Hlk35868192"/>
            <w:r>
              <w:rPr>
                <w:rFonts w:hint="eastAsia" w:ascii="宋体" w:hAnsi="宋体"/>
                <w:sz w:val="21"/>
                <w:szCs w:val="21"/>
              </w:rPr>
              <w:t>污染物指标</w:t>
            </w:r>
          </w:p>
        </w:tc>
        <w:tc>
          <w:tcPr>
            <w:tcW w:w="1585" w:type="pct"/>
            <w:shd w:val="clear" w:color="auto" w:fill="auto"/>
            <w:vAlign w:val="center"/>
          </w:tcPr>
          <w:p w14:paraId="77B759AA">
            <w:pPr>
              <w:pStyle w:val="45"/>
              <w:widowControl w:val="0"/>
              <w:adjustRightInd w:val="0"/>
              <w:snapToGrid w:val="0"/>
              <w:spacing w:line="240" w:lineRule="exact"/>
              <w:jc w:val="center"/>
              <w:rPr>
                <w:rFonts w:hint="eastAsia" w:ascii="宋体" w:hAnsi="宋体"/>
                <w:kern w:val="2"/>
                <w:sz w:val="21"/>
                <w:szCs w:val="21"/>
                <w:lang w:bidi="ar"/>
              </w:rPr>
            </w:pPr>
            <w:r>
              <w:rPr>
                <w:rFonts w:hint="eastAsia" w:ascii="宋体" w:hAnsi="宋体"/>
                <w:sz w:val="21"/>
                <w:szCs w:val="21"/>
              </w:rPr>
              <w:t>产污系数</w:t>
            </w:r>
          </w:p>
        </w:tc>
        <w:tc>
          <w:tcPr>
            <w:tcW w:w="2374" w:type="pct"/>
            <w:shd w:val="clear" w:color="auto" w:fill="auto"/>
            <w:vAlign w:val="center"/>
          </w:tcPr>
          <w:p w14:paraId="4FF7D7CD">
            <w:pPr>
              <w:pStyle w:val="45"/>
              <w:widowControl w:val="0"/>
              <w:adjustRightInd w:val="0"/>
              <w:snapToGrid w:val="0"/>
              <w:spacing w:line="240" w:lineRule="exact"/>
              <w:jc w:val="center"/>
              <w:rPr>
                <w:rFonts w:hint="eastAsia" w:ascii="宋体" w:hAnsi="宋体"/>
                <w:kern w:val="2"/>
                <w:sz w:val="21"/>
                <w:szCs w:val="21"/>
                <w:lang w:bidi="ar"/>
              </w:rPr>
            </w:pPr>
            <w:r>
              <w:rPr>
                <w:rFonts w:hint="eastAsia" w:ascii="宋体" w:hAnsi="宋体"/>
                <w:sz w:val="21"/>
                <w:szCs w:val="21"/>
              </w:rPr>
              <w:t>5口井合计产生量（t</w:t>
            </w:r>
            <w:r>
              <w:rPr>
                <w:rFonts w:ascii="宋体" w:hAnsi="宋体"/>
                <w:sz w:val="21"/>
                <w:szCs w:val="21"/>
              </w:rPr>
              <w:t>/a</w:t>
            </w:r>
            <w:r>
              <w:rPr>
                <w:rFonts w:hint="eastAsia" w:ascii="宋体" w:hAnsi="宋体"/>
                <w:sz w:val="21"/>
                <w:szCs w:val="21"/>
              </w:rPr>
              <w:t>）</w:t>
            </w:r>
          </w:p>
        </w:tc>
      </w:tr>
      <w:tr w14:paraId="68BAE5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pct"/>
            <w:shd w:val="clear" w:color="auto" w:fill="auto"/>
            <w:vAlign w:val="center"/>
          </w:tcPr>
          <w:p w14:paraId="1F3358FE">
            <w:pPr>
              <w:pStyle w:val="45"/>
              <w:widowControl w:val="0"/>
              <w:adjustRightInd w:val="0"/>
              <w:snapToGrid w:val="0"/>
              <w:spacing w:line="240" w:lineRule="exact"/>
              <w:jc w:val="center"/>
              <w:rPr>
                <w:rFonts w:hint="eastAsia" w:ascii="宋体" w:hAnsi="宋体"/>
                <w:kern w:val="2"/>
                <w:sz w:val="21"/>
                <w:szCs w:val="21"/>
                <w:lang w:bidi="ar"/>
              </w:rPr>
            </w:pPr>
            <w:r>
              <w:rPr>
                <w:rFonts w:hint="eastAsia" w:ascii="宋体" w:hAnsi="宋体"/>
                <w:sz w:val="21"/>
                <w:szCs w:val="21"/>
              </w:rPr>
              <w:t>工业废水量</w:t>
            </w:r>
          </w:p>
        </w:tc>
        <w:tc>
          <w:tcPr>
            <w:tcW w:w="1585" w:type="pct"/>
            <w:shd w:val="clear" w:color="auto" w:fill="auto"/>
            <w:vAlign w:val="center"/>
          </w:tcPr>
          <w:p w14:paraId="0FE9D83A">
            <w:pPr>
              <w:pStyle w:val="45"/>
              <w:widowControl w:val="0"/>
              <w:adjustRightInd w:val="0"/>
              <w:snapToGrid w:val="0"/>
              <w:spacing w:line="240" w:lineRule="exact"/>
              <w:jc w:val="center"/>
              <w:rPr>
                <w:rFonts w:hint="eastAsia" w:ascii="宋体" w:hAnsi="宋体"/>
                <w:kern w:val="2"/>
                <w:sz w:val="21"/>
                <w:szCs w:val="21"/>
                <w:lang w:bidi="ar"/>
              </w:rPr>
            </w:pPr>
            <w:r>
              <w:rPr>
                <w:rFonts w:hint="eastAsia" w:ascii="宋体" w:hAnsi="宋体"/>
                <w:sz w:val="21"/>
                <w:szCs w:val="21"/>
              </w:rPr>
              <w:t>27.13t/井次-产品</w:t>
            </w:r>
          </w:p>
        </w:tc>
        <w:tc>
          <w:tcPr>
            <w:tcW w:w="2374" w:type="pct"/>
            <w:shd w:val="clear" w:color="auto" w:fill="auto"/>
            <w:vAlign w:val="center"/>
          </w:tcPr>
          <w:p w14:paraId="1918D548">
            <w:pPr>
              <w:widowControl/>
              <w:jc w:val="center"/>
              <w:textAlignment w:val="center"/>
              <w:rPr>
                <w:rFonts w:hint="eastAsia" w:ascii="宋体" w:hAnsi="宋体"/>
                <w:szCs w:val="21"/>
                <w:lang w:bidi="ar"/>
              </w:rPr>
            </w:pPr>
            <w:r>
              <w:rPr>
                <w:rFonts w:hint="eastAsia" w:ascii="宋体" w:hAnsi="宋体"/>
                <w:szCs w:val="21"/>
                <w:lang w:bidi="ar"/>
              </w:rPr>
              <w:t>135.65</w:t>
            </w:r>
          </w:p>
        </w:tc>
      </w:tr>
      <w:tr w14:paraId="5FBF98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pct"/>
            <w:shd w:val="clear" w:color="auto" w:fill="auto"/>
            <w:vAlign w:val="center"/>
          </w:tcPr>
          <w:p w14:paraId="64F2F366">
            <w:pPr>
              <w:pStyle w:val="45"/>
              <w:widowControl w:val="0"/>
              <w:adjustRightInd w:val="0"/>
              <w:snapToGrid w:val="0"/>
              <w:spacing w:line="240" w:lineRule="exact"/>
              <w:jc w:val="center"/>
              <w:rPr>
                <w:rFonts w:hint="eastAsia" w:ascii="宋体" w:hAnsi="宋体"/>
                <w:kern w:val="2"/>
                <w:sz w:val="21"/>
                <w:szCs w:val="21"/>
                <w:lang w:bidi="ar"/>
              </w:rPr>
            </w:pPr>
            <w:r>
              <w:rPr>
                <w:rFonts w:hint="eastAsia" w:ascii="宋体" w:hAnsi="宋体"/>
                <w:sz w:val="21"/>
                <w:szCs w:val="21"/>
              </w:rPr>
              <w:t>化学需氧量</w:t>
            </w:r>
          </w:p>
        </w:tc>
        <w:tc>
          <w:tcPr>
            <w:tcW w:w="1585" w:type="pct"/>
            <w:shd w:val="clear" w:color="auto" w:fill="auto"/>
            <w:vAlign w:val="center"/>
          </w:tcPr>
          <w:p w14:paraId="577086AA">
            <w:pPr>
              <w:pStyle w:val="45"/>
              <w:widowControl w:val="0"/>
              <w:adjustRightInd w:val="0"/>
              <w:snapToGrid w:val="0"/>
              <w:spacing w:line="240" w:lineRule="exact"/>
              <w:jc w:val="center"/>
              <w:rPr>
                <w:rFonts w:hint="eastAsia" w:ascii="宋体" w:hAnsi="宋体"/>
                <w:sz w:val="21"/>
                <w:szCs w:val="21"/>
              </w:rPr>
            </w:pPr>
            <w:r>
              <w:rPr>
                <w:rFonts w:hint="eastAsia" w:ascii="宋体" w:hAnsi="宋体"/>
                <w:kern w:val="2"/>
                <w:sz w:val="21"/>
                <w:szCs w:val="21"/>
                <w:lang w:bidi="ar"/>
              </w:rPr>
              <w:t>34679</w:t>
            </w:r>
            <w:r>
              <w:rPr>
                <w:rFonts w:ascii="宋体" w:hAnsi="宋体"/>
                <w:kern w:val="2"/>
                <w:sz w:val="21"/>
                <w:szCs w:val="21"/>
                <w:lang w:bidi="ar"/>
              </w:rPr>
              <w:t>g</w:t>
            </w:r>
            <w:r>
              <w:rPr>
                <w:rFonts w:hint="eastAsia" w:ascii="宋体" w:hAnsi="宋体"/>
                <w:sz w:val="21"/>
                <w:szCs w:val="21"/>
              </w:rPr>
              <w:t>/井次-产品</w:t>
            </w:r>
          </w:p>
        </w:tc>
        <w:tc>
          <w:tcPr>
            <w:tcW w:w="2374" w:type="pct"/>
            <w:shd w:val="clear" w:color="auto" w:fill="auto"/>
            <w:vAlign w:val="center"/>
          </w:tcPr>
          <w:p w14:paraId="12EB1635">
            <w:pPr>
              <w:widowControl/>
              <w:jc w:val="center"/>
              <w:textAlignment w:val="center"/>
              <w:rPr>
                <w:rFonts w:hint="eastAsia" w:ascii="宋体" w:hAnsi="宋体"/>
                <w:szCs w:val="21"/>
                <w:lang w:bidi="ar"/>
              </w:rPr>
            </w:pPr>
            <w:r>
              <w:rPr>
                <w:rFonts w:hint="eastAsia" w:ascii="宋体" w:hAnsi="宋体"/>
                <w:szCs w:val="21"/>
                <w:lang w:bidi="ar"/>
              </w:rPr>
              <w:t>0.173</w:t>
            </w:r>
          </w:p>
        </w:tc>
      </w:tr>
      <w:tr w14:paraId="2AF0AA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pct"/>
            <w:shd w:val="clear" w:color="auto" w:fill="auto"/>
            <w:vAlign w:val="center"/>
          </w:tcPr>
          <w:p w14:paraId="545182EF">
            <w:pPr>
              <w:pStyle w:val="45"/>
              <w:widowControl w:val="0"/>
              <w:adjustRightInd w:val="0"/>
              <w:snapToGrid w:val="0"/>
              <w:spacing w:line="240" w:lineRule="exact"/>
              <w:jc w:val="center"/>
              <w:rPr>
                <w:rFonts w:hint="eastAsia" w:ascii="宋体" w:hAnsi="宋体"/>
                <w:sz w:val="21"/>
                <w:szCs w:val="21"/>
              </w:rPr>
            </w:pPr>
            <w:r>
              <w:rPr>
                <w:rFonts w:hint="eastAsia" w:ascii="宋体" w:hAnsi="宋体"/>
                <w:sz w:val="21"/>
                <w:szCs w:val="21"/>
              </w:rPr>
              <w:t>石油类</w:t>
            </w:r>
          </w:p>
        </w:tc>
        <w:tc>
          <w:tcPr>
            <w:tcW w:w="1585" w:type="pct"/>
            <w:shd w:val="clear" w:color="auto" w:fill="auto"/>
            <w:vAlign w:val="center"/>
          </w:tcPr>
          <w:p w14:paraId="5618F359">
            <w:pPr>
              <w:pStyle w:val="45"/>
              <w:widowControl w:val="0"/>
              <w:adjustRightInd w:val="0"/>
              <w:snapToGrid w:val="0"/>
              <w:spacing w:line="240" w:lineRule="exact"/>
              <w:jc w:val="center"/>
              <w:rPr>
                <w:rFonts w:hint="eastAsia" w:ascii="宋体" w:hAnsi="宋体"/>
                <w:sz w:val="21"/>
                <w:szCs w:val="21"/>
              </w:rPr>
            </w:pPr>
            <w:r>
              <w:rPr>
                <w:rFonts w:hint="eastAsia" w:ascii="宋体" w:hAnsi="宋体"/>
                <w:kern w:val="2"/>
                <w:sz w:val="21"/>
                <w:szCs w:val="21"/>
                <w:lang w:bidi="ar"/>
              </w:rPr>
              <w:t>6122g/井次-产品</w:t>
            </w:r>
          </w:p>
        </w:tc>
        <w:tc>
          <w:tcPr>
            <w:tcW w:w="2374" w:type="pct"/>
            <w:shd w:val="clear" w:color="auto" w:fill="auto"/>
            <w:vAlign w:val="center"/>
          </w:tcPr>
          <w:p w14:paraId="163C8616">
            <w:pPr>
              <w:widowControl/>
              <w:jc w:val="center"/>
              <w:textAlignment w:val="center"/>
              <w:rPr>
                <w:rFonts w:hint="eastAsia" w:ascii="宋体" w:hAnsi="宋体"/>
                <w:szCs w:val="21"/>
                <w:lang w:bidi="ar"/>
              </w:rPr>
            </w:pPr>
            <w:r>
              <w:rPr>
                <w:rFonts w:hint="eastAsia" w:ascii="宋体" w:hAnsi="宋体"/>
                <w:szCs w:val="21"/>
                <w:lang w:bidi="ar"/>
              </w:rPr>
              <w:t>0.031</w:t>
            </w:r>
          </w:p>
        </w:tc>
      </w:tr>
      <w:bookmarkEnd w:id="326"/>
      <w:bookmarkEnd w:id="327"/>
    </w:tbl>
    <w:p w14:paraId="6DD9EAA9">
      <w:pPr>
        <w:pStyle w:val="117"/>
        <w:ind w:firstLine="480"/>
        <w:rPr>
          <w:rFonts w:hint="eastAsia"/>
        </w:rPr>
      </w:pPr>
      <w:bookmarkStart w:id="328" w:name="OLE_LINK13"/>
      <w:r>
        <w:rPr>
          <w:rFonts w:hint="eastAsia"/>
        </w:rPr>
        <w:t>※井下作业废液</w:t>
      </w:r>
    </w:p>
    <w:p w14:paraId="5C0C47CF">
      <w:pPr>
        <w:pStyle w:val="117"/>
        <w:ind w:firstLine="480"/>
        <w:rPr>
          <w:rFonts w:hint="eastAsia" w:ascii="黑体" w:hAnsi="黑体"/>
          <w:szCs w:val="21"/>
        </w:rPr>
      </w:pPr>
      <w:r>
        <w:rPr>
          <w:rFonts w:hint="eastAsia" w:cs="宋体"/>
        </w:rPr>
        <w:t>井下作业进行压裂工序时，会产生一定的压裂返排液和酸化返排液，修井时会产生一定的废洗井液，</w:t>
      </w:r>
      <w:r>
        <w:rPr>
          <w:rFonts w:hint="eastAsia"/>
        </w:rPr>
        <w:t>井下作业废液主要包括压裂返排液、酸化返排液和废洗井液。</w:t>
      </w:r>
      <w:r>
        <w:rPr>
          <w:rFonts w:hint="eastAsia" w:cs="宋体"/>
        </w:rPr>
        <w:t>其产生量无相应的源强核算指南，本次评价</w:t>
      </w:r>
      <w:r>
        <w:rPr>
          <w:rFonts w:hint="eastAsia"/>
        </w:rPr>
        <w:t>采用《排放源统计调查产排污核算方法和系数手册》中的《工业源产排污核算方法和系数手册》</w:t>
      </w:r>
      <w:r>
        <w:t>-1120</w:t>
      </w:r>
      <w:r>
        <w:rPr>
          <w:rFonts w:hint="eastAsia"/>
        </w:rPr>
        <w:t>石油和天然气开采专业及辅助性活动行业系数手册中的产排污系数进行核算</w:t>
      </w:r>
      <w:r>
        <w:rPr>
          <w:rFonts w:hint="eastAsia" w:cs="宋体"/>
        </w:rPr>
        <w:t>，产污系数见表</w:t>
      </w:r>
      <w:r>
        <w:t>3.3</w:t>
      </w:r>
      <w:r>
        <w:rPr>
          <w:rFonts w:hint="eastAsia"/>
        </w:rPr>
        <w:t>-</w:t>
      </w:r>
      <w:r>
        <w:t>1</w:t>
      </w:r>
      <w:r>
        <w:rPr>
          <w:rFonts w:hint="eastAsia"/>
        </w:rPr>
        <w:t>7。</w:t>
      </w:r>
    </w:p>
    <w:p w14:paraId="399856B7">
      <w:pPr>
        <w:pStyle w:val="15"/>
        <w:rPr>
          <w:rFonts w:hint="eastAsia" w:ascii="黑体" w:hAnsi="黑体"/>
          <w:szCs w:val="21"/>
        </w:rPr>
      </w:pPr>
    </w:p>
    <w:p w14:paraId="5E2BB820">
      <w:pPr>
        <w:pStyle w:val="15"/>
        <w:rPr>
          <w:rFonts w:hint="eastAsia" w:ascii="黑体" w:hAnsi="黑体"/>
          <w:szCs w:val="21"/>
        </w:rPr>
      </w:pPr>
      <w:r>
        <w:rPr>
          <w:rFonts w:hint="eastAsia" w:ascii="黑体" w:hAnsi="黑体"/>
          <w:szCs w:val="21"/>
        </w:rPr>
        <w:t>表</w:t>
      </w:r>
      <w:r>
        <w:rPr>
          <w:rFonts w:ascii="黑体" w:hAnsi="黑体"/>
          <w:szCs w:val="21"/>
        </w:rPr>
        <w:t>3.3</w:t>
      </w:r>
      <w:r>
        <w:rPr>
          <w:rFonts w:hint="eastAsia" w:ascii="黑体" w:hAnsi="黑体"/>
          <w:szCs w:val="21"/>
        </w:rPr>
        <w:t>-</w:t>
      </w:r>
      <w:r>
        <w:rPr>
          <w:rFonts w:ascii="黑体" w:hAnsi="黑体"/>
          <w:szCs w:val="21"/>
        </w:rPr>
        <w:t>1</w:t>
      </w:r>
      <w:r>
        <w:rPr>
          <w:rFonts w:hint="eastAsia" w:ascii="黑体" w:hAnsi="黑体"/>
          <w:szCs w:val="21"/>
        </w:rPr>
        <w:t xml:space="preserve">7 </w:t>
      </w:r>
      <w:r>
        <w:rPr>
          <w:rFonts w:ascii="黑体" w:hAnsi="黑体"/>
          <w:szCs w:val="21"/>
        </w:rPr>
        <w:t xml:space="preserve"> </w:t>
      </w:r>
      <w:r>
        <w:rPr>
          <w:rFonts w:hint="eastAsia" w:ascii="黑体" w:hAnsi="黑体"/>
          <w:szCs w:val="21"/>
        </w:rPr>
        <w:t>压裂返排液、酸化返排液及废洗井液产生量一览表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69"/>
        <w:gridCol w:w="1818"/>
        <w:gridCol w:w="2827"/>
        <w:gridCol w:w="2932"/>
      </w:tblGrid>
      <w:tr w14:paraId="27C250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80" w:type="pct"/>
            <w:gridSpan w:val="2"/>
            <w:shd w:val="clear" w:color="auto" w:fill="auto"/>
            <w:vAlign w:val="center"/>
          </w:tcPr>
          <w:p w14:paraId="4E437AFE">
            <w:pPr>
              <w:pStyle w:val="286"/>
              <w:adjustRightInd w:val="0"/>
              <w:snapToGrid w:val="0"/>
              <w:rPr>
                <w:rFonts w:hint="eastAsia" w:cs="Arial"/>
                <w:kern w:val="2"/>
                <w:sz w:val="21"/>
              </w:rPr>
            </w:pPr>
            <w:r>
              <w:rPr>
                <w:rFonts w:hint="eastAsia" w:cs="Arial"/>
                <w:kern w:val="2"/>
                <w:sz w:val="21"/>
              </w:rPr>
              <w:t>污染物名称</w:t>
            </w:r>
          </w:p>
        </w:tc>
        <w:tc>
          <w:tcPr>
            <w:tcW w:w="1580" w:type="pct"/>
            <w:shd w:val="clear" w:color="auto" w:fill="auto"/>
            <w:vAlign w:val="center"/>
          </w:tcPr>
          <w:p w14:paraId="0DD2342C">
            <w:pPr>
              <w:pStyle w:val="286"/>
              <w:adjustRightInd w:val="0"/>
              <w:snapToGrid w:val="0"/>
              <w:rPr>
                <w:rFonts w:hint="eastAsia" w:cs="Arial"/>
                <w:kern w:val="2"/>
                <w:sz w:val="21"/>
              </w:rPr>
            </w:pPr>
            <w:r>
              <w:rPr>
                <w:rFonts w:hint="eastAsia" w:cs="Arial"/>
                <w:kern w:val="2"/>
                <w:sz w:val="21"/>
              </w:rPr>
              <w:t>产污系数</w:t>
            </w:r>
          </w:p>
        </w:tc>
        <w:tc>
          <w:tcPr>
            <w:tcW w:w="1639" w:type="pct"/>
            <w:shd w:val="clear" w:color="auto" w:fill="auto"/>
            <w:vAlign w:val="center"/>
          </w:tcPr>
          <w:p w14:paraId="542843EA">
            <w:pPr>
              <w:pStyle w:val="286"/>
              <w:adjustRightInd w:val="0"/>
              <w:snapToGrid w:val="0"/>
              <w:rPr>
                <w:rFonts w:hint="eastAsia" w:cs="Arial"/>
                <w:kern w:val="2"/>
                <w:sz w:val="21"/>
              </w:rPr>
            </w:pPr>
            <w:r>
              <w:rPr>
                <w:rFonts w:hint="eastAsia" w:cs="Arial"/>
                <w:kern w:val="2"/>
                <w:sz w:val="21"/>
              </w:rPr>
              <w:t>5口井合计产生量</w:t>
            </w:r>
          </w:p>
        </w:tc>
      </w:tr>
      <w:tr w14:paraId="7BBE74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5" w:type="pct"/>
            <w:vMerge w:val="restart"/>
            <w:shd w:val="clear" w:color="auto" w:fill="auto"/>
            <w:vAlign w:val="center"/>
          </w:tcPr>
          <w:p w14:paraId="648CDAAC">
            <w:pPr>
              <w:pStyle w:val="286"/>
              <w:adjustRightInd w:val="0"/>
              <w:snapToGrid w:val="0"/>
              <w:rPr>
                <w:rFonts w:hint="eastAsia" w:cs="Arial"/>
                <w:kern w:val="2"/>
                <w:sz w:val="21"/>
              </w:rPr>
            </w:pPr>
            <w:r>
              <w:rPr>
                <w:rFonts w:hint="eastAsia" w:cs="Arial"/>
                <w:kern w:val="2"/>
                <w:sz w:val="21"/>
              </w:rPr>
              <w:t>低渗透油井</w:t>
            </w:r>
          </w:p>
        </w:tc>
        <w:tc>
          <w:tcPr>
            <w:tcW w:w="1016" w:type="pct"/>
            <w:shd w:val="clear" w:color="auto" w:fill="auto"/>
            <w:vAlign w:val="center"/>
          </w:tcPr>
          <w:p w14:paraId="0AADE043">
            <w:pPr>
              <w:pStyle w:val="286"/>
              <w:adjustRightInd w:val="0"/>
              <w:snapToGrid w:val="0"/>
              <w:rPr>
                <w:rFonts w:hint="eastAsia" w:cs="Arial"/>
                <w:kern w:val="2"/>
                <w:sz w:val="21"/>
              </w:rPr>
            </w:pPr>
            <w:r>
              <w:rPr>
                <w:rFonts w:hint="eastAsia" w:cs="Arial"/>
                <w:kern w:val="2"/>
                <w:sz w:val="21"/>
              </w:rPr>
              <w:t>压裂返排液</w:t>
            </w:r>
          </w:p>
        </w:tc>
        <w:tc>
          <w:tcPr>
            <w:tcW w:w="1580" w:type="pct"/>
            <w:shd w:val="clear" w:color="auto" w:fill="auto"/>
            <w:vAlign w:val="center"/>
          </w:tcPr>
          <w:p w14:paraId="4B8133C5">
            <w:pPr>
              <w:pStyle w:val="286"/>
              <w:adjustRightInd w:val="0"/>
              <w:snapToGrid w:val="0"/>
              <w:rPr>
                <w:rFonts w:hint="eastAsia" w:cs="Arial"/>
                <w:kern w:val="2"/>
                <w:sz w:val="21"/>
              </w:rPr>
            </w:pPr>
            <w:r>
              <w:rPr>
                <w:rFonts w:hint="eastAsia" w:cs="Arial"/>
                <w:kern w:val="2"/>
                <w:sz w:val="21"/>
              </w:rPr>
              <w:t>153.21m</w:t>
            </w:r>
            <w:r>
              <w:rPr>
                <w:rFonts w:hint="eastAsia" w:cs="Arial"/>
                <w:kern w:val="2"/>
                <w:sz w:val="21"/>
                <w:vertAlign w:val="superscript"/>
              </w:rPr>
              <w:t>3</w:t>
            </w:r>
            <w:r>
              <w:rPr>
                <w:rFonts w:hint="eastAsia" w:cs="Arial"/>
                <w:kern w:val="2"/>
                <w:sz w:val="21"/>
              </w:rPr>
              <w:t>/井·次</w:t>
            </w:r>
          </w:p>
        </w:tc>
        <w:tc>
          <w:tcPr>
            <w:tcW w:w="1639" w:type="pct"/>
            <w:shd w:val="clear" w:color="auto" w:fill="auto"/>
            <w:vAlign w:val="center"/>
          </w:tcPr>
          <w:p w14:paraId="36ABE6B5">
            <w:pPr>
              <w:pStyle w:val="286"/>
              <w:adjustRightInd w:val="0"/>
              <w:snapToGrid w:val="0"/>
              <w:rPr>
                <w:rFonts w:hint="eastAsia" w:cs="Arial"/>
                <w:kern w:val="2"/>
                <w:sz w:val="21"/>
              </w:rPr>
            </w:pPr>
            <w:r>
              <w:rPr>
                <w:rFonts w:hint="eastAsia" w:cs="宋体"/>
                <w:sz w:val="21"/>
              </w:rPr>
              <w:t>766.05m</w:t>
            </w:r>
            <w:r>
              <w:rPr>
                <w:rFonts w:hint="eastAsia" w:cs="宋体"/>
                <w:sz w:val="21"/>
                <w:vertAlign w:val="superscript"/>
              </w:rPr>
              <w:t>3</w:t>
            </w:r>
            <w:r>
              <w:rPr>
                <w:rFonts w:hint="eastAsia" w:cs="宋体"/>
                <w:sz w:val="21"/>
              </w:rPr>
              <w:t>/a</w:t>
            </w:r>
          </w:p>
        </w:tc>
      </w:tr>
      <w:tr w14:paraId="317859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5" w:type="pct"/>
            <w:vMerge w:val="continue"/>
            <w:shd w:val="clear" w:color="auto" w:fill="auto"/>
            <w:vAlign w:val="center"/>
          </w:tcPr>
          <w:p w14:paraId="5498E418">
            <w:pPr>
              <w:pStyle w:val="286"/>
              <w:adjustRightInd w:val="0"/>
              <w:snapToGrid w:val="0"/>
              <w:rPr>
                <w:rFonts w:hint="eastAsia" w:cs="Arial"/>
                <w:kern w:val="2"/>
                <w:sz w:val="21"/>
              </w:rPr>
            </w:pPr>
          </w:p>
        </w:tc>
        <w:tc>
          <w:tcPr>
            <w:tcW w:w="1016" w:type="pct"/>
            <w:shd w:val="clear" w:color="auto" w:fill="auto"/>
            <w:vAlign w:val="center"/>
          </w:tcPr>
          <w:p w14:paraId="08733C85">
            <w:pPr>
              <w:pStyle w:val="286"/>
              <w:adjustRightInd w:val="0"/>
              <w:snapToGrid w:val="0"/>
              <w:rPr>
                <w:rFonts w:hint="eastAsia" w:cs="Arial"/>
                <w:kern w:val="2"/>
                <w:sz w:val="21"/>
              </w:rPr>
            </w:pPr>
            <w:r>
              <w:rPr>
                <w:rFonts w:hint="eastAsia"/>
                <w:sz w:val="21"/>
              </w:rPr>
              <w:t>酸化返排液</w:t>
            </w:r>
          </w:p>
        </w:tc>
        <w:tc>
          <w:tcPr>
            <w:tcW w:w="1580" w:type="pct"/>
            <w:shd w:val="clear" w:color="auto" w:fill="auto"/>
            <w:vAlign w:val="center"/>
          </w:tcPr>
          <w:p w14:paraId="47E57EF3">
            <w:pPr>
              <w:pStyle w:val="286"/>
              <w:adjustRightInd w:val="0"/>
              <w:snapToGrid w:val="0"/>
              <w:rPr>
                <w:rFonts w:hint="eastAsia" w:cs="Arial"/>
                <w:kern w:val="2"/>
                <w:sz w:val="21"/>
              </w:rPr>
            </w:pPr>
            <w:r>
              <w:rPr>
                <w:rFonts w:hint="eastAsia" w:cs="Arial"/>
                <w:kern w:val="2"/>
                <w:sz w:val="21"/>
              </w:rPr>
              <w:t>150.49m</w:t>
            </w:r>
            <w:r>
              <w:rPr>
                <w:rFonts w:hint="eastAsia" w:cs="Arial"/>
                <w:kern w:val="2"/>
                <w:sz w:val="21"/>
                <w:vertAlign w:val="superscript"/>
              </w:rPr>
              <w:t>3</w:t>
            </w:r>
            <w:r>
              <w:rPr>
                <w:rFonts w:hint="eastAsia" w:cs="Arial"/>
                <w:kern w:val="2"/>
                <w:sz w:val="21"/>
              </w:rPr>
              <w:t>/井·次</w:t>
            </w:r>
          </w:p>
        </w:tc>
        <w:tc>
          <w:tcPr>
            <w:tcW w:w="1639" w:type="pct"/>
            <w:shd w:val="clear" w:color="auto" w:fill="auto"/>
            <w:vAlign w:val="center"/>
          </w:tcPr>
          <w:p w14:paraId="4A4418CD">
            <w:pPr>
              <w:pStyle w:val="286"/>
              <w:adjustRightInd w:val="0"/>
              <w:snapToGrid w:val="0"/>
              <w:rPr>
                <w:rFonts w:hint="eastAsia" w:cs="Arial"/>
                <w:kern w:val="2"/>
                <w:sz w:val="21"/>
              </w:rPr>
            </w:pPr>
            <w:r>
              <w:rPr>
                <w:rFonts w:hint="eastAsia" w:cs="Arial"/>
                <w:kern w:val="2"/>
                <w:sz w:val="21"/>
              </w:rPr>
              <w:t>752.45m</w:t>
            </w:r>
            <w:r>
              <w:rPr>
                <w:rFonts w:hint="eastAsia" w:cs="Arial"/>
                <w:kern w:val="2"/>
                <w:sz w:val="21"/>
                <w:vertAlign w:val="superscript"/>
              </w:rPr>
              <w:t>3</w:t>
            </w:r>
            <w:r>
              <w:rPr>
                <w:rFonts w:hint="eastAsia" w:cs="Arial"/>
                <w:kern w:val="2"/>
                <w:sz w:val="21"/>
              </w:rPr>
              <w:t>/</w:t>
            </w:r>
            <w:r>
              <w:rPr>
                <w:rFonts w:cs="Arial"/>
                <w:kern w:val="2"/>
                <w:sz w:val="21"/>
              </w:rPr>
              <w:t>a</w:t>
            </w:r>
          </w:p>
        </w:tc>
      </w:tr>
      <w:tr w14:paraId="1A2983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5" w:type="pct"/>
            <w:vMerge w:val="continue"/>
            <w:shd w:val="clear" w:color="auto" w:fill="auto"/>
            <w:vAlign w:val="center"/>
          </w:tcPr>
          <w:p w14:paraId="7103B6FF">
            <w:pPr>
              <w:pStyle w:val="286"/>
              <w:adjustRightInd w:val="0"/>
              <w:snapToGrid w:val="0"/>
              <w:rPr>
                <w:rFonts w:hint="eastAsia"/>
                <w:sz w:val="21"/>
              </w:rPr>
            </w:pPr>
          </w:p>
        </w:tc>
        <w:tc>
          <w:tcPr>
            <w:tcW w:w="1016" w:type="pct"/>
            <w:shd w:val="clear" w:color="auto" w:fill="auto"/>
            <w:vAlign w:val="center"/>
          </w:tcPr>
          <w:p w14:paraId="369045EE">
            <w:pPr>
              <w:pStyle w:val="286"/>
              <w:adjustRightInd w:val="0"/>
              <w:snapToGrid w:val="0"/>
              <w:rPr>
                <w:rFonts w:hint="eastAsia"/>
                <w:sz w:val="21"/>
              </w:rPr>
            </w:pPr>
            <w:r>
              <w:rPr>
                <w:rFonts w:hint="eastAsia"/>
                <w:sz w:val="21"/>
              </w:rPr>
              <w:t>废洗井液</w:t>
            </w:r>
          </w:p>
        </w:tc>
        <w:tc>
          <w:tcPr>
            <w:tcW w:w="1580" w:type="pct"/>
            <w:shd w:val="clear" w:color="auto" w:fill="auto"/>
            <w:vAlign w:val="center"/>
          </w:tcPr>
          <w:p w14:paraId="57D78783">
            <w:pPr>
              <w:pStyle w:val="286"/>
              <w:adjustRightInd w:val="0"/>
              <w:snapToGrid w:val="0"/>
              <w:rPr>
                <w:rFonts w:hint="eastAsia" w:cs="Arial"/>
                <w:kern w:val="2"/>
                <w:sz w:val="21"/>
              </w:rPr>
            </w:pPr>
            <w:r>
              <w:rPr>
                <w:rFonts w:hint="eastAsia" w:cs="Arial"/>
                <w:kern w:val="2"/>
                <w:sz w:val="21"/>
              </w:rPr>
              <w:t>2</w:t>
            </w:r>
            <w:r>
              <w:rPr>
                <w:rFonts w:cs="Arial"/>
                <w:kern w:val="2"/>
                <w:sz w:val="21"/>
              </w:rPr>
              <w:t>5.29</w:t>
            </w:r>
            <w:r>
              <w:rPr>
                <w:rFonts w:hint="eastAsia" w:cs="Arial"/>
                <w:kern w:val="2"/>
                <w:sz w:val="21"/>
              </w:rPr>
              <w:t>t</w:t>
            </w:r>
            <w:r>
              <w:rPr>
                <w:rFonts w:cs="Arial"/>
                <w:kern w:val="2"/>
                <w:sz w:val="21"/>
              </w:rPr>
              <w:t>/</w:t>
            </w:r>
            <w:r>
              <w:rPr>
                <w:rFonts w:hint="eastAsia" w:cs="Arial"/>
                <w:kern w:val="2"/>
                <w:sz w:val="21"/>
              </w:rPr>
              <w:t>井</w:t>
            </w:r>
          </w:p>
        </w:tc>
        <w:tc>
          <w:tcPr>
            <w:tcW w:w="1639" w:type="pct"/>
            <w:shd w:val="clear" w:color="auto" w:fill="auto"/>
            <w:vAlign w:val="center"/>
          </w:tcPr>
          <w:p w14:paraId="02769472">
            <w:pPr>
              <w:pStyle w:val="286"/>
              <w:adjustRightInd w:val="0"/>
              <w:snapToGrid w:val="0"/>
              <w:rPr>
                <w:rFonts w:hint="eastAsia" w:cs="Arial"/>
                <w:kern w:val="2"/>
                <w:sz w:val="21"/>
              </w:rPr>
            </w:pPr>
            <w:r>
              <w:rPr>
                <w:rFonts w:hint="eastAsia" w:cs="Arial"/>
                <w:kern w:val="2"/>
                <w:sz w:val="21"/>
              </w:rPr>
              <w:t>126.45t/</w:t>
            </w:r>
            <w:r>
              <w:rPr>
                <w:rFonts w:cs="Arial"/>
                <w:kern w:val="2"/>
                <w:sz w:val="21"/>
              </w:rPr>
              <w:t>a</w:t>
            </w:r>
          </w:p>
        </w:tc>
      </w:tr>
    </w:tbl>
    <w:p w14:paraId="33BFD851">
      <w:pPr>
        <w:pStyle w:val="117"/>
        <w:ind w:firstLine="480"/>
        <w:rPr>
          <w:rFonts w:hint="eastAsia"/>
        </w:rPr>
      </w:pPr>
      <w:r>
        <w:rPr>
          <w:rFonts w:hint="eastAsia"/>
        </w:rPr>
        <w:t>压裂返排液、酸化返排液及废洗井液收集至专用储罐中，由罐车拉运至压裂返排液处理系统处理，出水水质达到</w:t>
      </w:r>
      <w:bookmarkStart w:id="329" w:name="OLE_LINK137"/>
      <w:r>
        <w:rPr>
          <w:rFonts w:hint="eastAsia"/>
          <w:szCs w:val="21"/>
          <w:lang w:val="zh-CN"/>
        </w:rPr>
        <w:t>《压裂酸化返排液处理技术规范》（</w:t>
      </w:r>
      <w:r>
        <w:rPr>
          <w:szCs w:val="21"/>
          <w:lang w:val="zh-CN"/>
        </w:rPr>
        <w:t>Q/SY02012-2016</w:t>
      </w:r>
      <w:r>
        <w:rPr>
          <w:rFonts w:hint="eastAsia"/>
          <w:szCs w:val="21"/>
          <w:lang w:val="zh-CN"/>
        </w:rPr>
        <w:t>）</w:t>
      </w:r>
      <w:bookmarkEnd w:id="329"/>
      <w:r>
        <w:rPr>
          <w:rFonts w:hint="eastAsia"/>
        </w:rPr>
        <w:t>后用于压裂液复配。</w:t>
      </w:r>
    </w:p>
    <w:bookmarkEnd w:id="324"/>
    <w:p w14:paraId="492E165E">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（3）噪声</w:t>
      </w:r>
    </w:p>
    <w:bookmarkEnd w:id="328"/>
    <w:p w14:paraId="4C83A76F">
      <w:pPr>
        <w:pStyle w:val="117"/>
        <w:ind w:firstLine="480"/>
        <w:rPr>
          <w:rFonts w:hint="eastAsia"/>
        </w:rPr>
      </w:pPr>
      <w:bookmarkStart w:id="330" w:name="_Hlk148008301"/>
      <w:r>
        <w:rPr>
          <w:rFonts w:hint="eastAsia"/>
        </w:rPr>
        <w:t>一期噪声源主要为井场内的机泵、巡检车辆及罐车、生产分离器、放空火炬等，</w:t>
      </w:r>
      <w:bookmarkEnd w:id="330"/>
      <w:r>
        <w:rPr>
          <w:rFonts w:hint="eastAsia"/>
        </w:rPr>
        <w:t>噪声排放情况见表</w:t>
      </w:r>
      <w:r>
        <w:t>3.3</w:t>
      </w:r>
      <w:r>
        <w:rPr>
          <w:rFonts w:hint="eastAsia"/>
        </w:rPr>
        <w:t>-18。二期工程不新增噪声源，二期工程实施后放空火炬及罐车产生的噪声源随之消失。</w:t>
      </w:r>
    </w:p>
    <w:p w14:paraId="0524C5C1">
      <w:pPr>
        <w:pStyle w:val="109"/>
        <w:rPr>
          <w:rFonts w:hint="eastAsia"/>
        </w:rPr>
      </w:pPr>
      <w:r>
        <w:rPr>
          <w:rFonts w:hint="eastAsia"/>
        </w:rPr>
        <w:t>表</w:t>
      </w:r>
      <w:r>
        <w:t>3.3</w:t>
      </w:r>
      <w:r>
        <w:rPr>
          <w:rFonts w:hint="eastAsia"/>
        </w:rPr>
        <w:t>-18</w:t>
      </w:r>
      <w:r>
        <w:t xml:space="preserve">  </w:t>
      </w:r>
      <w:r>
        <w:rPr>
          <w:rFonts w:hint="eastAsia"/>
        </w:rPr>
        <w:t>运营期噪声排放情况一览表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72"/>
        <w:gridCol w:w="2324"/>
        <w:gridCol w:w="871"/>
        <w:gridCol w:w="1017"/>
        <w:gridCol w:w="724"/>
        <w:gridCol w:w="727"/>
        <w:gridCol w:w="729"/>
        <w:gridCol w:w="1017"/>
        <w:gridCol w:w="666"/>
      </w:tblGrid>
      <w:tr w14:paraId="79D017D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6" w:hRule="atLeast"/>
          <w:jc w:val="center"/>
        </w:trPr>
        <w:tc>
          <w:tcPr>
            <w:tcW w:w="487" w:type="pct"/>
            <w:vMerge w:val="restart"/>
            <w:vAlign w:val="center"/>
          </w:tcPr>
          <w:p w14:paraId="6EC32A5E">
            <w:pPr>
              <w:pStyle w:val="342"/>
              <w:overflowPunct w:val="0"/>
              <w:snapToGrid w:val="0"/>
              <w:spacing w:line="300" w:lineRule="exact"/>
              <w:rPr>
                <w:rFonts w:hint="eastAsia" w:hAnsi="宋体"/>
                <w:snapToGrid w:val="0"/>
                <w:sz w:val="21"/>
                <w:szCs w:val="21"/>
              </w:rPr>
            </w:pPr>
            <w:r>
              <w:rPr>
                <w:rFonts w:hint="eastAsia" w:hAnsi="宋体"/>
                <w:snapToGrid w:val="0"/>
                <w:sz w:val="21"/>
                <w:szCs w:val="21"/>
              </w:rPr>
              <w:t>平台</w:t>
            </w:r>
          </w:p>
        </w:tc>
        <w:tc>
          <w:tcPr>
            <w:tcW w:w="1299" w:type="pct"/>
            <w:vMerge w:val="restart"/>
            <w:vAlign w:val="center"/>
          </w:tcPr>
          <w:p w14:paraId="503D4D43">
            <w:pPr>
              <w:pStyle w:val="342"/>
              <w:overflowPunct w:val="0"/>
              <w:snapToGrid w:val="0"/>
              <w:spacing w:line="300" w:lineRule="exact"/>
              <w:rPr>
                <w:rFonts w:hint="eastAsia" w:hAnsi="宋体"/>
                <w:snapToGrid w:val="0"/>
                <w:sz w:val="21"/>
                <w:szCs w:val="21"/>
              </w:rPr>
            </w:pPr>
            <w:r>
              <w:rPr>
                <w:rFonts w:hint="eastAsia" w:hAnsi="宋体"/>
                <w:snapToGrid w:val="0"/>
                <w:sz w:val="21"/>
                <w:szCs w:val="21"/>
              </w:rPr>
              <w:t>名称</w:t>
            </w:r>
          </w:p>
        </w:tc>
        <w:tc>
          <w:tcPr>
            <w:tcW w:w="487" w:type="pct"/>
            <w:vMerge w:val="restart"/>
            <w:vAlign w:val="center"/>
          </w:tcPr>
          <w:p w14:paraId="5AC9D995">
            <w:pPr>
              <w:pStyle w:val="342"/>
              <w:overflowPunct w:val="0"/>
              <w:snapToGrid w:val="0"/>
              <w:spacing w:line="300" w:lineRule="exact"/>
              <w:rPr>
                <w:rFonts w:hint="eastAsia" w:hAnsi="宋体"/>
                <w:snapToGrid w:val="0"/>
                <w:sz w:val="21"/>
                <w:szCs w:val="21"/>
              </w:rPr>
            </w:pPr>
            <w:r>
              <w:rPr>
                <w:rFonts w:hint="eastAsia" w:hAnsi="宋体"/>
                <w:snapToGrid w:val="0"/>
                <w:sz w:val="21"/>
                <w:szCs w:val="21"/>
              </w:rPr>
              <w:t>数量（台）</w:t>
            </w:r>
          </w:p>
        </w:tc>
        <w:tc>
          <w:tcPr>
            <w:tcW w:w="568" w:type="pct"/>
            <w:vMerge w:val="restart"/>
            <w:vAlign w:val="center"/>
          </w:tcPr>
          <w:p w14:paraId="278573C5">
            <w:pPr>
              <w:pStyle w:val="342"/>
              <w:overflowPunct w:val="0"/>
              <w:snapToGrid w:val="0"/>
              <w:spacing w:line="300" w:lineRule="exact"/>
              <w:rPr>
                <w:rFonts w:hint="eastAsia" w:hAnsi="宋体"/>
                <w:snapToGrid w:val="0"/>
                <w:sz w:val="21"/>
                <w:szCs w:val="21"/>
              </w:rPr>
            </w:pPr>
            <w:r>
              <w:rPr>
                <w:rFonts w:hint="eastAsia" w:hAnsi="宋体"/>
                <w:snapToGrid w:val="0"/>
                <w:sz w:val="21"/>
                <w:szCs w:val="21"/>
              </w:rPr>
              <w:t>源强d</w:t>
            </w:r>
            <w:r>
              <w:rPr>
                <w:rFonts w:hAnsi="宋体"/>
                <w:snapToGrid w:val="0"/>
                <w:sz w:val="21"/>
                <w:szCs w:val="21"/>
              </w:rPr>
              <w:t>B</w:t>
            </w:r>
            <w:r>
              <w:rPr>
                <w:rFonts w:hint="eastAsia" w:hAnsi="宋体"/>
                <w:snapToGrid w:val="0"/>
                <w:sz w:val="21"/>
                <w:szCs w:val="21"/>
              </w:rPr>
              <w:t>（A）</w:t>
            </w:r>
          </w:p>
        </w:tc>
        <w:tc>
          <w:tcPr>
            <w:tcW w:w="1218" w:type="pct"/>
            <w:gridSpan w:val="3"/>
            <w:vAlign w:val="center"/>
          </w:tcPr>
          <w:p w14:paraId="3F2FB2C2">
            <w:pPr>
              <w:pStyle w:val="342"/>
              <w:overflowPunct w:val="0"/>
              <w:snapToGrid w:val="0"/>
              <w:spacing w:line="300" w:lineRule="exact"/>
              <w:rPr>
                <w:rFonts w:hint="eastAsia" w:hAnsi="宋体"/>
                <w:snapToGrid w:val="0"/>
                <w:sz w:val="21"/>
                <w:szCs w:val="21"/>
              </w:rPr>
            </w:pPr>
            <w:r>
              <w:rPr>
                <w:rFonts w:hint="eastAsia" w:hAnsi="宋体"/>
                <w:snapToGrid w:val="0"/>
                <w:sz w:val="21"/>
                <w:szCs w:val="21"/>
              </w:rPr>
              <w:t>空间位置</w:t>
            </w:r>
          </w:p>
        </w:tc>
        <w:tc>
          <w:tcPr>
            <w:tcW w:w="568" w:type="pct"/>
            <w:vMerge w:val="restart"/>
            <w:vAlign w:val="center"/>
          </w:tcPr>
          <w:p w14:paraId="18C2F516">
            <w:pPr>
              <w:pStyle w:val="342"/>
              <w:overflowPunct w:val="0"/>
              <w:snapToGrid w:val="0"/>
              <w:spacing w:line="300" w:lineRule="exact"/>
              <w:rPr>
                <w:rFonts w:hint="eastAsia" w:hAnsi="宋体"/>
                <w:snapToGrid w:val="0"/>
                <w:sz w:val="21"/>
                <w:szCs w:val="21"/>
              </w:rPr>
            </w:pPr>
            <w:r>
              <w:rPr>
                <w:rFonts w:hint="eastAsia" w:hAnsi="宋体"/>
                <w:snapToGrid w:val="0"/>
                <w:sz w:val="21"/>
                <w:szCs w:val="21"/>
              </w:rPr>
              <w:t>声源控制措施</w:t>
            </w:r>
          </w:p>
        </w:tc>
        <w:tc>
          <w:tcPr>
            <w:tcW w:w="372" w:type="pct"/>
            <w:vMerge w:val="restart"/>
            <w:vAlign w:val="center"/>
          </w:tcPr>
          <w:p w14:paraId="0A40FA54">
            <w:pPr>
              <w:pStyle w:val="342"/>
              <w:overflowPunct w:val="0"/>
              <w:snapToGrid w:val="0"/>
              <w:spacing w:line="300" w:lineRule="exact"/>
              <w:rPr>
                <w:rFonts w:hint="eastAsia" w:hAnsi="宋体"/>
                <w:snapToGrid w:val="0"/>
                <w:sz w:val="21"/>
                <w:szCs w:val="21"/>
              </w:rPr>
            </w:pPr>
            <w:r>
              <w:rPr>
                <w:rFonts w:hint="eastAsia" w:hAnsi="宋体"/>
                <w:snapToGrid w:val="0"/>
                <w:sz w:val="21"/>
                <w:szCs w:val="21"/>
              </w:rPr>
              <w:t>运行时段</w:t>
            </w:r>
          </w:p>
        </w:tc>
      </w:tr>
      <w:tr w14:paraId="6A8C0EC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6" w:hRule="atLeast"/>
          <w:jc w:val="center"/>
        </w:trPr>
        <w:tc>
          <w:tcPr>
            <w:tcW w:w="487" w:type="pct"/>
            <w:vMerge w:val="continue"/>
            <w:vAlign w:val="center"/>
          </w:tcPr>
          <w:p w14:paraId="3F30980F">
            <w:pPr>
              <w:pStyle w:val="342"/>
              <w:overflowPunct w:val="0"/>
              <w:snapToGrid w:val="0"/>
              <w:spacing w:line="300" w:lineRule="exact"/>
              <w:rPr>
                <w:rFonts w:hint="eastAsia" w:hAnsi="宋体"/>
                <w:snapToGrid w:val="0"/>
                <w:sz w:val="21"/>
                <w:szCs w:val="21"/>
              </w:rPr>
            </w:pPr>
          </w:p>
        </w:tc>
        <w:tc>
          <w:tcPr>
            <w:tcW w:w="1299" w:type="pct"/>
            <w:vMerge w:val="continue"/>
            <w:vAlign w:val="center"/>
          </w:tcPr>
          <w:p w14:paraId="46464D64">
            <w:pPr>
              <w:pStyle w:val="342"/>
              <w:overflowPunct w:val="0"/>
              <w:snapToGrid w:val="0"/>
              <w:spacing w:line="300" w:lineRule="exact"/>
              <w:rPr>
                <w:rFonts w:hint="eastAsia" w:hAnsi="宋体"/>
                <w:snapToGrid w:val="0"/>
                <w:sz w:val="21"/>
                <w:szCs w:val="21"/>
              </w:rPr>
            </w:pPr>
          </w:p>
        </w:tc>
        <w:tc>
          <w:tcPr>
            <w:tcW w:w="487" w:type="pct"/>
            <w:vMerge w:val="continue"/>
            <w:vAlign w:val="center"/>
          </w:tcPr>
          <w:p w14:paraId="1213DC48">
            <w:pPr>
              <w:pStyle w:val="342"/>
              <w:overflowPunct w:val="0"/>
              <w:snapToGrid w:val="0"/>
              <w:spacing w:line="300" w:lineRule="exact"/>
              <w:rPr>
                <w:rFonts w:hint="eastAsia" w:hAnsi="宋体"/>
                <w:snapToGrid w:val="0"/>
                <w:sz w:val="21"/>
                <w:szCs w:val="21"/>
              </w:rPr>
            </w:pPr>
          </w:p>
        </w:tc>
        <w:tc>
          <w:tcPr>
            <w:tcW w:w="568" w:type="pct"/>
            <w:vMerge w:val="continue"/>
            <w:vAlign w:val="center"/>
          </w:tcPr>
          <w:p w14:paraId="5DFAF04F">
            <w:pPr>
              <w:pStyle w:val="342"/>
              <w:overflowPunct w:val="0"/>
              <w:snapToGrid w:val="0"/>
              <w:spacing w:line="300" w:lineRule="exact"/>
              <w:rPr>
                <w:rFonts w:hint="eastAsia" w:hAnsi="宋体"/>
                <w:snapToGrid w:val="0"/>
                <w:sz w:val="21"/>
                <w:szCs w:val="21"/>
              </w:rPr>
            </w:pPr>
          </w:p>
        </w:tc>
        <w:tc>
          <w:tcPr>
            <w:tcW w:w="405" w:type="pct"/>
            <w:vAlign w:val="center"/>
          </w:tcPr>
          <w:p w14:paraId="20458E9C">
            <w:pPr>
              <w:pStyle w:val="342"/>
              <w:overflowPunct w:val="0"/>
              <w:snapToGrid w:val="0"/>
              <w:spacing w:line="300" w:lineRule="exact"/>
              <w:rPr>
                <w:rFonts w:hint="eastAsia" w:hAnsi="宋体"/>
                <w:snapToGrid w:val="0"/>
                <w:sz w:val="21"/>
                <w:szCs w:val="21"/>
              </w:rPr>
            </w:pPr>
            <w:r>
              <w:rPr>
                <w:rFonts w:hint="eastAsia" w:hAnsi="宋体"/>
                <w:snapToGrid w:val="0"/>
                <w:sz w:val="21"/>
                <w:szCs w:val="21"/>
              </w:rPr>
              <w:t>X</w:t>
            </w:r>
          </w:p>
        </w:tc>
        <w:tc>
          <w:tcPr>
            <w:tcW w:w="406" w:type="pct"/>
            <w:vAlign w:val="center"/>
          </w:tcPr>
          <w:p w14:paraId="37A18781">
            <w:pPr>
              <w:pStyle w:val="342"/>
              <w:overflowPunct w:val="0"/>
              <w:snapToGrid w:val="0"/>
              <w:spacing w:line="300" w:lineRule="exact"/>
              <w:rPr>
                <w:rFonts w:hint="eastAsia" w:hAnsi="宋体"/>
                <w:snapToGrid w:val="0"/>
                <w:sz w:val="21"/>
                <w:szCs w:val="21"/>
              </w:rPr>
            </w:pPr>
            <w:r>
              <w:rPr>
                <w:rFonts w:hint="eastAsia" w:hAnsi="宋体"/>
                <w:snapToGrid w:val="0"/>
                <w:sz w:val="21"/>
                <w:szCs w:val="21"/>
              </w:rPr>
              <w:t>Y</w:t>
            </w:r>
          </w:p>
        </w:tc>
        <w:tc>
          <w:tcPr>
            <w:tcW w:w="407" w:type="pct"/>
            <w:vAlign w:val="center"/>
          </w:tcPr>
          <w:p w14:paraId="5066FF06">
            <w:pPr>
              <w:pStyle w:val="342"/>
              <w:overflowPunct w:val="0"/>
              <w:snapToGrid w:val="0"/>
              <w:spacing w:line="300" w:lineRule="exact"/>
              <w:rPr>
                <w:rFonts w:hint="eastAsia" w:hAnsi="宋体"/>
                <w:snapToGrid w:val="0"/>
                <w:sz w:val="21"/>
                <w:szCs w:val="21"/>
              </w:rPr>
            </w:pPr>
            <w:r>
              <w:rPr>
                <w:rFonts w:hint="eastAsia" w:hAnsi="宋体"/>
                <w:snapToGrid w:val="0"/>
                <w:sz w:val="21"/>
                <w:szCs w:val="21"/>
              </w:rPr>
              <w:t>Z</w:t>
            </w:r>
          </w:p>
        </w:tc>
        <w:tc>
          <w:tcPr>
            <w:tcW w:w="568" w:type="pct"/>
            <w:vMerge w:val="continue"/>
            <w:vAlign w:val="center"/>
          </w:tcPr>
          <w:p w14:paraId="3E01F6AE">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6C614474">
            <w:pPr>
              <w:pStyle w:val="342"/>
              <w:overflowPunct w:val="0"/>
              <w:snapToGrid w:val="0"/>
              <w:spacing w:line="300" w:lineRule="exact"/>
              <w:rPr>
                <w:rFonts w:hint="eastAsia" w:hAnsi="宋体"/>
                <w:snapToGrid w:val="0"/>
                <w:sz w:val="21"/>
                <w:szCs w:val="21"/>
              </w:rPr>
            </w:pPr>
          </w:p>
        </w:tc>
      </w:tr>
      <w:tr w14:paraId="272F122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restart"/>
            <w:vAlign w:val="center"/>
          </w:tcPr>
          <w:p w14:paraId="1A1FACDB">
            <w:pPr>
              <w:pStyle w:val="342"/>
              <w:overflowPunct w:val="0"/>
              <w:snapToGrid w:val="0"/>
              <w:spacing w:line="300" w:lineRule="exact"/>
              <w:rPr>
                <w:rFonts w:hint="eastAsia" w:hAnsi="宋体" w:cs="Times New Roman"/>
                <w:snapToGrid w:val="0"/>
                <w:sz w:val="21"/>
                <w:szCs w:val="21"/>
              </w:rPr>
            </w:pPr>
            <w:bookmarkStart w:id="331" w:name="_Hlk173840359"/>
            <w:r>
              <w:rPr>
                <w:rFonts w:hint="eastAsia"/>
                <w:snapToGrid w:val="0"/>
                <w:sz w:val="21"/>
                <w:szCs w:val="21"/>
              </w:rPr>
              <w:t>17号采油平台</w:t>
            </w:r>
          </w:p>
        </w:tc>
        <w:tc>
          <w:tcPr>
            <w:tcW w:w="1299" w:type="pct"/>
            <w:vAlign w:val="center"/>
          </w:tcPr>
          <w:p w14:paraId="4C3708C0">
            <w:pPr>
              <w:pStyle w:val="342"/>
              <w:tabs>
                <w:tab w:val="left" w:pos="1333"/>
              </w:tabs>
              <w:overflowPunct w:val="0"/>
              <w:snapToGrid w:val="0"/>
              <w:spacing w:line="300" w:lineRule="exact"/>
              <w:rPr>
                <w:rFonts w:hint="eastAsia" w:hAnsi="宋体" w:cs="Times New Roman"/>
                <w:snapToGrid w:val="0"/>
                <w:sz w:val="21"/>
                <w:szCs w:val="21"/>
              </w:rPr>
            </w:pPr>
            <w:r>
              <w:rPr>
                <w:rFonts w:hint="eastAsia"/>
                <w:snapToGrid w:val="0"/>
                <w:sz w:val="21"/>
                <w:szCs w:val="21"/>
              </w:rPr>
              <w:t>投捞式电潜螺杆泵</w:t>
            </w:r>
          </w:p>
        </w:tc>
        <w:tc>
          <w:tcPr>
            <w:tcW w:w="487" w:type="pct"/>
            <w:vAlign w:val="center"/>
          </w:tcPr>
          <w:p w14:paraId="76579A9E">
            <w:pPr>
              <w:pStyle w:val="342"/>
              <w:tabs>
                <w:tab w:val="left" w:pos="1333"/>
              </w:tabs>
              <w:overflowPunct w:val="0"/>
              <w:snapToGrid w:val="0"/>
              <w:spacing w:line="300" w:lineRule="exact"/>
              <w:rPr>
                <w:rFonts w:hint="eastAsia" w:hAnsi="宋体" w:cs="Times New Roman"/>
                <w:snapToGrid w:val="0"/>
                <w:sz w:val="21"/>
                <w:szCs w:val="21"/>
              </w:rPr>
            </w:pPr>
            <w:r>
              <w:rPr>
                <w:rFonts w:hint="eastAsia"/>
                <w:snapToGrid w:val="0"/>
                <w:sz w:val="21"/>
                <w:szCs w:val="21"/>
              </w:rPr>
              <w:t>1</w:t>
            </w:r>
          </w:p>
        </w:tc>
        <w:tc>
          <w:tcPr>
            <w:tcW w:w="568" w:type="pct"/>
            <w:vAlign w:val="center"/>
          </w:tcPr>
          <w:p w14:paraId="090FC20A">
            <w:pPr>
              <w:pStyle w:val="342"/>
              <w:overflowPunct w:val="0"/>
              <w:snapToGrid w:val="0"/>
              <w:spacing w:line="300" w:lineRule="exact"/>
              <w:rPr>
                <w:rFonts w:hint="eastAsia" w:hAnsi="宋体"/>
                <w:snapToGrid w:val="0"/>
                <w:sz w:val="21"/>
                <w:szCs w:val="21"/>
              </w:rPr>
            </w:pPr>
            <w:r>
              <w:rPr>
                <w:rFonts w:hint="eastAsia" w:hAnsi="宋体"/>
                <w:snapToGrid w:val="0"/>
                <w:sz w:val="21"/>
                <w:szCs w:val="21"/>
              </w:rPr>
              <w:t>85～90</w:t>
            </w:r>
          </w:p>
        </w:tc>
        <w:tc>
          <w:tcPr>
            <w:tcW w:w="405" w:type="pct"/>
            <w:vAlign w:val="center"/>
          </w:tcPr>
          <w:p w14:paraId="761C5404">
            <w:pPr>
              <w:pStyle w:val="342"/>
              <w:overflowPunct w:val="0"/>
              <w:snapToGrid w:val="0"/>
              <w:spacing w:line="300" w:lineRule="exact"/>
              <w:rPr>
                <w:rFonts w:hint="eastAsia" w:hAnsi="宋体"/>
                <w:snapToGrid w:val="0"/>
                <w:sz w:val="21"/>
                <w:szCs w:val="21"/>
              </w:rPr>
            </w:pPr>
            <w:r>
              <w:rPr>
                <w:rFonts w:hint="eastAsia" w:hAnsi="宋体"/>
                <w:snapToGrid w:val="0"/>
                <w:sz w:val="21"/>
                <w:szCs w:val="21"/>
              </w:rPr>
              <w:t>-124</w:t>
            </w:r>
          </w:p>
        </w:tc>
        <w:tc>
          <w:tcPr>
            <w:tcW w:w="406" w:type="pct"/>
            <w:vAlign w:val="center"/>
          </w:tcPr>
          <w:p w14:paraId="64CB78D1">
            <w:pPr>
              <w:pStyle w:val="342"/>
              <w:overflowPunct w:val="0"/>
              <w:snapToGrid w:val="0"/>
              <w:spacing w:line="300" w:lineRule="exact"/>
              <w:rPr>
                <w:rFonts w:hint="eastAsia" w:hAnsi="宋体"/>
                <w:snapToGrid w:val="0"/>
                <w:sz w:val="21"/>
                <w:szCs w:val="21"/>
              </w:rPr>
            </w:pPr>
            <w:r>
              <w:rPr>
                <w:rFonts w:hint="eastAsia" w:hAnsi="宋体"/>
                <w:snapToGrid w:val="0"/>
                <w:sz w:val="21"/>
                <w:szCs w:val="21"/>
              </w:rPr>
              <w:t>168</w:t>
            </w:r>
          </w:p>
        </w:tc>
        <w:tc>
          <w:tcPr>
            <w:tcW w:w="407" w:type="pct"/>
            <w:vAlign w:val="center"/>
          </w:tcPr>
          <w:p w14:paraId="6432198F">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restart"/>
            <w:vAlign w:val="center"/>
          </w:tcPr>
          <w:p w14:paraId="06037844">
            <w:pPr>
              <w:pStyle w:val="342"/>
              <w:overflowPunct w:val="0"/>
              <w:snapToGrid w:val="0"/>
              <w:spacing w:line="300" w:lineRule="exact"/>
              <w:rPr>
                <w:rFonts w:hint="eastAsia" w:hAnsi="宋体"/>
                <w:snapToGrid w:val="0"/>
                <w:sz w:val="21"/>
                <w:szCs w:val="21"/>
              </w:rPr>
            </w:pPr>
            <w:r>
              <w:rPr>
                <w:rFonts w:hint="eastAsia" w:hAnsi="宋体"/>
                <w:snapToGrid w:val="0"/>
                <w:sz w:val="21"/>
                <w:szCs w:val="21"/>
              </w:rPr>
              <w:t>优化站场总图布置，采用低噪声设备、基础减振</w:t>
            </w:r>
          </w:p>
        </w:tc>
        <w:tc>
          <w:tcPr>
            <w:tcW w:w="372" w:type="pct"/>
            <w:vMerge w:val="restart"/>
            <w:vAlign w:val="center"/>
          </w:tcPr>
          <w:p w14:paraId="4E297309">
            <w:pPr>
              <w:pStyle w:val="342"/>
              <w:overflowPunct w:val="0"/>
              <w:snapToGrid w:val="0"/>
              <w:spacing w:line="300" w:lineRule="exact"/>
              <w:rPr>
                <w:rFonts w:hint="eastAsia" w:hAnsi="宋体"/>
                <w:snapToGrid w:val="0"/>
                <w:sz w:val="21"/>
                <w:szCs w:val="21"/>
              </w:rPr>
            </w:pPr>
            <w:r>
              <w:rPr>
                <w:rFonts w:hint="eastAsia" w:hAnsi="宋体"/>
                <w:snapToGrid w:val="0"/>
                <w:sz w:val="21"/>
                <w:szCs w:val="21"/>
              </w:rPr>
              <w:t>昼夜连续运行</w:t>
            </w:r>
          </w:p>
        </w:tc>
      </w:tr>
      <w:bookmarkEnd w:id="331"/>
      <w:tr w14:paraId="681A8EF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continue"/>
            <w:vAlign w:val="center"/>
          </w:tcPr>
          <w:p w14:paraId="0AA7CC50">
            <w:pPr>
              <w:pStyle w:val="342"/>
              <w:overflowPunct w:val="0"/>
              <w:snapToGrid w:val="0"/>
              <w:spacing w:line="300" w:lineRule="exact"/>
              <w:rPr>
                <w:snapToGrid w:val="0"/>
                <w:sz w:val="21"/>
                <w:szCs w:val="21"/>
              </w:rPr>
            </w:pPr>
          </w:p>
        </w:tc>
        <w:tc>
          <w:tcPr>
            <w:tcW w:w="1299" w:type="pct"/>
            <w:vAlign w:val="center"/>
          </w:tcPr>
          <w:p w14:paraId="6255D587">
            <w:pPr>
              <w:pStyle w:val="342"/>
              <w:tabs>
                <w:tab w:val="left" w:pos="1333"/>
              </w:tabs>
              <w:overflowPunct w:val="0"/>
              <w:snapToGrid w:val="0"/>
              <w:spacing w:line="300" w:lineRule="exact"/>
              <w:rPr>
                <w:snapToGrid w:val="0"/>
                <w:sz w:val="21"/>
                <w:szCs w:val="21"/>
              </w:rPr>
            </w:pPr>
            <w:r>
              <w:rPr>
                <w:rFonts w:hint="eastAsia"/>
                <w:snapToGrid w:val="0"/>
                <w:sz w:val="21"/>
                <w:szCs w:val="21"/>
              </w:rPr>
              <w:t>投捞式电潜螺杆泵</w:t>
            </w:r>
          </w:p>
        </w:tc>
        <w:tc>
          <w:tcPr>
            <w:tcW w:w="487" w:type="pct"/>
            <w:vAlign w:val="center"/>
          </w:tcPr>
          <w:p w14:paraId="11ED8C4A">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612BAA1A">
            <w:pPr>
              <w:pStyle w:val="342"/>
              <w:overflowPunct w:val="0"/>
              <w:snapToGrid w:val="0"/>
              <w:spacing w:line="300" w:lineRule="exact"/>
              <w:rPr>
                <w:rFonts w:hint="eastAsia" w:hAnsi="宋体"/>
                <w:snapToGrid w:val="0"/>
                <w:sz w:val="21"/>
                <w:szCs w:val="21"/>
              </w:rPr>
            </w:pPr>
            <w:r>
              <w:rPr>
                <w:rFonts w:hint="eastAsia" w:hAnsi="宋体"/>
                <w:snapToGrid w:val="0"/>
                <w:sz w:val="21"/>
                <w:szCs w:val="21"/>
              </w:rPr>
              <w:t>85～90</w:t>
            </w:r>
          </w:p>
        </w:tc>
        <w:tc>
          <w:tcPr>
            <w:tcW w:w="405" w:type="pct"/>
            <w:vAlign w:val="center"/>
          </w:tcPr>
          <w:p w14:paraId="6329A2A0">
            <w:pPr>
              <w:pStyle w:val="342"/>
              <w:overflowPunct w:val="0"/>
              <w:snapToGrid w:val="0"/>
              <w:spacing w:line="300" w:lineRule="exact"/>
              <w:rPr>
                <w:rFonts w:hint="eastAsia" w:hAnsi="宋体"/>
                <w:snapToGrid w:val="0"/>
                <w:sz w:val="21"/>
                <w:szCs w:val="21"/>
              </w:rPr>
            </w:pPr>
            <w:r>
              <w:rPr>
                <w:rFonts w:hint="eastAsia" w:hAnsi="宋体"/>
                <w:snapToGrid w:val="0"/>
                <w:sz w:val="21"/>
                <w:szCs w:val="21"/>
              </w:rPr>
              <w:t>-115</w:t>
            </w:r>
          </w:p>
        </w:tc>
        <w:tc>
          <w:tcPr>
            <w:tcW w:w="406" w:type="pct"/>
            <w:vAlign w:val="center"/>
          </w:tcPr>
          <w:p w14:paraId="4F50C5A4">
            <w:pPr>
              <w:pStyle w:val="342"/>
              <w:overflowPunct w:val="0"/>
              <w:snapToGrid w:val="0"/>
              <w:spacing w:line="300" w:lineRule="exact"/>
              <w:rPr>
                <w:rFonts w:hint="eastAsia" w:hAnsi="宋体"/>
                <w:snapToGrid w:val="0"/>
                <w:sz w:val="21"/>
                <w:szCs w:val="21"/>
              </w:rPr>
            </w:pPr>
            <w:r>
              <w:rPr>
                <w:rFonts w:hint="eastAsia" w:hAnsi="宋体"/>
                <w:snapToGrid w:val="0"/>
                <w:sz w:val="21"/>
                <w:szCs w:val="21"/>
              </w:rPr>
              <w:t>163</w:t>
            </w:r>
          </w:p>
        </w:tc>
        <w:tc>
          <w:tcPr>
            <w:tcW w:w="407" w:type="pct"/>
            <w:vAlign w:val="center"/>
          </w:tcPr>
          <w:p w14:paraId="68BB0588">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continue"/>
            <w:vAlign w:val="center"/>
          </w:tcPr>
          <w:p w14:paraId="69D03441">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7371997F">
            <w:pPr>
              <w:pStyle w:val="342"/>
              <w:overflowPunct w:val="0"/>
              <w:snapToGrid w:val="0"/>
              <w:spacing w:line="300" w:lineRule="exact"/>
              <w:rPr>
                <w:rFonts w:hint="eastAsia" w:hAnsi="宋体"/>
                <w:snapToGrid w:val="0"/>
                <w:sz w:val="21"/>
                <w:szCs w:val="21"/>
              </w:rPr>
            </w:pPr>
          </w:p>
        </w:tc>
      </w:tr>
      <w:tr w14:paraId="20220D8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continue"/>
            <w:vAlign w:val="center"/>
          </w:tcPr>
          <w:p w14:paraId="36A197A4">
            <w:pPr>
              <w:pStyle w:val="342"/>
              <w:overflowPunct w:val="0"/>
              <w:snapToGrid w:val="0"/>
              <w:spacing w:line="300" w:lineRule="exact"/>
              <w:rPr>
                <w:snapToGrid w:val="0"/>
                <w:sz w:val="21"/>
                <w:szCs w:val="21"/>
              </w:rPr>
            </w:pPr>
          </w:p>
        </w:tc>
        <w:tc>
          <w:tcPr>
            <w:tcW w:w="1299" w:type="pct"/>
            <w:vAlign w:val="center"/>
          </w:tcPr>
          <w:p w14:paraId="70434E7C">
            <w:pPr>
              <w:pStyle w:val="342"/>
              <w:tabs>
                <w:tab w:val="left" w:pos="1333"/>
              </w:tabs>
              <w:overflowPunct w:val="0"/>
              <w:snapToGrid w:val="0"/>
              <w:spacing w:line="300" w:lineRule="exact"/>
              <w:rPr>
                <w:snapToGrid w:val="0"/>
                <w:sz w:val="21"/>
                <w:szCs w:val="21"/>
              </w:rPr>
            </w:pPr>
            <w:r>
              <w:rPr>
                <w:rFonts w:hint="eastAsia"/>
                <w:snapToGrid w:val="0"/>
                <w:sz w:val="21"/>
                <w:szCs w:val="21"/>
              </w:rPr>
              <w:t>投捞式电潜螺杆泵</w:t>
            </w:r>
          </w:p>
        </w:tc>
        <w:tc>
          <w:tcPr>
            <w:tcW w:w="487" w:type="pct"/>
            <w:vAlign w:val="center"/>
          </w:tcPr>
          <w:p w14:paraId="6126D811">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2A3BE91B">
            <w:pPr>
              <w:pStyle w:val="342"/>
              <w:overflowPunct w:val="0"/>
              <w:snapToGrid w:val="0"/>
              <w:spacing w:line="300" w:lineRule="exact"/>
              <w:rPr>
                <w:rFonts w:hint="eastAsia" w:hAnsi="宋体"/>
                <w:snapToGrid w:val="0"/>
                <w:sz w:val="21"/>
                <w:szCs w:val="21"/>
              </w:rPr>
            </w:pPr>
            <w:r>
              <w:rPr>
                <w:rFonts w:hint="eastAsia" w:hAnsi="宋体"/>
                <w:snapToGrid w:val="0"/>
                <w:sz w:val="21"/>
                <w:szCs w:val="21"/>
              </w:rPr>
              <w:t>85～90</w:t>
            </w:r>
          </w:p>
        </w:tc>
        <w:tc>
          <w:tcPr>
            <w:tcW w:w="405" w:type="pct"/>
            <w:vAlign w:val="center"/>
          </w:tcPr>
          <w:p w14:paraId="576A7DFC">
            <w:pPr>
              <w:pStyle w:val="342"/>
              <w:overflowPunct w:val="0"/>
              <w:snapToGrid w:val="0"/>
              <w:spacing w:line="300" w:lineRule="exact"/>
              <w:rPr>
                <w:rFonts w:hint="eastAsia" w:hAnsi="宋体"/>
                <w:snapToGrid w:val="0"/>
                <w:sz w:val="21"/>
                <w:szCs w:val="21"/>
              </w:rPr>
            </w:pPr>
            <w:r>
              <w:rPr>
                <w:rFonts w:hint="eastAsia" w:hAnsi="宋体"/>
                <w:snapToGrid w:val="0"/>
                <w:sz w:val="21"/>
                <w:szCs w:val="21"/>
              </w:rPr>
              <w:t>-62</w:t>
            </w:r>
          </w:p>
        </w:tc>
        <w:tc>
          <w:tcPr>
            <w:tcW w:w="406" w:type="pct"/>
            <w:vAlign w:val="center"/>
          </w:tcPr>
          <w:p w14:paraId="2B7009D6">
            <w:pPr>
              <w:pStyle w:val="342"/>
              <w:overflowPunct w:val="0"/>
              <w:snapToGrid w:val="0"/>
              <w:spacing w:line="300" w:lineRule="exact"/>
              <w:rPr>
                <w:rFonts w:hint="eastAsia" w:hAnsi="宋体"/>
                <w:snapToGrid w:val="0"/>
                <w:sz w:val="21"/>
                <w:szCs w:val="21"/>
              </w:rPr>
            </w:pPr>
            <w:r>
              <w:rPr>
                <w:rFonts w:hint="eastAsia" w:hAnsi="宋体"/>
                <w:snapToGrid w:val="0"/>
                <w:sz w:val="21"/>
                <w:szCs w:val="21"/>
              </w:rPr>
              <w:t>100</w:t>
            </w:r>
          </w:p>
        </w:tc>
        <w:tc>
          <w:tcPr>
            <w:tcW w:w="407" w:type="pct"/>
            <w:vAlign w:val="center"/>
          </w:tcPr>
          <w:p w14:paraId="04360FB1">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continue"/>
            <w:vAlign w:val="center"/>
          </w:tcPr>
          <w:p w14:paraId="2904AE94">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33AA1CDD">
            <w:pPr>
              <w:pStyle w:val="342"/>
              <w:overflowPunct w:val="0"/>
              <w:snapToGrid w:val="0"/>
              <w:spacing w:line="300" w:lineRule="exact"/>
              <w:rPr>
                <w:rFonts w:hint="eastAsia" w:hAnsi="宋体"/>
                <w:snapToGrid w:val="0"/>
                <w:sz w:val="21"/>
                <w:szCs w:val="21"/>
              </w:rPr>
            </w:pPr>
          </w:p>
        </w:tc>
      </w:tr>
      <w:tr w14:paraId="7FD577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continue"/>
            <w:vAlign w:val="center"/>
          </w:tcPr>
          <w:p w14:paraId="7495082C">
            <w:pPr>
              <w:pStyle w:val="342"/>
              <w:overflowPunct w:val="0"/>
              <w:snapToGrid w:val="0"/>
              <w:spacing w:line="300" w:lineRule="exact"/>
              <w:rPr>
                <w:snapToGrid w:val="0"/>
                <w:sz w:val="21"/>
                <w:szCs w:val="21"/>
              </w:rPr>
            </w:pPr>
          </w:p>
        </w:tc>
        <w:tc>
          <w:tcPr>
            <w:tcW w:w="1299" w:type="pct"/>
            <w:vAlign w:val="center"/>
          </w:tcPr>
          <w:p w14:paraId="146788CE">
            <w:pPr>
              <w:pStyle w:val="342"/>
              <w:tabs>
                <w:tab w:val="left" w:pos="1333"/>
              </w:tabs>
              <w:overflowPunct w:val="0"/>
              <w:snapToGrid w:val="0"/>
              <w:spacing w:line="300" w:lineRule="exact"/>
              <w:rPr>
                <w:snapToGrid w:val="0"/>
                <w:sz w:val="21"/>
                <w:szCs w:val="21"/>
              </w:rPr>
            </w:pPr>
            <w:r>
              <w:rPr>
                <w:rFonts w:hint="eastAsia"/>
                <w:snapToGrid w:val="0"/>
                <w:sz w:val="21"/>
                <w:szCs w:val="21"/>
              </w:rPr>
              <w:t>投捞式电潜螺杆泵</w:t>
            </w:r>
          </w:p>
        </w:tc>
        <w:tc>
          <w:tcPr>
            <w:tcW w:w="487" w:type="pct"/>
            <w:vAlign w:val="center"/>
          </w:tcPr>
          <w:p w14:paraId="62F81463">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6232F3BA">
            <w:pPr>
              <w:pStyle w:val="342"/>
              <w:overflowPunct w:val="0"/>
              <w:snapToGrid w:val="0"/>
              <w:spacing w:line="300" w:lineRule="exact"/>
              <w:rPr>
                <w:rFonts w:hint="eastAsia" w:hAnsi="宋体"/>
                <w:snapToGrid w:val="0"/>
                <w:sz w:val="21"/>
                <w:szCs w:val="21"/>
              </w:rPr>
            </w:pPr>
            <w:r>
              <w:rPr>
                <w:rFonts w:hint="eastAsia" w:hAnsi="宋体"/>
                <w:snapToGrid w:val="0"/>
                <w:sz w:val="21"/>
                <w:szCs w:val="21"/>
              </w:rPr>
              <w:t>85～90</w:t>
            </w:r>
          </w:p>
        </w:tc>
        <w:tc>
          <w:tcPr>
            <w:tcW w:w="405" w:type="pct"/>
            <w:vAlign w:val="center"/>
          </w:tcPr>
          <w:p w14:paraId="57BD17A3">
            <w:pPr>
              <w:pStyle w:val="342"/>
              <w:overflowPunct w:val="0"/>
              <w:snapToGrid w:val="0"/>
              <w:spacing w:line="300" w:lineRule="exact"/>
              <w:rPr>
                <w:rFonts w:hint="eastAsia" w:hAnsi="宋体"/>
                <w:snapToGrid w:val="0"/>
                <w:sz w:val="21"/>
                <w:szCs w:val="21"/>
              </w:rPr>
            </w:pPr>
            <w:r>
              <w:rPr>
                <w:rFonts w:hint="eastAsia" w:hAnsi="宋体"/>
                <w:snapToGrid w:val="0"/>
                <w:sz w:val="21"/>
                <w:szCs w:val="21"/>
              </w:rPr>
              <w:t>-50</w:t>
            </w:r>
          </w:p>
        </w:tc>
        <w:tc>
          <w:tcPr>
            <w:tcW w:w="406" w:type="pct"/>
            <w:vAlign w:val="center"/>
          </w:tcPr>
          <w:p w14:paraId="0C40A5BB">
            <w:pPr>
              <w:pStyle w:val="342"/>
              <w:overflowPunct w:val="0"/>
              <w:snapToGrid w:val="0"/>
              <w:spacing w:line="300" w:lineRule="exact"/>
              <w:rPr>
                <w:rFonts w:hint="eastAsia" w:hAnsi="宋体"/>
                <w:snapToGrid w:val="0"/>
                <w:sz w:val="21"/>
                <w:szCs w:val="21"/>
              </w:rPr>
            </w:pPr>
            <w:r>
              <w:rPr>
                <w:rFonts w:hint="eastAsia" w:hAnsi="宋体"/>
                <w:snapToGrid w:val="0"/>
                <w:sz w:val="21"/>
                <w:szCs w:val="21"/>
              </w:rPr>
              <w:t>96</w:t>
            </w:r>
          </w:p>
        </w:tc>
        <w:tc>
          <w:tcPr>
            <w:tcW w:w="407" w:type="pct"/>
            <w:vAlign w:val="center"/>
          </w:tcPr>
          <w:p w14:paraId="27229E6C">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continue"/>
            <w:vAlign w:val="center"/>
          </w:tcPr>
          <w:p w14:paraId="76246481">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6D30AFCF">
            <w:pPr>
              <w:pStyle w:val="342"/>
              <w:overflowPunct w:val="0"/>
              <w:snapToGrid w:val="0"/>
              <w:spacing w:line="300" w:lineRule="exact"/>
              <w:rPr>
                <w:rFonts w:hint="eastAsia" w:hAnsi="宋体"/>
                <w:snapToGrid w:val="0"/>
                <w:sz w:val="21"/>
                <w:szCs w:val="21"/>
              </w:rPr>
            </w:pPr>
          </w:p>
        </w:tc>
      </w:tr>
      <w:tr w14:paraId="65FF8B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continue"/>
            <w:vAlign w:val="center"/>
          </w:tcPr>
          <w:p w14:paraId="3C471CFF">
            <w:pPr>
              <w:pStyle w:val="342"/>
              <w:overflowPunct w:val="0"/>
              <w:snapToGrid w:val="0"/>
              <w:spacing w:line="300" w:lineRule="exact"/>
              <w:rPr>
                <w:snapToGrid w:val="0"/>
                <w:sz w:val="21"/>
                <w:szCs w:val="21"/>
              </w:rPr>
            </w:pPr>
          </w:p>
        </w:tc>
        <w:tc>
          <w:tcPr>
            <w:tcW w:w="1299" w:type="pct"/>
            <w:vAlign w:val="center"/>
          </w:tcPr>
          <w:p w14:paraId="0F303224">
            <w:pPr>
              <w:pStyle w:val="342"/>
              <w:tabs>
                <w:tab w:val="left" w:pos="1333"/>
              </w:tabs>
              <w:overflowPunct w:val="0"/>
              <w:snapToGrid w:val="0"/>
              <w:spacing w:line="300" w:lineRule="exact"/>
              <w:rPr>
                <w:snapToGrid w:val="0"/>
                <w:sz w:val="21"/>
                <w:szCs w:val="21"/>
              </w:rPr>
            </w:pPr>
            <w:r>
              <w:rPr>
                <w:rFonts w:hint="eastAsia"/>
                <w:snapToGrid w:val="0"/>
                <w:sz w:val="21"/>
                <w:szCs w:val="21"/>
              </w:rPr>
              <w:t>投捞式电潜螺杆泵</w:t>
            </w:r>
          </w:p>
        </w:tc>
        <w:tc>
          <w:tcPr>
            <w:tcW w:w="487" w:type="pct"/>
            <w:vAlign w:val="center"/>
          </w:tcPr>
          <w:p w14:paraId="470037D7">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6E6B05C0">
            <w:pPr>
              <w:pStyle w:val="342"/>
              <w:overflowPunct w:val="0"/>
              <w:snapToGrid w:val="0"/>
              <w:spacing w:line="300" w:lineRule="exact"/>
              <w:rPr>
                <w:rFonts w:hint="eastAsia" w:hAnsi="宋体"/>
                <w:snapToGrid w:val="0"/>
                <w:sz w:val="21"/>
                <w:szCs w:val="21"/>
              </w:rPr>
            </w:pPr>
            <w:r>
              <w:rPr>
                <w:rFonts w:hint="eastAsia" w:hAnsi="宋体"/>
                <w:snapToGrid w:val="0"/>
                <w:sz w:val="21"/>
                <w:szCs w:val="21"/>
              </w:rPr>
              <w:t>85</w:t>
            </w:r>
            <w:bookmarkStart w:id="332" w:name="OLE_LINK370"/>
            <w:r>
              <w:rPr>
                <w:rFonts w:hint="eastAsia" w:hAnsi="宋体"/>
                <w:snapToGrid w:val="0"/>
                <w:sz w:val="21"/>
                <w:szCs w:val="21"/>
              </w:rPr>
              <w:t>～90</w:t>
            </w:r>
            <w:bookmarkEnd w:id="332"/>
          </w:p>
        </w:tc>
        <w:tc>
          <w:tcPr>
            <w:tcW w:w="405" w:type="pct"/>
            <w:vAlign w:val="center"/>
          </w:tcPr>
          <w:p w14:paraId="1AC87E01">
            <w:pPr>
              <w:pStyle w:val="342"/>
              <w:overflowPunct w:val="0"/>
              <w:snapToGrid w:val="0"/>
              <w:spacing w:line="300" w:lineRule="exact"/>
              <w:rPr>
                <w:rFonts w:hint="eastAsia" w:hAnsi="宋体"/>
                <w:snapToGrid w:val="0"/>
                <w:sz w:val="21"/>
                <w:szCs w:val="21"/>
              </w:rPr>
            </w:pPr>
            <w:r>
              <w:rPr>
                <w:rFonts w:hint="eastAsia" w:hAnsi="宋体"/>
                <w:snapToGrid w:val="0"/>
                <w:sz w:val="21"/>
                <w:szCs w:val="21"/>
              </w:rPr>
              <w:t>10</w:t>
            </w:r>
          </w:p>
        </w:tc>
        <w:tc>
          <w:tcPr>
            <w:tcW w:w="406" w:type="pct"/>
            <w:vAlign w:val="center"/>
          </w:tcPr>
          <w:p w14:paraId="1896AB88">
            <w:pPr>
              <w:pStyle w:val="342"/>
              <w:overflowPunct w:val="0"/>
              <w:snapToGrid w:val="0"/>
              <w:spacing w:line="300" w:lineRule="exact"/>
              <w:rPr>
                <w:rFonts w:hint="eastAsia" w:hAnsi="宋体"/>
                <w:snapToGrid w:val="0"/>
                <w:sz w:val="21"/>
                <w:szCs w:val="21"/>
              </w:rPr>
            </w:pPr>
            <w:r>
              <w:rPr>
                <w:rFonts w:hint="eastAsia" w:hAnsi="宋体"/>
                <w:snapToGrid w:val="0"/>
                <w:sz w:val="21"/>
                <w:szCs w:val="21"/>
              </w:rPr>
              <w:t>24</w:t>
            </w:r>
          </w:p>
        </w:tc>
        <w:tc>
          <w:tcPr>
            <w:tcW w:w="407" w:type="pct"/>
            <w:vAlign w:val="center"/>
          </w:tcPr>
          <w:p w14:paraId="673F389A">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continue"/>
            <w:vAlign w:val="center"/>
          </w:tcPr>
          <w:p w14:paraId="7F6B4E9F">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52B4326E">
            <w:pPr>
              <w:pStyle w:val="342"/>
              <w:overflowPunct w:val="0"/>
              <w:snapToGrid w:val="0"/>
              <w:spacing w:line="300" w:lineRule="exact"/>
              <w:rPr>
                <w:rFonts w:hint="eastAsia" w:hAnsi="宋体"/>
                <w:snapToGrid w:val="0"/>
                <w:sz w:val="21"/>
                <w:szCs w:val="21"/>
              </w:rPr>
            </w:pPr>
          </w:p>
        </w:tc>
      </w:tr>
      <w:tr w14:paraId="11B092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restart"/>
            <w:vAlign w:val="center"/>
          </w:tcPr>
          <w:p w14:paraId="4A1543D1">
            <w:pPr>
              <w:pStyle w:val="342"/>
              <w:overflowPunct w:val="0"/>
              <w:snapToGrid w:val="0"/>
              <w:spacing w:line="300" w:lineRule="exact"/>
              <w:rPr>
                <w:snapToGrid w:val="0"/>
                <w:sz w:val="21"/>
                <w:szCs w:val="21"/>
              </w:rPr>
            </w:pPr>
            <w:r>
              <w:rPr>
                <w:rFonts w:hint="eastAsia"/>
                <w:snapToGrid w:val="0"/>
                <w:sz w:val="21"/>
                <w:szCs w:val="21"/>
              </w:rPr>
              <w:t>计量拉油站</w:t>
            </w:r>
          </w:p>
        </w:tc>
        <w:tc>
          <w:tcPr>
            <w:tcW w:w="1299" w:type="pct"/>
            <w:vAlign w:val="center"/>
          </w:tcPr>
          <w:p w14:paraId="2CD782B1">
            <w:pPr>
              <w:pStyle w:val="342"/>
              <w:tabs>
                <w:tab w:val="left" w:pos="1333"/>
              </w:tabs>
              <w:overflowPunct w:val="0"/>
              <w:snapToGrid w:val="0"/>
              <w:spacing w:line="300" w:lineRule="exact"/>
              <w:rPr>
                <w:snapToGrid w:val="0"/>
                <w:sz w:val="21"/>
                <w:szCs w:val="21"/>
              </w:rPr>
            </w:pPr>
            <w:r>
              <w:rPr>
                <w:rFonts w:hint="eastAsia"/>
                <w:snapToGrid w:val="0"/>
                <w:sz w:val="21"/>
                <w:szCs w:val="21"/>
              </w:rPr>
              <w:t>生产分离器</w:t>
            </w:r>
          </w:p>
        </w:tc>
        <w:tc>
          <w:tcPr>
            <w:tcW w:w="487" w:type="pct"/>
            <w:vAlign w:val="center"/>
          </w:tcPr>
          <w:p w14:paraId="62BD8B01">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1C8A82E0">
            <w:pPr>
              <w:pStyle w:val="342"/>
              <w:overflowPunct w:val="0"/>
              <w:snapToGrid w:val="0"/>
              <w:spacing w:line="300" w:lineRule="exact"/>
              <w:rPr>
                <w:rFonts w:hint="eastAsia" w:hAnsi="宋体"/>
                <w:snapToGrid w:val="0"/>
                <w:sz w:val="21"/>
                <w:szCs w:val="21"/>
              </w:rPr>
            </w:pPr>
            <w:r>
              <w:rPr>
                <w:rFonts w:hint="eastAsia" w:hAnsi="宋体"/>
                <w:snapToGrid w:val="0"/>
                <w:sz w:val="21"/>
                <w:szCs w:val="21"/>
              </w:rPr>
              <w:t>80～85</w:t>
            </w:r>
          </w:p>
        </w:tc>
        <w:tc>
          <w:tcPr>
            <w:tcW w:w="405" w:type="pct"/>
            <w:vAlign w:val="center"/>
          </w:tcPr>
          <w:p w14:paraId="08CB993B">
            <w:pPr>
              <w:pStyle w:val="342"/>
              <w:overflowPunct w:val="0"/>
              <w:snapToGrid w:val="0"/>
              <w:spacing w:line="300" w:lineRule="exact"/>
              <w:rPr>
                <w:rFonts w:hint="eastAsia" w:hAnsi="宋体"/>
                <w:snapToGrid w:val="0"/>
                <w:sz w:val="21"/>
                <w:szCs w:val="21"/>
              </w:rPr>
            </w:pPr>
            <w:r>
              <w:rPr>
                <w:rFonts w:hint="eastAsia" w:hAnsi="宋体"/>
                <w:snapToGrid w:val="0"/>
                <w:sz w:val="21"/>
                <w:szCs w:val="21"/>
              </w:rPr>
              <w:t>-2</w:t>
            </w:r>
          </w:p>
        </w:tc>
        <w:tc>
          <w:tcPr>
            <w:tcW w:w="406" w:type="pct"/>
            <w:vAlign w:val="center"/>
          </w:tcPr>
          <w:p w14:paraId="05C21559">
            <w:pPr>
              <w:pStyle w:val="342"/>
              <w:overflowPunct w:val="0"/>
              <w:snapToGrid w:val="0"/>
              <w:spacing w:line="300" w:lineRule="exact"/>
              <w:rPr>
                <w:rFonts w:hint="eastAsia" w:hAnsi="宋体"/>
                <w:snapToGrid w:val="0"/>
                <w:sz w:val="21"/>
                <w:szCs w:val="21"/>
              </w:rPr>
            </w:pPr>
            <w:r>
              <w:rPr>
                <w:rFonts w:hint="eastAsia" w:hAnsi="宋体"/>
                <w:snapToGrid w:val="0"/>
                <w:sz w:val="21"/>
                <w:szCs w:val="21"/>
              </w:rPr>
              <w:t>16</w:t>
            </w:r>
          </w:p>
        </w:tc>
        <w:tc>
          <w:tcPr>
            <w:tcW w:w="407" w:type="pct"/>
            <w:vAlign w:val="center"/>
          </w:tcPr>
          <w:p w14:paraId="01B9B18E">
            <w:pPr>
              <w:pStyle w:val="342"/>
              <w:overflowPunct w:val="0"/>
              <w:snapToGrid w:val="0"/>
              <w:spacing w:line="300" w:lineRule="exact"/>
              <w:rPr>
                <w:rFonts w:hint="eastAsia" w:hAnsi="宋体"/>
                <w:snapToGrid w:val="0"/>
                <w:sz w:val="21"/>
                <w:szCs w:val="21"/>
              </w:rPr>
            </w:pPr>
            <w:r>
              <w:rPr>
                <w:rFonts w:hint="eastAsia" w:hAnsi="宋体"/>
                <w:snapToGrid w:val="0"/>
                <w:sz w:val="21"/>
                <w:szCs w:val="21"/>
              </w:rPr>
              <w:t>0.5</w:t>
            </w:r>
          </w:p>
        </w:tc>
        <w:tc>
          <w:tcPr>
            <w:tcW w:w="568" w:type="pct"/>
            <w:vMerge w:val="continue"/>
            <w:vAlign w:val="center"/>
          </w:tcPr>
          <w:p w14:paraId="4BDD4D3B">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03E8B691">
            <w:pPr>
              <w:pStyle w:val="342"/>
              <w:overflowPunct w:val="0"/>
              <w:snapToGrid w:val="0"/>
              <w:spacing w:line="300" w:lineRule="exact"/>
              <w:rPr>
                <w:rFonts w:hint="eastAsia" w:hAnsi="宋体"/>
                <w:snapToGrid w:val="0"/>
                <w:sz w:val="21"/>
                <w:szCs w:val="21"/>
              </w:rPr>
            </w:pPr>
          </w:p>
        </w:tc>
      </w:tr>
      <w:tr w14:paraId="781B7DA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487" w:type="pct"/>
            <w:vMerge w:val="continue"/>
            <w:vAlign w:val="center"/>
          </w:tcPr>
          <w:p w14:paraId="63E9D565">
            <w:pPr>
              <w:pStyle w:val="342"/>
              <w:overflowPunct w:val="0"/>
              <w:snapToGrid w:val="0"/>
              <w:spacing w:line="300" w:lineRule="exact"/>
              <w:rPr>
                <w:snapToGrid w:val="0"/>
                <w:sz w:val="21"/>
                <w:szCs w:val="21"/>
              </w:rPr>
            </w:pPr>
          </w:p>
        </w:tc>
        <w:tc>
          <w:tcPr>
            <w:tcW w:w="1299" w:type="pct"/>
            <w:vAlign w:val="center"/>
          </w:tcPr>
          <w:p w14:paraId="1CAC657A">
            <w:pPr>
              <w:pStyle w:val="342"/>
              <w:tabs>
                <w:tab w:val="left" w:pos="1333"/>
              </w:tabs>
              <w:overflowPunct w:val="0"/>
              <w:snapToGrid w:val="0"/>
              <w:spacing w:line="300" w:lineRule="exact"/>
              <w:rPr>
                <w:snapToGrid w:val="0"/>
                <w:sz w:val="21"/>
                <w:szCs w:val="21"/>
              </w:rPr>
            </w:pPr>
            <w:r>
              <w:rPr>
                <w:rFonts w:hint="eastAsia"/>
                <w:snapToGrid w:val="0"/>
                <w:sz w:val="21"/>
                <w:szCs w:val="21"/>
              </w:rPr>
              <w:t>放空火炬</w:t>
            </w:r>
          </w:p>
        </w:tc>
        <w:tc>
          <w:tcPr>
            <w:tcW w:w="487" w:type="pct"/>
            <w:vAlign w:val="center"/>
          </w:tcPr>
          <w:p w14:paraId="1CBDAE5F">
            <w:pPr>
              <w:pStyle w:val="342"/>
              <w:tabs>
                <w:tab w:val="left" w:pos="1333"/>
              </w:tabs>
              <w:overflowPunct w:val="0"/>
              <w:snapToGrid w:val="0"/>
              <w:spacing w:line="300" w:lineRule="exact"/>
              <w:rPr>
                <w:snapToGrid w:val="0"/>
                <w:sz w:val="21"/>
                <w:szCs w:val="21"/>
              </w:rPr>
            </w:pPr>
            <w:r>
              <w:rPr>
                <w:rFonts w:hint="eastAsia"/>
                <w:snapToGrid w:val="0"/>
                <w:sz w:val="21"/>
                <w:szCs w:val="21"/>
              </w:rPr>
              <w:t>1</w:t>
            </w:r>
          </w:p>
        </w:tc>
        <w:tc>
          <w:tcPr>
            <w:tcW w:w="568" w:type="pct"/>
            <w:vAlign w:val="center"/>
          </w:tcPr>
          <w:p w14:paraId="33D73D11">
            <w:pPr>
              <w:pStyle w:val="342"/>
              <w:overflowPunct w:val="0"/>
              <w:snapToGrid w:val="0"/>
              <w:spacing w:line="300" w:lineRule="exact"/>
              <w:rPr>
                <w:rFonts w:hint="eastAsia" w:hAnsi="宋体"/>
                <w:snapToGrid w:val="0"/>
                <w:sz w:val="21"/>
                <w:szCs w:val="21"/>
              </w:rPr>
            </w:pPr>
            <w:r>
              <w:rPr>
                <w:rFonts w:hint="eastAsia" w:hAnsi="宋体"/>
                <w:snapToGrid w:val="0"/>
                <w:sz w:val="21"/>
                <w:szCs w:val="21"/>
              </w:rPr>
              <w:t>90</w:t>
            </w:r>
          </w:p>
        </w:tc>
        <w:tc>
          <w:tcPr>
            <w:tcW w:w="405" w:type="pct"/>
            <w:vAlign w:val="center"/>
          </w:tcPr>
          <w:p w14:paraId="634E84BF">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406" w:type="pct"/>
            <w:vAlign w:val="center"/>
          </w:tcPr>
          <w:p w14:paraId="56478FD7">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407" w:type="pct"/>
            <w:vAlign w:val="center"/>
          </w:tcPr>
          <w:p w14:paraId="12661FFF">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568" w:type="pct"/>
            <w:vMerge w:val="continue"/>
            <w:vAlign w:val="center"/>
          </w:tcPr>
          <w:p w14:paraId="72E63AE5">
            <w:pPr>
              <w:pStyle w:val="342"/>
              <w:overflowPunct w:val="0"/>
              <w:snapToGrid w:val="0"/>
              <w:spacing w:line="300" w:lineRule="exact"/>
              <w:rPr>
                <w:rFonts w:hint="eastAsia" w:hAnsi="宋体"/>
                <w:snapToGrid w:val="0"/>
                <w:sz w:val="21"/>
                <w:szCs w:val="21"/>
              </w:rPr>
            </w:pPr>
          </w:p>
        </w:tc>
        <w:tc>
          <w:tcPr>
            <w:tcW w:w="372" w:type="pct"/>
            <w:vMerge w:val="continue"/>
            <w:vAlign w:val="center"/>
          </w:tcPr>
          <w:p w14:paraId="056E6B6A">
            <w:pPr>
              <w:pStyle w:val="342"/>
              <w:overflowPunct w:val="0"/>
              <w:snapToGrid w:val="0"/>
              <w:spacing w:line="300" w:lineRule="exact"/>
              <w:rPr>
                <w:rFonts w:hint="eastAsia" w:hAnsi="宋体"/>
                <w:snapToGrid w:val="0"/>
                <w:sz w:val="21"/>
                <w:szCs w:val="21"/>
              </w:rPr>
            </w:pPr>
          </w:p>
        </w:tc>
      </w:tr>
      <w:tr w14:paraId="4784CB1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1786" w:type="pct"/>
            <w:gridSpan w:val="2"/>
            <w:vAlign w:val="center"/>
          </w:tcPr>
          <w:p w14:paraId="119AA4FE">
            <w:pPr>
              <w:pStyle w:val="342"/>
              <w:tabs>
                <w:tab w:val="left" w:pos="1333"/>
              </w:tabs>
              <w:overflowPunct w:val="0"/>
              <w:snapToGrid w:val="0"/>
              <w:spacing w:line="300" w:lineRule="exact"/>
              <w:rPr>
                <w:snapToGrid w:val="0"/>
                <w:sz w:val="21"/>
                <w:szCs w:val="21"/>
              </w:rPr>
            </w:pPr>
            <w:r>
              <w:rPr>
                <w:rFonts w:hint="eastAsia"/>
                <w:snapToGrid w:val="0"/>
                <w:sz w:val="21"/>
                <w:szCs w:val="21"/>
              </w:rPr>
              <w:t>罐车及巡检车辆</w:t>
            </w:r>
          </w:p>
        </w:tc>
        <w:tc>
          <w:tcPr>
            <w:tcW w:w="487" w:type="pct"/>
            <w:vAlign w:val="center"/>
          </w:tcPr>
          <w:p w14:paraId="74B85C9E">
            <w:pPr>
              <w:pStyle w:val="342"/>
              <w:tabs>
                <w:tab w:val="left" w:pos="1333"/>
              </w:tabs>
              <w:overflowPunct w:val="0"/>
              <w:snapToGrid w:val="0"/>
              <w:spacing w:line="300" w:lineRule="exact"/>
              <w:rPr>
                <w:snapToGrid w:val="0"/>
                <w:sz w:val="21"/>
                <w:szCs w:val="21"/>
              </w:rPr>
            </w:pPr>
            <w:r>
              <w:rPr>
                <w:rFonts w:hint="eastAsia"/>
                <w:snapToGrid w:val="0"/>
                <w:sz w:val="21"/>
                <w:szCs w:val="21"/>
              </w:rPr>
              <w:t>/</w:t>
            </w:r>
          </w:p>
        </w:tc>
        <w:tc>
          <w:tcPr>
            <w:tcW w:w="568" w:type="pct"/>
            <w:vAlign w:val="center"/>
          </w:tcPr>
          <w:p w14:paraId="5FC60A04">
            <w:pPr>
              <w:pStyle w:val="342"/>
              <w:overflowPunct w:val="0"/>
              <w:snapToGrid w:val="0"/>
              <w:spacing w:line="300" w:lineRule="exact"/>
              <w:rPr>
                <w:rFonts w:hint="eastAsia" w:hAnsi="宋体"/>
                <w:snapToGrid w:val="0"/>
                <w:sz w:val="21"/>
                <w:szCs w:val="21"/>
              </w:rPr>
            </w:pPr>
            <w:r>
              <w:rPr>
                <w:rFonts w:hint="eastAsia"/>
                <w:sz w:val="21"/>
              </w:rPr>
              <w:t>60～90</w:t>
            </w:r>
          </w:p>
        </w:tc>
        <w:tc>
          <w:tcPr>
            <w:tcW w:w="405" w:type="pct"/>
            <w:vAlign w:val="center"/>
          </w:tcPr>
          <w:p w14:paraId="4B7B1597">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406" w:type="pct"/>
            <w:vAlign w:val="center"/>
          </w:tcPr>
          <w:p w14:paraId="4BF82F66">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407" w:type="pct"/>
            <w:vAlign w:val="center"/>
          </w:tcPr>
          <w:p w14:paraId="0B3F4B54">
            <w:pPr>
              <w:pStyle w:val="342"/>
              <w:overflowPunct w:val="0"/>
              <w:snapToGrid w:val="0"/>
              <w:spacing w:line="300" w:lineRule="exact"/>
              <w:rPr>
                <w:rFonts w:hint="eastAsia" w:hAnsi="宋体"/>
                <w:snapToGrid w:val="0"/>
                <w:sz w:val="21"/>
                <w:szCs w:val="21"/>
              </w:rPr>
            </w:pPr>
            <w:r>
              <w:rPr>
                <w:rFonts w:hint="eastAsia" w:hAnsi="宋体"/>
                <w:snapToGrid w:val="0"/>
                <w:sz w:val="21"/>
                <w:szCs w:val="21"/>
              </w:rPr>
              <w:t>/</w:t>
            </w:r>
          </w:p>
        </w:tc>
        <w:tc>
          <w:tcPr>
            <w:tcW w:w="568" w:type="pct"/>
            <w:vAlign w:val="center"/>
          </w:tcPr>
          <w:p w14:paraId="16397EE1">
            <w:pPr>
              <w:pStyle w:val="342"/>
              <w:overflowPunct w:val="0"/>
              <w:snapToGrid w:val="0"/>
              <w:spacing w:line="300" w:lineRule="exact"/>
              <w:rPr>
                <w:rFonts w:hint="eastAsia" w:hAnsi="宋体"/>
                <w:snapToGrid w:val="0"/>
                <w:sz w:val="21"/>
                <w:szCs w:val="21"/>
              </w:rPr>
            </w:pPr>
            <w:r>
              <w:rPr>
                <w:rFonts w:hint="eastAsia" w:hAnsi="宋体"/>
                <w:snapToGrid w:val="0"/>
                <w:sz w:val="21"/>
                <w:szCs w:val="21"/>
              </w:rPr>
              <w:t>加强检维修、保养</w:t>
            </w:r>
          </w:p>
        </w:tc>
        <w:tc>
          <w:tcPr>
            <w:tcW w:w="372" w:type="pct"/>
            <w:vAlign w:val="center"/>
          </w:tcPr>
          <w:p w14:paraId="36C53B68">
            <w:pPr>
              <w:pStyle w:val="342"/>
              <w:overflowPunct w:val="0"/>
              <w:snapToGrid w:val="0"/>
              <w:spacing w:line="300" w:lineRule="exact"/>
              <w:jc w:val="both"/>
              <w:rPr>
                <w:rFonts w:hint="eastAsia" w:hAnsi="宋体"/>
                <w:snapToGrid w:val="0"/>
                <w:sz w:val="21"/>
                <w:szCs w:val="21"/>
              </w:rPr>
            </w:pPr>
            <w:r>
              <w:rPr>
                <w:rFonts w:hint="eastAsia" w:hAnsi="宋体"/>
                <w:snapToGrid w:val="0"/>
                <w:sz w:val="21"/>
                <w:szCs w:val="21"/>
              </w:rPr>
              <w:t>间歇</w:t>
            </w:r>
          </w:p>
        </w:tc>
      </w:tr>
    </w:tbl>
    <w:p w14:paraId="6D6965BC">
      <w:pPr>
        <w:adjustRightInd w:val="0"/>
        <w:snapToGrid w:val="0"/>
        <w:spacing w:line="500" w:lineRule="exact"/>
        <w:ind w:firstLine="480" w:firstLineChars="200"/>
        <w:jc w:val="left"/>
        <w:textAlignment w:val="baseline"/>
        <w:rPr>
          <w:rFonts w:hint="eastAsia" w:ascii="宋体" w:hAnsi="宋体"/>
          <w:kern w:val="0"/>
          <w:sz w:val="24"/>
        </w:rPr>
      </w:pPr>
      <w:r>
        <w:rPr>
          <w:rFonts w:hint="eastAsia" w:ascii="宋体" w:hAnsi="宋体"/>
          <w:kern w:val="0"/>
          <w:sz w:val="24"/>
        </w:rPr>
        <w:t>（4）固体废物</w:t>
      </w:r>
    </w:p>
    <w:p w14:paraId="7F70BF73">
      <w:pPr>
        <w:pStyle w:val="117"/>
        <w:ind w:firstLine="480"/>
        <w:rPr>
          <w:rFonts w:hint="eastAsia" w:cs="宋体"/>
          <w:lang w:val="zh-CN"/>
        </w:rPr>
      </w:pPr>
      <w:r>
        <w:rPr>
          <w:rFonts w:hint="eastAsia" w:cs="宋体"/>
          <w:lang w:val="zh-CN"/>
        </w:rPr>
        <w:t>一期工程固体废物主要为清罐底泥、废润滑油、废润滑油桶、沾油废防渗材料、废含油抹布和劳保用品、废脱硫剂包装物。二期工程不新增固体废物，二期工程实施后油气实现密闭集输，拉油方罐拆除，由之产生的清罐底泥也随之消失。</w:t>
      </w:r>
    </w:p>
    <w:p w14:paraId="564E5BA2">
      <w:pPr>
        <w:pStyle w:val="117"/>
        <w:ind w:firstLine="480"/>
        <w:rPr>
          <w:rFonts w:hint="eastAsia" w:cs="宋体"/>
          <w:lang w:val="zh-CN"/>
        </w:rPr>
      </w:pPr>
      <w:r>
        <w:rPr>
          <w:rFonts w:hint="eastAsia" w:cs="宋体"/>
          <w:lang w:val="zh-CN"/>
        </w:rPr>
        <w:t>①清罐底泥</w:t>
      </w:r>
    </w:p>
    <w:p w14:paraId="6CFD1F85">
      <w:pPr>
        <w:pStyle w:val="117"/>
        <w:ind w:firstLine="480"/>
        <w:rPr>
          <w:rFonts w:hint="eastAsia"/>
        </w:rPr>
      </w:pPr>
      <w:r>
        <w:rPr>
          <w:rFonts w:hint="eastAsia"/>
        </w:rPr>
        <w:t>拉油方罐定期进行清理，清理过程中会产生一定的清罐底泥，目前无相应的源强核算技术指南，本次参照《排放源统计调查产排污核算方法和系数手册》（</w:t>
      </w:r>
      <w:r>
        <w:t>2021</w:t>
      </w:r>
      <w:r>
        <w:rPr>
          <w:rFonts w:hint="eastAsia"/>
        </w:rPr>
        <w:t>年第</w:t>
      </w:r>
      <w:r>
        <w:t>24</w:t>
      </w:r>
      <w:r>
        <w:rPr>
          <w:rFonts w:hint="eastAsia"/>
        </w:rPr>
        <w:t>号）中的《工业源产排污核算方法和系数手册》</w:t>
      </w:r>
      <w:r>
        <w:t>-07</w:t>
      </w:r>
      <w:r>
        <w:rPr>
          <w:rFonts w:hint="eastAsia"/>
        </w:rPr>
        <w:t>石油和天然气开采行业系数手册——非稠油检修清罐、管线刺漏、晒水隔油池等清淤环节含油污泥产污系数（9</w:t>
      </w:r>
      <w:r>
        <w:t>0.76</w:t>
      </w:r>
      <w:r>
        <w:rPr>
          <w:rFonts w:hint="eastAsia"/>
        </w:rPr>
        <w:t>t</w:t>
      </w:r>
      <w:r>
        <w:t>/10</w:t>
      </w:r>
      <w:r>
        <w:rPr>
          <w:vertAlign w:val="superscript"/>
        </w:rPr>
        <w:t>4</w:t>
      </w:r>
      <w:r>
        <w:rPr>
          <w:rFonts w:hint="eastAsia"/>
        </w:rPr>
        <w:t>t产品）来核算清罐底泥的产生量，本项目年平均产油量约为2.7×10</w:t>
      </w:r>
      <w:r>
        <w:rPr>
          <w:rFonts w:hint="eastAsia"/>
          <w:vertAlign w:val="superscript"/>
        </w:rPr>
        <w:t>4</w:t>
      </w:r>
      <w:r>
        <w:rPr>
          <w:rFonts w:hint="eastAsia"/>
        </w:rPr>
        <w:t>t/a，据此计算清罐底泥产生量为245t/</w:t>
      </w:r>
      <w:r>
        <w:t>a</w:t>
      </w:r>
      <w:r>
        <w:rPr>
          <w:rFonts w:hint="eastAsia"/>
        </w:rPr>
        <w:t>。清罐底泥属于《国家危险废物名录》（2021版）HW08废矿物油和含矿物油废物（废物代码0</w:t>
      </w:r>
      <w:r>
        <w:t>71</w:t>
      </w:r>
      <w:r>
        <w:rPr>
          <w:rFonts w:hint="eastAsia"/>
        </w:rPr>
        <w:t>-</w:t>
      </w:r>
      <w:r>
        <w:t>001</w:t>
      </w:r>
      <w:r>
        <w:rPr>
          <w:rFonts w:hint="eastAsia"/>
        </w:rPr>
        <w:t>-</w:t>
      </w:r>
      <w:r>
        <w:t>08</w:t>
      </w:r>
      <w:r>
        <w:rPr>
          <w:rFonts w:hint="eastAsia"/>
        </w:rPr>
        <w:t>，危险特性为T、I），</w:t>
      </w:r>
      <w:r>
        <w:rPr>
          <w:rFonts w:hint="eastAsia" w:cs="宋体"/>
          <w:lang w:val="zh-CN"/>
        </w:rPr>
        <w:t>清罐时联系危险废物运输单位，直接将产生的清罐底泥运输至有相应危险废物处理资质的单位回收处置</w:t>
      </w:r>
      <w:r>
        <w:rPr>
          <w:rFonts w:hint="eastAsia"/>
        </w:rPr>
        <w:t>。</w:t>
      </w:r>
    </w:p>
    <w:p w14:paraId="7FD2C008">
      <w:pPr>
        <w:pStyle w:val="117"/>
        <w:ind w:firstLine="480"/>
        <w:rPr>
          <w:rFonts w:hint="eastAsia" w:cs="宋体"/>
          <w:lang w:val="zh-CN"/>
        </w:rPr>
      </w:pPr>
      <w:r>
        <w:rPr>
          <w:rFonts w:hint="eastAsia" w:cs="宋体"/>
          <w:lang w:val="zh-CN"/>
        </w:rPr>
        <w:t>②废润滑油</w:t>
      </w:r>
    </w:p>
    <w:p w14:paraId="40E17573">
      <w:pPr>
        <w:pStyle w:val="117"/>
        <w:ind w:firstLine="480"/>
        <w:rPr>
          <w:rFonts w:hint="eastAsia" w:cs="宋体"/>
          <w:lang w:val="zh-CN"/>
        </w:rPr>
      </w:pPr>
      <w:r>
        <w:rPr>
          <w:rFonts w:hint="eastAsia" w:cs="宋体"/>
          <w:lang w:val="zh-CN"/>
        </w:rPr>
        <w:t>设备维修会产生废润滑油，产生量约为</w:t>
      </w:r>
      <w:r>
        <w:rPr>
          <w:rFonts w:cs="宋体"/>
          <w:lang w:val="zh-CN"/>
        </w:rPr>
        <w:t>0.05t/a</w:t>
      </w:r>
      <w:r>
        <w:rPr>
          <w:rFonts w:hint="eastAsia" w:cs="宋体"/>
          <w:lang w:val="zh-CN"/>
        </w:rPr>
        <w:t>，则5口井合计产生量为0.25t/a，废润滑油属于《国家危险废物名录》（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废矿物油和含矿物油废物，废物代码为</w:t>
      </w:r>
      <w:r>
        <w:rPr>
          <w:rFonts w:cs="宋体"/>
          <w:lang w:val="zh-CN"/>
        </w:rPr>
        <w:t>900-2</w:t>
      </w:r>
      <w:r>
        <w:rPr>
          <w:rFonts w:hint="eastAsia" w:cs="宋体"/>
          <w:lang w:val="zh-CN"/>
        </w:rPr>
        <w:t>14</w:t>
      </w:r>
      <w:r>
        <w:rPr>
          <w:rFonts w:cs="宋体"/>
          <w:lang w:val="zh-CN"/>
        </w:rPr>
        <w:t>-08</w:t>
      </w:r>
      <w:r>
        <w:rPr>
          <w:rFonts w:hint="eastAsia" w:cs="宋体"/>
          <w:lang w:val="zh-CN"/>
        </w:rPr>
        <w:t>，危险特性为</w:t>
      </w:r>
      <w:r>
        <w:rPr>
          <w:rFonts w:cs="宋体"/>
          <w:lang w:val="zh-CN"/>
        </w:rPr>
        <w:t>T</w:t>
      </w:r>
      <w:r>
        <w:rPr>
          <w:rFonts w:hint="eastAsia" w:cs="宋体"/>
          <w:lang w:val="zh-CN"/>
        </w:rPr>
        <w:t>、</w:t>
      </w:r>
      <w:r>
        <w:rPr>
          <w:rFonts w:cs="宋体"/>
          <w:lang w:val="zh-CN"/>
        </w:rPr>
        <w:t>I</w:t>
      </w:r>
      <w:r>
        <w:rPr>
          <w:rFonts w:hint="eastAsia" w:cs="宋体"/>
          <w:lang w:val="zh-CN"/>
        </w:rPr>
        <w:t>，临时贮存在吉祥联合站危险废物临时贮存点，最终交由有相应危险废物处理资质的单位处理。</w:t>
      </w:r>
    </w:p>
    <w:p w14:paraId="4742A661">
      <w:pPr>
        <w:pStyle w:val="117"/>
        <w:ind w:firstLine="480"/>
        <w:rPr>
          <w:rFonts w:hint="eastAsia" w:cs="宋体"/>
          <w:lang w:val="zh-CN"/>
        </w:rPr>
      </w:pPr>
      <w:r>
        <w:rPr>
          <w:rFonts w:hint="eastAsia" w:cs="宋体"/>
          <w:lang w:val="zh-CN"/>
        </w:rPr>
        <w:t>③废润滑油桶</w:t>
      </w:r>
    </w:p>
    <w:p w14:paraId="04B7138A">
      <w:pPr>
        <w:pStyle w:val="117"/>
        <w:ind w:firstLine="480"/>
        <w:rPr>
          <w:rFonts w:hint="eastAsia" w:cs="宋体"/>
          <w:lang w:val="zh-CN"/>
        </w:rPr>
      </w:pPr>
      <w:r>
        <w:rPr>
          <w:rFonts w:hint="eastAsia" w:cs="宋体"/>
          <w:lang w:val="zh-CN"/>
        </w:rPr>
        <w:t>设备检维修过程中使用润滑油时会产生一定的废润滑油桶，根据润滑油的使用量计算出废润滑油桶的产生量为0.02t/a，废润滑油桶属于《国家危险废物名录》（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废矿物油和含矿物油废物，废物代码为</w:t>
      </w:r>
      <w:r>
        <w:rPr>
          <w:rFonts w:cs="宋体"/>
          <w:lang w:val="zh-CN"/>
        </w:rPr>
        <w:t>900-2</w:t>
      </w:r>
      <w:r>
        <w:rPr>
          <w:rFonts w:hint="eastAsia" w:cs="宋体"/>
          <w:lang w:val="zh-CN"/>
        </w:rPr>
        <w:t>49</w:t>
      </w:r>
      <w:r>
        <w:rPr>
          <w:rFonts w:cs="宋体"/>
          <w:lang w:val="zh-CN"/>
        </w:rPr>
        <w:t>-08</w:t>
      </w:r>
      <w:r>
        <w:rPr>
          <w:rFonts w:hint="eastAsia" w:cs="宋体"/>
          <w:lang w:val="zh-CN"/>
        </w:rPr>
        <w:t>，危险特性为</w:t>
      </w:r>
      <w:r>
        <w:rPr>
          <w:rFonts w:cs="宋体"/>
          <w:lang w:val="zh-CN"/>
        </w:rPr>
        <w:t>T</w:t>
      </w:r>
      <w:r>
        <w:rPr>
          <w:rFonts w:hint="eastAsia" w:cs="宋体"/>
          <w:lang w:val="zh-CN"/>
        </w:rPr>
        <w:t>、</w:t>
      </w:r>
      <w:r>
        <w:rPr>
          <w:rFonts w:cs="宋体"/>
          <w:lang w:val="zh-CN"/>
        </w:rPr>
        <w:t>I</w:t>
      </w:r>
      <w:r>
        <w:rPr>
          <w:rFonts w:hint="eastAsia" w:cs="宋体"/>
          <w:lang w:val="zh-CN"/>
        </w:rPr>
        <w:t>，临时贮存在吉祥联合站危险废物临时贮存点，最终交由有相应危险废物处理资质的单位处理。</w:t>
      </w:r>
    </w:p>
    <w:p w14:paraId="1408279E">
      <w:pPr>
        <w:pStyle w:val="117"/>
        <w:ind w:firstLine="480"/>
        <w:rPr>
          <w:rFonts w:hint="eastAsia" w:cs="宋体"/>
          <w:lang w:val="zh-CN"/>
        </w:rPr>
      </w:pPr>
      <w:r>
        <w:rPr>
          <w:rFonts w:hint="eastAsia" w:cs="宋体"/>
          <w:lang w:val="zh-CN"/>
        </w:rPr>
        <w:t>④沾油废防渗材料</w:t>
      </w:r>
    </w:p>
    <w:p w14:paraId="34F0EC65">
      <w:pPr>
        <w:pStyle w:val="117"/>
        <w:ind w:firstLine="480"/>
        <w:rPr>
          <w:rFonts w:hint="eastAsia" w:cs="宋体"/>
          <w:lang w:val="zh-CN"/>
        </w:rPr>
      </w:pPr>
      <w:r>
        <w:rPr>
          <w:rFonts w:hint="eastAsia" w:cs="宋体"/>
          <w:lang w:val="zh-CN"/>
        </w:rPr>
        <w:t>采油井场日常巡检、检修过程中会产生一定的沾油废防渗膜，沾油废防渗膜属于《国家危险废物名录》（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废矿物油和含矿物油废物，废物代码：</w:t>
      </w:r>
      <w:r>
        <w:rPr>
          <w:rFonts w:cs="宋体"/>
          <w:lang w:val="zh-CN"/>
        </w:rPr>
        <w:t>900-249-08</w:t>
      </w:r>
      <w:r>
        <w:rPr>
          <w:rFonts w:hint="eastAsia" w:cs="宋体"/>
          <w:lang w:val="zh-CN"/>
        </w:rPr>
        <w:t>，危险特性为</w:t>
      </w:r>
      <w:r>
        <w:rPr>
          <w:rFonts w:cs="宋体"/>
          <w:lang w:val="zh-CN"/>
        </w:rPr>
        <w:t>T</w:t>
      </w:r>
      <w:r>
        <w:rPr>
          <w:rFonts w:hint="eastAsia" w:cs="宋体"/>
          <w:lang w:val="zh-CN"/>
        </w:rPr>
        <w:t>、</w:t>
      </w:r>
      <w:r>
        <w:rPr>
          <w:rFonts w:cs="宋体"/>
          <w:lang w:val="zh-CN"/>
        </w:rPr>
        <w:t>I</w:t>
      </w:r>
      <w:r>
        <w:rPr>
          <w:rFonts w:hint="eastAsia" w:cs="宋体"/>
          <w:lang w:val="zh-CN"/>
        </w:rPr>
        <w:t>，根据现有采油井场实际产生情况估算，其单井产生量约</w:t>
      </w:r>
      <w:r>
        <w:rPr>
          <w:rFonts w:cs="宋体"/>
          <w:lang w:val="zh-CN"/>
        </w:rPr>
        <w:t>0.07t/a</w:t>
      </w:r>
      <w:r>
        <w:rPr>
          <w:rFonts w:hint="eastAsia" w:cs="宋体"/>
          <w:lang w:val="zh-CN"/>
        </w:rPr>
        <w:t>，则5口井沾油废防渗膜产生量约为0.35</w:t>
      </w:r>
      <w:r>
        <w:rPr>
          <w:rFonts w:cs="宋体"/>
          <w:lang w:val="zh-CN"/>
        </w:rPr>
        <w:t>t/a</w:t>
      </w:r>
      <w:r>
        <w:rPr>
          <w:rFonts w:hint="eastAsia" w:cs="宋体"/>
          <w:lang w:val="zh-CN"/>
        </w:rPr>
        <w:t>，临时贮存在吉祥联合站危险废物临时贮存点，最终交由有相应危险废物处理资质的单位处理。</w:t>
      </w:r>
    </w:p>
    <w:p w14:paraId="48D21D62">
      <w:pPr>
        <w:pStyle w:val="117"/>
        <w:ind w:firstLine="480"/>
        <w:rPr>
          <w:rFonts w:hint="eastAsia" w:cs="宋体"/>
          <w:lang w:val="zh-CN"/>
        </w:rPr>
      </w:pPr>
      <w:r>
        <w:rPr>
          <w:rFonts w:hint="eastAsia" w:cs="宋体"/>
          <w:lang w:val="zh-CN"/>
        </w:rPr>
        <w:t>⑤废含油抹布和劳保用品</w:t>
      </w:r>
    </w:p>
    <w:p w14:paraId="1E854AC9">
      <w:pPr>
        <w:pStyle w:val="117"/>
        <w:ind w:firstLine="480"/>
        <w:rPr>
          <w:rFonts w:hint="eastAsia" w:cs="宋体"/>
          <w:lang w:val="zh-CN"/>
        </w:rPr>
      </w:pPr>
      <w:r>
        <w:rPr>
          <w:rFonts w:hint="eastAsia" w:cs="宋体"/>
          <w:lang w:val="zh-CN"/>
        </w:rPr>
        <w:t>设备检维修过程中会产生一定的废含油抹布、劳保用品，产生量约为0.01t/a。废废含油抹布和劳保用品属于《国家危险废物名录》（</w:t>
      </w:r>
      <w:r>
        <w:rPr>
          <w:rFonts w:cs="宋体"/>
          <w:lang w:val="zh-CN"/>
        </w:rPr>
        <w:t>2021</w:t>
      </w:r>
      <w:r>
        <w:rPr>
          <w:rFonts w:hint="eastAsia" w:cs="宋体"/>
          <w:lang w:val="zh-CN"/>
        </w:rPr>
        <w:t>年版）HW49其他废物，废物代码为900-041-49，危险特性为T/In，临时贮存在吉祥联合站危险废物临时贮存点，最终交由有相应危险废物处理资质的单位处理。</w:t>
      </w:r>
    </w:p>
    <w:p w14:paraId="09B1723B">
      <w:pPr>
        <w:pStyle w:val="117"/>
        <w:ind w:firstLine="480"/>
        <w:rPr>
          <w:rFonts w:hint="eastAsia" w:cs="宋体"/>
          <w:lang w:val="zh-CN"/>
        </w:rPr>
      </w:pPr>
      <w:bookmarkStart w:id="333" w:name="OLE_LINK15"/>
      <w:bookmarkStart w:id="334" w:name="_Hlk129276647"/>
      <w:r>
        <w:rPr>
          <w:rFonts w:hint="eastAsia" w:cs="宋体"/>
          <w:lang w:val="zh-CN"/>
        </w:rPr>
        <w:t>⑥废脱硫剂包装物</w:t>
      </w:r>
    </w:p>
    <w:p w14:paraId="7777F1C2">
      <w:pPr>
        <w:pStyle w:val="117"/>
        <w:ind w:firstLine="480"/>
        <w:rPr>
          <w:rFonts w:hint="eastAsia" w:cs="宋体"/>
          <w:lang w:val="zh-CN"/>
        </w:rPr>
      </w:pPr>
      <w:r>
        <w:rPr>
          <w:rFonts w:hint="eastAsia" w:cs="宋体"/>
          <w:lang w:val="zh-CN"/>
        </w:rPr>
        <w:t>采油平台设井口除硫加药装置，脱硫剂主要为三嗪类硫化氢处理剂，主要采用桶装，使用过程中会产生一</w:t>
      </w:r>
      <w:bookmarkEnd w:id="333"/>
      <w:r>
        <w:rPr>
          <w:rFonts w:hint="eastAsia" w:cs="宋体"/>
          <w:lang w:val="zh-CN"/>
        </w:rPr>
        <w:t>定的废脱硫剂包装物，产生量约为0.1t/a，直接由厂家回收利用。</w:t>
      </w:r>
    </w:p>
    <w:p w14:paraId="2060E3A3">
      <w:pPr>
        <w:adjustRightInd w:val="0"/>
        <w:snapToGrid w:val="0"/>
        <w:spacing w:line="480" w:lineRule="exact"/>
        <w:ind w:firstLine="480" w:firstLineChars="200"/>
        <w:jc w:val="left"/>
        <w:textAlignment w:val="baseline"/>
        <w:rPr>
          <w:rFonts w:hint="eastAsia" w:ascii="黑体" w:hAnsi="黑体" w:eastAsia="黑体"/>
          <w:kern w:val="0"/>
          <w:szCs w:val="21"/>
        </w:rPr>
      </w:pPr>
      <w:r>
        <w:rPr>
          <w:rFonts w:hint="eastAsia" w:ascii="宋体" w:hAnsi="宋体"/>
          <w:kern w:val="0"/>
          <w:sz w:val="24"/>
        </w:rPr>
        <w:t>各类危险废物汇总情况见表</w:t>
      </w:r>
      <w:r>
        <w:rPr>
          <w:rFonts w:ascii="宋体" w:hAnsi="宋体"/>
          <w:kern w:val="0"/>
          <w:sz w:val="24"/>
        </w:rPr>
        <w:t>3.3-</w:t>
      </w:r>
      <w:r>
        <w:rPr>
          <w:rFonts w:hint="eastAsia" w:ascii="宋体" w:hAnsi="宋体"/>
          <w:kern w:val="0"/>
          <w:sz w:val="24"/>
        </w:rPr>
        <w:t>19。</w:t>
      </w:r>
    </w:p>
    <w:p w14:paraId="4009AA6C">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表3</w:t>
      </w:r>
      <w:r>
        <w:rPr>
          <w:rFonts w:ascii="黑体" w:hAnsi="黑体" w:eastAsia="黑体"/>
          <w:kern w:val="0"/>
          <w:szCs w:val="21"/>
        </w:rPr>
        <w:t>.3-</w:t>
      </w:r>
      <w:r>
        <w:rPr>
          <w:rFonts w:hint="eastAsia" w:ascii="黑体" w:hAnsi="黑体" w:eastAsia="黑体"/>
          <w:kern w:val="0"/>
          <w:szCs w:val="21"/>
        </w:rPr>
        <w:t xml:space="preserve">19 </w:t>
      </w:r>
      <w:r>
        <w:rPr>
          <w:rFonts w:ascii="黑体" w:hAnsi="黑体" w:eastAsia="黑体"/>
          <w:kern w:val="0"/>
          <w:szCs w:val="21"/>
        </w:rPr>
        <w:t xml:space="preserve"> </w:t>
      </w:r>
      <w:r>
        <w:rPr>
          <w:rFonts w:hint="eastAsia" w:ascii="黑体" w:hAnsi="黑体" w:eastAsia="黑体"/>
          <w:kern w:val="0"/>
          <w:szCs w:val="21"/>
        </w:rPr>
        <w:t>危险废物汇总情况一览表</w:t>
      </w:r>
    </w:p>
    <w:bookmarkEnd w:id="334"/>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25"/>
        <w:gridCol w:w="877"/>
        <w:gridCol w:w="873"/>
        <w:gridCol w:w="1011"/>
        <w:gridCol w:w="975"/>
        <w:gridCol w:w="1099"/>
        <w:gridCol w:w="687"/>
        <w:gridCol w:w="730"/>
        <w:gridCol w:w="730"/>
        <w:gridCol w:w="725"/>
        <w:gridCol w:w="714"/>
      </w:tblGrid>
      <w:tr w14:paraId="59F6B0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1021" w:hRule="atLeast"/>
          <w:jc w:val="center"/>
        </w:trPr>
        <w:tc>
          <w:tcPr>
            <w:tcW w:w="294" w:type="pct"/>
            <w:vAlign w:val="center"/>
          </w:tcPr>
          <w:p w14:paraId="729BAA3F">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序号</w:t>
            </w:r>
          </w:p>
        </w:tc>
        <w:tc>
          <w:tcPr>
            <w:tcW w:w="490" w:type="pct"/>
            <w:vAlign w:val="center"/>
          </w:tcPr>
          <w:p w14:paraId="58DF3928">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危险废物名称</w:t>
            </w:r>
          </w:p>
        </w:tc>
        <w:tc>
          <w:tcPr>
            <w:tcW w:w="488" w:type="pct"/>
            <w:vAlign w:val="center"/>
          </w:tcPr>
          <w:p w14:paraId="06A0A08E">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危险废物类别</w:t>
            </w:r>
          </w:p>
        </w:tc>
        <w:tc>
          <w:tcPr>
            <w:tcW w:w="565" w:type="pct"/>
            <w:vAlign w:val="center"/>
          </w:tcPr>
          <w:p w14:paraId="5B3C2613">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危险废物代码</w:t>
            </w:r>
          </w:p>
        </w:tc>
        <w:tc>
          <w:tcPr>
            <w:tcW w:w="545" w:type="pct"/>
            <w:vAlign w:val="center"/>
          </w:tcPr>
          <w:p w14:paraId="2D8D937A">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产生量（t</w:t>
            </w:r>
            <w:r>
              <w:rPr>
                <w:rFonts w:ascii="宋体" w:hAnsi="宋体"/>
                <w:kern w:val="0"/>
                <w:szCs w:val="21"/>
              </w:rPr>
              <w:t>/a</w:t>
            </w:r>
            <w:r>
              <w:rPr>
                <w:rFonts w:hint="eastAsia" w:ascii="宋体" w:hAnsi="宋体"/>
                <w:kern w:val="0"/>
                <w:szCs w:val="21"/>
              </w:rPr>
              <w:t>）</w:t>
            </w:r>
          </w:p>
        </w:tc>
        <w:tc>
          <w:tcPr>
            <w:tcW w:w="614" w:type="pct"/>
            <w:vAlign w:val="center"/>
          </w:tcPr>
          <w:p w14:paraId="2B5F6A5E">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产生工序及装置</w:t>
            </w:r>
          </w:p>
        </w:tc>
        <w:tc>
          <w:tcPr>
            <w:tcW w:w="384" w:type="pct"/>
            <w:vAlign w:val="center"/>
          </w:tcPr>
          <w:p w14:paraId="068050B9">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形态</w:t>
            </w:r>
          </w:p>
        </w:tc>
        <w:tc>
          <w:tcPr>
            <w:tcW w:w="408" w:type="pct"/>
            <w:vAlign w:val="center"/>
          </w:tcPr>
          <w:p w14:paraId="03A58202">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主要成分</w:t>
            </w:r>
          </w:p>
        </w:tc>
        <w:tc>
          <w:tcPr>
            <w:tcW w:w="408" w:type="pct"/>
            <w:vAlign w:val="center"/>
          </w:tcPr>
          <w:p w14:paraId="7F792E0F">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有害成分</w:t>
            </w:r>
          </w:p>
        </w:tc>
        <w:tc>
          <w:tcPr>
            <w:tcW w:w="405" w:type="pct"/>
            <w:vAlign w:val="center"/>
          </w:tcPr>
          <w:p w14:paraId="1438A16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危险</w:t>
            </w:r>
          </w:p>
          <w:p w14:paraId="5B953DC4">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特性</w:t>
            </w:r>
          </w:p>
        </w:tc>
        <w:tc>
          <w:tcPr>
            <w:tcW w:w="399" w:type="pct"/>
            <w:vAlign w:val="center"/>
          </w:tcPr>
          <w:p w14:paraId="076F7561">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污染防治措施</w:t>
            </w:r>
          </w:p>
        </w:tc>
      </w:tr>
      <w:tr w14:paraId="6832880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1021" w:hRule="atLeast"/>
          <w:jc w:val="center"/>
        </w:trPr>
        <w:tc>
          <w:tcPr>
            <w:tcW w:w="294" w:type="pct"/>
            <w:vAlign w:val="center"/>
          </w:tcPr>
          <w:p w14:paraId="4E8EA86A">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1</w:t>
            </w:r>
          </w:p>
        </w:tc>
        <w:tc>
          <w:tcPr>
            <w:tcW w:w="490" w:type="pct"/>
            <w:vAlign w:val="center"/>
          </w:tcPr>
          <w:p w14:paraId="51DFC9E4">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清罐底泥</w:t>
            </w:r>
          </w:p>
        </w:tc>
        <w:tc>
          <w:tcPr>
            <w:tcW w:w="488" w:type="pct"/>
            <w:vAlign w:val="center"/>
          </w:tcPr>
          <w:p w14:paraId="11511270">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HW08</w:t>
            </w:r>
          </w:p>
        </w:tc>
        <w:tc>
          <w:tcPr>
            <w:tcW w:w="565" w:type="pct"/>
            <w:vAlign w:val="center"/>
          </w:tcPr>
          <w:p w14:paraId="6E3D07A9">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071-001-08</w:t>
            </w:r>
          </w:p>
        </w:tc>
        <w:tc>
          <w:tcPr>
            <w:tcW w:w="545" w:type="pct"/>
            <w:vAlign w:val="center"/>
          </w:tcPr>
          <w:p w14:paraId="365BC858">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245t/a</w:t>
            </w:r>
          </w:p>
        </w:tc>
        <w:tc>
          <w:tcPr>
            <w:tcW w:w="614" w:type="pct"/>
            <w:vAlign w:val="center"/>
          </w:tcPr>
          <w:p w14:paraId="7A21ABCF">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拉油方罐清罐</w:t>
            </w:r>
          </w:p>
        </w:tc>
        <w:tc>
          <w:tcPr>
            <w:tcW w:w="384" w:type="pct"/>
            <w:vAlign w:val="center"/>
          </w:tcPr>
          <w:p w14:paraId="78C92E37">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半固体</w:t>
            </w:r>
          </w:p>
        </w:tc>
        <w:tc>
          <w:tcPr>
            <w:tcW w:w="408" w:type="pct"/>
            <w:vAlign w:val="center"/>
          </w:tcPr>
          <w:p w14:paraId="58FEE44C">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8" w:type="pct"/>
            <w:vAlign w:val="center"/>
          </w:tcPr>
          <w:p w14:paraId="45891C3D">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5" w:type="pct"/>
            <w:vAlign w:val="center"/>
          </w:tcPr>
          <w:p w14:paraId="380D27D4">
            <w:pPr>
              <w:topLinePunct/>
              <w:adjustRightInd w:val="0"/>
              <w:snapToGrid w:val="0"/>
              <w:spacing w:line="300" w:lineRule="exact"/>
              <w:jc w:val="center"/>
              <w:rPr>
                <w:rFonts w:hint="eastAsia" w:ascii="宋体" w:hAnsi="宋体"/>
                <w:kern w:val="0"/>
                <w:szCs w:val="21"/>
              </w:rPr>
            </w:pPr>
            <w:r>
              <w:rPr>
                <w:rFonts w:ascii="宋体" w:hAnsi="宋体" w:cs="宋体"/>
                <w:lang w:val="zh-CN"/>
              </w:rPr>
              <w:t>T</w:t>
            </w:r>
            <w:r>
              <w:rPr>
                <w:rFonts w:hint="eastAsia" w:ascii="宋体" w:hAnsi="宋体" w:cs="宋体"/>
                <w:lang w:val="zh-CN"/>
              </w:rPr>
              <w:t>、</w:t>
            </w:r>
            <w:r>
              <w:rPr>
                <w:rFonts w:ascii="宋体" w:hAnsi="宋体" w:cs="宋体"/>
                <w:lang w:val="zh-CN"/>
              </w:rPr>
              <w:t>I</w:t>
            </w:r>
          </w:p>
        </w:tc>
        <w:tc>
          <w:tcPr>
            <w:tcW w:w="399" w:type="pct"/>
            <w:vMerge w:val="restart"/>
            <w:vAlign w:val="center"/>
          </w:tcPr>
          <w:p w14:paraId="6BBDB76C">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交由有相应危险废物处理资质的单位处理</w:t>
            </w:r>
          </w:p>
        </w:tc>
      </w:tr>
      <w:tr w14:paraId="0209DD8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294" w:type="pct"/>
            <w:vAlign w:val="center"/>
          </w:tcPr>
          <w:p w14:paraId="67D65E4D">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2</w:t>
            </w:r>
          </w:p>
        </w:tc>
        <w:tc>
          <w:tcPr>
            <w:tcW w:w="490" w:type="pct"/>
            <w:vAlign w:val="center"/>
          </w:tcPr>
          <w:p w14:paraId="25EC9221">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废润滑油</w:t>
            </w:r>
          </w:p>
        </w:tc>
        <w:tc>
          <w:tcPr>
            <w:tcW w:w="488" w:type="pct"/>
            <w:vAlign w:val="center"/>
          </w:tcPr>
          <w:p w14:paraId="7FAED3E0">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H</w:t>
            </w:r>
            <w:r>
              <w:rPr>
                <w:rFonts w:ascii="宋体" w:hAnsi="宋体"/>
                <w:kern w:val="0"/>
                <w:szCs w:val="21"/>
              </w:rPr>
              <w:t>W08</w:t>
            </w:r>
          </w:p>
        </w:tc>
        <w:tc>
          <w:tcPr>
            <w:tcW w:w="565" w:type="pct"/>
            <w:vAlign w:val="center"/>
          </w:tcPr>
          <w:p w14:paraId="71033B0C">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9</w:t>
            </w:r>
            <w:r>
              <w:rPr>
                <w:rFonts w:ascii="宋体" w:hAnsi="宋体"/>
                <w:kern w:val="0"/>
                <w:szCs w:val="21"/>
              </w:rPr>
              <w:t>00</w:t>
            </w:r>
            <w:r>
              <w:rPr>
                <w:rFonts w:hint="eastAsia" w:ascii="宋体" w:hAnsi="宋体"/>
                <w:kern w:val="0"/>
                <w:szCs w:val="21"/>
              </w:rPr>
              <w:t>-</w:t>
            </w:r>
            <w:r>
              <w:rPr>
                <w:rFonts w:ascii="宋体" w:hAnsi="宋体"/>
                <w:kern w:val="0"/>
                <w:szCs w:val="21"/>
              </w:rPr>
              <w:t>214</w:t>
            </w:r>
            <w:r>
              <w:rPr>
                <w:rFonts w:hint="eastAsia" w:ascii="宋体" w:hAnsi="宋体"/>
                <w:kern w:val="0"/>
                <w:szCs w:val="21"/>
              </w:rPr>
              <w:t>-</w:t>
            </w:r>
            <w:r>
              <w:rPr>
                <w:rFonts w:ascii="宋体" w:hAnsi="宋体"/>
                <w:kern w:val="0"/>
                <w:szCs w:val="21"/>
              </w:rPr>
              <w:t>08</w:t>
            </w:r>
          </w:p>
        </w:tc>
        <w:tc>
          <w:tcPr>
            <w:tcW w:w="545" w:type="pct"/>
            <w:vAlign w:val="center"/>
          </w:tcPr>
          <w:p w14:paraId="23FD332C">
            <w:pPr>
              <w:topLinePunct/>
              <w:adjustRightInd w:val="0"/>
              <w:snapToGrid w:val="0"/>
              <w:spacing w:line="300" w:lineRule="exact"/>
              <w:jc w:val="center"/>
              <w:rPr>
                <w:rFonts w:hint="eastAsia" w:ascii="宋体" w:hAnsi="宋体"/>
                <w:kern w:val="0"/>
                <w:szCs w:val="21"/>
              </w:rPr>
            </w:pPr>
            <w:r>
              <w:rPr>
                <w:rFonts w:hint="eastAsia" w:ascii="宋体" w:hAnsi="宋体" w:cs="宋体"/>
                <w:kern w:val="0"/>
                <w:szCs w:val="21"/>
              </w:rPr>
              <w:t>0.25t/a</w:t>
            </w:r>
          </w:p>
        </w:tc>
        <w:tc>
          <w:tcPr>
            <w:tcW w:w="614" w:type="pct"/>
            <w:vAlign w:val="center"/>
          </w:tcPr>
          <w:p w14:paraId="43A0E38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设备检维修</w:t>
            </w:r>
          </w:p>
        </w:tc>
        <w:tc>
          <w:tcPr>
            <w:tcW w:w="384" w:type="pct"/>
            <w:vAlign w:val="center"/>
          </w:tcPr>
          <w:p w14:paraId="0E462D0E">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液态</w:t>
            </w:r>
          </w:p>
        </w:tc>
        <w:tc>
          <w:tcPr>
            <w:tcW w:w="408" w:type="pct"/>
            <w:vAlign w:val="center"/>
          </w:tcPr>
          <w:p w14:paraId="353B3898">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8" w:type="pct"/>
            <w:vAlign w:val="center"/>
          </w:tcPr>
          <w:p w14:paraId="3BF6F623">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5" w:type="pct"/>
            <w:vAlign w:val="center"/>
          </w:tcPr>
          <w:p w14:paraId="11150AE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T，I</w:t>
            </w:r>
          </w:p>
        </w:tc>
        <w:tc>
          <w:tcPr>
            <w:tcW w:w="399" w:type="pct"/>
            <w:vMerge w:val="continue"/>
            <w:vAlign w:val="center"/>
          </w:tcPr>
          <w:p w14:paraId="6F5098FC">
            <w:pPr>
              <w:topLinePunct/>
              <w:adjustRightInd w:val="0"/>
              <w:snapToGrid w:val="0"/>
              <w:spacing w:line="300" w:lineRule="exact"/>
              <w:jc w:val="center"/>
              <w:rPr>
                <w:rFonts w:hint="eastAsia" w:ascii="宋体" w:hAnsi="宋体"/>
                <w:kern w:val="0"/>
                <w:szCs w:val="21"/>
              </w:rPr>
            </w:pPr>
          </w:p>
        </w:tc>
      </w:tr>
      <w:tr w14:paraId="0F6FE11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294" w:type="pct"/>
            <w:vAlign w:val="center"/>
          </w:tcPr>
          <w:p w14:paraId="151A393F">
            <w:pPr>
              <w:topLinePunct/>
              <w:adjustRightInd w:val="0"/>
              <w:snapToGrid w:val="0"/>
              <w:spacing w:line="300" w:lineRule="exact"/>
              <w:jc w:val="center"/>
              <w:rPr>
                <w:rFonts w:hint="eastAsia" w:ascii="宋体" w:hAnsi="宋体"/>
                <w:kern w:val="0"/>
                <w:szCs w:val="21"/>
              </w:rPr>
            </w:pPr>
            <w:r>
              <w:rPr>
                <w:rFonts w:ascii="宋体" w:hAnsi="宋体"/>
                <w:kern w:val="0"/>
                <w:szCs w:val="21"/>
              </w:rPr>
              <w:t>3</w:t>
            </w:r>
          </w:p>
        </w:tc>
        <w:tc>
          <w:tcPr>
            <w:tcW w:w="490" w:type="pct"/>
            <w:vAlign w:val="center"/>
          </w:tcPr>
          <w:p w14:paraId="2A12DC5C">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废润滑油桶</w:t>
            </w:r>
          </w:p>
        </w:tc>
        <w:tc>
          <w:tcPr>
            <w:tcW w:w="488" w:type="pct"/>
            <w:vAlign w:val="center"/>
          </w:tcPr>
          <w:p w14:paraId="309C9149">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HW08</w:t>
            </w:r>
          </w:p>
        </w:tc>
        <w:tc>
          <w:tcPr>
            <w:tcW w:w="565" w:type="pct"/>
            <w:vAlign w:val="center"/>
          </w:tcPr>
          <w:p w14:paraId="017E6B86">
            <w:pPr>
              <w:topLinePunct/>
              <w:adjustRightInd w:val="0"/>
              <w:snapToGrid w:val="0"/>
              <w:spacing w:line="300" w:lineRule="exact"/>
              <w:jc w:val="center"/>
              <w:rPr>
                <w:rFonts w:hint="eastAsia" w:ascii="宋体" w:hAnsi="宋体"/>
                <w:kern w:val="0"/>
                <w:szCs w:val="21"/>
              </w:rPr>
            </w:pPr>
            <w:r>
              <w:rPr>
                <w:rFonts w:ascii="宋体" w:hAnsi="宋体" w:cs="宋体"/>
                <w:szCs w:val="21"/>
                <w:lang w:val="zh-CN"/>
              </w:rPr>
              <w:t>900-2</w:t>
            </w:r>
            <w:r>
              <w:rPr>
                <w:rFonts w:hint="eastAsia" w:ascii="宋体" w:hAnsi="宋体" w:cs="宋体"/>
                <w:szCs w:val="21"/>
                <w:lang w:val="zh-CN"/>
              </w:rPr>
              <w:t>49</w:t>
            </w:r>
            <w:r>
              <w:rPr>
                <w:rFonts w:ascii="宋体" w:hAnsi="宋体" w:cs="宋体"/>
                <w:szCs w:val="21"/>
                <w:lang w:val="zh-CN"/>
              </w:rPr>
              <w:t>-08</w:t>
            </w:r>
          </w:p>
        </w:tc>
        <w:tc>
          <w:tcPr>
            <w:tcW w:w="545" w:type="pct"/>
            <w:vAlign w:val="center"/>
          </w:tcPr>
          <w:p w14:paraId="69EFAA86">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0.02</w:t>
            </w:r>
            <w:r>
              <w:rPr>
                <w:rFonts w:hint="eastAsia" w:ascii="宋体" w:hAnsi="宋体" w:cs="宋体"/>
                <w:kern w:val="0"/>
                <w:szCs w:val="21"/>
              </w:rPr>
              <w:t>t/a</w:t>
            </w:r>
          </w:p>
        </w:tc>
        <w:tc>
          <w:tcPr>
            <w:tcW w:w="614" w:type="pct"/>
            <w:vAlign w:val="center"/>
          </w:tcPr>
          <w:p w14:paraId="2A6DD563">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设备检维修</w:t>
            </w:r>
          </w:p>
        </w:tc>
        <w:tc>
          <w:tcPr>
            <w:tcW w:w="384" w:type="pct"/>
            <w:vAlign w:val="center"/>
          </w:tcPr>
          <w:p w14:paraId="529FFBD3">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液态</w:t>
            </w:r>
          </w:p>
        </w:tc>
        <w:tc>
          <w:tcPr>
            <w:tcW w:w="408" w:type="pct"/>
            <w:vAlign w:val="center"/>
          </w:tcPr>
          <w:p w14:paraId="5E8CA4B8">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8" w:type="pct"/>
            <w:vAlign w:val="center"/>
          </w:tcPr>
          <w:p w14:paraId="5498033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5" w:type="pct"/>
            <w:vAlign w:val="center"/>
          </w:tcPr>
          <w:p w14:paraId="0C995990">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T，I</w:t>
            </w:r>
          </w:p>
        </w:tc>
        <w:tc>
          <w:tcPr>
            <w:tcW w:w="399" w:type="pct"/>
            <w:vMerge w:val="continue"/>
            <w:vAlign w:val="center"/>
          </w:tcPr>
          <w:p w14:paraId="720D9DE9">
            <w:pPr>
              <w:topLinePunct/>
              <w:adjustRightInd w:val="0"/>
              <w:snapToGrid w:val="0"/>
              <w:spacing w:line="300" w:lineRule="exact"/>
              <w:jc w:val="center"/>
              <w:rPr>
                <w:rFonts w:hint="eastAsia" w:ascii="宋体" w:hAnsi="宋体"/>
                <w:kern w:val="0"/>
                <w:szCs w:val="21"/>
              </w:rPr>
            </w:pPr>
          </w:p>
        </w:tc>
      </w:tr>
      <w:tr w14:paraId="1481041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294" w:type="pct"/>
            <w:vAlign w:val="center"/>
          </w:tcPr>
          <w:p w14:paraId="6639268C">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4</w:t>
            </w:r>
          </w:p>
        </w:tc>
        <w:tc>
          <w:tcPr>
            <w:tcW w:w="490" w:type="pct"/>
            <w:vAlign w:val="center"/>
          </w:tcPr>
          <w:p w14:paraId="3988B56E">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沾油废防渗材料</w:t>
            </w:r>
          </w:p>
        </w:tc>
        <w:tc>
          <w:tcPr>
            <w:tcW w:w="488" w:type="pct"/>
            <w:vAlign w:val="center"/>
          </w:tcPr>
          <w:p w14:paraId="4CA51E5E">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HW08</w:t>
            </w:r>
          </w:p>
        </w:tc>
        <w:tc>
          <w:tcPr>
            <w:tcW w:w="565" w:type="pct"/>
            <w:vAlign w:val="center"/>
          </w:tcPr>
          <w:p w14:paraId="758ADB14">
            <w:pPr>
              <w:topLinePunct/>
              <w:adjustRightInd w:val="0"/>
              <w:snapToGrid w:val="0"/>
              <w:spacing w:line="300" w:lineRule="exact"/>
              <w:jc w:val="center"/>
              <w:rPr>
                <w:rFonts w:hint="eastAsia" w:ascii="宋体" w:hAnsi="宋体"/>
                <w:kern w:val="0"/>
                <w:szCs w:val="21"/>
              </w:rPr>
            </w:pPr>
            <w:r>
              <w:rPr>
                <w:rFonts w:ascii="宋体" w:hAnsi="宋体" w:cs="宋体"/>
                <w:szCs w:val="21"/>
                <w:lang w:val="zh-CN"/>
              </w:rPr>
              <w:t>900-2</w:t>
            </w:r>
            <w:r>
              <w:rPr>
                <w:rFonts w:hint="eastAsia" w:ascii="宋体" w:hAnsi="宋体" w:cs="宋体"/>
                <w:szCs w:val="21"/>
                <w:lang w:val="zh-CN"/>
              </w:rPr>
              <w:t>49</w:t>
            </w:r>
            <w:r>
              <w:rPr>
                <w:rFonts w:ascii="宋体" w:hAnsi="宋体" w:cs="宋体"/>
                <w:szCs w:val="21"/>
                <w:lang w:val="zh-CN"/>
              </w:rPr>
              <w:t>-08</w:t>
            </w:r>
          </w:p>
        </w:tc>
        <w:tc>
          <w:tcPr>
            <w:tcW w:w="545" w:type="pct"/>
            <w:vAlign w:val="center"/>
          </w:tcPr>
          <w:p w14:paraId="6B0393C9">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0.35</w:t>
            </w:r>
            <w:r>
              <w:rPr>
                <w:rFonts w:hint="eastAsia" w:ascii="宋体" w:hAnsi="宋体" w:cs="宋体"/>
                <w:kern w:val="0"/>
                <w:szCs w:val="21"/>
              </w:rPr>
              <w:t>t/a</w:t>
            </w:r>
          </w:p>
        </w:tc>
        <w:tc>
          <w:tcPr>
            <w:tcW w:w="614" w:type="pct"/>
            <w:vAlign w:val="center"/>
          </w:tcPr>
          <w:p w14:paraId="03497A3D">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井下作业</w:t>
            </w:r>
          </w:p>
        </w:tc>
        <w:tc>
          <w:tcPr>
            <w:tcW w:w="384" w:type="pct"/>
            <w:vAlign w:val="center"/>
          </w:tcPr>
          <w:p w14:paraId="34E31F26">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固态</w:t>
            </w:r>
          </w:p>
        </w:tc>
        <w:tc>
          <w:tcPr>
            <w:tcW w:w="408" w:type="pct"/>
            <w:vAlign w:val="center"/>
          </w:tcPr>
          <w:p w14:paraId="082EB600">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8" w:type="pct"/>
            <w:vAlign w:val="center"/>
          </w:tcPr>
          <w:p w14:paraId="0308C32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5" w:type="pct"/>
            <w:vAlign w:val="center"/>
          </w:tcPr>
          <w:p w14:paraId="1FE5168D">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T，I</w:t>
            </w:r>
          </w:p>
        </w:tc>
        <w:tc>
          <w:tcPr>
            <w:tcW w:w="399" w:type="pct"/>
            <w:vMerge w:val="continue"/>
            <w:vAlign w:val="center"/>
          </w:tcPr>
          <w:p w14:paraId="329EE341">
            <w:pPr>
              <w:topLinePunct/>
              <w:adjustRightInd w:val="0"/>
              <w:snapToGrid w:val="0"/>
              <w:spacing w:line="300" w:lineRule="exact"/>
              <w:jc w:val="center"/>
              <w:rPr>
                <w:rFonts w:hint="eastAsia" w:ascii="宋体" w:hAnsi="宋体"/>
                <w:kern w:val="0"/>
                <w:szCs w:val="21"/>
              </w:rPr>
            </w:pPr>
          </w:p>
        </w:tc>
      </w:tr>
      <w:tr w14:paraId="3C9F219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294" w:type="pct"/>
            <w:vAlign w:val="center"/>
          </w:tcPr>
          <w:p w14:paraId="0AC077DD">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5</w:t>
            </w:r>
          </w:p>
        </w:tc>
        <w:tc>
          <w:tcPr>
            <w:tcW w:w="490" w:type="pct"/>
            <w:vAlign w:val="center"/>
          </w:tcPr>
          <w:p w14:paraId="14C321E5">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废含油抹布、劳保用品</w:t>
            </w:r>
          </w:p>
        </w:tc>
        <w:tc>
          <w:tcPr>
            <w:tcW w:w="488" w:type="pct"/>
            <w:vAlign w:val="center"/>
          </w:tcPr>
          <w:p w14:paraId="1CF8020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HW49</w:t>
            </w:r>
          </w:p>
        </w:tc>
        <w:tc>
          <w:tcPr>
            <w:tcW w:w="565" w:type="pct"/>
            <w:vAlign w:val="center"/>
          </w:tcPr>
          <w:p w14:paraId="71732E25">
            <w:pPr>
              <w:topLinePunct/>
              <w:adjustRightInd w:val="0"/>
              <w:snapToGrid w:val="0"/>
              <w:spacing w:line="300" w:lineRule="exact"/>
              <w:jc w:val="center"/>
              <w:rPr>
                <w:rFonts w:hint="eastAsia" w:ascii="宋体" w:hAnsi="宋体" w:cs="宋体"/>
                <w:szCs w:val="21"/>
                <w:lang w:val="zh-CN"/>
              </w:rPr>
            </w:pPr>
            <w:r>
              <w:rPr>
                <w:rFonts w:hint="eastAsia" w:ascii="宋体" w:hAnsi="宋体" w:cs="宋体"/>
                <w:szCs w:val="21"/>
                <w:lang w:val="zh-CN"/>
              </w:rPr>
              <w:t>900-041-49</w:t>
            </w:r>
          </w:p>
        </w:tc>
        <w:tc>
          <w:tcPr>
            <w:tcW w:w="545" w:type="pct"/>
            <w:vAlign w:val="center"/>
          </w:tcPr>
          <w:p w14:paraId="6ABE2C96">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0.01t/a</w:t>
            </w:r>
          </w:p>
        </w:tc>
        <w:tc>
          <w:tcPr>
            <w:tcW w:w="614" w:type="pct"/>
            <w:vAlign w:val="center"/>
          </w:tcPr>
          <w:p w14:paraId="1CC16D1B">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设备检维修</w:t>
            </w:r>
          </w:p>
        </w:tc>
        <w:tc>
          <w:tcPr>
            <w:tcW w:w="384" w:type="pct"/>
            <w:vAlign w:val="center"/>
          </w:tcPr>
          <w:p w14:paraId="43836CE4">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固态</w:t>
            </w:r>
          </w:p>
        </w:tc>
        <w:tc>
          <w:tcPr>
            <w:tcW w:w="408" w:type="pct"/>
            <w:vAlign w:val="center"/>
          </w:tcPr>
          <w:p w14:paraId="23F536A1">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8" w:type="pct"/>
            <w:vAlign w:val="center"/>
          </w:tcPr>
          <w:p w14:paraId="113D8320">
            <w:pPr>
              <w:topLinePunct/>
              <w:adjustRightInd w:val="0"/>
              <w:snapToGrid w:val="0"/>
              <w:spacing w:line="300" w:lineRule="exact"/>
              <w:jc w:val="center"/>
              <w:rPr>
                <w:rFonts w:hint="eastAsia" w:ascii="宋体" w:hAnsi="宋体"/>
                <w:kern w:val="0"/>
                <w:szCs w:val="21"/>
              </w:rPr>
            </w:pPr>
            <w:r>
              <w:rPr>
                <w:rFonts w:hint="eastAsia" w:ascii="宋体" w:hAnsi="宋体"/>
                <w:kern w:val="0"/>
                <w:szCs w:val="21"/>
              </w:rPr>
              <w:t>油类</w:t>
            </w:r>
          </w:p>
        </w:tc>
        <w:tc>
          <w:tcPr>
            <w:tcW w:w="405" w:type="pct"/>
            <w:vAlign w:val="center"/>
          </w:tcPr>
          <w:p w14:paraId="3B7C1BC5">
            <w:pPr>
              <w:topLinePunct/>
              <w:adjustRightInd w:val="0"/>
              <w:snapToGrid w:val="0"/>
              <w:spacing w:line="300" w:lineRule="exact"/>
              <w:jc w:val="center"/>
              <w:rPr>
                <w:rFonts w:hint="eastAsia" w:ascii="宋体" w:hAnsi="宋体"/>
                <w:kern w:val="0"/>
                <w:szCs w:val="21"/>
              </w:rPr>
            </w:pPr>
            <w:r>
              <w:rPr>
                <w:rFonts w:hint="eastAsia" w:ascii="宋体" w:hAnsi="宋体" w:cs="宋体"/>
                <w:szCs w:val="21"/>
                <w:lang w:val="zh-CN"/>
              </w:rPr>
              <w:t>T/In</w:t>
            </w:r>
          </w:p>
        </w:tc>
        <w:tc>
          <w:tcPr>
            <w:tcW w:w="399" w:type="pct"/>
            <w:vMerge w:val="continue"/>
            <w:vAlign w:val="center"/>
          </w:tcPr>
          <w:p w14:paraId="23422C03">
            <w:pPr>
              <w:topLinePunct/>
              <w:adjustRightInd w:val="0"/>
              <w:snapToGrid w:val="0"/>
              <w:spacing w:line="300" w:lineRule="exact"/>
              <w:jc w:val="center"/>
              <w:rPr>
                <w:rFonts w:hint="eastAsia" w:ascii="宋体" w:hAnsi="宋体"/>
                <w:kern w:val="0"/>
                <w:szCs w:val="21"/>
              </w:rPr>
            </w:pPr>
          </w:p>
        </w:tc>
      </w:tr>
    </w:tbl>
    <w:p w14:paraId="66060D05">
      <w:pPr>
        <w:adjustRightInd w:val="0"/>
        <w:snapToGrid w:val="0"/>
        <w:spacing w:line="480" w:lineRule="exact"/>
        <w:ind w:firstLine="480" w:firstLineChars="200"/>
        <w:textAlignment w:val="bottom"/>
        <w:rPr>
          <w:rFonts w:hint="eastAsia" w:ascii="宋体" w:hAnsi="宋体" w:cs="宋体"/>
          <w:kern w:val="0"/>
          <w:sz w:val="24"/>
          <w:szCs w:val="24"/>
        </w:rPr>
      </w:pPr>
      <w:bookmarkStart w:id="335" w:name="_Toc445842047"/>
      <w:bookmarkStart w:id="336" w:name="_Toc26588"/>
      <w:bookmarkStart w:id="337" w:name="_Toc445996370"/>
      <w:r>
        <w:rPr>
          <w:rFonts w:hint="eastAsia" w:ascii="宋体" w:hAnsi="宋体" w:cs="宋体"/>
          <w:kern w:val="0"/>
          <w:sz w:val="24"/>
          <w:szCs w:val="24"/>
        </w:rPr>
        <w:t>（</w:t>
      </w:r>
      <w:r>
        <w:rPr>
          <w:rFonts w:ascii="宋体" w:hAnsi="宋体" w:cs="宋体"/>
          <w:kern w:val="0"/>
          <w:sz w:val="24"/>
          <w:szCs w:val="24"/>
        </w:rPr>
        <w:t>5</w:t>
      </w:r>
      <w:r>
        <w:rPr>
          <w:rFonts w:hint="eastAsia" w:ascii="宋体" w:hAnsi="宋体" w:cs="宋体"/>
          <w:kern w:val="0"/>
          <w:sz w:val="24"/>
          <w:szCs w:val="24"/>
        </w:rPr>
        <w:t>）生态影响</w:t>
      </w:r>
    </w:p>
    <w:p w14:paraId="112E6132">
      <w:pPr>
        <w:adjustRightInd w:val="0"/>
        <w:snapToGrid w:val="0"/>
        <w:spacing w:line="480" w:lineRule="exact"/>
        <w:ind w:firstLine="480" w:firstLineChars="200"/>
        <w:textAlignment w:val="bottom"/>
        <w:rPr>
          <w:rFonts w:hint="eastAsia" w:ascii="宋体" w:hAnsi="宋体" w:cs="宋体"/>
          <w:kern w:val="0"/>
          <w:sz w:val="24"/>
          <w:szCs w:val="24"/>
        </w:rPr>
      </w:pPr>
      <w:r>
        <w:rPr>
          <w:rFonts w:hint="eastAsia" w:ascii="宋体" w:hAnsi="宋体" w:cs="宋体"/>
          <w:kern w:val="0"/>
          <w:sz w:val="24"/>
          <w:szCs w:val="24"/>
        </w:rPr>
        <w:t>运营期不新增占地，临时占地植被进行自然恢复，人类活动及巡检车辆可能对项目区及周边野生动物产生一定的影响。</w:t>
      </w:r>
    </w:p>
    <w:p w14:paraId="3B536F9D">
      <w:pPr>
        <w:adjustRightInd w:val="0"/>
        <w:snapToGrid w:val="0"/>
        <w:spacing w:line="480" w:lineRule="exact"/>
        <w:ind w:firstLine="480" w:firstLineChars="200"/>
        <w:textAlignment w:val="bottom"/>
        <w:rPr>
          <w:rFonts w:hint="eastAsia" w:ascii="宋体" w:hAnsi="宋体" w:cs="宋体"/>
          <w:kern w:val="0"/>
          <w:sz w:val="24"/>
          <w:szCs w:val="24"/>
        </w:rPr>
      </w:pPr>
      <w:r>
        <w:rPr>
          <w:rFonts w:hint="eastAsia" w:ascii="宋体" w:hAnsi="宋体" w:cs="宋体"/>
          <w:kern w:val="0"/>
          <w:sz w:val="24"/>
          <w:szCs w:val="24"/>
        </w:rPr>
        <w:t>（</w:t>
      </w:r>
      <w:r>
        <w:rPr>
          <w:rFonts w:ascii="宋体" w:hAnsi="宋体" w:cs="宋体"/>
          <w:kern w:val="0"/>
          <w:sz w:val="24"/>
          <w:szCs w:val="24"/>
        </w:rPr>
        <w:t>6</w:t>
      </w:r>
      <w:r>
        <w:rPr>
          <w:rFonts w:hint="eastAsia" w:ascii="宋体" w:hAnsi="宋体" w:cs="宋体"/>
          <w:kern w:val="0"/>
          <w:sz w:val="24"/>
          <w:szCs w:val="24"/>
        </w:rPr>
        <w:t>）污染物排放量汇总</w:t>
      </w:r>
    </w:p>
    <w:bookmarkEnd w:id="263"/>
    <w:p w14:paraId="7ADE41ED">
      <w:pPr>
        <w:adjustRightInd w:val="0"/>
        <w:snapToGrid w:val="0"/>
        <w:spacing w:line="480" w:lineRule="exact"/>
        <w:ind w:firstLine="480" w:firstLineChars="200"/>
        <w:textAlignment w:val="bottom"/>
        <w:rPr>
          <w:rFonts w:hint="eastAsia" w:ascii="宋体" w:hAnsi="宋体" w:cs="宋体"/>
          <w:kern w:val="0"/>
          <w:sz w:val="24"/>
          <w:szCs w:val="24"/>
        </w:rPr>
      </w:pPr>
      <w:r>
        <w:rPr>
          <w:rFonts w:hint="eastAsia" w:ascii="宋体" w:hAnsi="宋体" w:cs="宋体"/>
          <w:kern w:val="0"/>
          <w:sz w:val="24"/>
          <w:szCs w:val="24"/>
        </w:rPr>
        <w:t>运营期污染物排放情况见表</w:t>
      </w:r>
      <w:r>
        <w:rPr>
          <w:rFonts w:ascii="宋体" w:hAnsi="宋体" w:cs="宋体"/>
          <w:kern w:val="0"/>
          <w:sz w:val="24"/>
          <w:szCs w:val="24"/>
        </w:rPr>
        <w:t>3.3</w:t>
      </w:r>
      <w:r>
        <w:rPr>
          <w:rFonts w:hint="eastAsia" w:ascii="宋体" w:hAnsi="宋体" w:cs="宋体"/>
          <w:kern w:val="0"/>
          <w:sz w:val="24"/>
          <w:szCs w:val="24"/>
        </w:rPr>
        <w:t>-20和表3.3-21。废水经压裂返排液处理装置处理后用于压裂液的复配，固体废物均得到妥善处置，故本次仅统计废气污染物排放量的“三本账”，详见表3.3-22和表3.3-23。</w:t>
      </w:r>
    </w:p>
    <w:p w14:paraId="0A5CCFDD">
      <w:pPr>
        <w:pStyle w:val="109"/>
        <w:rPr>
          <w:rFonts w:hint="eastAsia"/>
        </w:rPr>
      </w:pPr>
      <w:bookmarkStart w:id="338" w:name="OLE_LINK353"/>
    </w:p>
    <w:p w14:paraId="5058EAE8">
      <w:pPr>
        <w:pStyle w:val="109"/>
        <w:rPr>
          <w:rFonts w:hint="eastAsia"/>
        </w:rPr>
      </w:pPr>
      <w:r>
        <w:rPr>
          <w:rFonts w:hint="eastAsia"/>
        </w:rPr>
        <w:t>表3.3-22  一期工程及现有工程排放量“三本账”一览表</w:t>
      </w:r>
    </w:p>
    <w:tbl>
      <w:tblPr>
        <w:tblStyle w:val="51"/>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28" w:type="dxa"/>
          <w:bottom w:w="0" w:type="dxa"/>
          <w:right w:w="28" w:type="dxa"/>
        </w:tblCellMar>
      </w:tblPr>
      <w:tblGrid>
        <w:gridCol w:w="548"/>
        <w:gridCol w:w="1294"/>
        <w:gridCol w:w="1792"/>
        <w:gridCol w:w="1135"/>
        <w:gridCol w:w="1451"/>
        <w:gridCol w:w="1222"/>
        <w:gridCol w:w="1340"/>
      </w:tblGrid>
      <w:tr w14:paraId="45B8FAC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312" w:type="pct"/>
            <w:tcBorders>
              <w:top w:val="single" w:color="auto" w:sz="12" w:space="0"/>
              <w:left w:val="nil"/>
              <w:bottom w:val="single" w:color="auto" w:sz="6" w:space="0"/>
              <w:right w:val="single" w:color="auto" w:sz="6" w:space="0"/>
            </w:tcBorders>
            <w:vAlign w:val="center"/>
          </w:tcPr>
          <w:p w14:paraId="7E38B7A5">
            <w:pPr>
              <w:pStyle w:val="286"/>
              <w:adjustRightInd w:val="0"/>
              <w:snapToGrid w:val="0"/>
              <w:spacing w:line="300" w:lineRule="exact"/>
              <w:rPr>
                <w:rFonts w:hint="eastAsia" w:cs="宋体"/>
                <w:sz w:val="21"/>
              </w:rPr>
            </w:pPr>
            <w:r>
              <w:rPr>
                <w:rFonts w:hint="eastAsia" w:cs="宋体"/>
                <w:sz w:val="21"/>
              </w:rPr>
              <w:t>类别</w:t>
            </w:r>
          </w:p>
        </w:tc>
        <w:tc>
          <w:tcPr>
            <w:tcW w:w="737" w:type="pct"/>
            <w:tcBorders>
              <w:top w:val="single" w:color="auto" w:sz="12" w:space="0"/>
              <w:left w:val="single" w:color="auto" w:sz="6" w:space="0"/>
              <w:bottom w:val="single" w:color="auto" w:sz="6" w:space="0"/>
              <w:right w:val="single" w:color="auto" w:sz="6" w:space="0"/>
            </w:tcBorders>
            <w:vAlign w:val="center"/>
          </w:tcPr>
          <w:p w14:paraId="60EA2E53">
            <w:pPr>
              <w:pStyle w:val="286"/>
              <w:adjustRightInd w:val="0"/>
              <w:snapToGrid w:val="0"/>
              <w:spacing w:line="300" w:lineRule="exact"/>
              <w:rPr>
                <w:rFonts w:hint="eastAsia" w:cs="宋体"/>
                <w:sz w:val="21"/>
              </w:rPr>
            </w:pPr>
            <w:r>
              <w:rPr>
                <w:rFonts w:hint="eastAsia" w:cs="宋体"/>
                <w:sz w:val="21"/>
              </w:rPr>
              <w:t>污染源</w:t>
            </w:r>
          </w:p>
        </w:tc>
        <w:tc>
          <w:tcPr>
            <w:tcW w:w="1020" w:type="pct"/>
            <w:tcBorders>
              <w:top w:val="single" w:color="auto" w:sz="12" w:space="0"/>
              <w:left w:val="single" w:color="auto" w:sz="6" w:space="0"/>
              <w:bottom w:val="single" w:color="auto" w:sz="6" w:space="0"/>
              <w:right w:val="single" w:color="auto" w:sz="6" w:space="0"/>
            </w:tcBorders>
            <w:vAlign w:val="center"/>
          </w:tcPr>
          <w:p w14:paraId="130009E3">
            <w:pPr>
              <w:pStyle w:val="286"/>
              <w:adjustRightInd w:val="0"/>
              <w:snapToGrid w:val="0"/>
              <w:spacing w:line="300" w:lineRule="exact"/>
              <w:rPr>
                <w:rFonts w:hint="eastAsia" w:cs="宋体"/>
                <w:sz w:val="21"/>
              </w:rPr>
            </w:pPr>
            <w:r>
              <w:rPr>
                <w:rFonts w:hint="eastAsia" w:cs="宋体"/>
                <w:sz w:val="21"/>
              </w:rPr>
              <w:t>污染物名称</w:t>
            </w:r>
          </w:p>
        </w:tc>
        <w:tc>
          <w:tcPr>
            <w:tcW w:w="646" w:type="pct"/>
            <w:tcBorders>
              <w:top w:val="single" w:color="auto" w:sz="12" w:space="0"/>
              <w:left w:val="single" w:color="auto" w:sz="6" w:space="0"/>
              <w:bottom w:val="single" w:color="auto" w:sz="6" w:space="0"/>
              <w:right w:val="single" w:color="auto" w:sz="6" w:space="0"/>
            </w:tcBorders>
            <w:vAlign w:val="center"/>
          </w:tcPr>
          <w:p w14:paraId="0387F3E1">
            <w:pPr>
              <w:pStyle w:val="286"/>
              <w:adjustRightInd w:val="0"/>
              <w:snapToGrid w:val="0"/>
              <w:spacing w:line="300" w:lineRule="exact"/>
              <w:rPr>
                <w:rFonts w:hint="eastAsia" w:cs="宋体"/>
                <w:sz w:val="21"/>
              </w:rPr>
            </w:pPr>
            <w:r>
              <w:rPr>
                <w:rFonts w:hint="eastAsia" w:cs="宋体"/>
                <w:sz w:val="21"/>
              </w:rPr>
              <w:t>现有工程排放量</w:t>
            </w:r>
          </w:p>
        </w:tc>
        <w:tc>
          <w:tcPr>
            <w:tcW w:w="826" w:type="pct"/>
            <w:tcBorders>
              <w:top w:val="single" w:color="auto" w:sz="12" w:space="0"/>
              <w:left w:val="single" w:color="auto" w:sz="6" w:space="0"/>
              <w:bottom w:val="single" w:color="auto" w:sz="6" w:space="0"/>
              <w:right w:val="single" w:color="auto" w:sz="6" w:space="0"/>
            </w:tcBorders>
            <w:vAlign w:val="center"/>
          </w:tcPr>
          <w:p w14:paraId="11A3AAE0">
            <w:pPr>
              <w:pStyle w:val="286"/>
              <w:adjustRightInd w:val="0"/>
              <w:snapToGrid w:val="0"/>
              <w:spacing w:line="300" w:lineRule="exact"/>
              <w:rPr>
                <w:rFonts w:hint="eastAsia" w:cs="宋体"/>
                <w:sz w:val="21"/>
              </w:rPr>
            </w:pPr>
            <w:r>
              <w:rPr>
                <w:rFonts w:hint="eastAsia" w:cs="宋体"/>
                <w:sz w:val="21"/>
              </w:rPr>
              <w:t>拟建工程排放量</w:t>
            </w:r>
          </w:p>
        </w:tc>
        <w:tc>
          <w:tcPr>
            <w:tcW w:w="696" w:type="pct"/>
            <w:tcBorders>
              <w:top w:val="single" w:color="auto" w:sz="12" w:space="0"/>
              <w:left w:val="single" w:color="auto" w:sz="6" w:space="0"/>
              <w:bottom w:val="single" w:color="auto" w:sz="6" w:space="0"/>
              <w:right w:val="single" w:color="auto" w:sz="6" w:space="0"/>
            </w:tcBorders>
            <w:vAlign w:val="center"/>
          </w:tcPr>
          <w:p w14:paraId="4EDF0653">
            <w:pPr>
              <w:pStyle w:val="286"/>
              <w:adjustRightInd w:val="0"/>
              <w:snapToGrid w:val="0"/>
              <w:spacing w:line="300" w:lineRule="exact"/>
              <w:rPr>
                <w:rFonts w:hint="eastAsia" w:cs="宋体"/>
                <w:sz w:val="21"/>
              </w:rPr>
            </w:pPr>
            <w:r>
              <w:rPr>
                <w:rFonts w:hint="eastAsia" w:cs="宋体"/>
                <w:sz w:val="21"/>
              </w:rPr>
              <w:t>以新带老削减量</w:t>
            </w:r>
          </w:p>
        </w:tc>
        <w:tc>
          <w:tcPr>
            <w:tcW w:w="763" w:type="pct"/>
            <w:tcBorders>
              <w:top w:val="single" w:color="auto" w:sz="12" w:space="0"/>
              <w:left w:val="single" w:color="auto" w:sz="6" w:space="0"/>
              <w:bottom w:val="single" w:color="auto" w:sz="6" w:space="0"/>
              <w:right w:val="nil"/>
            </w:tcBorders>
            <w:vAlign w:val="center"/>
          </w:tcPr>
          <w:p w14:paraId="5D028BC5">
            <w:pPr>
              <w:pStyle w:val="286"/>
              <w:adjustRightInd w:val="0"/>
              <w:snapToGrid w:val="0"/>
              <w:spacing w:line="300" w:lineRule="exact"/>
              <w:rPr>
                <w:rFonts w:hint="eastAsia" w:cs="宋体"/>
                <w:sz w:val="21"/>
              </w:rPr>
            </w:pPr>
            <w:r>
              <w:rPr>
                <w:rFonts w:hint="eastAsia" w:cs="宋体"/>
                <w:sz w:val="21"/>
              </w:rPr>
              <w:t>总排放量</w:t>
            </w:r>
          </w:p>
        </w:tc>
      </w:tr>
      <w:tr w14:paraId="2CEFE2F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312" w:type="pct"/>
            <w:vMerge w:val="restart"/>
            <w:tcBorders>
              <w:top w:val="single" w:color="auto" w:sz="6" w:space="0"/>
              <w:left w:val="nil"/>
              <w:right w:val="single" w:color="auto" w:sz="6" w:space="0"/>
            </w:tcBorders>
            <w:vAlign w:val="center"/>
          </w:tcPr>
          <w:p w14:paraId="647A7C70">
            <w:pPr>
              <w:pStyle w:val="286"/>
              <w:adjustRightInd w:val="0"/>
              <w:snapToGrid w:val="0"/>
              <w:spacing w:line="300" w:lineRule="exact"/>
              <w:rPr>
                <w:rFonts w:hint="eastAsia" w:cs="宋体"/>
                <w:sz w:val="21"/>
              </w:rPr>
            </w:pPr>
            <w:r>
              <w:rPr>
                <w:rFonts w:hint="eastAsia" w:cs="宋体"/>
                <w:sz w:val="21"/>
              </w:rPr>
              <w:t>废气</w:t>
            </w:r>
          </w:p>
        </w:tc>
        <w:tc>
          <w:tcPr>
            <w:tcW w:w="737" w:type="pct"/>
            <w:vMerge w:val="restart"/>
            <w:tcBorders>
              <w:top w:val="single" w:color="auto" w:sz="6" w:space="0"/>
              <w:left w:val="single" w:color="auto" w:sz="6" w:space="0"/>
              <w:right w:val="single" w:color="auto" w:sz="6" w:space="0"/>
            </w:tcBorders>
            <w:vAlign w:val="center"/>
          </w:tcPr>
          <w:p w14:paraId="4A04B917">
            <w:pPr>
              <w:pStyle w:val="286"/>
              <w:adjustRightInd w:val="0"/>
              <w:snapToGrid w:val="0"/>
              <w:spacing w:line="300" w:lineRule="exact"/>
              <w:rPr>
                <w:rFonts w:hint="eastAsia" w:cs="宋体"/>
                <w:sz w:val="21"/>
              </w:rPr>
            </w:pPr>
            <w:r>
              <w:rPr>
                <w:rFonts w:hint="eastAsia" w:cs="宋体"/>
                <w:sz w:val="21"/>
              </w:rPr>
              <w:t>无组织排放</w:t>
            </w:r>
          </w:p>
        </w:tc>
        <w:tc>
          <w:tcPr>
            <w:tcW w:w="1020" w:type="pct"/>
            <w:tcBorders>
              <w:top w:val="single" w:color="auto" w:sz="6" w:space="0"/>
              <w:left w:val="single" w:color="auto" w:sz="6" w:space="0"/>
              <w:bottom w:val="single" w:color="auto" w:sz="6" w:space="0"/>
              <w:right w:val="single" w:color="auto" w:sz="6" w:space="0"/>
            </w:tcBorders>
            <w:vAlign w:val="center"/>
          </w:tcPr>
          <w:p w14:paraId="323D907B">
            <w:pPr>
              <w:pStyle w:val="286"/>
              <w:adjustRightInd w:val="0"/>
              <w:snapToGrid w:val="0"/>
              <w:spacing w:line="300" w:lineRule="exact"/>
              <w:rPr>
                <w:rFonts w:hint="eastAsia" w:cs="宋体"/>
                <w:sz w:val="21"/>
              </w:rPr>
            </w:pPr>
            <w:r>
              <w:rPr>
                <w:rFonts w:hint="eastAsia" w:cs="宋体"/>
                <w:sz w:val="21"/>
              </w:rPr>
              <w:t>非甲烷总烃</w:t>
            </w:r>
          </w:p>
        </w:tc>
        <w:tc>
          <w:tcPr>
            <w:tcW w:w="646" w:type="pct"/>
            <w:tcBorders>
              <w:top w:val="single" w:color="auto" w:sz="6" w:space="0"/>
              <w:left w:val="single" w:color="auto" w:sz="6" w:space="0"/>
              <w:bottom w:val="single" w:color="auto" w:sz="6" w:space="0"/>
              <w:right w:val="single" w:color="auto" w:sz="6" w:space="0"/>
            </w:tcBorders>
            <w:vAlign w:val="center"/>
          </w:tcPr>
          <w:p w14:paraId="7EDC9273">
            <w:pPr>
              <w:pStyle w:val="286"/>
              <w:adjustRightInd w:val="0"/>
              <w:snapToGrid w:val="0"/>
              <w:spacing w:line="300" w:lineRule="exact"/>
              <w:rPr>
                <w:rFonts w:hint="eastAsia" w:cs="宋体"/>
                <w:sz w:val="21"/>
              </w:rPr>
            </w:pPr>
            <w:r>
              <w:rPr>
                <w:rFonts w:hint="eastAsia" w:cs="宋体"/>
                <w:sz w:val="21"/>
              </w:rPr>
              <w:t>454.645t/a</w:t>
            </w:r>
          </w:p>
        </w:tc>
        <w:tc>
          <w:tcPr>
            <w:tcW w:w="826" w:type="pct"/>
            <w:tcBorders>
              <w:top w:val="single" w:color="auto" w:sz="6" w:space="0"/>
              <w:left w:val="single" w:color="auto" w:sz="6" w:space="0"/>
              <w:bottom w:val="single" w:color="auto" w:sz="6" w:space="0"/>
              <w:right w:val="single" w:color="auto" w:sz="6" w:space="0"/>
            </w:tcBorders>
            <w:vAlign w:val="center"/>
          </w:tcPr>
          <w:p w14:paraId="6EEB48D3">
            <w:pPr>
              <w:pStyle w:val="286"/>
              <w:adjustRightInd w:val="0"/>
              <w:snapToGrid w:val="0"/>
              <w:spacing w:line="300" w:lineRule="exact"/>
              <w:rPr>
                <w:rFonts w:hint="eastAsia" w:cs="宋体"/>
                <w:sz w:val="21"/>
              </w:rPr>
            </w:pPr>
            <w:r>
              <w:rPr>
                <w:rFonts w:hint="eastAsia" w:cs="宋体"/>
                <w:bCs/>
                <w:snapToGrid w:val="0"/>
                <w:sz w:val="21"/>
              </w:rPr>
              <w:t>2.5075t/a</w:t>
            </w:r>
          </w:p>
        </w:tc>
        <w:tc>
          <w:tcPr>
            <w:tcW w:w="696" w:type="pct"/>
            <w:tcBorders>
              <w:top w:val="single" w:color="auto" w:sz="6" w:space="0"/>
              <w:left w:val="single" w:color="auto" w:sz="6" w:space="0"/>
              <w:bottom w:val="single" w:color="auto" w:sz="6" w:space="0"/>
              <w:right w:val="single" w:color="auto" w:sz="6" w:space="0"/>
            </w:tcBorders>
            <w:vAlign w:val="center"/>
          </w:tcPr>
          <w:p w14:paraId="5355BB04">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6" w:space="0"/>
              <w:right w:val="nil"/>
            </w:tcBorders>
            <w:vAlign w:val="center"/>
          </w:tcPr>
          <w:p w14:paraId="1AF465BE">
            <w:pPr>
              <w:pStyle w:val="286"/>
              <w:adjustRightInd w:val="0"/>
              <w:snapToGrid w:val="0"/>
              <w:spacing w:line="300" w:lineRule="exact"/>
              <w:rPr>
                <w:rFonts w:hint="eastAsia" w:cs="宋体"/>
                <w:sz w:val="21"/>
              </w:rPr>
            </w:pPr>
            <w:r>
              <w:rPr>
                <w:rFonts w:hint="eastAsia" w:cs="宋体"/>
                <w:sz w:val="21"/>
              </w:rPr>
              <w:t>457.1525t/a</w:t>
            </w:r>
          </w:p>
        </w:tc>
      </w:tr>
      <w:tr w14:paraId="07C699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0" w:type="auto"/>
            <w:vMerge w:val="continue"/>
            <w:tcBorders>
              <w:left w:val="nil"/>
              <w:right w:val="single" w:color="auto" w:sz="6" w:space="0"/>
            </w:tcBorders>
            <w:vAlign w:val="center"/>
          </w:tcPr>
          <w:p w14:paraId="09E31FBC">
            <w:pPr>
              <w:widowControl/>
              <w:jc w:val="left"/>
              <w:rPr>
                <w:rFonts w:hint="eastAsia" w:ascii="宋体" w:hAnsi="宋体" w:cs="宋体"/>
                <w:kern w:val="0"/>
                <w:szCs w:val="21"/>
              </w:rPr>
            </w:pPr>
          </w:p>
        </w:tc>
        <w:tc>
          <w:tcPr>
            <w:tcW w:w="0" w:type="auto"/>
            <w:vMerge w:val="continue"/>
            <w:tcBorders>
              <w:left w:val="single" w:color="auto" w:sz="6" w:space="0"/>
              <w:right w:val="single" w:color="auto" w:sz="6" w:space="0"/>
            </w:tcBorders>
            <w:vAlign w:val="center"/>
          </w:tcPr>
          <w:p w14:paraId="69452864">
            <w:pPr>
              <w:widowControl/>
              <w:jc w:val="left"/>
              <w:rPr>
                <w:rFonts w:hint="eastAsia" w:ascii="宋体" w:hAnsi="宋体" w:cs="宋体"/>
                <w:kern w:val="0"/>
                <w:szCs w:val="21"/>
              </w:rPr>
            </w:pPr>
          </w:p>
        </w:tc>
        <w:tc>
          <w:tcPr>
            <w:tcW w:w="1020" w:type="pct"/>
            <w:tcBorders>
              <w:top w:val="single" w:color="auto" w:sz="6" w:space="0"/>
              <w:left w:val="single" w:color="auto" w:sz="6" w:space="0"/>
              <w:bottom w:val="single" w:color="auto" w:sz="6" w:space="0"/>
              <w:right w:val="single" w:color="auto" w:sz="6" w:space="0"/>
            </w:tcBorders>
            <w:vAlign w:val="center"/>
          </w:tcPr>
          <w:p w14:paraId="1D2B6DE8">
            <w:pPr>
              <w:pStyle w:val="286"/>
              <w:adjustRightInd w:val="0"/>
              <w:snapToGrid w:val="0"/>
              <w:spacing w:line="300" w:lineRule="exact"/>
              <w:rPr>
                <w:rFonts w:hint="eastAsia" w:cs="宋体"/>
                <w:sz w:val="21"/>
              </w:rPr>
            </w:pPr>
            <w:r>
              <w:rPr>
                <w:rFonts w:hint="eastAsia" w:cs="宋体"/>
                <w:sz w:val="21"/>
              </w:rPr>
              <w:t>硫化氢</w:t>
            </w:r>
          </w:p>
        </w:tc>
        <w:tc>
          <w:tcPr>
            <w:tcW w:w="646" w:type="pct"/>
            <w:tcBorders>
              <w:top w:val="single" w:color="auto" w:sz="6" w:space="0"/>
              <w:left w:val="single" w:color="auto" w:sz="6" w:space="0"/>
              <w:bottom w:val="single" w:color="auto" w:sz="6" w:space="0"/>
              <w:right w:val="single" w:color="auto" w:sz="6" w:space="0"/>
            </w:tcBorders>
            <w:vAlign w:val="center"/>
          </w:tcPr>
          <w:p w14:paraId="26240E23">
            <w:pPr>
              <w:pStyle w:val="286"/>
              <w:adjustRightInd w:val="0"/>
              <w:snapToGrid w:val="0"/>
              <w:spacing w:line="300" w:lineRule="exact"/>
              <w:rPr>
                <w:rFonts w:hint="eastAsia" w:cs="宋体"/>
                <w:sz w:val="21"/>
              </w:rPr>
            </w:pPr>
            <w:r>
              <w:rPr>
                <w:rFonts w:hint="eastAsia" w:cs="宋体"/>
                <w:sz w:val="21"/>
              </w:rPr>
              <w:t>/</w:t>
            </w:r>
          </w:p>
        </w:tc>
        <w:tc>
          <w:tcPr>
            <w:tcW w:w="826" w:type="pct"/>
            <w:tcBorders>
              <w:top w:val="single" w:color="auto" w:sz="6" w:space="0"/>
              <w:left w:val="single" w:color="auto" w:sz="6" w:space="0"/>
              <w:bottom w:val="single" w:color="auto" w:sz="6" w:space="0"/>
              <w:right w:val="single" w:color="auto" w:sz="6" w:space="0"/>
            </w:tcBorders>
            <w:vAlign w:val="center"/>
          </w:tcPr>
          <w:p w14:paraId="503F18AD">
            <w:pPr>
              <w:pStyle w:val="286"/>
              <w:adjustRightInd w:val="0"/>
              <w:snapToGrid w:val="0"/>
              <w:spacing w:line="300" w:lineRule="exact"/>
              <w:rPr>
                <w:rFonts w:hint="eastAsia" w:cs="宋体"/>
                <w:sz w:val="21"/>
              </w:rPr>
            </w:pPr>
            <w:r>
              <w:rPr>
                <w:rFonts w:hint="eastAsia" w:cs="宋体"/>
                <w:bCs/>
                <w:snapToGrid w:val="0"/>
                <w:sz w:val="21"/>
              </w:rPr>
              <w:t>0.4891kg/a</w:t>
            </w:r>
          </w:p>
        </w:tc>
        <w:tc>
          <w:tcPr>
            <w:tcW w:w="696" w:type="pct"/>
            <w:tcBorders>
              <w:top w:val="single" w:color="auto" w:sz="6" w:space="0"/>
              <w:left w:val="single" w:color="auto" w:sz="6" w:space="0"/>
              <w:bottom w:val="single" w:color="auto" w:sz="6" w:space="0"/>
              <w:right w:val="single" w:color="auto" w:sz="6" w:space="0"/>
            </w:tcBorders>
            <w:vAlign w:val="center"/>
          </w:tcPr>
          <w:p w14:paraId="1FA27506">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6" w:space="0"/>
              <w:right w:val="nil"/>
            </w:tcBorders>
            <w:vAlign w:val="center"/>
          </w:tcPr>
          <w:p w14:paraId="3670284B">
            <w:pPr>
              <w:pStyle w:val="286"/>
              <w:adjustRightInd w:val="0"/>
              <w:snapToGrid w:val="0"/>
              <w:spacing w:line="300" w:lineRule="exact"/>
              <w:rPr>
                <w:rFonts w:hint="eastAsia" w:cs="宋体"/>
                <w:sz w:val="21"/>
              </w:rPr>
            </w:pPr>
            <w:r>
              <w:rPr>
                <w:rFonts w:hint="eastAsia" w:cs="宋体"/>
                <w:bCs/>
                <w:snapToGrid w:val="0"/>
                <w:sz w:val="21"/>
              </w:rPr>
              <w:t>0.4891kg/a</w:t>
            </w:r>
          </w:p>
        </w:tc>
      </w:tr>
      <w:tr w14:paraId="306EDE7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0" w:type="auto"/>
            <w:vMerge w:val="continue"/>
            <w:tcBorders>
              <w:left w:val="nil"/>
              <w:right w:val="single" w:color="auto" w:sz="6" w:space="0"/>
            </w:tcBorders>
            <w:vAlign w:val="center"/>
          </w:tcPr>
          <w:p w14:paraId="348C96FF">
            <w:pPr>
              <w:widowControl/>
              <w:jc w:val="left"/>
              <w:rPr>
                <w:rFonts w:hint="eastAsia" w:ascii="宋体" w:hAnsi="宋体" w:cs="宋体"/>
                <w:kern w:val="0"/>
                <w:szCs w:val="21"/>
              </w:rPr>
            </w:pPr>
          </w:p>
        </w:tc>
        <w:tc>
          <w:tcPr>
            <w:tcW w:w="0" w:type="auto"/>
            <w:vMerge w:val="continue"/>
            <w:tcBorders>
              <w:left w:val="single" w:color="auto" w:sz="6" w:space="0"/>
              <w:right w:val="single" w:color="auto" w:sz="6" w:space="0"/>
            </w:tcBorders>
            <w:vAlign w:val="center"/>
          </w:tcPr>
          <w:p w14:paraId="10897587">
            <w:pPr>
              <w:widowControl/>
              <w:jc w:val="left"/>
              <w:rPr>
                <w:rFonts w:hint="eastAsia" w:ascii="宋体" w:hAnsi="宋体" w:cs="宋体"/>
                <w:kern w:val="0"/>
                <w:szCs w:val="21"/>
              </w:rPr>
            </w:pPr>
          </w:p>
        </w:tc>
        <w:tc>
          <w:tcPr>
            <w:tcW w:w="1020" w:type="pct"/>
            <w:tcBorders>
              <w:top w:val="single" w:color="auto" w:sz="6" w:space="0"/>
              <w:left w:val="single" w:color="auto" w:sz="6" w:space="0"/>
              <w:bottom w:val="single" w:color="auto" w:sz="6" w:space="0"/>
              <w:right w:val="single" w:color="auto" w:sz="6" w:space="0"/>
            </w:tcBorders>
            <w:vAlign w:val="center"/>
          </w:tcPr>
          <w:p w14:paraId="046E7B10">
            <w:pPr>
              <w:pStyle w:val="286"/>
              <w:adjustRightInd w:val="0"/>
              <w:snapToGrid w:val="0"/>
              <w:spacing w:line="300" w:lineRule="exact"/>
              <w:rPr>
                <w:rFonts w:hint="eastAsia" w:cs="宋体"/>
                <w:sz w:val="21"/>
              </w:rPr>
            </w:pPr>
            <w:r>
              <w:rPr>
                <w:rFonts w:hint="eastAsia" w:cs="Arial"/>
                <w:kern w:val="2"/>
                <w:sz w:val="21"/>
              </w:rPr>
              <w:t>NO</w:t>
            </w:r>
            <w:r>
              <w:rPr>
                <w:rFonts w:hint="eastAsia" w:cs="Arial"/>
                <w:kern w:val="2"/>
                <w:sz w:val="21"/>
                <w:vertAlign w:val="subscript"/>
              </w:rPr>
              <w:t>x</w:t>
            </w:r>
          </w:p>
        </w:tc>
        <w:tc>
          <w:tcPr>
            <w:tcW w:w="646" w:type="pct"/>
            <w:tcBorders>
              <w:top w:val="single" w:color="auto" w:sz="6" w:space="0"/>
              <w:left w:val="single" w:color="auto" w:sz="6" w:space="0"/>
              <w:bottom w:val="single" w:color="auto" w:sz="6" w:space="0"/>
              <w:right w:val="single" w:color="auto" w:sz="6" w:space="0"/>
            </w:tcBorders>
            <w:vAlign w:val="center"/>
          </w:tcPr>
          <w:p w14:paraId="1D73BF13">
            <w:pPr>
              <w:pStyle w:val="286"/>
              <w:adjustRightInd w:val="0"/>
              <w:snapToGrid w:val="0"/>
              <w:spacing w:line="300" w:lineRule="exact"/>
              <w:rPr>
                <w:rFonts w:hint="eastAsia" w:cs="宋体"/>
                <w:sz w:val="21"/>
              </w:rPr>
            </w:pPr>
            <w:r>
              <w:rPr>
                <w:rFonts w:hint="eastAsia" w:cs="Arial"/>
                <w:kern w:val="2"/>
                <w:sz w:val="21"/>
              </w:rPr>
              <w:t>4.670t</w:t>
            </w:r>
            <w:r>
              <w:rPr>
                <w:rFonts w:cs="Arial"/>
                <w:kern w:val="2"/>
                <w:sz w:val="21"/>
              </w:rPr>
              <w:t>/a</w:t>
            </w:r>
          </w:p>
        </w:tc>
        <w:tc>
          <w:tcPr>
            <w:tcW w:w="826" w:type="pct"/>
            <w:tcBorders>
              <w:top w:val="single" w:color="auto" w:sz="6" w:space="0"/>
              <w:left w:val="single" w:color="auto" w:sz="6" w:space="0"/>
              <w:bottom w:val="single" w:color="auto" w:sz="6" w:space="0"/>
              <w:right w:val="single" w:color="auto" w:sz="6" w:space="0"/>
            </w:tcBorders>
            <w:vAlign w:val="center"/>
          </w:tcPr>
          <w:p w14:paraId="7C760075">
            <w:pPr>
              <w:pStyle w:val="286"/>
              <w:adjustRightInd w:val="0"/>
              <w:snapToGrid w:val="0"/>
              <w:spacing w:line="300" w:lineRule="exact"/>
              <w:rPr>
                <w:rFonts w:hint="eastAsia" w:cs="宋体"/>
                <w:bCs/>
                <w:snapToGrid w:val="0"/>
                <w:sz w:val="21"/>
              </w:rPr>
            </w:pPr>
            <w:r>
              <w:rPr>
                <w:rFonts w:hint="eastAsia" w:cs="宋体"/>
                <w:bCs/>
                <w:snapToGrid w:val="0"/>
                <w:sz w:val="21"/>
              </w:rPr>
              <w:t>0.475</w:t>
            </w:r>
            <w:r>
              <w:rPr>
                <w:rFonts w:hint="eastAsia" w:cs="Arial"/>
                <w:kern w:val="2"/>
                <w:sz w:val="21"/>
              </w:rPr>
              <w:t>t</w:t>
            </w:r>
            <w:r>
              <w:rPr>
                <w:rFonts w:cs="Arial"/>
                <w:kern w:val="2"/>
                <w:sz w:val="21"/>
              </w:rPr>
              <w:t>/a</w:t>
            </w:r>
          </w:p>
        </w:tc>
        <w:tc>
          <w:tcPr>
            <w:tcW w:w="696" w:type="pct"/>
            <w:tcBorders>
              <w:top w:val="single" w:color="auto" w:sz="6" w:space="0"/>
              <w:left w:val="single" w:color="auto" w:sz="6" w:space="0"/>
              <w:bottom w:val="single" w:color="auto" w:sz="6" w:space="0"/>
              <w:right w:val="single" w:color="auto" w:sz="6" w:space="0"/>
            </w:tcBorders>
            <w:vAlign w:val="center"/>
          </w:tcPr>
          <w:p w14:paraId="55FC906C">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6" w:space="0"/>
              <w:right w:val="nil"/>
            </w:tcBorders>
            <w:vAlign w:val="center"/>
          </w:tcPr>
          <w:p w14:paraId="553D6C41">
            <w:pPr>
              <w:pStyle w:val="286"/>
              <w:adjustRightInd w:val="0"/>
              <w:snapToGrid w:val="0"/>
              <w:spacing w:line="300" w:lineRule="exact"/>
              <w:rPr>
                <w:rFonts w:hint="eastAsia" w:cs="宋体"/>
                <w:bCs/>
                <w:snapToGrid w:val="0"/>
                <w:sz w:val="21"/>
              </w:rPr>
            </w:pPr>
            <w:r>
              <w:rPr>
                <w:rFonts w:hint="eastAsia" w:cs="宋体"/>
                <w:bCs/>
                <w:snapToGrid w:val="0"/>
                <w:sz w:val="21"/>
              </w:rPr>
              <w:t>5.145</w:t>
            </w:r>
            <w:r>
              <w:rPr>
                <w:rFonts w:hint="eastAsia" w:cs="Arial"/>
                <w:kern w:val="2"/>
                <w:sz w:val="21"/>
              </w:rPr>
              <w:t>t</w:t>
            </w:r>
            <w:r>
              <w:rPr>
                <w:rFonts w:cs="Arial"/>
                <w:kern w:val="2"/>
                <w:sz w:val="21"/>
              </w:rPr>
              <w:t>/a</w:t>
            </w:r>
          </w:p>
        </w:tc>
      </w:tr>
      <w:tr w14:paraId="35178F9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0" w:type="auto"/>
            <w:vMerge w:val="continue"/>
            <w:tcBorders>
              <w:left w:val="nil"/>
              <w:right w:val="single" w:color="auto" w:sz="6" w:space="0"/>
            </w:tcBorders>
            <w:vAlign w:val="center"/>
          </w:tcPr>
          <w:p w14:paraId="0B5BD77E">
            <w:pPr>
              <w:widowControl/>
              <w:jc w:val="left"/>
              <w:rPr>
                <w:rFonts w:hint="eastAsia" w:ascii="宋体" w:hAnsi="宋体" w:cs="宋体"/>
                <w:kern w:val="0"/>
                <w:szCs w:val="21"/>
              </w:rPr>
            </w:pPr>
          </w:p>
        </w:tc>
        <w:tc>
          <w:tcPr>
            <w:tcW w:w="0" w:type="auto"/>
            <w:vMerge w:val="continue"/>
            <w:tcBorders>
              <w:left w:val="single" w:color="auto" w:sz="6" w:space="0"/>
              <w:right w:val="single" w:color="auto" w:sz="6" w:space="0"/>
            </w:tcBorders>
            <w:vAlign w:val="center"/>
          </w:tcPr>
          <w:p w14:paraId="5D66B81D">
            <w:pPr>
              <w:widowControl/>
              <w:jc w:val="left"/>
              <w:rPr>
                <w:rFonts w:hint="eastAsia" w:ascii="宋体" w:hAnsi="宋体" w:cs="宋体"/>
                <w:kern w:val="0"/>
                <w:szCs w:val="21"/>
              </w:rPr>
            </w:pPr>
          </w:p>
        </w:tc>
        <w:tc>
          <w:tcPr>
            <w:tcW w:w="1020" w:type="pct"/>
            <w:tcBorders>
              <w:top w:val="single" w:color="auto" w:sz="6" w:space="0"/>
              <w:left w:val="single" w:color="auto" w:sz="6" w:space="0"/>
              <w:bottom w:val="single" w:color="auto" w:sz="6" w:space="0"/>
              <w:right w:val="single" w:color="auto" w:sz="6" w:space="0"/>
            </w:tcBorders>
            <w:vAlign w:val="center"/>
          </w:tcPr>
          <w:p w14:paraId="48B22B58">
            <w:pPr>
              <w:pStyle w:val="286"/>
              <w:adjustRightInd w:val="0"/>
              <w:snapToGrid w:val="0"/>
              <w:spacing w:line="300" w:lineRule="exact"/>
              <w:rPr>
                <w:rFonts w:hint="eastAsia" w:cs="宋体"/>
                <w:sz w:val="21"/>
              </w:rPr>
            </w:pPr>
            <w:r>
              <w:rPr>
                <w:rFonts w:hint="eastAsia" w:cs="Arial"/>
                <w:kern w:val="2"/>
                <w:sz w:val="21"/>
              </w:rPr>
              <w:t>S0</w:t>
            </w:r>
            <w:r>
              <w:rPr>
                <w:rFonts w:hint="eastAsia" w:cs="Arial"/>
                <w:kern w:val="2"/>
                <w:sz w:val="21"/>
                <w:vertAlign w:val="subscript"/>
              </w:rPr>
              <w:t>2</w:t>
            </w:r>
          </w:p>
        </w:tc>
        <w:tc>
          <w:tcPr>
            <w:tcW w:w="646" w:type="pct"/>
            <w:tcBorders>
              <w:top w:val="single" w:color="auto" w:sz="6" w:space="0"/>
              <w:left w:val="single" w:color="auto" w:sz="6" w:space="0"/>
              <w:bottom w:val="single" w:color="auto" w:sz="6" w:space="0"/>
              <w:right w:val="single" w:color="auto" w:sz="6" w:space="0"/>
            </w:tcBorders>
            <w:vAlign w:val="center"/>
          </w:tcPr>
          <w:p w14:paraId="76359DA4">
            <w:pPr>
              <w:pStyle w:val="286"/>
              <w:adjustRightInd w:val="0"/>
              <w:snapToGrid w:val="0"/>
              <w:spacing w:line="300" w:lineRule="exact"/>
              <w:rPr>
                <w:rFonts w:hint="eastAsia" w:cs="宋体"/>
                <w:sz w:val="21"/>
              </w:rPr>
            </w:pPr>
            <w:r>
              <w:rPr>
                <w:rFonts w:hint="eastAsia" w:cs="Arial"/>
                <w:kern w:val="2"/>
                <w:sz w:val="21"/>
              </w:rPr>
              <w:t>0.096t</w:t>
            </w:r>
            <w:r>
              <w:rPr>
                <w:rFonts w:cs="Arial"/>
                <w:kern w:val="2"/>
                <w:sz w:val="21"/>
              </w:rPr>
              <w:t>/a</w:t>
            </w:r>
          </w:p>
        </w:tc>
        <w:tc>
          <w:tcPr>
            <w:tcW w:w="826" w:type="pct"/>
            <w:tcBorders>
              <w:top w:val="single" w:color="auto" w:sz="6" w:space="0"/>
              <w:left w:val="single" w:color="auto" w:sz="6" w:space="0"/>
              <w:bottom w:val="single" w:color="auto" w:sz="6" w:space="0"/>
              <w:right w:val="single" w:color="auto" w:sz="6" w:space="0"/>
            </w:tcBorders>
            <w:vAlign w:val="center"/>
          </w:tcPr>
          <w:p w14:paraId="01ED9225">
            <w:pPr>
              <w:pStyle w:val="286"/>
              <w:adjustRightInd w:val="0"/>
              <w:snapToGrid w:val="0"/>
              <w:spacing w:line="300" w:lineRule="exact"/>
              <w:rPr>
                <w:rFonts w:hint="eastAsia" w:cs="宋体"/>
                <w:bCs/>
                <w:snapToGrid w:val="0"/>
                <w:sz w:val="21"/>
              </w:rPr>
            </w:pPr>
            <w:r>
              <w:rPr>
                <w:rFonts w:hint="eastAsia" w:cs="宋体"/>
                <w:bCs/>
                <w:snapToGrid w:val="0"/>
                <w:sz w:val="21"/>
              </w:rPr>
              <w:t>0.05</w:t>
            </w:r>
            <w:r>
              <w:rPr>
                <w:rFonts w:hint="eastAsia" w:cs="Arial"/>
                <w:kern w:val="2"/>
                <w:sz w:val="21"/>
              </w:rPr>
              <w:t>t</w:t>
            </w:r>
            <w:r>
              <w:rPr>
                <w:rFonts w:cs="Arial"/>
                <w:kern w:val="2"/>
                <w:sz w:val="21"/>
              </w:rPr>
              <w:t>/a</w:t>
            </w:r>
          </w:p>
        </w:tc>
        <w:tc>
          <w:tcPr>
            <w:tcW w:w="696" w:type="pct"/>
            <w:tcBorders>
              <w:top w:val="single" w:color="auto" w:sz="6" w:space="0"/>
              <w:left w:val="single" w:color="auto" w:sz="6" w:space="0"/>
              <w:bottom w:val="single" w:color="auto" w:sz="6" w:space="0"/>
              <w:right w:val="single" w:color="auto" w:sz="6" w:space="0"/>
            </w:tcBorders>
            <w:vAlign w:val="center"/>
          </w:tcPr>
          <w:p w14:paraId="120C48C5">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6" w:space="0"/>
              <w:right w:val="nil"/>
            </w:tcBorders>
          </w:tcPr>
          <w:p w14:paraId="7C50714D">
            <w:pPr>
              <w:pStyle w:val="286"/>
              <w:adjustRightInd w:val="0"/>
              <w:snapToGrid w:val="0"/>
              <w:spacing w:line="300" w:lineRule="exact"/>
              <w:rPr>
                <w:rFonts w:hint="eastAsia" w:cs="宋体"/>
                <w:bCs/>
                <w:snapToGrid w:val="0"/>
                <w:sz w:val="21"/>
              </w:rPr>
            </w:pPr>
            <w:r>
              <w:rPr>
                <w:rFonts w:hint="eastAsia" w:cs="Arial"/>
                <w:kern w:val="2"/>
                <w:sz w:val="21"/>
              </w:rPr>
              <w:t>0.146t</w:t>
            </w:r>
            <w:r>
              <w:rPr>
                <w:rFonts w:cs="Arial"/>
                <w:kern w:val="2"/>
                <w:sz w:val="21"/>
              </w:rPr>
              <w:t>/a</w:t>
            </w:r>
          </w:p>
        </w:tc>
      </w:tr>
      <w:tr w14:paraId="74EBB7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0" w:type="auto"/>
            <w:vMerge w:val="continue"/>
            <w:tcBorders>
              <w:left w:val="nil"/>
              <w:bottom w:val="single" w:color="auto" w:sz="12" w:space="0"/>
              <w:right w:val="single" w:color="auto" w:sz="6" w:space="0"/>
            </w:tcBorders>
            <w:vAlign w:val="center"/>
          </w:tcPr>
          <w:p w14:paraId="31F8BD3F">
            <w:pPr>
              <w:widowControl/>
              <w:jc w:val="left"/>
              <w:rPr>
                <w:rFonts w:hint="eastAsia" w:ascii="宋体" w:hAnsi="宋体" w:cs="宋体"/>
                <w:kern w:val="0"/>
                <w:szCs w:val="21"/>
              </w:rPr>
            </w:pPr>
          </w:p>
        </w:tc>
        <w:tc>
          <w:tcPr>
            <w:tcW w:w="0" w:type="auto"/>
            <w:vMerge w:val="continue"/>
            <w:tcBorders>
              <w:left w:val="single" w:color="auto" w:sz="6" w:space="0"/>
              <w:bottom w:val="single" w:color="auto" w:sz="12" w:space="0"/>
              <w:right w:val="single" w:color="auto" w:sz="6" w:space="0"/>
            </w:tcBorders>
            <w:vAlign w:val="center"/>
          </w:tcPr>
          <w:p w14:paraId="2E80D5FB">
            <w:pPr>
              <w:widowControl/>
              <w:jc w:val="left"/>
              <w:rPr>
                <w:rFonts w:hint="eastAsia" w:ascii="宋体" w:hAnsi="宋体" w:cs="宋体"/>
                <w:kern w:val="0"/>
                <w:szCs w:val="21"/>
              </w:rPr>
            </w:pPr>
          </w:p>
        </w:tc>
        <w:tc>
          <w:tcPr>
            <w:tcW w:w="1020" w:type="pct"/>
            <w:tcBorders>
              <w:top w:val="single" w:color="auto" w:sz="6" w:space="0"/>
              <w:left w:val="single" w:color="auto" w:sz="6" w:space="0"/>
              <w:bottom w:val="single" w:color="auto" w:sz="12" w:space="0"/>
              <w:right w:val="single" w:color="auto" w:sz="6" w:space="0"/>
            </w:tcBorders>
            <w:vAlign w:val="center"/>
          </w:tcPr>
          <w:p w14:paraId="1F9DCB96">
            <w:pPr>
              <w:pStyle w:val="286"/>
              <w:adjustRightInd w:val="0"/>
              <w:snapToGrid w:val="0"/>
              <w:spacing w:line="300" w:lineRule="exact"/>
              <w:rPr>
                <w:rFonts w:hint="eastAsia" w:cs="宋体"/>
                <w:sz w:val="21"/>
              </w:rPr>
            </w:pPr>
            <w:r>
              <w:rPr>
                <w:rFonts w:hint="eastAsia" w:cs="Arial"/>
                <w:kern w:val="2"/>
                <w:sz w:val="21"/>
              </w:rPr>
              <w:t>颗粒物</w:t>
            </w:r>
          </w:p>
        </w:tc>
        <w:tc>
          <w:tcPr>
            <w:tcW w:w="646" w:type="pct"/>
            <w:tcBorders>
              <w:top w:val="single" w:color="auto" w:sz="6" w:space="0"/>
              <w:left w:val="single" w:color="auto" w:sz="6" w:space="0"/>
              <w:bottom w:val="single" w:color="auto" w:sz="12" w:space="0"/>
              <w:right w:val="single" w:color="auto" w:sz="6" w:space="0"/>
            </w:tcBorders>
            <w:vAlign w:val="center"/>
          </w:tcPr>
          <w:p w14:paraId="03980553">
            <w:pPr>
              <w:pStyle w:val="286"/>
              <w:adjustRightInd w:val="0"/>
              <w:snapToGrid w:val="0"/>
              <w:spacing w:line="300" w:lineRule="exact"/>
              <w:rPr>
                <w:rFonts w:hint="eastAsia" w:cs="宋体"/>
                <w:sz w:val="21"/>
              </w:rPr>
            </w:pPr>
            <w:r>
              <w:rPr>
                <w:rFonts w:hint="eastAsia" w:cs="Arial"/>
                <w:kern w:val="2"/>
                <w:sz w:val="21"/>
              </w:rPr>
              <w:t>0.164t</w:t>
            </w:r>
            <w:r>
              <w:rPr>
                <w:rFonts w:cs="Arial"/>
                <w:kern w:val="2"/>
                <w:sz w:val="21"/>
              </w:rPr>
              <w:t>/a</w:t>
            </w:r>
          </w:p>
        </w:tc>
        <w:tc>
          <w:tcPr>
            <w:tcW w:w="826" w:type="pct"/>
            <w:tcBorders>
              <w:top w:val="single" w:color="auto" w:sz="6" w:space="0"/>
              <w:left w:val="single" w:color="auto" w:sz="6" w:space="0"/>
              <w:bottom w:val="single" w:color="auto" w:sz="12" w:space="0"/>
              <w:right w:val="single" w:color="auto" w:sz="6" w:space="0"/>
            </w:tcBorders>
            <w:vAlign w:val="center"/>
          </w:tcPr>
          <w:p w14:paraId="7A10EDBB">
            <w:pPr>
              <w:pStyle w:val="286"/>
              <w:adjustRightInd w:val="0"/>
              <w:snapToGrid w:val="0"/>
              <w:spacing w:line="300" w:lineRule="exact"/>
              <w:rPr>
                <w:rFonts w:hint="eastAsia" w:cs="宋体"/>
                <w:bCs/>
                <w:snapToGrid w:val="0"/>
                <w:sz w:val="21"/>
              </w:rPr>
            </w:pPr>
            <w:r>
              <w:rPr>
                <w:rFonts w:hint="eastAsia" w:cs="宋体"/>
                <w:bCs/>
                <w:snapToGrid w:val="0"/>
                <w:sz w:val="21"/>
              </w:rPr>
              <w:t>0.0375</w:t>
            </w:r>
            <w:r>
              <w:rPr>
                <w:rFonts w:hint="eastAsia" w:cs="Arial"/>
                <w:kern w:val="2"/>
                <w:sz w:val="21"/>
              </w:rPr>
              <w:t>t</w:t>
            </w:r>
            <w:r>
              <w:rPr>
                <w:rFonts w:cs="Arial"/>
                <w:kern w:val="2"/>
                <w:sz w:val="21"/>
              </w:rPr>
              <w:t>/a</w:t>
            </w:r>
          </w:p>
        </w:tc>
        <w:tc>
          <w:tcPr>
            <w:tcW w:w="696" w:type="pct"/>
            <w:tcBorders>
              <w:top w:val="single" w:color="auto" w:sz="6" w:space="0"/>
              <w:left w:val="single" w:color="auto" w:sz="6" w:space="0"/>
              <w:bottom w:val="single" w:color="auto" w:sz="12" w:space="0"/>
              <w:right w:val="single" w:color="auto" w:sz="6" w:space="0"/>
            </w:tcBorders>
            <w:vAlign w:val="center"/>
          </w:tcPr>
          <w:p w14:paraId="767D220E">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12" w:space="0"/>
              <w:right w:val="nil"/>
            </w:tcBorders>
          </w:tcPr>
          <w:p w14:paraId="39906E7E">
            <w:pPr>
              <w:pStyle w:val="286"/>
              <w:adjustRightInd w:val="0"/>
              <w:snapToGrid w:val="0"/>
              <w:spacing w:line="300" w:lineRule="exact"/>
              <w:rPr>
                <w:rFonts w:hint="eastAsia" w:cs="宋体"/>
                <w:bCs/>
                <w:snapToGrid w:val="0"/>
                <w:sz w:val="21"/>
              </w:rPr>
            </w:pPr>
            <w:r>
              <w:rPr>
                <w:rFonts w:hint="eastAsia" w:cs="Arial"/>
                <w:kern w:val="2"/>
                <w:sz w:val="21"/>
              </w:rPr>
              <w:t>0.2015t</w:t>
            </w:r>
            <w:r>
              <w:rPr>
                <w:rFonts w:cs="Arial"/>
                <w:kern w:val="2"/>
                <w:sz w:val="21"/>
              </w:rPr>
              <w:t>/a</w:t>
            </w:r>
          </w:p>
        </w:tc>
      </w:tr>
      <w:bookmarkEnd w:id="338"/>
    </w:tbl>
    <w:p w14:paraId="68EECAE1">
      <w:pPr>
        <w:pStyle w:val="109"/>
        <w:rPr>
          <w:rFonts w:hint="eastAsia"/>
        </w:rPr>
      </w:pPr>
      <w:r>
        <w:rPr>
          <w:rFonts w:hint="eastAsia"/>
        </w:rPr>
        <w:t>表3.3-23  二期工程及现有工程排放量“三本账”一览表</w:t>
      </w:r>
    </w:p>
    <w:tbl>
      <w:tblPr>
        <w:tblStyle w:val="51"/>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28" w:type="dxa"/>
          <w:bottom w:w="0" w:type="dxa"/>
          <w:right w:w="28" w:type="dxa"/>
        </w:tblCellMar>
      </w:tblPr>
      <w:tblGrid>
        <w:gridCol w:w="548"/>
        <w:gridCol w:w="1294"/>
        <w:gridCol w:w="1792"/>
        <w:gridCol w:w="1135"/>
        <w:gridCol w:w="1451"/>
        <w:gridCol w:w="1222"/>
        <w:gridCol w:w="1340"/>
      </w:tblGrid>
      <w:tr w14:paraId="642D0FD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312" w:type="pct"/>
            <w:tcBorders>
              <w:top w:val="single" w:color="auto" w:sz="12" w:space="0"/>
              <w:left w:val="nil"/>
              <w:bottom w:val="single" w:color="auto" w:sz="6" w:space="0"/>
              <w:right w:val="single" w:color="auto" w:sz="6" w:space="0"/>
            </w:tcBorders>
            <w:vAlign w:val="center"/>
          </w:tcPr>
          <w:p w14:paraId="2BEA05C9">
            <w:pPr>
              <w:pStyle w:val="286"/>
              <w:adjustRightInd w:val="0"/>
              <w:snapToGrid w:val="0"/>
              <w:spacing w:line="300" w:lineRule="exact"/>
              <w:rPr>
                <w:rFonts w:hint="eastAsia" w:cs="宋体"/>
                <w:sz w:val="21"/>
              </w:rPr>
            </w:pPr>
            <w:r>
              <w:rPr>
                <w:rFonts w:hint="eastAsia" w:cs="宋体"/>
                <w:sz w:val="21"/>
              </w:rPr>
              <w:t>类别</w:t>
            </w:r>
          </w:p>
        </w:tc>
        <w:tc>
          <w:tcPr>
            <w:tcW w:w="737" w:type="pct"/>
            <w:tcBorders>
              <w:top w:val="single" w:color="auto" w:sz="12" w:space="0"/>
              <w:left w:val="single" w:color="auto" w:sz="6" w:space="0"/>
              <w:bottom w:val="single" w:color="auto" w:sz="6" w:space="0"/>
              <w:right w:val="single" w:color="auto" w:sz="6" w:space="0"/>
            </w:tcBorders>
            <w:vAlign w:val="center"/>
          </w:tcPr>
          <w:p w14:paraId="4BECC703">
            <w:pPr>
              <w:pStyle w:val="286"/>
              <w:adjustRightInd w:val="0"/>
              <w:snapToGrid w:val="0"/>
              <w:spacing w:line="300" w:lineRule="exact"/>
              <w:rPr>
                <w:rFonts w:hint="eastAsia" w:cs="宋体"/>
                <w:sz w:val="21"/>
              </w:rPr>
            </w:pPr>
            <w:r>
              <w:rPr>
                <w:rFonts w:hint="eastAsia" w:cs="宋体"/>
                <w:sz w:val="21"/>
              </w:rPr>
              <w:t>污染源</w:t>
            </w:r>
          </w:p>
        </w:tc>
        <w:tc>
          <w:tcPr>
            <w:tcW w:w="1020" w:type="pct"/>
            <w:tcBorders>
              <w:top w:val="single" w:color="auto" w:sz="12" w:space="0"/>
              <w:left w:val="single" w:color="auto" w:sz="6" w:space="0"/>
              <w:bottom w:val="single" w:color="auto" w:sz="6" w:space="0"/>
              <w:right w:val="single" w:color="auto" w:sz="6" w:space="0"/>
            </w:tcBorders>
            <w:vAlign w:val="center"/>
          </w:tcPr>
          <w:p w14:paraId="559B9382">
            <w:pPr>
              <w:pStyle w:val="286"/>
              <w:adjustRightInd w:val="0"/>
              <w:snapToGrid w:val="0"/>
              <w:spacing w:line="300" w:lineRule="exact"/>
              <w:rPr>
                <w:rFonts w:hint="eastAsia" w:cs="宋体"/>
                <w:sz w:val="21"/>
              </w:rPr>
            </w:pPr>
            <w:r>
              <w:rPr>
                <w:rFonts w:hint="eastAsia" w:cs="宋体"/>
                <w:sz w:val="21"/>
              </w:rPr>
              <w:t>污染物名称</w:t>
            </w:r>
          </w:p>
        </w:tc>
        <w:tc>
          <w:tcPr>
            <w:tcW w:w="646" w:type="pct"/>
            <w:tcBorders>
              <w:top w:val="single" w:color="auto" w:sz="12" w:space="0"/>
              <w:left w:val="single" w:color="auto" w:sz="6" w:space="0"/>
              <w:bottom w:val="single" w:color="auto" w:sz="6" w:space="0"/>
              <w:right w:val="single" w:color="auto" w:sz="6" w:space="0"/>
            </w:tcBorders>
            <w:vAlign w:val="center"/>
          </w:tcPr>
          <w:p w14:paraId="4C76BEC3">
            <w:pPr>
              <w:pStyle w:val="286"/>
              <w:adjustRightInd w:val="0"/>
              <w:snapToGrid w:val="0"/>
              <w:spacing w:line="300" w:lineRule="exact"/>
              <w:rPr>
                <w:rFonts w:hint="eastAsia" w:cs="宋体"/>
                <w:sz w:val="21"/>
              </w:rPr>
            </w:pPr>
            <w:r>
              <w:rPr>
                <w:rFonts w:hint="eastAsia" w:cs="宋体"/>
                <w:sz w:val="21"/>
              </w:rPr>
              <w:t>现有工程排放量</w:t>
            </w:r>
          </w:p>
        </w:tc>
        <w:tc>
          <w:tcPr>
            <w:tcW w:w="826" w:type="pct"/>
            <w:tcBorders>
              <w:top w:val="single" w:color="auto" w:sz="12" w:space="0"/>
              <w:left w:val="single" w:color="auto" w:sz="6" w:space="0"/>
              <w:bottom w:val="single" w:color="auto" w:sz="6" w:space="0"/>
              <w:right w:val="single" w:color="auto" w:sz="6" w:space="0"/>
            </w:tcBorders>
            <w:vAlign w:val="center"/>
          </w:tcPr>
          <w:p w14:paraId="02812532">
            <w:pPr>
              <w:pStyle w:val="286"/>
              <w:adjustRightInd w:val="0"/>
              <w:snapToGrid w:val="0"/>
              <w:spacing w:line="300" w:lineRule="exact"/>
              <w:rPr>
                <w:rFonts w:hint="eastAsia" w:cs="宋体"/>
                <w:sz w:val="21"/>
              </w:rPr>
            </w:pPr>
            <w:r>
              <w:rPr>
                <w:rFonts w:hint="eastAsia" w:cs="宋体"/>
                <w:sz w:val="21"/>
              </w:rPr>
              <w:t>拟建工程排放量</w:t>
            </w:r>
          </w:p>
        </w:tc>
        <w:tc>
          <w:tcPr>
            <w:tcW w:w="696" w:type="pct"/>
            <w:tcBorders>
              <w:top w:val="single" w:color="auto" w:sz="12" w:space="0"/>
              <w:left w:val="single" w:color="auto" w:sz="6" w:space="0"/>
              <w:bottom w:val="single" w:color="auto" w:sz="6" w:space="0"/>
              <w:right w:val="single" w:color="auto" w:sz="6" w:space="0"/>
            </w:tcBorders>
            <w:vAlign w:val="center"/>
          </w:tcPr>
          <w:p w14:paraId="2F7CA749">
            <w:pPr>
              <w:pStyle w:val="286"/>
              <w:adjustRightInd w:val="0"/>
              <w:snapToGrid w:val="0"/>
              <w:spacing w:line="300" w:lineRule="exact"/>
              <w:rPr>
                <w:rFonts w:hint="eastAsia" w:cs="宋体"/>
                <w:sz w:val="21"/>
              </w:rPr>
            </w:pPr>
            <w:r>
              <w:rPr>
                <w:rFonts w:hint="eastAsia" w:cs="宋体"/>
                <w:sz w:val="21"/>
              </w:rPr>
              <w:t>以新带老削减量</w:t>
            </w:r>
          </w:p>
        </w:tc>
        <w:tc>
          <w:tcPr>
            <w:tcW w:w="763" w:type="pct"/>
            <w:tcBorders>
              <w:top w:val="single" w:color="auto" w:sz="12" w:space="0"/>
              <w:left w:val="single" w:color="auto" w:sz="6" w:space="0"/>
              <w:bottom w:val="single" w:color="auto" w:sz="6" w:space="0"/>
              <w:right w:val="nil"/>
            </w:tcBorders>
            <w:vAlign w:val="center"/>
          </w:tcPr>
          <w:p w14:paraId="5C2A773C">
            <w:pPr>
              <w:pStyle w:val="286"/>
              <w:adjustRightInd w:val="0"/>
              <w:snapToGrid w:val="0"/>
              <w:spacing w:line="300" w:lineRule="exact"/>
              <w:rPr>
                <w:rFonts w:hint="eastAsia" w:cs="宋体"/>
                <w:sz w:val="21"/>
              </w:rPr>
            </w:pPr>
            <w:r>
              <w:rPr>
                <w:rFonts w:hint="eastAsia" w:cs="宋体"/>
                <w:sz w:val="21"/>
              </w:rPr>
              <w:t>总排放量</w:t>
            </w:r>
          </w:p>
        </w:tc>
      </w:tr>
      <w:tr w14:paraId="285ACE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312" w:type="pct"/>
            <w:vMerge w:val="restart"/>
            <w:tcBorders>
              <w:top w:val="single" w:color="auto" w:sz="6" w:space="0"/>
              <w:left w:val="nil"/>
              <w:bottom w:val="single" w:color="auto" w:sz="12" w:space="0"/>
              <w:right w:val="single" w:color="auto" w:sz="6" w:space="0"/>
            </w:tcBorders>
            <w:vAlign w:val="center"/>
          </w:tcPr>
          <w:p w14:paraId="2FC66DAC">
            <w:pPr>
              <w:pStyle w:val="286"/>
              <w:adjustRightInd w:val="0"/>
              <w:snapToGrid w:val="0"/>
              <w:spacing w:line="300" w:lineRule="exact"/>
              <w:rPr>
                <w:rFonts w:hint="eastAsia" w:cs="宋体"/>
                <w:sz w:val="21"/>
              </w:rPr>
            </w:pPr>
            <w:r>
              <w:rPr>
                <w:rFonts w:hint="eastAsia" w:cs="宋体"/>
                <w:sz w:val="21"/>
              </w:rPr>
              <w:t>废气</w:t>
            </w:r>
          </w:p>
        </w:tc>
        <w:tc>
          <w:tcPr>
            <w:tcW w:w="737" w:type="pct"/>
            <w:vMerge w:val="restart"/>
            <w:tcBorders>
              <w:top w:val="single" w:color="auto" w:sz="6" w:space="0"/>
              <w:left w:val="single" w:color="auto" w:sz="6" w:space="0"/>
              <w:bottom w:val="single" w:color="auto" w:sz="12" w:space="0"/>
              <w:right w:val="single" w:color="auto" w:sz="6" w:space="0"/>
            </w:tcBorders>
            <w:vAlign w:val="center"/>
          </w:tcPr>
          <w:p w14:paraId="6A6A37E6">
            <w:pPr>
              <w:pStyle w:val="286"/>
              <w:adjustRightInd w:val="0"/>
              <w:snapToGrid w:val="0"/>
              <w:spacing w:line="300" w:lineRule="exact"/>
              <w:rPr>
                <w:rFonts w:hint="eastAsia" w:cs="宋体"/>
                <w:sz w:val="21"/>
              </w:rPr>
            </w:pPr>
            <w:r>
              <w:rPr>
                <w:rFonts w:hint="eastAsia" w:cs="宋体"/>
                <w:sz w:val="21"/>
              </w:rPr>
              <w:t>无组织排放</w:t>
            </w:r>
          </w:p>
        </w:tc>
        <w:tc>
          <w:tcPr>
            <w:tcW w:w="1020" w:type="pct"/>
            <w:tcBorders>
              <w:top w:val="single" w:color="auto" w:sz="6" w:space="0"/>
              <w:left w:val="single" w:color="auto" w:sz="6" w:space="0"/>
              <w:bottom w:val="single" w:color="auto" w:sz="6" w:space="0"/>
              <w:right w:val="single" w:color="auto" w:sz="6" w:space="0"/>
            </w:tcBorders>
            <w:vAlign w:val="center"/>
          </w:tcPr>
          <w:p w14:paraId="07EF5949">
            <w:pPr>
              <w:pStyle w:val="286"/>
              <w:adjustRightInd w:val="0"/>
              <w:snapToGrid w:val="0"/>
              <w:spacing w:line="300" w:lineRule="exact"/>
              <w:rPr>
                <w:rFonts w:hint="eastAsia" w:cs="宋体"/>
                <w:sz w:val="21"/>
              </w:rPr>
            </w:pPr>
            <w:r>
              <w:rPr>
                <w:rFonts w:hint="eastAsia" w:cs="宋体"/>
                <w:sz w:val="21"/>
              </w:rPr>
              <w:t>非甲烷总烃</w:t>
            </w:r>
          </w:p>
        </w:tc>
        <w:tc>
          <w:tcPr>
            <w:tcW w:w="646" w:type="pct"/>
            <w:tcBorders>
              <w:top w:val="single" w:color="auto" w:sz="6" w:space="0"/>
              <w:left w:val="single" w:color="auto" w:sz="6" w:space="0"/>
              <w:bottom w:val="single" w:color="auto" w:sz="6" w:space="0"/>
              <w:right w:val="single" w:color="auto" w:sz="6" w:space="0"/>
            </w:tcBorders>
            <w:vAlign w:val="center"/>
          </w:tcPr>
          <w:p w14:paraId="0440FA20">
            <w:pPr>
              <w:pStyle w:val="286"/>
              <w:adjustRightInd w:val="0"/>
              <w:snapToGrid w:val="0"/>
              <w:spacing w:line="300" w:lineRule="exact"/>
              <w:rPr>
                <w:rFonts w:hint="eastAsia" w:cs="宋体"/>
                <w:sz w:val="21"/>
              </w:rPr>
            </w:pPr>
            <w:r>
              <w:rPr>
                <w:rFonts w:hint="eastAsia" w:cs="宋体"/>
                <w:sz w:val="21"/>
              </w:rPr>
              <w:t>454.645t/a</w:t>
            </w:r>
          </w:p>
        </w:tc>
        <w:tc>
          <w:tcPr>
            <w:tcW w:w="826" w:type="pct"/>
            <w:tcBorders>
              <w:top w:val="single" w:color="auto" w:sz="6" w:space="0"/>
              <w:left w:val="single" w:color="auto" w:sz="6" w:space="0"/>
              <w:bottom w:val="single" w:color="auto" w:sz="6" w:space="0"/>
              <w:right w:val="single" w:color="auto" w:sz="6" w:space="0"/>
            </w:tcBorders>
            <w:vAlign w:val="center"/>
          </w:tcPr>
          <w:p w14:paraId="4BC83E5E">
            <w:pPr>
              <w:pStyle w:val="286"/>
              <w:adjustRightInd w:val="0"/>
              <w:snapToGrid w:val="0"/>
              <w:spacing w:line="300" w:lineRule="exact"/>
              <w:rPr>
                <w:rFonts w:hint="eastAsia" w:cs="宋体"/>
                <w:sz w:val="21"/>
              </w:rPr>
            </w:pPr>
            <w:r>
              <w:rPr>
                <w:rFonts w:hint="eastAsia" w:cs="宋体"/>
                <w:bCs/>
                <w:snapToGrid w:val="0"/>
                <w:sz w:val="21"/>
              </w:rPr>
              <w:t>0.5011t/a</w:t>
            </w:r>
          </w:p>
        </w:tc>
        <w:tc>
          <w:tcPr>
            <w:tcW w:w="696" w:type="pct"/>
            <w:tcBorders>
              <w:top w:val="single" w:color="auto" w:sz="6" w:space="0"/>
              <w:left w:val="single" w:color="auto" w:sz="6" w:space="0"/>
              <w:bottom w:val="single" w:color="auto" w:sz="6" w:space="0"/>
              <w:right w:val="single" w:color="auto" w:sz="6" w:space="0"/>
            </w:tcBorders>
            <w:vAlign w:val="center"/>
          </w:tcPr>
          <w:p w14:paraId="5C0D8472">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6" w:space="0"/>
              <w:right w:val="nil"/>
            </w:tcBorders>
            <w:vAlign w:val="center"/>
          </w:tcPr>
          <w:p w14:paraId="0D9F03A0">
            <w:pPr>
              <w:pStyle w:val="286"/>
              <w:adjustRightInd w:val="0"/>
              <w:snapToGrid w:val="0"/>
              <w:spacing w:line="300" w:lineRule="exact"/>
              <w:rPr>
                <w:rFonts w:hint="eastAsia" w:cs="宋体"/>
                <w:sz w:val="21"/>
              </w:rPr>
            </w:pPr>
            <w:r>
              <w:rPr>
                <w:rFonts w:hint="eastAsia" w:cs="宋体"/>
                <w:sz w:val="21"/>
              </w:rPr>
              <w:t>455.1461t/a</w:t>
            </w:r>
          </w:p>
        </w:tc>
      </w:tr>
      <w:tr w14:paraId="62AE913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40" w:hRule="atLeast"/>
        </w:trPr>
        <w:tc>
          <w:tcPr>
            <w:tcW w:w="0" w:type="auto"/>
            <w:vMerge w:val="continue"/>
            <w:tcBorders>
              <w:top w:val="single" w:color="auto" w:sz="6" w:space="0"/>
              <w:left w:val="nil"/>
              <w:bottom w:val="single" w:color="auto" w:sz="12" w:space="0"/>
              <w:right w:val="single" w:color="auto" w:sz="6" w:space="0"/>
            </w:tcBorders>
            <w:vAlign w:val="center"/>
          </w:tcPr>
          <w:p w14:paraId="3EADA8AD">
            <w:pPr>
              <w:widowControl/>
              <w:jc w:val="left"/>
              <w:rPr>
                <w:rFonts w:hint="eastAsia" w:ascii="宋体" w:hAnsi="宋体" w:cs="宋体"/>
                <w:kern w:val="0"/>
                <w:szCs w:val="21"/>
              </w:rPr>
            </w:pPr>
            <w:bookmarkStart w:id="339" w:name="_Hlk173842101" w:colFirst="2" w:colLast="6"/>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272CCB77">
            <w:pPr>
              <w:widowControl/>
              <w:jc w:val="left"/>
              <w:rPr>
                <w:rFonts w:hint="eastAsia" w:ascii="宋体" w:hAnsi="宋体" w:cs="宋体"/>
                <w:kern w:val="0"/>
                <w:szCs w:val="21"/>
              </w:rPr>
            </w:pPr>
          </w:p>
        </w:tc>
        <w:tc>
          <w:tcPr>
            <w:tcW w:w="1020" w:type="pct"/>
            <w:tcBorders>
              <w:top w:val="single" w:color="auto" w:sz="6" w:space="0"/>
              <w:left w:val="single" w:color="auto" w:sz="6" w:space="0"/>
              <w:bottom w:val="single" w:color="auto" w:sz="12" w:space="0"/>
              <w:right w:val="single" w:color="auto" w:sz="6" w:space="0"/>
            </w:tcBorders>
            <w:vAlign w:val="center"/>
          </w:tcPr>
          <w:p w14:paraId="7C866D2B">
            <w:pPr>
              <w:pStyle w:val="286"/>
              <w:adjustRightInd w:val="0"/>
              <w:snapToGrid w:val="0"/>
              <w:spacing w:line="300" w:lineRule="exact"/>
              <w:rPr>
                <w:rFonts w:hint="eastAsia" w:cs="宋体"/>
                <w:sz w:val="21"/>
              </w:rPr>
            </w:pPr>
            <w:r>
              <w:rPr>
                <w:rFonts w:hint="eastAsia" w:cs="宋体"/>
                <w:sz w:val="21"/>
              </w:rPr>
              <w:t>硫化氢</w:t>
            </w:r>
          </w:p>
        </w:tc>
        <w:tc>
          <w:tcPr>
            <w:tcW w:w="646" w:type="pct"/>
            <w:tcBorders>
              <w:top w:val="single" w:color="auto" w:sz="6" w:space="0"/>
              <w:left w:val="single" w:color="auto" w:sz="6" w:space="0"/>
              <w:bottom w:val="single" w:color="auto" w:sz="12" w:space="0"/>
              <w:right w:val="single" w:color="auto" w:sz="6" w:space="0"/>
            </w:tcBorders>
            <w:vAlign w:val="center"/>
          </w:tcPr>
          <w:p w14:paraId="4C16FBC3">
            <w:pPr>
              <w:pStyle w:val="286"/>
              <w:adjustRightInd w:val="0"/>
              <w:snapToGrid w:val="0"/>
              <w:spacing w:line="300" w:lineRule="exact"/>
              <w:rPr>
                <w:rFonts w:hint="eastAsia" w:cs="宋体"/>
                <w:sz w:val="21"/>
              </w:rPr>
            </w:pPr>
            <w:r>
              <w:rPr>
                <w:rFonts w:hint="eastAsia" w:cs="宋体"/>
                <w:sz w:val="21"/>
              </w:rPr>
              <w:t>/</w:t>
            </w:r>
          </w:p>
        </w:tc>
        <w:tc>
          <w:tcPr>
            <w:tcW w:w="826" w:type="pct"/>
            <w:tcBorders>
              <w:top w:val="single" w:color="auto" w:sz="6" w:space="0"/>
              <w:left w:val="single" w:color="auto" w:sz="6" w:space="0"/>
              <w:bottom w:val="single" w:color="auto" w:sz="12" w:space="0"/>
              <w:right w:val="single" w:color="auto" w:sz="6" w:space="0"/>
            </w:tcBorders>
            <w:vAlign w:val="center"/>
          </w:tcPr>
          <w:p w14:paraId="28C54C78">
            <w:pPr>
              <w:pStyle w:val="286"/>
              <w:adjustRightInd w:val="0"/>
              <w:snapToGrid w:val="0"/>
              <w:spacing w:line="300" w:lineRule="exact"/>
              <w:rPr>
                <w:rFonts w:hint="eastAsia" w:cs="宋体"/>
                <w:sz w:val="21"/>
              </w:rPr>
            </w:pPr>
            <w:r>
              <w:rPr>
                <w:rFonts w:hint="eastAsia" w:cs="宋体"/>
                <w:bCs/>
                <w:snapToGrid w:val="0"/>
                <w:sz w:val="21"/>
              </w:rPr>
              <w:t>0.4891kg/a</w:t>
            </w:r>
          </w:p>
        </w:tc>
        <w:tc>
          <w:tcPr>
            <w:tcW w:w="696" w:type="pct"/>
            <w:tcBorders>
              <w:top w:val="single" w:color="auto" w:sz="6" w:space="0"/>
              <w:left w:val="single" w:color="auto" w:sz="6" w:space="0"/>
              <w:bottom w:val="single" w:color="auto" w:sz="12" w:space="0"/>
              <w:right w:val="single" w:color="auto" w:sz="6" w:space="0"/>
            </w:tcBorders>
            <w:vAlign w:val="center"/>
          </w:tcPr>
          <w:p w14:paraId="34136F43">
            <w:pPr>
              <w:pStyle w:val="286"/>
              <w:adjustRightInd w:val="0"/>
              <w:snapToGrid w:val="0"/>
              <w:spacing w:line="300" w:lineRule="exact"/>
              <w:rPr>
                <w:rFonts w:hint="eastAsia" w:cs="宋体"/>
                <w:sz w:val="21"/>
              </w:rPr>
            </w:pPr>
            <w:r>
              <w:rPr>
                <w:rFonts w:hint="eastAsia" w:cs="宋体"/>
                <w:sz w:val="21"/>
              </w:rPr>
              <w:t>0</w:t>
            </w:r>
          </w:p>
        </w:tc>
        <w:tc>
          <w:tcPr>
            <w:tcW w:w="763" w:type="pct"/>
            <w:tcBorders>
              <w:top w:val="single" w:color="auto" w:sz="6" w:space="0"/>
              <w:left w:val="single" w:color="auto" w:sz="6" w:space="0"/>
              <w:bottom w:val="single" w:color="auto" w:sz="12" w:space="0"/>
              <w:right w:val="nil"/>
            </w:tcBorders>
            <w:vAlign w:val="center"/>
          </w:tcPr>
          <w:p w14:paraId="68A024BF">
            <w:pPr>
              <w:pStyle w:val="286"/>
              <w:adjustRightInd w:val="0"/>
              <w:snapToGrid w:val="0"/>
              <w:spacing w:line="300" w:lineRule="exact"/>
              <w:rPr>
                <w:rFonts w:hint="eastAsia" w:cs="宋体"/>
                <w:sz w:val="21"/>
              </w:rPr>
            </w:pPr>
            <w:r>
              <w:rPr>
                <w:rFonts w:hint="eastAsia" w:cs="宋体"/>
                <w:bCs/>
                <w:snapToGrid w:val="0"/>
                <w:sz w:val="21"/>
              </w:rPr>
              <w:t>0.4891kg/a</w:t>
            </w:r>
          </w:p>
        </w:tc>
      </w:tr>
      <w:bookmarkEnd w:id="339"/>
    </w:tbl>
    <w:p w14:paraId="2606D8DB">
      <w:pPr>
        <w:adjustRightInd w:val="0"/>
        <w:snapToGrid w:val="0"/>
        <w:spacing w:line="480" w:lineRule="exact"/>
        <w:textAlignment w:val="bottom"/>
      </w:pPr>
    </w:p>
    <w:p w14:paraId="3C7DDC57">
      <w:pPr>
        <w:adjustRightInd w:val="0"/>
        <w:snapToGrid w:val="0"/>
        <w:spacing w:line="480" w:lineRule="exact"/>
        <w:ind w:firstLine="480" w:firstLineChars="200"/>
        <w:textAlignment w:val="bottom"/>
        <w:rPr>
          <w:rFonts w:hint="eastAsia" w:ascii="宋体" w:hAnsi="宋体" w:cs="宋体"/>
          <w:kern w:val="0"/>
          <w:sz w:val="24"/>
          <w:szCs w:val="24"/>
        </w:rPr>
      </w:pPr>
    </w:p>
    <w:p w14:paraId="5A7AAE51">
      <w:pPr>
        <w:adjustRightInd w:val="0"/>
        <w:snapToGrid w:val="0"/>
        <w:spacing w:line="480" w:lineRule="exact"/>
        <w:ind w:firstLine="480" w:firstLineChars="200"/>
        <w:textAlignment w:val="bottom"/>
        <w:rPr>
          <w:rFonts w:hint="eastAsia" w:ascii="宋体" w:hAnsi="宋体" w:cs="宋体"/>
          <w:kern w:val="0"/>
          <w:sz w:val="24"/>
          <w:szCs w:val="24"/>
        </w:rPr>
      </w:pPr>
    </w:p>
    <w:p w14:paraId="620BE08C">
      <w:pPr>
        <w:sectPr>
          <w:footerReference r:id="rId6" w:type="default"/>
          <w:pgSz w:w="11906" w:h="16838"/>
          <w:pgMar w:top="1418" w:right="1588" w:bottom="1418" w:left="1588" w:header="1020" w:footer="1020" w:gutter="0"/>
          <w:cols w:space="720" w:num="1"/>
          <w:docGrid w:type="lines" w:linePitch="317" w:charSpace="0"/>
        </w:sectPr>
      </w:pPr>
    </w:p>
    <w:p w14:paraId="11910232">
      <w:pPr>
        <w:adjustRightInd w:val="0"/>
        <w:snapToGrid w:val="0"/>
        <w:spacing w:line="500" w:lineRule="exact"/>
        <w:jc w:val="center"/>
        <w:textAlignment w:val="baseline"/>
        <w:rPr>
          <w:rFonts w:hint="eastAsia" w:ascii="黑体" w:hAnsi="黑体" w:eastAsia="黑体"/>
          <w:kern w:val="0"/>
          <w:szCs w:val="21"/>
        </w:rPr>
      </w:pPr>
      <w:bookmarkStart w:id="340" w:name="OLE_LINK349"/>
      <w:bookmarkStart w:id="341" w:name="OLE_LINK402"/>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-20</w:t>
      </w:r>
      <w:r>
        <w:rPr>
          <w:rFonts w:ascii="黑体" w:hAnsi="黑体" w:eastAsia="黑体"/>
          <w:kern w:val="0"/>
          <w:szCs w:val="21"/>
        </w:rPr>
        <w:t xml:space="preserve"> </w:t>
      </w:r>
      <w:r>
        <w:rPr>
          <w:rFonts w:hint="eastAsia" w:ascii="黑体" w:hAnsi="黑体" w:eastAsia="黑体"/>
          <w:kern w:val="0"/>
          <w:szCs w:val="21"/>
        </w:rPr>
        <w:t xml:space="preserve"> 一期工程运营期污染物产生及排放一览表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24"/>
        <w:gridCol w:w="1812"/>
        <w:gridCol w:w="2346"/>
        <w:gridCol w:w="2079"/>
        <w:gridCol w:w="1845"/>
        <w:gridCol w:w="1616"/>
        <w:gridCol w:w="3597"/>
      </w:tblGrid>
      <w:tr w14:paraId="032BFE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Align w:val="center"/>
          </w:tcPr>
          <w:p w14:paraId="030DF396">
            <w:pPr>
              <w:pStyle w:val="278"/>
              <w:adjustRightInd w:val="0"/>
              <w:snapToGrid w:val="0"/>
              <w:spacing w:line="300" w:lineRule="exact"/>
              <w:rPr>
                <w:rFonts w:hint="eastAsia"/>
              </w:rPr>
            </w:pPr>
            <w:r>
              <w:rPr>
                <w:rFonts w:hint="eastAsia"/>
              </w:rPr>
              <w:t>类别</w:t>
            </w:r>
          </w:p>
        </w:tc>
        <w:tc>
          <w:tcPr>
            <w:tcW w:w="637" w:type="pct"/>
            <w:vAlign w:val="center"/>
          </w:tcPr>
          <w:p w14:paraId="4946768B">
            <w:pPr>
              <w:pStyle w:val="278"/>
              <w:adjustRightInd w:val="0"/>
              <w:snapToGrid w:val="0"/>
              <w:spacing w:line="300" w:lineRule="exact"/>
              <w:rPr>
                <w:rFonts w:hint="eastAsia"/>
              </w:rPr>
            </w:pPr>
            <w:r>
              <w:rPr>
                <w:rFonts w:hint="eastAsia"/>
              </w:rPr>
              <w:t>污染源</w:t>
            </w:r>
          </w:p>
        </w:tc>
        <w:tc>
          <w:tcPr>
            <w:tcW w:w="825" w:type="pct"/>
            <w:vAlign w:val="center"/>
          </w:tcPr>
          <w:p w14:paraId="2F3E7D0E">
            <w:pPr>
              <w:pStyle w:val="278"/>
              <w:adjustRightInd w:val="0"/>
              <w:snapToGrid w:val="0"/>
              <w:spacing w:line="300" w:lineRule="exact"/>
              <w:rPr>
                <w:rFonts w:hint="eastAsia"/>
              </w:rPr>
            </w:pPr>
            <w:r>
              <w:rPr>
                <w:rFonts w:hint="eastAsia"/>
              </w:rPr>
              <w:t>污染物名称</w:t>
            </w:r>
          </w:p>
        </w:tc>
        <w:tc>
          <w:tcPr>
            <w:tcW w:w="731" w:type="pct"/>
            <w:vAlign w:val="center"/>
          </w:tcPr>
          <w:p w14:paraId="0B50424E">
            <w:pPr>
              <w:pStyle w:val="278"/>
              <w:adjustRightInd w:val="0"/>
              <w:snapToGrid w:val="0"/>
              <w:spacing w:line="300" w:lineRule="exact"/>
              <w:rPr>
                <w:rFonts w:hint="eastAsia"/>
              </w:rPr>
            </w:pPr>
            <w:r>
              <w:rPr>
                <w:rFonts w:hint="eastAsia"/>
              </w:rPr>
              <w:t>污染因子</w:t>
            </w:r>
          </w:p>
        </w:tc>
        <w:tc>
          <w:tcPr>
            <w:tcW w:w="649" w:type="pct"/>
            <w:vAlign w:val="center"/>
          </w:tcPr>
          <w:p w14:paraId="210C5100">
            <w:pPr>
              <w:pStyle w:val="278"/>
              <w:adjustRightInd w:val="0"/>
              <w:snapToGrid w:val="0"/>
              <w:spacing w:line="300" w:lineRule="exact"/>
              <w:rPr>
                <w:rFonts w:hint="eastAsia"/>
              </w:rPr>
            </w:pPr>
            <w:r>
              <w:rPr>
                <w:rFonts w:hint="eastAsia"/>
              </w:rPr>
              <w:t>产生量</w:t>
            </w:r>
          </w:p>
        </w:tc>
        <w:tc>
          <w:tcPr>
            <w:tcW w:w="568" w:type="pct"/>
            <w:vAlign w:val="center"/>
          </w:tcPr>
          <w:p w14:paraId="708C3C59">
            <w:pPr>
              <w:pStyle w:val="278"/>
              <w:adjustRightInd w:val="0"/>
              <w:snapToGrid w:val="0"/>
              <w:spacing w:line="300" w:lineRule="exact"/>
              <w:rPr>
                <w:rFonts w:hint="eastAsia"/>
              </w:rPr>
            </w:pPr>
            <w:r>
              <w:rPr>
                <w:rFonts w:hint="eastAsia"/>
              </w:rPr>
              <w:t>排放量</w:t>
            </w:r>
          </w:p>
        </w:tc>
        <w:tc>
          <w:tcPr>
            <w:tcW w:w="1265" w:type="pct"/>
            <w:vAlign w:val="center"/>
          </w:tcPr>
          <w:p w14:paraId="4EF409E2">
            <w:pPr>
              <w:pStyle w:val="278"/>
              <w:adjustRightInd w:val="0"/>
              <w:snapToGrid w:val="0"/>
              <w:spacing w:line="300" w:lineRule="exact"/>
              <w:rPr>
                <w:rFonts w:hint="eastAsia"/>
              </w:rPr>
            </w:pPr>
            <w:r>
              <w:rPr>
                <w:rFonts w:hint="eastAsia"/>
              </w:rPr>
              <w:t>处理措施及排放去向</w:t>
            </w:r>
          </w:p>
        </w:tc>
      </w:tr>
      <w:tr w14:paraId="6C8225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49C17927">
            <w:pPr>
              <w:pStyle w:val="278"/>
              <w:adjustRightInd w:val="0"/>
              <w:snapToGrid w:val="0"/>
              <w:spacing w:line="300" w:lineRule="exact"/>
              <w:rPr>
                <w:rFonts w:hint="eastAsia"/>
              </w:rPr>
            </w:pPr>
            <w:bookmarkStart w:id="342" w:name="_Hlk173433979"/>
            <w:r>
              <w:rPr>
                <w:rFonts w:hint="eastAsia"/>
              </w:rPr>
              <w:t>废气</w:t>
            </w:r>
          </w:p>
        </w:tc>
        <w:tc>
          <w:tcPr>
            <w:tcW w:w="637" w:type="pct"/>
            <w:vMerge w:val="restart"/>
            <w:vAlign w:val="center"/>
          </w:tcPr>
          <w:p w14:paraId="3F0D8E8E">
            <w:pPr>
              <w:pStyle w:val="278"/>
              <w:adjustRightInd w:val="0"/>
              <w:snapToGrid w:val="0"/>
              <w:spacing w:line="300" w:lineRule="exact"/>
              <w:rPr>
                <w:rFonts w:hint="eastAsia"/>
              </w:rPr>
            </w:pPr>
            <w:r>
              <w:rPr>
                <w:rFonts w:hint="eastAsia"/>
              </w:rPr>
              <w:t>采油井场油气集输过程中的阀门、法兰等</w:t>
            </w:r>
          </w:p>
        </w:tc>
        <w:tc>
          <w:tcPr>
            <w:tcW w:w="825" w:type="pct"/>
            <w:vAlign w:val="center"/>
          </w:tcPr>
          <w:p w14:paraId="0622B4A8">
            <w:pPr>
              <w:pStyle w:val="278"/>
              <w:adjustRightInd w:val="0"/>
              <w:snapToGrid w:val="0"/>
              <w:spacing w:line="300" w:lineRule="exact"/>
              <w:rPr>
                <w:rFonts w:hint="eastAsia"/>
              </w:rPr>
            </w:pPr>
            <w:r>
              <w:rPr>
                <w:rFonts w:hint="eastAsia"/>
              </w:rPr>
              <w:t>无组织挥发性有机物</w:t>
            </w:r>
          </w:p>
        </w:tc>
        <w:tc>
          <w:tcPr>
            <w:tcW w:w="731" w:type="pct"/>
            <w:vAlign w:val="center"/>
          </w:tcPr>
          <w:p w14:paraId="7C79470D">
            <w:pPr>
              <w:pStyle w:val="278"/>
              <w:adjustRightInd w:val="0"/>
              <w:snapToGrid w:val="0"/>
              <w:spacing w:line="300" w:lineRule="exact"/>
              <w:rPr>
                <w:rFonts w:hint="eastAsia"/>
              </w:rPr>
            </w:pPr>
            <w:r>
              <w:rPr>
                <w:rFonts w:hint="eastAsia"/>
              </w:rPr>
              <w:t>非甲烷</w:t>
            </w:r>
            <w:r>
              <w:t>总烃</w:t>
            </w:r>
          </w:p>
        </w:tc>
        <w:tc>
          <w:tcPr>
            <w:tcW w:w="649" w:type="pct"/>
            <w:vAlign w:val="center"/>
          </w:tcPr>
          <w:p w14:paraId="53A7BC80">
            <w:pPr>
              <w:pStyle w:val="278"/>
              <w:adjustRightInd w:val="0"/>
              <w:snapToGrid w:val="0"/>
              <w:spacing w:line="300" w:lineRule="exact"/>
              <w:rPr>
                <w:rFonts w:hint="eastAsia"/>
              </w:rPr>
            </w:pPr>
            <w:bookmarkStart w:id="343" w:name="OLE_LINK332"/>
            <w:r>
              <w:rPr>
                <w:rFonts w:hint="eastAsia" w:cs="宋体"/>
                <w:bCs/>
                <w:snapToGrid w:val="0"/>
              </w:rPr>
              <w:t>0.3386t/a</w:t>
            </w:r>
            <w:bookmarkEnd w:id="343"/>
          </w:p>
        </w:tc>
        <w:tc>
          <w:tcPr>
            <w:tcW w:w="568" w:type="pct"/>
            <w:vAlign w:val="center"/>
          </w:tcPr>
          <w:p w14:paraId="64F7613A">
            <w:pPr>
              <w:pStyle w:val="278"/>
              <w:adjustRightInd w:val="0"/>
              <w:snapToGrid w:val="0"/>
              <w:spacing w:line="300" w:lineRule="exact"/>
              <w:rPr>
                <w:rFonts w:hint="eastAsia"/>
              </w:rPr>
            </w:pPr>
            <w:r>
              <w:rPr>
                <w:rFonts w:hint="eastAsia" w:cs="宋体"/>
                <w:bCs/>
                <w:snapToGrid w:val="0"/>
              </w:rPr>
              <w:t>0.3386t/a</w:t>
            </w:r>
          </w:p>
        </w:tc>
        <w:tc>
          <w:tcPr>
            <w:tcW w:w="1265" w:type="pct"/>
            <w:vMerge w:val="restart"/>
            <w:vAlign w:val="center"/>
          </w:tcPr>
          <w:p w14:paraId="0159C90A">
            <w:pPr>
              <w:pStyle w:val="278"/>
              <w:adjustRightInd w:val="0"/>
              <w:snapToGrid w:val="0"/>
              <w:spacing w:line="300" w:lineRule="exact"/>
              <w:rPr>
                <w:rFonts w:hint="eastAsia"/>
              </w:rPr>
            </w:pPr>
            <w:bookmarkStart w:id="344" w:name="OLE_LINK33"/>
            <w:r>
              <w:rPr>
                <w:rFonts w:hint="eastAsia" w:cs="宋体"/>
                <w:bCs/>
                <w:snapToGrid w:val="0"/>
              </w:rPr>
              <w:t>选用质量可靠的设备、仪表、阀门等；定期对井场的设备、阀门等检查排放至</w:t>
            </w:r>
            <w:r>
              <w:rPr>
                <w:rFonts w:hint="eastAsia"/>
              </w:rPr>
              <w:t>大气环境</w:t>
            </w:r>
            <w:bookmarkEnd w:id="344"/>
          </w:p>
        </w:tc>
      </w:tr>
      <w:tr w14:paraId="2422A4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62236A8A">
            <w:pPr>
              <w:pStyle w:val="278"/>
              <w:adjustRightInd w:val="0"/>
              <w:snapToGrid w:val="0"/>
              <w:spacing w:line="300" w:lineRule="exact"/>
              <w:rPr>
                <w:rFonts w:hint="eastAsia"/>
              </w:rPr>
            </w:pPr>
          </w:p>
        </w:tc>
        <w:tc>
          <w:tcPr>
            <w:tcW w:w="637" w:type="pct"/>
            <w:vMerge w:val="continue"/>
            <w:vAlign w:val="center"/>
          </w:tcPr>
          <w:p w14:paraId="3BADCDC8">
            <w:pPr>
              <w:pStyle w:val="278"/>
              <w:adjustRightInd w:val="0"/>
              <w:snapToGrid w:val="0"/>
              <w:spacing w:line="300" w:lineRule="exact"/>
              <w:rPr>
                <w:rFonts w:hint="eastAsia"/>
              </w:rPr>
            </w:pPr>
          </w:p>
        </w:tc>
        <w:tc>
          <w:tcPr>
            <w:tcW w:w="825" w:type="pct"/>
            <w:vAlign w:val="center"/>
          </w:tcPr>
          <w:p w14:paraId="15BC48F3">
            <w:pPr>
              <w:pStyle w:val="278"/>
              <w:adjustRightInd w:val="0"/>
              <w:snapToGrid w:val="0"/>
              <w:spacing w:line="300" w:lineRule="exact"/>
              <w:rPr>
                <w:rFonts w:hint="eastAsia"/>
              </w:rPr>
            </w:pPr>
            <w:r>
              <w:rPr>
                <w:rFonts w:hint="eastAsia"/>
              </w:rPr>
              <w:t>硫化氢</w:t>
            </w:r>
          </w:p>
        </w:tc>
        <w:tc>
          <w:tcPr>
            <w:tcW w:w="731" w:type="pct"/>
            <w:vAlign w:val="center"/>
          </w:tcPr>
          <w:p w14:paraId="73475D34">
            <w:pPr>
              <w:pStyle w:val="278"/>
              <w:adjustRightInd w:val="0"/>
              <w:snapToGrid w:val="0"/>
              <w:spacing w:line="300" w:lineRule="exact"/>
              <w:rPr>
                <w:rFonts w:hint="eastAsia"/>
              </w:rPr>
            </w:pPr>
            <w:r>
              <w:rPr>
                <w:rFonts w:hint="eastAsia"/>
              </w:rPr>
              <w:t>硫化氢</w:t>
            </w:r>
          </w:p>
        </w:tc>
        <w:tc>
          <w:tcPr>
            <w:tcW w:w="649" w:type="pct"/>
            <w:vAlign w:val="center"/>
          </w:tcPr>
          <w:p w14:paraId="13CF864F">
            <w:pPr>
              <w:pStyle w:val="278"/>
              <w:adjustRightInd w:val="0"/>
              <w:snapToGrid w:val="0"/>
              <w:spacing w:line="300" w:lineRule="exact"/>
              <w:rPr>
                <w:rFonts w:hint="eastAsia"/>
                <w:lang w:bidi="ar"/>
              </w:rPr>
            </w:pPr>
            <w:r>
              <w:rPr>
                <w:rFonts w:hint="eastAsia" w:cs="宋体"/>
                <w:bCs/>
                <w:snapToGrid w:val="0"/>
              </w:rPr>
              <w:t>0.3305kg/a</w:t>
            </w:r>
          </w:p>
        </w:tc>
        <w:tc>
          <w:tcPr>
            <w:tcW w:w="568" w:type="pct"/>
            <w:vAlign w:val="center"/>
          </w:tcPr>
          <w:p w14:paraId="1B604644">
            <w:pPr>
              <w:pStyle w:val="278"/>
              <w:adjustRightInd w:val="0"/>
              <w:snapToGrid w:val="0"/>
              <w:spacing w:line="300" w:lineRule="exact"/>
              <w:rPr>
                <w:rFonts w:hint="eastAsia"/>
                <w:lang w:bidi="ar"/>
              </w:rPr>
            </w:pPr>
            <w:r>
              <w:rPr>
                <w:rFonts w:hint="eastAsia" w:cs="宋体"/>
                <w:bCs/>
                <w:snapToGrid w:val="0"/>
              </w:rPr>
              <w:t>0.3305kg/a</w:t>
            </w:r>
          </w:p>
        </w:tc>
        <w:tc>
          <w:tcPr>
            <w:tcW w:w="1265" w:type="pct"/>
            <w:vMerge w:val="continue"/>
            <w:vAlign w:val="center"/>
          </w:tcPr>
          <w:p w14:paraId="57744FB5">
            <w:pPr>
              <w:pStyle w:val="278"/>
              <w:adjustRightInd w:val="0"/>
              <w:snapToGrid w:val="0"/>
              <w:spacing w:line="300" w:lineRule="exact"/>
              <w:rPr>
                <w:rFonts w:hint="eastAsia" w:cs="宋体"/>
                <w:bCs/>
                <w:snapToGrid w:val="0"/>
              </w:rPr>
            </w:pPr>
          </w:p>
        </w:tc>
      </w:tr>
      <w:bookmarkEnd w:id="342"/>
      <w:tr w14:paraId="6A0772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4349E3F3">
            <w:pPr>
              <w:pStyle w:val="278"/>
              <w:adjustRightInd w:val="0"/>
              <w:snapToGrid w:val="0"/>
              <w:spacing w:line="300" w:lineRule="exact"/>
              <w:rPr>
                <w:rFonts w:hint="eastAsia"/>
              </w:rPr>
            </w:pPr>
            <w:bookmarkStart w:id="345" w:name="_Hlk173840707"/>
          </w:p>
        </w:tc>
        <w:tc>
          <w:tcPr>
            <w:tcW w:w="637" w:type="pct"/>
            <w:vMerge w:val="restart"/>
            <w:vAlign w:val="center"/>
          </w:tcPr>
          <w:p w14:paraId="04BABD4B">
            <w:pPr>
              <w:pStyle w:val="278"/>
              <w:adjustRightInd w:val="0"/>
              <w:snapToGrid w:val="0"/>
              <w:spacing w:line="300" w:lineRule="exact"/>
              <w:rPr>
                <w:rFonts w:hint="eastAsia"/>
              </w:rPr>
            </w:pPr>
            <w:r>
              <w:rPr>
                <w:rFonts w:hint="eastAsia"/>
              </w:rPr>
              <w:t>计量拉油站无组织废气</w:t>
            </w:r>
          </w:p>
        </w:tc>
        <w:tc>
          <w:tcPr>
            <w:tcW w:w="825" w:type="pct"/>
            <w:vAlign w:val="center"/>
          </w:tcPr>
          <w:p w14:paraId="0AFC9BD3">
            <w:pPr>
              <w:pStyle w:val="278"/>
              <w:adjustRightInd w:val="0"/>
              <w:snapToGrid w:val="0"/>
              <w:spacing w:line="300" w:lineRule="exact"/>
              <w:rPr>
                <w:rFonts w:hint="eastAsia"/>
              </w:rPr>
            </w:pPr>
            <w:r>
              <w:rPr>
                <w:rFonts w:hint="eastAsia"/>
              </w:rPr>
              <w:t>无组织挥发性有机物</w:t>
            </w:r>
          </w:p>
        </w:tc>
        <w:tc>
          <w:tcPr>
            <w:tcW w:w="731" w:type="pct"/>
            <w:vAlign w:val="center"/>
          </w:tcPr>
          <w:p w14:paraId="17F29C43">
            <w:pPr>
              <w:pStyle w:val="278"/>
              <w:adjustRightInd w:val="0"/>
              <w:snapToGrid w:val="0"/>
              <w:spacing w:line="300" w:lineRule="exact"/>
              <w:rPr>
                <w:rFonts w:hint="eastAsia"/>
              </w:rPr>
            </w:pPr>
            <w:r>
              <w:rPr>
                <w:rFonts w:hint="eastAsia"/>
              </w:rPr>
              <w:t>非甲烷总烃</w:t>
            </w:r>
          </w:p>
        </w:tc>
        <w:tc>
          <w:tcPr>
            <w:tcW w:w="649" w:type="pct"/>
            <w:vAlign w:val="center"/>
          </w:tcPr>
          <w:p w14:paraId="51616911">
            <w:pPr>
              <w:pStyle w:val="278"/>
              <w:adjustRightInd w:val="0"/>
              <w:snapToGrid w:val="0"/>
              <w:spacing w:line="300" w:lineRule="exact"/>
              <w:rPr>
                <w:rFonts w:hint="eastAsia" w:cs="宋体"/>
                <w:bCs/>
                <w:snapToGrid w:val="0"/>
              </w:rPr>
            </w:pPr>
            <w:r>
              <w:rPr>
                <w:rFonts w:hint="eastAsia" w:cs="宋体"/>
                <w:bCs/>
                <w:snapToGrid w:val="0"/>
              </w:rPr>
              <w:t>2.1689t/a</w:t>
            </w:r>
          </w:p>
        </w:tc>
        <w:tc>
          <w:tcPr>
            <w:tcW w:w="568" w:type="pct"/>
            <w:vAlign w:val="center"/>
          </w:tcPr>
          <w:p w14:paraId="210889E5">
            <w:pPr>
              <w:pStyle w:val="278"/>
              <w:adjustRightInd w:val="0"/>
              <w:snapToGrid w:val="0"/>
              <w:spacing w:line="300" w:lineRule="exact"/>
              <w:rPr>
                <w:rFonts w:hint="eastAsia" w:cs="宋体"/>
                <w:bCs/>
                <w:snapToGrid w:val="0"/>
              </w:rPr>
            </w:pPr>
            <w:r>
              <w:rPr>
                <w:rFonts w:hint="eastAsia" w:cs="宋体"/>
                <w:bCs/>
                <w:snapToGrid w:val="0"/>
              </w:rPr>
              <w:t>2.1689t/a</w:t>
            </w:r>
          </w:p>
        </w:tc>
        <w:tc>
          <w:tcPr>
            <w:tcW w:w="1265" w:type="pct"/>
            <w:vMerge w:val="restart"/>
            <w:vAlign w:val="center"/>
          </w:tcPr>
          <w:p w14:paraId="5F9ECC10">
            <w:pPr>
              <w:pStyle w:val="278"/>
              <w:adjustRightInd w:val="0"/>
              <w:snapToGrid w:val="0"/>
              <w:spacing w:line="300" w:lineRule="exact"/>
              <w:jc w:val="both"/>
              <w:rPr>
                <w:rFonts w:hint="eastAsia" w:cs="宋体"/>
                <w:bCs/>
                <w:snapToGrid w:val="0"/>
              </w:rPr>
            </w:pPr>
            <w:r>
              <w:rPr>
                <w:rFonts w:hint="eastAsia" w:cs="宋体"/>
                <w:bCs/>
                <w:snapToGrid w:val="0"/>
              </w:rPr>
              <w:t>选用质量可靠的设备、仪表、阀门等；定期对计量站的设备、阀门等检查排放至</w:t>
            </w:r>
            <w:r>
              <w:rPr>
                <w:rFonts w:hint="eastAsia"/>
              </w:rPr>
              <w:t>大气环境；</w:t>
            </w:r>
            <w:r>
              <w:rPr>
                <w:rFonts w:hint="eastAsia" w:cs="宋体"/>
                <w:bCs/>
                <w:snapToGrid w:val="0"/>
              </w:rPr>
              <w:t>采用固定顶罐，装车采用顶部浸没式装载；</w:t>
            </w:r>
            <w:r>
              <w:rPr>
                <w:rFonts w:hint="eastAsia"/>
              </w:rPr>
              <w:t>大气环境</w:t>
            </w:r>
          </w:p>
        </w:tc>
      </w:tr>
      <w:tr w14:paraId="61E35D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148B0ACD">
            <w:pPr>
              <w:pStyle w:val="278"/>
              <w:adjustRightInd w:val="0"/>
              <w:snapToGrid w:val="0"/>
              <w:spacing w:line="300" w:lineRule="exact"/>
              <w:rPr>
                <w:rFonts w:hint="eastAsia"/>
              </w:rPr>
            </w:pPr>
          </w:p>
        </w:tc>
        <w:tc>
          <w:tcPr>
            <w:tcW w:w="637" w:type="pct"/>
            <w:vMerge w:val="continue"/>
            <w:vAlign w:val="center"/>
          </w:tcPr>
          <w:p w14:paraId="352A11FF">
            <w:pPr>
              <w:pStyle w:val="278"/>
              <w:adjustRightInd w:val="0"/>
              <w:snapToGrid w:val="0"/>
              <w:spacing w:line="300" w:lineRule="exact"/>
              <w:rPr>
                <w:rFonts w:hint="eastAsia"/>
              </w:rPr>
            </w:pPr>
          </w:p>
        </w:tc>
        <w:tc>
          <w:tcPr>
            <w:tcW w:w="825" w:type="pct"/>
            <w:vAlign w:val="center"/>
          </w:tcPr>
          <w:p w14:paraId="2A012DF8">
            <w:pPr>
              <w:pStyle w:val="278"/>
              <w:adjustRightInd w:val="0"/>
              <w:snapToGrid w:val="0"/>
              <w:spacing w:line="300" w:lineRule="exact"/>
              <w:rPr>
                <w:rFonts w:hint="eastAsia"/>
              </w:rPr>
            </w:pPr>
            <w:r>
              <w:rPr>
                <w:rFonts w:hint="eastAsia"/>
              </w:rPr>
              <w:t>硫化氢</w:t>
            </w:r>
          </w:p>
        </w:tc>
        <w:tc>
          <w:tcPr>
            <w:tcW w:w="731" w:type="pct"/>
            <w:vAlign w:val="center"/>
          </w:tcPr>
          <w:p w14:paraId="0A4D3DC4">
            <w:pPr>
              <w:pStyle w:val="278"/>
              <w:adjustRightInd w:val="0"/>
              <w:snapToGrid w:val="0"/>
              <w:spacing w:line="300" w:lineRule="exact"/>
              <w:rPr>
                <w:rFonts w:hint="eastAsia"/>
              </w:rPr>
            </w:pPr>
            <w:r>
              <w:rPr>
                <w:rFonts w:hint="eastAsia"/>
              </w:rPr>
              <w:t>硫化氢</w:t>
            </w:r>
          </w:p>
        </w:tc>
        <w:tc>
          <w:tcPr>
            <w:tcW w:w="649" w:type="pct"/>
            <w:vAlign w:val="center"/>
          </w:tcPr>
          <w:p w14:paraId="5047444C">
            <w:pPr>
              <w:pStyle w:val="278"/>
              <w:adjustRightInd w:val="0"/>
              <w:snapToGrid w:val="0"/>
              <w:spacing w:line="300" w:lineRule="exact"/>
              <w:rPr>
                <w:rFonts w:hint="eastAsia" w:cs="宋体"/>
                <w:bCs/>
                <w:snapToGrid w:val="0"/>
              </w:rPr>
            </w:pPr>
            <w:r>
              <w:rPr>
                <w:rFonts w:hint="eastAsia" w:cs="宋体"/>
                <w:bCs/>
                <w:snapToGrid w:val="0"/>
              </w:rPr>
              <w:t>0.1586kg/a</w:t>
            </w:r>
          </w:p>
        </w:tc>
        <w:tc>
          <w:tcPr>
            <w:tcW w:w="568" w:type="pct"/>
            <w:vAlign w:val="center"/>
          </w:tcPr>
          <w:p w14:paraId="5913E502">
            <w:pPr>
              <w:pStyle w:val="278"/>
              <w:adjustRightInd w:val="0"/>
              <w:snapToGrid w:val="0"/>
              <w:spacing w:line="300" w:lineRule="exact"/>
              <w:rPr>
                <w:rFonts w:hint="eastAsia" w:cs="宋体"/>
                <w:bCs/>
                <w:snapToGrid w:val="0"/>
              </w:rPr>
            </w:pPr>
            <w:r>
              <w:rPr>
                <w:rFonts w:hint="eastAsia" w:cs="宋体"/>
                <w:bCs/>
                <w:snapToGrid w:val="0"/>
              </w:rPr>
              <w:t>0.1586kg/a</w:t>
            </w:r>
          </w:p>
        </w:tc>
        <w:tc>
          <w:tcPr>
            <w:tcW w:w="1265" w:type="pct"/>
            <w:vMerge w:val="continue"/>
            <w:vAlign w:val="center"/>
          </w:tcPr>
          <w:p w14:paraId="6B456FEA">
            <w:pPr>
              <w:pStyle w:val="278"/>
              <w:adjustRightInd w:val="0"/>
              <w:snapToGrid w:val="0"/>
              <w:spacing w:line="300" w:lineRule="exact"/>
              <w:rPr>
                <w:rFonts w:hint="eastAsia" w:cs="宋体"/>
                <w:bCs/>
                <w:snapToGrid w:val="0"/>
              </w:rPr>
            </w:pPr>
          </w:p>
        </w:tc>
      </w:tr>
      <w:bookmarkEnd w:id="345"/>
      <w:tr w14:paraId="38949B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1988F39">
            <w:pPr>
              <w:pStyle w:val="278"/>
              <w:adjustRightInd w:val="0"/>
              <w:snapToGrid w:val="0"/>
              <w:spacing w:line="300" w:lineRule="exact"/>
              <w:rPr>
                <w:rFonts w:hint="eastAsia"/>
              </w:rPr>
            </w:pPr>
            <w:bookmarkStart w:id="346" w:name="_Hlk173840595"/>
          </w:p>
        </w:tc>
        <w:tc>
          <w:tcPr>
            <w:tcW w:w="637" w:type="pct"/>
            <w:vMerge w:val="continue"/>
            <w:vAlign w:val="center"/>
          </w:tcPr>
          <w:p w14:paraId="54BB3FF1">
            <w:pPr>
              <w:pStyle w:val="278"/>
              <w:adjustRightInd w:val="0"/>
              <w:snapToGrid w:val="0"/>
              <w:spacing w:line="300" w:lineRule="exact"/>
              <w:rPr>
                <w:rFonts w:hint="eastAsia"/>
              </w:rPr>
            </w:pPr>
          </w:p>
        </w:tc>
        <w:tc>
          <w:tcPr>
            <w:tcW w:w="825" w:type="pct"/>
            <w:vMerge w:val="restart"/>
            <w:vAlign w:val="center"/>
          </w:tcPr>
          <w:p w14:paraId="2E90F045">
            <w:pPr>
              <w:pStyle w:val="278"/>
              <w:adjustRightInd w:val="0"/>
              <w:snapToGrid w:val="0"/>
              <w:spacing w:line="300" w:lineRule="exact"/>
              <w:rPr>
                <w:rFonts w:hint="eastAsia"/>
              </w:rPr>
            </w:pPr>
            <w:r>
              <w:rPr>
                <w:rFonts w:hint="eastAsia"/>
              </w:rPr>
              <w:t>放空火炬燃烧废气</w:t>
            </w:r>
          </w:p>
        </w:tc>
        <w:tc>
          <w:tcPr>
            <w:tcW w:w="731" w:type="pct"/>
            <w:vAlign w:val="center"/>
          </w:tcPr>
          <w:p w14:paraId="095E65B4">
            <w:pPr>
              <w:pStyle w:val="278"/>
              <w:adjustRightInd w:val="0"/>
              <w:snapToGrid w:val="0"/>
              <w:spacing w:line="300" w:lineRule="exact"/>
              <w:rPr>
                <w:rFonts w:hint="eastAsia"/>
              </w:rPr>
            </w:pPr>
            <w:r>
              <w:rPr>
                <w:rFonts w:hint="eastAsia" w:cs="宋体"/>
                <w:bCs/>
                <w:snapToGrid w:val="0"/>
              </w:rPr>
              <w:t>SO</w:t>
            </w:r>
            <w:r>
              <w:rPr>
                <w:rFonts w:hint="eastAsia" w:cs="宋体"/>
                <w:bCs/>
                <w:snapToGrid w:val="0"/>
                <w:vertAlign w:val="subscript"/>
              </w:rPr>
              <w:t>2</w:t>
            </w:r>
          </w:p>
        </w:tc>
        <w:tc>
          <w:tcPr>
            <w:tcW w:w="649" w:type="pct"/>
            <w:vAlign w:val="center"/>
          </w:tcPr>
          <w:p w14:paraId="05706DAE">
            <w:pPr>
              <w:pStyle w:val="278"/>
              <w:adjustRightInd w:val="0"/>
              <w:snapToGrid w:val="0"/>
              <w:spacing w:line="300" w:lineRule="exact"/>
              <w:rPr>
                <w:rFonts w:hint="eastAsia" w:cs="宋体"/>
                <w:bCs/>
                <w:snapToGrid w:val="0"/>
              </w:rPr>
            </w:pPr>
            <w:r>
              <w:rPr>
                <w:rFonts w:hint="eastAsia" w:cs="宋体"/>
                <w:bCs/>
                <w:snapToGrid w:val="0"/>
              </w:rPr>
              <w:t>0.05</w:t>
            </w:r>
            <w:bookmarkStart w:id="347" w:name="OLE_LINK335"/>
            <w:r>
              <w:rPr>
                <w:rFonts w:hint="eastAsia" w:cs="宋体"/>
                <w:bCs/>
                <w:snapToGrid w:val="0"/>
              </w:rPr>
              <w:t>t/a</w:t>
            </w:r>
            <w:bookmarkEnd w:id="347"/>
          </w:p>
        </w:tc>
        <w:tc>
          <w:tcPr>
            <w:tcW w:w="568" w:type="pct"/>
            <w:vAlign w:val="center"/>
          </w:tcPr>
          <w:p w14:paraId="452C6408">
            <w:pPr>
              <w:pStyle w:val="278"/>
              <w:adjustRightInd w:val="0"/>
              <w:snapToGrid w:val="0"/>
              <w:spacing w:line="300" w:lineRule="exact"/>
              <w:rPr>
                <w:rFonts w:hint="eastAsia" w:cs="宋体"/>
                <w:bCs/>
                <w:snapToGrid w:val="0"/>
              </w:rPr>
            </w:pPr>
            <w:r>
              <w:rPr>
                <w:rFonts w:hint="eastAsia" w:cs="宋体"/>
                <w:bCs/>
                <w:snapToGrid w:val="0"/>
              </w:rPr>
              <w:t>0.05t/a</w:t>
            </w:r>
          </w:p>
        </w:tc>
        <w:tc>
          <w:tcPr>
            <w:tcW w:w="1265" w:type="pct"/>
            <w:vMerge w:val="continue"/>
            <w:vAlign w:val="center"/>
          </w:tcPr>
          <w:p w14:paraId="53066D1C">
            <w:pPr>
              <w:pStyle w:val="278"/>
              <w:adjustRightInd w:val="0"/>
              <w:snapToGrid w:val="0"/>
              <w:spacing w:line="300" w:lineRule="exact"/>
              <w:rPr>
                <w:rFonts w:hint="eastAsia" w:cs="宋体"/>
                <w:bCs/>
                <w:snapToGrid w:val="0"/>
              </w:rPr>
            </w:pPr>
          </w:p>
        </w:tc>
      </w:tr>
      <w:tr w14:paraId="1563F5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20F6B97A">
            <w:pPr>
              <w:pStyle w:val="278"/>
              <w:adjustRightInd w:val="0"/>
              <w:snapToGrid w:val="0"/>
              <w:spacing w:line="300" w:lineRule="exact"/>
              <w:rPr>
                <w:rFonts w:hint="eastAsia"/>
              </w:rPr>
            </w:pPr>
          </w:p>
        </w:tc>
        <w:tc>
          <w:tcPr>
            <w:tcW w:w="637" w:type="pct"/>
            <w:vMerge w:val="continue"/>
            <w:vAlign w:val="center"/>
          </w:tcPr>
          <w:p w14:paraId="343644CE">
            <w:pPr>
              <w:pStyle w:val="278"/>
              <w:adjustRightInd w:val="0"/>
              <w:snapToGrid w:val="0"/>
              <w:spacing w:line="300" w:lineRule="exact"/>
              <w:rPr>
                <w:rFonts w:hint="eastAsia"/>
              </w:rPr>
            </w:pPr>
          </w:p>
        </w:tc>
        <w:tc>
          <w:tcPr>
            <w:tcW w:w="825" w:type="pct"/>
            <w:vMerge w:val="continue"/>
            <w:vAlign w:val="center"/>
          </w:tcPr>
          <w:p w14:paraId="20FA5141">
            <w:pPr>
              <w:pStyle w:val="278"/>
              <w:adjustRightInd w:val="0"/>
              <w:snapToGrid w:val="0"/>
              <w:spacing w:line="300" w:lineRule="exact"/>
              <w:rPr>
                <w:rFonts w:hint="eastAsia"/>
              </w:rPr>
            </w:pPr>
          </w:p>
        </w:tc>
        <w:tc>
          <w:tcPr>
            <w:tcW w:w="731" w:type="pct"/>
            <w:vAlign w:val="center"/>
          </w:tcPr>
          <w:p w14:paraId="3E0BE9DA">
            <w:pPr>
              <w:pStyle w:val="278"/>
              <w:adjustRightInd w:val="0"/>
              <w:snapToGrid w:val="0"/>
              <w:spacing w:line="300" w:lineRule="exact"/>
              <w:rPr>
                <w:rFonts w:hint="eastAsia"/>
              </w:rPr>
            </w:pPr>
            <w:r>
              <w:rPr>
                <w:rFonts w:hint="eastAsia" w:cs="宋体"/>
                <w:bCs/>
                <w:snapToGrid w:val="0"/>
              </w:rPr>
              <w:t>NO</w:t>
            </w:r>
            <w:r>
              <w:rPr>
                <w:rFonts w:hint="eastAsia" w:cs="宋体"/>
                <w:bCs/>
                <w:snapToGrid w:val="0"/>
                <w:vertAlign w:val="subscript"/>
              </w:rPr>
              <w:t>x</w:t>
            </w:r>
          </w:p>
        </w:tc>
        <w:tc>
          <w:tcPr>
            <w:tcW w:w="649" w:type="pct"/>
            <w:vAlign w:val="center"/>
          </w:tcPr>
          <w:p w14:paraId="6A1735B9">
            <w:pPr>
              <w:pStyle w:val="278"/>
              <w:adjustRightInd w:val="0"/>
              <w:snapToGrid w:val="0"/>
              <w:spacing w:line="300" w:lineRule="exact"/>
              <w:rPr>
                <w:rFonts w:hint="eastAsia" w:cs="宋体"/>
                <w:bCs/>
                <w:snapToGrid w:val="0"/>
              </w:rPr>
            </w:pPr>
            <w:r>
              <w:rPr>
                <w:rFonts w:hint="eastAsia" w:cs="宋体"/>
                <w:bCs/>
                <w:snapToGrid w:val="0"/>
              </w:rPr>
              <w:t>0.475t/a</w:t>
            </w:r>
          </w:p>
        </w:tc>
        <w:tc>
          <w:tcPr>
            <w:tcW w:w="568" w:type="pct"/>
            <w:vAlign w:val="center"/>
          </w:tcPr>
          <w:p w14:paraId="1774D8C5">
            <w:pPr>
              <w:pStyle w:val="278"/>
              <w:adjustRightInd w:val="0"/>
              <w:snapToGrid w:val="0"/>
              <w:spacing w:line="300" w:lineRule="exact"/>
              <w:rPr>
                <w:rFonts w:hint="eastAsia" w:cs="宋体"/>
                <w:bCs/>
                <w:snapToGrid w:val="0"/>
              </w:rPr>
            </w:pPr>
            <w:r>
              <w:rPr>
                <w:rFonts w:hint="eastAsia" w:cs="宋体"/>
                <w:bCs/>
                <w:snapToGrid w:val="0"/>
              </w:rPr>
              <w:t>0.475t/a</w:t>
            </w:r>
          </w:p>
        </w:tc>
        <w:tc>
          <w:tcPr>
            <w:tcW w:w="1265" w:type="pct"/>
            <w:vMerge w:val="continue"/>
            <w:vAlign w:val="center"/>
          </w:tcPr>
          <w:p w14:paraId="78ACB9E1">
            <w:pPr>
              <w:pStyle w:val="278"/>
              <w:adjustRightInd w:val="0"/>
              <w:snapToGrid w:val="0"/>
              <w:spacing w:line="300" w:lineRule="exact"/>
              <w:rPr>
                <w:rFonts w:hint="eastAsia" w:cs="宋体"/>
                <w:bCs/>
                <w:snapToGrid w:val="0"/>
              </w:rPr>
            </w:pPr>
          </w:p>
        </w:tc>
      </w:tr>
      <w:tr w14:paraId="79233A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6D6C929">
            <w:pPr>
              <w:pStyle w:val="278"/>
              <w:adjustRightInd w:val="0"/>
              <w:snapToGrid w:val="0"/>
              <w:spacing w:line="300" w:lineRule="exact"/>
              <w:rPr>
                <w:rFonts w:hint="eastAsia"/>
              </w:rPr>
            </w:pPr>
          </w:p>
        </w:tc>
        <w:tc>
          <w:tcPr>
            <w:tcW w:w="637" w:type="pct"/>
            <w:vMerge w:val="continue"/>
            <w:vAlign w:val="center"/>
          </w:tcPr>
          <w:p w14:paraId="78EFD427">
            <w:pPr>
              <w:pStyle w:val="278"/>
              <w:adjustRightInd w:val="0"/>
              <w:snapToGrid w:val="0"/>
              <w:spacing w:line="300" w:lineRule="exact"/>
              <w:rPr>
                <w:rFonts w:hint="eastAsia"/>
              </w:rPr>
            </w:pPr>
          </w:p>
        </w:tc>
        <w:tc>
          <w:tcPr>
            <w:tcW w:w="825" w:type="pct"/>
            <w:vMerge w:val="continue"/>
            <w:vAlign w:val="center"/>
          </w:tcPr>
          <w:p w14:paraId="23AAC718">
            <w:pPr>
              <w:pStyle w:val="278"/>
              <w:adjustRightInd w:val="0"/>
              <w:snapToGrid w:val="0"/>
              <w:spacing w:line="300" w:lineRule="exact"/>
              <w:rPr>
                <w:rFonts w:hint="eastAsia"/>
              </w:rPr>
            </w:pPr>
          </w:p>
        </w:tc>
        <w:tc>
          <w:tcPr>
            <w:tcW w:w="731" w:type="pct"/>
            <w:vAlign w:val="center"/>
          </w:tcPr>
          <w:p w14:paraId="69A49EFC">
            <w:pPr>
              <w:pStyle w:val="278"/>
              <w:adjustRightInd w:val="0"/>
              <w:snapToGrid w:val="0"/>
              <w:spacing w:line="300" w:lineRule="exact"/>
              <w:rPr>
                <w:rFonts w:hint="eastAsia"/>
              </w:rPr>
            </w:pPr>
            <w:r>
              <w:rPr>
                <w:rFonts w:hint="eastAsia" w:cs="宋体"/>
                <w:bCs/>
                <w:snapToGrid w:val="0"/>
              </w:rPr>
              <w:t>颗粒物</w:t>
            </w:r>
          </w:p>
        </w:tc>
        <w:tc>
          <w:tcPr>
            <w:tcW w:w="649" w:type="pct"/>
            <w:vAlign w:val="center"/>
          </w:tcPr>
          <w:p w14:paraId="6B741D62">
            <w:pPr>
              <w:pStyle w:val="278"/>
              <w:adjustRightInd w:val="0"/>
              <w:snapToGrid w:val="0"/>
              <w:spacing w:line="300" w:lineRule="exact"/>
              <w:rPr>
                <w:rFonts w:hint="eastAsia" w:cs="宋体"/>
                <w:bCs/>
                <w:snapToGrid w:val="0"/>
              </w:rPr>
            </w:pPr>
            <w:r>
              <w:rPr>
                <w:rFonts w:hint="eastAsia" w:cs="宋体"/>
                <w:bCs/>
                <w:snapToGrid w:val="0"/>
              </w:rPr>
              <w:t>0.0375t/a</w:t>
            </w:r>
          </w:p>
        </w:tc>
        <w:tc>
          <w:tcPr>
            <w:tcW w:w="568" w:type="pct"/>
            <w:vAlign w:val="center"/>
          </w:tcPr>
          <w:p w14:paraId="609831C2">
            <w:pPr>
              <w:pStyle w:val="278"/>
              <w:adjustRightInd w:val="0"/>
              <w:snapToGrid w:val="0"/>
              <w:spacing w:line="300" w:lineRule="exact"/>
              <w:rPr>
                <w:rFonts w:hint="eastAsia" w:cs="宋体"/>
                <w:bCs/>
                <w:snapToGrid w:val="0"/>
              </w:rPr>
            </w:pPr>
            <w:r>
              <w:rPr>
                <w:rFonts w:hint="eastAsia" w:cs="宋体"/>
                <w:bCs/>
                <w:snapToGrid w:val="0"/>
              </w:rPr>
              <w:t>0.0375t/a</w:t>
            </w:r>
          </w:p>
        </w:tc>
        <w:tc>
          <w:tcPr>
            <w:tcW w:w="1265" w:type="pct"/>
            <w:vMerge w:val="continue"/>
            <w:vAlign w:val="center"/>
          </w:tcPr>
          <w:p w14:paraId="49B9D4BD">
            <w:pPr>
              <w:pStyle w:val="278"/>
              <w:adjustRightInd w:val="0"/>
              <w:snapToGrid w:val="0"/>
              <w:spacing w:line="300" w:lineRule="exact"/>
              <w:rPr>
                <w:rFonts w:hint="eastAsia" w:cs="宋体"/>
                <w:bCs/>
                <w:snapToGrid w:val="0"/>
              </w:rPr>
            </w:pPr>
          </w:p>
        </w:tc>
      </w:tr>
      <w:bookmarkEnd w:id="346"/>
      <w:tr w14:paraId="79457A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5AC31507">
            <w:pPr>
              <w:pStyle w:val="278"/>
              <w:adjustRightInd w:val="0"/>
              <w:snapToGrid w:val="0"/>
              <w:spacing w:line="300" w:lineRule="exact"/>
              <w:rPr>
                <w:rFonts w:hint="eastAsia"/>
              </w:rPr>
            </w:pPr>
            <w:r>
              <w:rPr>
                <w:rFonts w:hint="eastAsia"/>
              </w:rPr>
              <w:t>废水</w:t>
            </w:r>
          </w:p>
        </w:tc>
        <w:tc>
          <w:tcPr>
            <w:tcW w:w="637" w:type="pct"/>
            <w:vAlign w:val="center"/>
          </w:tcPr>
          <w:p w14:paraId="090AA309">
            <w:pPr>
              <w:pStyle w:val="278"/>
              <w:adjustRightInd w:val="0"/>
              <w:snapToGrid w:val="0"/>
              <w:spacing w:line="300" w:lineRule="exact"/>
              <w:rPr>
                <w:rFonts w:hint="eastAsia"/>
              </w:rPr>
            </w:pPr>
            <w:r>
              <w:rPr>
                <w:rFonts w:hint="eastAsia"/>
              </w:rPr>
              <w:t>井下作业</w:t>
            </w:r>
          </w:p>
        </w:tc>
        <w:tc>
          <w:tcPr>
            <w:tcW w:w="825" w:type="pct"/>
            <w:vAlign w:val="center"/>
          </w:tcPr>
          <w:p w14:paraId="781D3C8D">
            <w:pPr>
              <w:pStyle w:val="278"/>
              <w:adjustRightInd w:val="0"/>
              <w:snapToGrid w:val="0"/>
              <w:spacing w:line="300" w:lineRule="exact"/>
              <w:rPr>
                <w:rFonts w:hint="eastAsia"/>
              </w:rPr>
            </w:pPr>
            <w:r>
              <w:rPr>
                <w:rFonts w:hint="eastAsia"/>
              </w:rPr>
              <w:t>压裂返排液</w:t>
            </w:r>
          </w:p>
        </w:tc>
        <w:tc>
          <w:tcPr>
            <w:tcW w:w="731" w:type="pct"/>
            <w:vAlign w:val="center"/>
          </w:tcPr>
          <w:p w14:paraId="14A8D47A">
            <w:pPr>
              <w:pStyle w:val="278"/>
              <w:adjustRightInd w:val="0"/>
              <w:snapToGrid w:val="0"/>
              <w:spacing w:line="300" w:lineRule="exact"/>
              <w:rPr>
                <w:rFonts w:hint="eastAsia" w:cs="宋体"/>
              </w:rPr>
            </w:pPr>
            <w:r>
              <w:rPr>
                <w:rFonts w:hint="eastAsia"/>
              </w:rPr>
              <w:t>压裂返排液</w:t>
            </w:r>
          </w:p>
        </w:tc>
        <w:tc>
          <w:tcPr>
            <w:tcW w:w="649" w:type="pct"/>
            <w:vAlign w:val="center"/>
          </w:tcPr>
          <w:p w14:paraId="2BEC0B7D">
            <w:pPr>
              <w:pStyle w:val="278"/>
              <w:adjustRightInd w:val="0"/>
              <w:snapToGrid w:val="0"/>
              <w:spacing w:line="300" w:lineRule="exact"/>
              <w:rPr>
                <w:rFonts w:hint="eastAsia"/>
              </w:rPr>
            </w:pPr>
            <w:r>
              <w:rPr>
                <w:rFonts w:hint="eastAsia" w:cs="宋体"/>
              </w:rPr>
              <w:t>766.05m</w:t>
            </w:r>
            <w:r>
              <w:rPr>
                <w:rFonts w:hint="eastAsia" w:cs="宋体"/>
                <w:vertAlign w:val="superscript"/>
              </w:rPr>
              <w:t>3</w:t>
            </w:r>
            <w:r>
              <w:rPr>
                <w:rFonts w:hint="eastAsia" w:cs="宋体"/>
              </w:rPr>
              <w:t>/a</w:t>
            </w:r>
          </w:p>
        </w:tc>
        <w:tc>
          <w:tcPr>
            <w:tcW w:w="568" w:type="pct"/>
            <w:vAlign w:val="center"/>
          </w:tcPr>
          <w:p w14:paraId="1981729C">
            <w:pPr>
              <w:pStyle w:val="278"/>
              <w:adjustRightInd w:val="0"/>
              <w:snapToGrid w:val="0"/>
              <w:spacing w:line="300" w:lineRule="exact"/>
              <w:rPr>
                <w:rFonts w:hint="eastAsia"/>
              </w:rPr>
            </w:pPr>
            <w:r>
              <w:rPr>
                <w:rFonts w:hint="eastAsia"/>
              </w:rPr>
              <w:t>0</w:t>
            </w:r>
          </w:p>
        </w:tc>
        <w:tc>
          <w:tcPr>
            <w:tcW w:w="1265" w:type="pct"/>
            <w:vMerge w:val="restart"/>
            <w:tcBorders>
              <w:top w:val="single" w:color="auto" w:sz="4" w:space="0"/>
            </w:tcBorders>
            <w:vAlign w:val="center"/>
          </w:tcPr>
          <w:p w14:paraId="161686FE">
            <w:pPr>
              <w:pStyle w:val="278"/>
              <w:adjustRightInd w:val="0"/>
              <w:snapToGrid w:val="0"/>
              <w:spacing w:line="300" w:lineRule="exact"/>
              <w:rPr>
                <w:rFonts w:hint="eastAsia"/>
              </w:rPr>
            </w:pPr>
            <w:r>
              <w:rPr>
                <w:rFonts w:hint="eastAsia"/>
              </w:rPr>
              <w:t>送至压裂返排液处理系统处理</w:t>
            </w:r>
          </w:p>
        </w:tc>
      </w:tr>
      <w:tr w14:paraId="1AEDC0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796E75CE">
            <w:pPr>
              <w:pStyle w:val="278"/>
              <w:adjustRightInd w:val="0"/>
              <w:snapToGrid w:val="0"/>
              <w:spacing w:line="300" w:lineRule="exact"/>
              <w:rPr>
                <w:rFonts w:hint="eastAsia"/>
              </w:rPr>
            </w:pPr>
          </w:p>
        </w:tc>
        <w:tc>
          <w:tcPr>
            <w:tcW w:w="637" w:type="pct"/>
            <w:vAlign w:val="center"/>
          </w:tcPr>
          <w:p w14:paraId="1DAA5A59">
            <w:pPr>
              <w:pStyle w:val="278"/>
              <w:adjustRightInd w:val="0"/>
              <w:snapToGrid w:val="0"/>
              <w:spacing w:line="300" w:lineRule="exact"/>
              <w:rPr>
                <w:rFonts w:hint="eastAsia"/>
              </w:rPr>
            </w:pPr>
            <w:r>
              <w:rPr>
                <w:rFonts w:hint="eastAsia"/>
              </w:rPr>
              <w:t>井下作业</w:t>
            </w:r>
          </w:p>
        </w:tc>
        <w:tc>
          <w:tcPr>
            <w:tcW w:w="825" w:type="pct"/>
            <w:vAlign w:val="center"/>
          </w:tcPr>
          <w:p w14:paraId="2B58BB36">
            <w:pPr>
              <w:pStyle w:val="278"/>
              <w:adjustRightInd w:val="0"/>
              <w:snapToGrid w:val="0"/>
              <w:spacing w:line="300" w:lineRule="exact"/>
              <w:rPr>
                <w:rFonts w:hint="eastAsia"/>
              </w:rPr>
            </w:pPr>
            <w:r>
              <w:rPr>
                <w:rFonts w:hint="eastAsia"/>
              </w:rPr>
              <w:t>酸化返排液</w:t>
            </w:r>
          </w:p>
        </w:tc>
        <w:tc>
          <w:tcPr>
            <w:tcW w:w="731" w:type="pct"/>
            <w:vAlign w:val="center"/>
          </w:tcPr>
          <w:p w14:paraId="0612C6E9">
            <w:pPr>
              <w:pStyle w:val="278"/>
              <w:adjustRightInd w:val="0"/>
              <w:snapToGrid w:val="0"/>
              <w:spacing w:line="300" w:lineRule="exact"/>
              <w:rPr>
                <w:rFonts w:hint="eastAsia" w:cs="宋体"/>
              </w:rPr>
            </w:pPr>
            <w:r>
              <w:rPr>
                <w:rFonts w:hint="eastAsia"/>
              </w:rPr>
              <w:t>酸化返排液</w:t>
            </w:r>
          </w:p>
        </w:tc>
        <w:tc>
          <w:tcPr>
            <w:tcW w:w="649" w:type="pct"/>
            <w:vAlign w:val="center"/>
          </w:tcPr>
          <w:p w14:paraId="19658647">
            <w:pPr>
              <w:pStyle w:val="278"/>
              <w:adjustRightInd w:val="0"/>
              <w:snapToGrid w:val="0"/>
              <w:spacing w:line="300" w:lineRule="exact"/>
              <w:rPr>
                <w:rFonts w:hint="eastAsia" w:cs="宋体"/>
              </w:rPr>
            </w:pPr>
            <w:r>
              <w:rPr>
                <w:rFonts w:hint="eastAsia" w:cs="Arial"/>
                <w:kern w:val="2"/>
              </w:rPr>
              <w:t>752.45m</w:t>
            </w:r>
            <w:r>
              <w:rPr>
                <w:rFonts w:hint="eastAsia" w:cs="Arial"/>
                <w:kern w:val="2"/>
                <w:vertAlign w:val="superscript"/>
              </w:rPr>
              <w:t>3</w:t>
            </w:r>
            <w:r>
              <w:rPr>
                <w:rFonts w:hint="eastAsia" w:cs="Arial"/>
                <w:kern w:val="2"/>
              </w:rPr>
              <w:t>/</w:t>
            </w:r>
            <w:r>
              <w:rPr>
                <w:rFonts w:cs="Arial"/>
                <w:kern w:val="2"/>
              </w:rPr>
              <w:t>a</w:t>
            </w:r>
          </w:p>
        </w:tc>
        <w:tc>
          <w:tcPr>
            <w:tcW w:w="568" w:type="pct"/>
            <w:vAlign w:val="center"/>
          </w:tcPr>
          <w:p w14:paraId="66DD1D05">
            <w:pPr>
              <w:pStyle w:val="278"/>
              <w:adjustRightInd w:val="0"/>
              <w:snapToGrid w:val="0"/>
              <w:spacing w:line="300" w:lineRule="exact"/>
              <w:rPr>
                <w:rFonts w:hint="eastAsia"/>
              </w:rPr>
            </w:pPr>
            <w:r>
              <w:rPr>
                <w:rFonts w:hint="eastAsia"/>
              </w:rPr>
              <w:t>0</w:t>
            </w:r>
          </w:p>
        </w:tc>
        <w:tc>
          <w:tcPr>
            <w:tcW w:w="1265" w:type="pct"/>
            <w:vMerge w:val="continue"/>
            <w:vAlign w:val="center"/>
          </w:tcPr>
          <w:p w14:paraId="4BAF30BE">
            <w:pPr>
              <w:pStyle w:val="278"/>
              <w:adjustRightInd w:val="0"/>
              <w:snapToGrid w:val="0"/>
              <w:spacing w:line="300" w:lineRule="exact"/>
              <w:rPr>
                <w:rFonts w:hint="eastAsia"/>
              </w:rPr>
            </w:pPr>
          </w:p>
        </w:tc>
      </w:tr>
      <w:tr w14:paraId="3F5ABA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2DFA8E3A">
            <w:pPr>
              <w:pStyle w:val="278"/>
              <w:adjustRightInd w:val="0"/>
              <w:snapToGrid w:val="0"/>
              <w:spacing w:line="300" w:lineRule="exact"/>
              <w:rPr>
                <w:rFonts w:hint="eastAsia"/>
              </w:rPr>
            </w:pPr>
          </w:p>
        </w:tc>
        <w:tc>
          <w:tcPr>
            <w:tcW w:w="637" w:type="pct"/>
            <w:vAlign w:val="center"/>
          </w:tcPr>
          <w:p w14:paraId="002F0F01">
            <w:pPr>
              <w:pStyle w:val="278"/>
              <w:adjustRightInd w:val="0"/>
              <w:snapToGrid w:val="0"/>
              <w:spacing w:line="300" w:lineRule="exact"/>
              <w:rPr>
                <w:rFonts w:hint="eastAsia"/>
              </w:rPr>
            </w:pPr>
            <w:r>
              <w:rPr>
                <w:rFonts w:hint="eastAsia"/>
              </w:rPr>
              <w:t>井下作业</w:t>
            </w:r>
          </w:p>
        </w:tc>
        <w:tc>
          <w:tcPr>
            <w:tcW w:w="825" w:type="pct"/>
            <w:vAlign w:val="center"/>
          </w:tcPr>
          <w:p w14:paraId="285F5B3A">
            <w:pPr>
              <w:pStyle w:val="278"/>
              <w:adjustRightInd w:val="0"/>
              <w:snapToGrid w:val="0"/>
              <w:spacing w:line="300" w:lineRule="exact"/>
              <w:rPr>
                <w:rFonts w:hint="eastAsia"/>
              </w:rPr>
            </w:pPr>
            <w:r>
              <w:rPr>
                <w:rFonts w:hint="eastAsia"/>
              </w:rPr>
              <w:t>废洗井液</w:t>
            </w:r>
          </w:p>
        </w:tc>
        <w:tc>
          <w:tcPr>
            <w:tcW w:w="731" w:type="pct"/>
            <w:vAlign w:val="center"/>
          </w:tcPr>
          <w:p w14:paraId="6D3B8CF2">
            <w:pPr>
              <w:pStyle w:val="278"/>
              <w:adjustRightInd w:val="0"/>
              <w:snapToGrid w:val="0"/>
              <w:spacing w:line="300" w:lineRule="exact"/>
              <w:rPr>
                <w:rFonts w:hint="eastAsia" w:cs="Arial"/>
                <w:kern w:val="2"/>
              </w:rPr>
            </w:pPr>
            <w:r>
              <w:rPr>
                <w:rFonts w:hint="eastAsia"/>
              </w:rPr>
              <w:t>废洗井液</w:t>
            </w:r>
          </w:p>
        </w:tc>
        <w:tc>
          <w:tcPr>
            <w:tcW w:w="649" w:type="pct"/>
            <w:vAlign w:val="center"/>
          </w:tcPr>
          <w:p w14:paraId="209B1614">
            <w:pPr>
              <w:pStyle w:val="278"/>
              <w:adjustRightInd w:val="0"/>
              <w:snapToGrid w:val="0"/>
              <w:spacing w:line="300" w:lineRule="exact"/>
              <w:rPr>
                <w:rFonts w:hint="eastAsia" w:cs="宋体"/>
                <w:lang w:bidi="ar"/>
              </w:rPr>
            </w:pPr>
            <w:r>
              <w:rPr>
                <w:rFonts w:hint="eastAsia" w:cs="Arial"/>
                <w:kern w:val="2"/>
              </w:rPr>
              <w:t>126.45t/</w:t>
            </w:r>
            <w:r>
              <w:rPr>
                <w:rFonts w:cs="Arial"/>
                <w:kern w:val="2"/>
              </w:rPr>
              <w:t>a</w:t>
            </w:r>
          </w:p>
        </w:tc>
        <w:tc>
          <w:tcPr>
            <w:tcW w:w="568" w:type="pct"/>
            <w:vAlign w:val="center"/>
          </w:tcPr>
          <w:p w14:paraId="78AAC1F9">
            <w:pPr>
              <w:pStyle w:val="278"/>
              <w:adjustRightInd w:val="0"/>
              <w:snapToGrid w:val="0"/>
              <w:spacing w:line="300" w:lineRule="exact"/>
              <w:rPr>
                <w:rFonts w:hint="eastAsia"/>
              </w:rPr>
            </w:pPr>
            <w:r>
              <w:rPr>
                <w:rFonts w:hint="eastAsia"/>
              </w:rPr>
              <w:t>0</w:t>
            </w:r>
          </w:p>
        </w:tc>
        <w:tc>
          <w:tcPr>
            <w:tcW w:w="1265" w:type="pct"/>
            <w:vMerge w:val="continue"/>
            <w:vAlign w:val="center"/>
          </w:tcPr>
          <w:p w14:paraId="49E05CF3">
            <w:pPr>
              <w:pStyle w:val="278"/>
              <w:adjustRightInd w:val="0"/>
              <w:snapToGrid w:val="0"/>
              <w:spacing w:line="300" w:lineRule="exact"/>
              <w:rPr>
                <w:rFonts w:hint="eastAsia"/>
              </w:rPr>
            </w:pPr>
          </w:p>
        </w:tc>
      </w:tr>
      <w:tr w14:paraId="37E8ED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16C12DF3">
            <w:pPr>
              <w:pStyle w:val="278"/>
              <w:adjustRightInd w:val="0"/>
              <w:snapToGrid w:val="0"/>
              <w:spacing w:line="300" w:lineRule="exact"/>
              <w:rPr>
                <w:rFonts w:hint="eastAsia"/>
              </w:rPr>
            </w:pPr>
          </w:p>
        </w:tc>
        <w:tc>
          <w:tcPr>
            <w:tcW w:w="637" w:type="pct"/>
            <w:vAlign w:val="center"/>
          </w:tcPr>
          <w:p w14:paraId="0C0C8AB0">
            <w:pPr>
              <w:pStyle w:val="278"/>
              <w:adjustRightInd w:val="0"/>
              <w:snapToGrid w:val="0"/>
              <w:spacing w:line="300" w:lineRule="exact"/>
              <w:rPr>
                <w:rFonts w:hint="eastAsia"/>
              </w:rPr>
            </w:pPr>
            <w:r>
              <w:rPr>
                <w:rFonts w:hint="eastAsia"/>
              </w:rPr>
              <w:t>井下作业</w:t>
            </w:r>
          </w:p>
        </w:tc>
        <w:tc>
          <w:tcPr>
            <w:tcW w:w="825" w:type="pct"/>
            <w:vAlign w:val="center"/>
          </w:tcPr>
          <w:p w14:paraId="58313962">
            <w:pPr>
              <w:pStyle w:val="278"/>
              <w:adjustRightInd w:val="0"/>
              <w:snapToGrid w:val="0"/>
              <w:spacing w:line="300" w:lineRule="exact"/>
              <w:rPr>
                <w:rFonts w:hint="eastAsia"/>
              </w:rPr>
            </w:pPr>
            <w:r>
              <w:rPr>
                <w:rFonts w:hint="eastAsia"/>
              </w:rPr>
              <w:t>洗井废水</w:t>
            </w:r>
          </w:p>
        </w:tc>
        <w:tc>
          <w:tcPr>
            <w:tcW w:w="731" w:type="pct"/>
            <w:vAlign w:val="center"/>
          </w:tcPr>
          <w:p w14:paraId="73734E53">
            <w:pPr>
              <w:pStyle w:val="278"/>
              <w:adjustRightInd w:val="0"/>
              <w:snapToGrid w:val="0"/>
              <w:spacing w:line="300" w:lineRule="exact"/>
              <w:rPr>
                <w:rFonts w:hint="eastAsia"/>
              </w:rPr>
            </w:pPr>
            <w:r>
              <w:rPr>
                <w:rFonts w:hint="eastAsia"/>
              </w:rPr>
              <w:t>洗井废水</w:t>
            </w:r>
          </w:p>
        </w:tc>
        <w:tc>
          <w:tcPr>
            <w:tcW w:w="649" w:type="pct"/>
            <w:vAlign w:val="center"/>
          </w:tcPr>
          <w:p w14:paraId="2990AB4F">
            <w:pPr>
              <w:pStyle w:val="278"/>
              <w:adjustRightInd w:val="0"/>
              <w:snapToGrid w:val="0"/>
              <w:spacing w:line="300" w:lineRule="exact"/>
              <w:rPr>
                <w:rFonts w:hint="eastAsia" w:cs="Arial"/>
                <w:kern w:val="2"/>
              </w:rPr>
            </w:pPr>
            <w:r>
              <w:rPr>
                <w:rFonts w:hint="eastAsia"/>
                <w:lang w:bidi="ar"/>
              </w:rPr>
              <w:t>135.65</w:t>
            </w:r>
            <w:r>
              <w:rPr>
                <w:rFonts w:hint="eastAsia" w:cs="Arial"/>
                <w:kern w:val="2"/>
              </w:rPr>
              <w:t>m</w:t>
            </w:r>
            <w:r>
              <w:rPr>
                <w:rFonts w:hint="eastAsia" w:cs="Arial"/>
                <w:kern w:val="2"/>
                <w:vertAlign w:val="superscript"/>
              </w:rPr>
              <w:t>3</w:t>
            </w:r>
            <w:r>
              <w:rPr>
                <w:rFonts w:hint="eastAsia" w:cs="Arial"/>
                <w:kern w:val="2"/>
              </w:rPr>
              <w:t>/</w:t>
            </w:r>
            <w:r>
              <w:rPr>
                <w:rFonts w:cs="Arial"/>
                <w:kern w:val="2"/>
              </w:rPr>
              <w:t>a</w:t>
            </w:r>
          </w:p>
        </w:tc>
        <w:tc>
          <w:tcPr>
            <w:tcW w:w="568" w:type="pct"/>
            <w:vAlign w:val="center"/>
          </w:tcPr>
          <w:p w14:paraId="2E08B191">
            <w:pPr>
              <w:pStyle w:val="278"/>
              <w:adjustRightInd w:val="0"/>
              <w:snapToGrid w:val="0"/>
              <w:spacing w:line="300" w:lineRule="exact"/>
              <w:rPr>
                <w:rFonts w:hint="eastAsia"/>
              </w:rPr>
            </w:pPr>
            <w:r>
              <w:rPr>
                <w:rFonts w:hint="eastAsia"/>
              </w:rPr>
              <w:t>0</w:t>
            </w:r>
          </w:p>
        </w:tc>
        <w:tc>
          <w:tcPr>
            <w:tcW w:w="1265" w:type="pct"/>
            <w:vMerge w:val="continue"/>
            <w:vAlign w:val="center"/>
          </w:tcPr>
          <w:p w14:paraId="1E90E68A">
            <w:pPr>
              <w:pStyle w:val="278"/>
              <w:adjustRightInd w:val="0"/>
              <w:snapToGrid w:val="0"/>
              <w:spacing w:line="300" w:lineRule="exact"/>
              <w:rPr>
                <w:rFonts w:hint="eastAsia"/>
              </w:rPr>
            </w:pPr>
          </w:p>
        </w:tc>
      </w:tr>
      <w:tr w14:paraId="09F439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Align w:val="center"/>
          </w:tcPr>
          <w:p w14:paraId="7DFDC82F">
            <w:pPr>
              <w:pStyle w:val="278"/>
              <w:adjustRightInd w:val="0"/>
              <w:snapToGrid w:val="0"/>
              <w:spacing w:line="300" w:lineRule="exact"/>
              <w:rPr>
                <w:rFonts w:hint="eastAsia"/>
              </w:rPr>
            </w:pPr>
            <w:r>
              <w:rPr>
                <w:rFonts w:hint="eastAsia"/>
              </w:rPr>
              <w:t>噪声</w:t>
            </w:r>
          </w:p>
        </w:tc>
        <w:tc>
          <w:tcPr>
            <w:tcW w:w="637" w:type="pct"/>
            <w:vAlign w:val="center"/>
          </w:tcPr>
          <w:p w14:paraId="0BF5C0C4">
            <w:pPr>
              <w:pStyle w:val="278"/>
              <w:adjustRightInd w:val="0"/>
              <w:snapToGrid w:val="0"/>
              <w:spacing w:line="300" w:lineRule="exact"/>
              <w:rPr>
                <w:rFonts w:hint="eastAsia" w:cs="宋体"/>
                <w:kern w:val="2"/>
              </w:rPr>
            </w:pPr>
            <w:r>
              <w:rPr>
                <w:rFonts w:hint="eastAsia"/>
              </w:rPr>
              <w:t>各类机泵及巡检车辆</w:t>
            </w:r>
          </w:p>
        </w:tc>
        <w:tc>
          <w:tcPr>
            <w:tcW w:w="825" w:type="pct"/>
            <w:vAlign w:val="center"/>
          </w:tcPr>
          <w:p w14:paraId="6DF0E542">
            <w:pPr>
              <w:pStyle w:val="278"/>
              <w:adjustRightInd w:val="0"/>
              <w:snapToGrid w:val="0"/>
              <w:spacing w:line="300" w:lineRule="exact"/>
              <w:rPr>
                <w:rFonts w:hint="eastAsia"/>
              </w:rPr>
            </w:pPr>
            <w:r>
              <w:rPr>
                <w:rFonts w:hint="eastAsia"/>
              </w:rPr>
              <w:t>噪声</w:t>
            </w:r>
          </w:p>
        </w:tc>
        <w:tc>
          <w:tcPr>
            <w:tcW w:w="731" w:type="pct"/>
            <w:vAlign w:val="center"/>
          </w:tcPr>
          <w:p w14:paraId="4D980ECF">
            <w:pPr>
              <w:pStyle w:val="278"/>
              <w:adjustRightInd w:val="0"/>
              <w:snapToGrid w:val="0"/>
              <w:spacing w:line="300" w:lineRule="exact"/>
              <w:rPr>
                <w:rFonts w:hint="eastAsia"/>
              </w:rPr>
            </w:pPr>
            <w:r>
              <w:rPr>
                <w:rFonts w:hint="eastAsia"/>
              </w:rPr>
              <w:t>连续等效A声级</w:t>
            </w:r>
          </w:p>
        </w:tc>
        <w:tc>
          <w:tcPr>
            <w:tcW w:w="649" w:type="pct"/>
            <w:vAlign w:val="center"/>
          </w:tcPr>
          <w:p w14:paraId="5D7D0286">
            <w:pPr>
              <w:pStyle w:val="278"/>
              <w:adjustRightInd w:val="0"/>
              <w:snapToGrid w:val="0"/>
              <w:spacing w:line="300" w:lineRule="exact"/>
              <w:rPr>
                <w:rFonts w:hint="eastAsia"/>
              </w:rPr>
            </w:pPr>
            <w:r>
              <w:rPr>
                <w:rFonts w:hint="eastAsia"/>
              </w:rPr>
              <w:t>/</w:t>
            </w:r>
          </w:p>
        </w:tc>
        <w:tc>
          <w:tcPr>
            <w:tcW w:w="568" w:type="pct"/>
            <w:vAlign w:val="center"/>
          </w:tcPr>
          <w:p w14:paraId="1FD6BB07">
            <w:pPr>
              <w:pStyle w:val="278"/>
              <w:adjustRightInd w:val="0"/>
              <w:snapToGrid w:val="0"/>
              <w:spacing w:line="300" w:lineRule="exact"/>
              <w:rPr>
                <w:rFonts w:hint="eastAsia"/>
              </w:rPr>
            </w:pPr>
            <w:r>
              <w:rPr>
                <w:rFonts w:hint="eastAsia"/>
              </w:rPr>
              <w:t>/</w:t>
            </w:r>
          </w:p>
        </w:tc>
        <w:tc>
          <w:tcPr>
            <w:tcW w:w="1265" w:type="pct"/>
            <w:vAlign w:val="center"/>
          </w:tcPr>
          <w:p w14:paraId="0BD1C80C">
            <w:pPr>
              <w:pStyle w:val="278"/>
              <w:adjustRightInd w:val="0"/>
              <w:snapToGrid w:val="0"/>
              <w:spacing w:line="300" w:lineRule="exact"/>
              <w:rPr>
                <w:rFonts w:hint="eastAsia"/>
              </w:rPr>
            </w:pPr>
            <w:r>
              <w:rPr>
                <w:rFonts w:hint="eastAsia"/>
              </w:rPr>
              <w:t>采用低噪声设备、基础减震</w:t>
            </w:r>
          </w:p>
        </w:tc>
      </w:tr>
      <w:tr w14:paraId="3F73AD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3FDD7850">
            <w:pPr>
              <w:pStyle w:val="278"/>
              <w:adjustRightInd w:val="0"/>
              <w:snapToGrid w:val="0"/>
              <w:spacing w:line="300" w:lineRule="exact"/>
              <w:rPr>
                <w:rFonts w:hint="eastAsia"/>
              </w:rPr>
            </w:pPr>
            <w:r>
              <w:rPr>
                <w:rFonts w:hint="eastAsia"/>
              </w:rPr>
              <w:t>固体废物</w:t>
            </w:r>
          </w:p>
        </w:tc>
        <w:tc>
          <w:tcPr>
            <w:tcW w:w="637" w:type="pct"/>
            <w:vAlign w:val="center"/>
          </w:tcPr>
          <w:p w14:paraId="2E5D5F8B">
            <w:pPr>
              <w:pStyle w:val="278"/>
              <w:adjustRightInd w:val="0"/>
              <w:snapToGrid w:val="0"/>
              <w:spacing w:line="300" w:lineRule="exact"/>
              <w:rPr>
                <w:rFonts w:hint="eastAsia"/>
              </w:rPr>
            </w:pPr>
            <w:r>
              <w:rPr>
                <w:rFonts w:hint="eastAsia"/>
              </w:rPr>
              <w:t>清罐</w:t>
            </w:r>
          </w:p>
        </w:tc>
        <w:tc>
          <w:tcPr>
            <w:tcW w:w="825" w:type="pct"/>
            <w:vAlign w:val="center"/>
          </w:tcPr>
          <w:p w14:paraId="4F27201A">
            <w:pPr>
              <w:pStyle w:val="278"/>
              <w:adjustRightInd w:val="0"/>
              <w:snapToGrid w:val="0"/>
              <w:spacing w:line="300" w:lineRule="exact"/>
              <w:rPr>
                <w:rFonts w:hint="eastAsia"/>
              </w:rPr>
            </w:pPr>
            <w:bookmarkStart w:id="348" w:name="OLE_LINK25"/>
            <w:r>
              <w:rPr>
                <w:rFonts w:hint="eastAsia"/>
              </w:rPr>
              <w:t>清罐底泥</w:t>
            </w:r>
            <w:bookmarkEnd w:id="348"/>
          </w:p>
        </w:tc>
        <w:tc>
          <w:tcPr>
            <w:tcW w:w="731" w:type="pct"/>
            <w:vAlign w:val="center"/>
          </w:tcPr>
          <w:p w14:paraId="2B075FA9">
            <w:pPr>
              <w:pStyle w:val="278"/>
              <w:adjustRightInd w:val="0"/>
              <w:snapToGrid w:val="0"/>
              <w:spacing w:line="300" w:lineRule="exact"/>
              <w:rPr>
                <w:rFonts w:hint="eastAsia"/>
              </w:rPr>
            </w:pPr>
            <w:r>
              <w:rPr>
                <w:rFonts w:hint="eastAsia"/>
              </w:rPr>
              <w:t>清罐底泥</w:t>
            </w:r>
          </w:p>
        </w:tc>
        <w:tc>
          <w:tcPr>
            <w:tcW w:w="649" w:type="pct"/>
            <w:vAlign w:val="center"/>
          </w:tcPr>
          <w:p w14:paraId="54EDA48B">
            <w:pPr>
              <w:pStyle w:val="278"/>
              <w:adjustRightInd w:val="0"/>
              <w:snapToGrid w:val="0"/>
              <w:spacing w:line="300" w:lineRule="exact"/>
              <w:rPr>
                <w:rFonts w:hint="eastAsia"/>
              </w:rPr>
            </w:pPr>
            <w:bookmarkStart w:id="349" w:name="OLE_LINK411"/>
            <w:r>
              <w:rPr>
                <w:rFonts w:hint="eastAsia"/>
              </w:rPr>
              <w:t>245t/a</w:t>
            </w:r>
            <w:bookmarkEnd w:id="349"/>
          </w:p>
        </w:tc>
        <w:tc>
          <w:tcPr>
            <w:tcW w:w="568" w:type="pct"/>
            <w:vAlign w:val="center"/>
          </w:tcPr>
          <w:p w14:paraId="3BCE53A5">
            <w:pPr>
              <w:pStyle w:val="278"/>
              <w:adjustRightInd w:val="0"/>
              <w:snapToGrid w:val="0"/>
              <w:spacing w:line="300" w:lineRule="exact"/>
              <w:rPr>
                <w:rFonts w:hint="eastAsia"/>
              </w:rPr>
            </w:pPr>
            <w:r>
              <w:rPr>
                <w:rFonts w:hint="eastAsia"/>
              </w:rPr>
              <w:t>0</w:t>
            </w:r>
          </w:p>
        </w:tc>
        <w:tc>
          <w:tcPr>
            <w:tcW w:w="1265" w:type="pct"/>
            <w:vMerge w:val="restart"/>
            <w:vAlign w:val="center"/>
          </w:tcPr>
          <w:p w14:paraId="756BB109">
            <w:pPr>
              <w:pStyle w:val="278"/>
              <w:adjustRightInd w:val="0"/>
              <w:snapToGrid w:val="0"/>
              <w:spacing w:line="300" w:lineRule="exact"/>
              <w:rPr>
                <w:rFonts w:hint="eastAsia"/>
              </w:rPr>
            </w:pPr>
            <w:r>
              <w:rPr>
                <w:rFonts w:hint="eastAsia"/>
              </w:rPr>
              <w:t>集中收集后交由有相应危险废物处理资质的单位回收处置</w:t>
            </w:r>
          </w:p>
        </w:tc>
      </w:tr>
      <w:tr w14:paraId="213A78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7946D047">
            <w:pPr>
              <w:pStyle w:val="278"/>
              <w:adjustRightInd w:val="0"/>
              <w:snapToGrid w:val="0"/>
              <w:spacing w:line="300" w:lineRule="exact"/>
              <w:rPr>
                <w:rFonts w:hint="eastAsia"/>
              </w:rPr>
            </w:pPr>
          </w:p>
        </w:tc>
        <w:tc>
          <w:tcPr>
            <w:tcW w:w="637" w:type="pct"/>
            <w:vAlign w:val="center"/>
          </w:tcPr>
          <w:p w14:paraId="2CB1326C">
            <w:pPr>
              <w:pStyle w:val="278"/>
              <w:adjustRightInd w:val="0"/>
              <w:snapToGrid w:val="0"/>
              <w:spacing w:line="300" w:lineRule="exact"/>
              <w:rPr>
                <w:rFonts w:hint="eastAsia"/>
              </w:rPr>
            </w:pPr>
            <w:r>
              <w:rPr>
                <w:rFonts w:hint="eastAsia"/>
              </w:rPr>
              <w:t>设备检维修</w:t>
            </w:r>
          </w:p>
        </w:tc>
        <w:tc>
          <w:tcPr>
            <w:tcW w:w="825" w:type="pct"/>
            <w:vAlign w:val="center"/>
          </w:tcPr>
          <w:p w14:paraId="24E8322D">
            <w:pPr>
              <w:pStyle w:val="278"/>
              <w:adjustRightInd w:val="0"/>
              <w:snapToGrid w:val="0"/>
              <w:spacing w:line="300" w:lineRule="exact"/>
              <w:rPr>
                <w:rFonts w:hint="eastAsia"/>
              </w:rPr>
            </w:pPr>
            <w:r>
              <w:rPr>
                <w:rFonts w:hint="eastAsia"/>
              </w:rPr>
              <w:t>废润滑油</w:t>
            </w:r>
          </w:p>
        </w:tc>
        <w:tc>
          <w:tcPr>
            <w:tcW w:w="731" w:type="pct"/>
            <w:vAlign w:val="center"/>
          </w:tcPr>
          <w:p w14:paraId="7AD9B31F">
            <w:pPr>
              <w:pStyle w:val="278"/>
              <w:adjustRightInd w:val="0"/>
              <w:snapToGrid w:val="0"/>
              <w:spacing w:line="300" w:lineRule="exact"/>
              <w:rPr>
                <w:rFonts w:hint="eastAsia"/>
              </w:rPr>
            </w:pPr>
            <w:r>
              <w:rPr>
                <w:rFonts w:hint="eastAsia"/>
              </w:rPr>
              <w:t>废润滑油</w:t>
            </w:r>
          </w:p>
        </w:tc>
        <w:tc>
          <w:tcPr>
            <w:tcW w:w="649" w:type="pct"/>
            <w:vAlign w:val="center"/>
          </w:tcPr>
          <w:p w14:paraId="0CB9B71B">
            <w:pPr>
              <w:pStyle w:val="278"/>
              <w:adjustRightInd w:val="0"/>
              <w:snapToGrid w:val="0"/>
              <w:spacing w:line="300" w:lineRule="exact"/>
              <w:rPr>
                <w:rFonts w:hint="eastAsia"/>
              </w:rPr>
            </w:pPr>
            <w:r>
              <w:rPr>
                <w:rFonts w:hint="eastAsia"/>
              </w:rPr>
              <w:t>0.25t</w:t>
            </w:r>
            <w:r>
              <w:t>/a</w:t>
            </w:r>
          </w:p>
        </w:tc>
        <w:tc>
          <w:tcPr>
            <w:tcW w:w="568" w:type="pct"/>
            <w:vAlign w:val="center"/>
          </w:tcPr>
          <w:p w14:paraId="4BB2509D">
            <w:pPr>
              <w:pStyle w:val="278"/>
              <w:adjustRightInd w:val="0"/>
              <w:snapToGrid w:val="0"/>
              <w:spacing w:line="300" w:lineRule="exact"/>
              <w:rPr>
                <w:rFonts w:hint="eastAsia"/>
              </w:rPr>
            </w:pPr>
            <w:r>
              <w:rPr>
                <w:rFonts w:hint="eastAsia"/>
              </w:rPr>
              <w:t>0</w:t>
            </w:r>
          </w:p>
        </w:tc>
        <w:tc>
          <w:tcPr>
            <w:tcW w:w="1265" w:type="pct"/>
            <w:vMerge w:val="continue"/>
            <w:vAlign w:val="center"/>
          </w:tcPr>
          <w:p w14:paraId="12CB6DA8">
            <w:pPr>
              <w:pStyle w:val="278"/>
              <w:adjustRightInd w:val="0"/>
              <w:snapToGrid w:val="0"/>
              <w:spacing w:line="300" w:lineRule="exact"/>
              <w:rPr>
                <w:rFonts w:hint="eastAsia"/>
              </w:rPr>
            </w:pPr>
          </w:p>
        </w:tc>
      </w:tr>
      <w:tr w14:paraId="022E19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5B31C373">
            <w:pPr>
              <w:pStyle w:val="278"/>
              <w:adjustRightInd w:val="0"/>
              <w:snapToGrid w:val="0"/>
              <w:spacing w:line="300" w:lineRule="exact"/>
              <w:rPr>
                <w:rFonts w:hint="eastAsia"/>
              </w:rPr>
            </w:pPr>
          </w:p>
        </w:tc>
        <w:tc>
          <w:tcPr>
            <w:tcW w:w="637" w:type="pct"/>
            <w:vAlign w:val="center"/>
          </w:tcPr>
          <w:p w14:paraId="1F23F742">
            <w:pPr>
              <w:pStyle w:val="278"/>
              <w:adjustRightInd w:val="0"/>
              <w:snapToGrid w:val="0"/>
              <w:spacing w:line="300" w:lineRule="exact"/>
              <w:rPr>
                <w:rFonts w:hint="eastAsia"/>
              </w:rPr>
            </w:pPr>
            <w:r>
              <w:rPr>
                <w:rFonts w:hint="eastAsia"/>
              </w:rPr>
              <w:t>设备检维修</w:t>
            </w:r>
          </w:p>
        </w:tc>
        <w:tc>
          <w:tcPr>
            <w:tcW w:w="825" w:type="pct"/>
            <w:vAlign w:val="center"/>
          </w:tcPr>
          <w:p w14:paraId="41D168B5">
            <w:pPr>
              <w:pStyle w:val="278"/>
              <w:adjustRightInd w:val="0"/>
              <w:snapToGrid w:val="0"/>
              <w:spacing w:line="300" w:lineRule="exact"/>
              <w:rPr>
                <w:rFonts w:hint="eastAsia"/>
              </w:rPr>
            </w:pPr>
            <w:r>
              <w:rPr>
                <w:rFonts w:hint="eastAsia"/>
              </w:rPr>
              <w:t>废润滑油桶</w:t>
            </w:r>
          </w:p>
        </w:tc>
        <w:tc>
          <w:tcPr>
            <w:tcW w:w="731" w:type="pct"/>
            <w:vAlign w:val="center"/>
          </w:tcPr>
          <w:p w14:paraId="19AAB768">
            <w:pPr>
              <w:pStyle w:val="278"/>
              <w:adjustRightInd w:val="0"/>
              <w:snapToGrid w:val="0"/>
              <w:spacing w:line="300" w:lineRule="exact"/>
              <w:rPr>
                <w:rFonts w:hint="eastAsia"/>
              </w:rPr>
            </w:pPr>
            <w:r>
              <w:rPr>
                <w:rFonts w:hint="eastAsia"/>
              </w:rPr>
              <w:t>废润滑油桶</w:t>
            </w:r>
          </w:p>
        </w:tc>
        <w:tc>
          <w:tcPr>
            <w:tcW w:w="649" w:type="pct"/>
            <w:vAlign w:val="center"/>
          </w:tcPr>
          <w:p w14:paraId="454AC77B">
            <w:pPr>
              <w:pStyle w:val="278"/>
              <w:adjustRightInd w:val="0"/>
              <w:snapToGrid w:val="0"/>
              <w:spacing w:line="300" w:lineRule="exact"/>
              <w:rPr>
                <w:rFonts w:hint="eastAsia"/>
              </w:rPr>
            </w:pPr>
            <w:r>
              <w:rPr>
                <w:rFonts w:hint="eastAsia"/>
              </w:rPr>
              <w:t>0.02t</w:t>
            </w:r>
            <w:r>
              <w:t>/a</w:t>
            </w:r>
          </w:p>
        </w:tc>
        <w:tc>
          <w:tcPr>
            <w:tcW w:w="568" w:type="pct"/>
            <w:vAlign w:val="center"/>
          </w:tcPr>
          <w:p w14:paraId="60D38416">
            <w:pPr>
              <w:pStyle w:val="278"/>
              <w:adjustRightInd w:val="0"/>
              <w:snapToGrid w:val="0"/>
              <w:spacing w:line="300" w:lineRule="exact"/>
              <w:rPr>
                <w:rFonts w:hint="eastAsia"/>
              </w:rPr>
            </w:pPr>
            <w:r>
              <w:rPr>
                <w:rFonts w:hint="eastAsia"/>
              </w:rPr>
              <w:t>0</w:t>
            </w:r>
          </w:p>
        </w:tc>
        <w:tc>
          <w:tcPr>
            <w:tcW w:w="1265" w:type="pct"/>
            <w:vMerge w:val="continue"/>
            <w:vAlign w:val="center"/>
          </w:tcPr>
          <w:p w14:paraId="2D7F27FE">
            <w:pPr>
              <w:pStyle w:val="278"/>
              <w:adjustRightInd w:val="0"/>
              <w:snapToGrid w:val="0"/>
              <w:spacing w:line="300" w:lineRule="exact"/>
              <w:rPr>
                <w:rFonts w:hint="eastAsia"/>
              </w:rPr>
            </w:pPr>
          </w:p>
        </w:tc>
      </w:tr>
      <w:tr w14:paraId="2970A5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3F84E5D4">
            <w:pPr>
              <w:pStyle w:val="278"/>
              <w:adjustRightInd w:val="0"/>
              <w:snapToGrid w:val="0"/>
              <w:spacing w:line="300" w:lineRule="exact"/>
              <w:rPr>
                <w:rFonts w:hint="eastAsia"/>
              </w:rPr>
            </w:pPr>
          </w:p>
        </w:tc>
        <w:tc>
          <w:tcPr>
            <w:tcW w:w="637" w:type="pct"/>
            <w:vAlign w:val="center"/>
          </w:tcPr>
          <w:p w14:paraId="6871B939">
            <w:pPr>
              <w:pStyle w:val="278"/>
              <w:adjustRightInd w:val="0"/>
              <w:snapToGrid w:val="0"/>
              <w:spacing w:line="300" w:lineRule="exact"/>
              <w:rPr>
                <w:rFonts w:hint="eastAsia"/>
              </w:rPr>
            </w:pPr>
            <w:r>
              <w:rPr>
                <w:rFonts w:hint="eastAsia"/>
              </w:rPr>
              <w:t>设备检维修</w:t>
            </w:r>
          </w:p>
        </w:tc>
        <w:tc>
          <w:tcPr>
            <w:tcW w:w="825" w:type="pct"/>
            <w:vAlign w:val="center"/>
          </w:tcPr>
          <w:p w14:paraId="6DDBBD49">
            <w:pPr>
              <w:pStyle w:val="278"/>
              <w:adjustRightInd w:val="0"/>
              <w:snapToGrid w:val="0"/>
              <w:spacing w:line="300" w:lineRule="exact"/>
              <w:rPr>
                <w:rFonts w:hint="eastAsia"/>
              </w:rPr>
            </w:pPr>
            <w:r>
              <w:rPr>
                <w:rFonts w:hint="eastAsia"/>
              </w:rPr>
              <w:t>废含油抹布、劳保用品</w:t>
            </w:r>
          </w:p>
        </w:tc>
        <w:tc>
          <w:tcPr>
            <w:tcW w:w="731" w:type="pct"/>
            <w:vAlign w:val="center"/>
          </w:tcPr>
          <w:p w14:paraId="21F983D8">
            <w:pPr>
              <w:pStyle w:val="278"/>
              <w:adjustRightInd w:val="0"/>
              <w:snapToGrid w:val="0"/>
              <w:spacing w:line="300" w:lineRule="exact"/>
              <w:rPr>
                <w:rFonts w:hint="eastAsia"/>
              </w:rPr>
            </w:pPr>
            <w:r>
              <w:rPr>
                <w:rFonts w:hint="eastAsia"/>
              </w:rPr>
              <w:t>废含油抹布、劳保用品</w:t>
            </w:r>
          </w:p>
        </w:tc>
        <w:tc>
          <w:tcPr>
            <w:tcW w:w="649" w:type="pct"/>
            <w:vAlign w:val="center"/>
          </w:tcPr>
          <w:p w14:paraId="7C43C5B7">
            <w:pPr>
              <w:pStyle w:val="278"/>
              <w:adjustRightInd w:val="0"/>
              <w:snapToGrid w:val="0"/>
              <w:spacing w:line="300" w:lineRule="exact"/>
              <w:rPr>
                <w:rFonts w:hint="eastAsia"/>
              </w:rPr>
            </w:pPr>
            <w:r>
              <w:rPr>
                <w:rFonts w:hint="eastAsia"/>
              </w:rPr>
              <w:t>0.01t</w:t>
            </w:r>
            <w:r>
              <w:t>/a</w:t>
            </w:r>
          </w:p>
        </w:tc>
        <w:tc>
          <w:tcPr>
            <w:tcW w:w="568" w:type="pct"/>
            <w:vAlign w:val="center"/>
          </w:tcPr>
          <w:p w14:paraId="4F04EBED">
            <w:pPr>
              <w:pStyle w:val="278"/>
              <w:adjustRightInd w:val="0"/>
              <w:snapToGrid w:val="0"/>
              <w:spacing w:line="300" w:lineRule="exact"/>
              <w:rPr>
                <w:rFonts w:hint="eastAsia"/>
              </w:rPr>
            </w:pPr>
            <w:r>
              <w:rPr>
                <w:rFonts w:hint="eastAsia"/>
              </w:rPr>
              <w:t>0</w:t>
            </w:r>
          </w:p>
        </w:tc>
        <w:tc>
          <w:tcPr>
            <w:tcW w:w="1265" w:type="pct"/>
            <w:vMerge w:val="continue"/>
            <w:vAlign w:val="center"/>
          </w:tcPr>
          <w:p w14:paraId="0ADBB30D">
            <w:pPr>
              <w:pStyle w:val="278"/>
              <w:adjustRightInd w:val="0"/>
              <w:snapToGrid w:val="0"/>
              <w:spacing w:line="300" w:lineRule="exact"/>
              <w:rPr>
                <w:rFonts w:hint="eastAsia"/>
              </w:rPr>
            </w:pPr>
          </w:p>
        </w:tc>
      </w:tr>
      <w:tr w14:paraId="63D842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22A9187B">
            <w:pPr>
              <w:pStyle w:val="278"/>
              <w:adjustRightInd w:val="0"/>
              <w:snapToGrid w:val="0"/>
              <w:spacing w:line="300" w:lineRule="exact"/>
              <w:rPr>
                <w:rFonts w:hint="eastAsia"/>
              </w:rPr>
            </w:pPr>
          </w:p>
        </w:tc>
        <w:tc>
          <w:tcPr>
            <w:tcW w:w="637" w:type="pct"/>
            <w:vAlign w:val="center"/>
          </w:tcPr>
          <w:p w14:paraId="4C1CFD60">
            <w:pPr>
              <w:pStyle w:val="278"/>
              <w:adjustRightInd w:val="0"/>
              <w:snapToGrid w:val="0"/>
              <w:spacing w:line="300" w:lineRule="exact"/>
              <w:rPr>
                <w:rFonts w:hint="eastAsia"/>
              </w:rPr>
            </w:pPr>
            <w:r>
              <w:rPr>
                <w:rFonts w:hint="eastAsia"/>
              </w:rPr>
              <w:t>井下作业</w:t>
            </w:r>
          </w:p>
        </w:tc>
        <w:tc>
          <w:tcPr>
            <w:tcW w:w="825" w:type="pct"/>
            <w:vAlign w:val="center"/>
          </w:tcPr>
          <w:p w14:paraId="0F312BC9">
            <w:pPr>
              <w:pStyle w:val="278"/>
              <w:adjustRightInd w:val="0"/>
              <w:snapToGrid w:val="0"/>
              <w:spacing w:line="300" w:lineRule="exact"/>
              <w:rPr>
                <w:rFonts w:hint="eastAsia"/>
              </w:rPr>
            </w:pPr>
            <w:r>
              <w:rPr>
                <w:rFonts w:hint="eastAsia"/>
              </w:rPr>
              <w:t>沾油废防渗材料</w:t>
            </w:r>
          </w:p>
        </w:tc>
        <w:tc>
          <w:tcPr>
            <w:tcW w:w="731" w:type="pct"/>
            <w:vAlign w:val="center"/>
          </w:tcPr>
          <w:p w14:paraId="6C6984AD">
            <w:pPr>
              <w:pStyle w:val="278"/>
              <w:adjustRightInd w:val="0"/>
              <w:snapToGrid w:val="0"/>
              <w:spacing w:line="300" w:lineRule="exact"/>
              <w:rPr>
                <w:rFonts w:hint="eastAsia"/>
              </w:rPr>
            </w:pPr>
            <w:r>
              <w:rPr>
                <w:rFonts w:hint="eastAsia"/>
              </w:rPr>
              <w:t>沾油废防渗材料</w:t>
            </w:r>
          </w:p>
        </w:tc>
        <w:tc>
          <w:tcPr>
            <w:tcW w:w="649" w:type="pct"/>
            <w:vAlign w:val="center"/>
          </w:tcPr>
          <w:p w14:paraId="2713C5B4">
            <w:pPr>
              <w:pStyle w:val="278"/>
              <w:adjustRightInd w:val="0"/>
              <w:snapToGrid w:val="0"/>
              <w:spacing w:line="300" w:lineRule="exact"/>
              <w:rPr>
                <w:rFonts w:hint="eastAsia"/>
              </w:rPr>
            </w:pPr>
            <w:r>
              <w:rPr>
                <w:rFonts w:hint="eastAsia"/>
              </w:rPr>
              <w:t>0.35t</w:t>
            </w:r>
            <w:r>
              <w:t>/a</w:t>
            </w:r>
          </w:p>
        </w:tc>
        <w:tc>
          <w:tcPr>
            <w:tcW w:w="568" w:type="pct"/>
            <w:vAlign w:val="center"/>
          </w:tcPr>
          <w:p w14:paraId="3C9450C0">
            <w:pPr>
              <w:pStyle w:val="278"/>
              <w:adjustRightInd w:val="0"/>
              <w:snapToGrid w:val="0"/>
              <w:spacing w:line="300" w:lineRule="exact"/>
              <w:rPr>
                <w:rFonts w:hint="eastAsia"/>
              </w:rPr>
            </w:pPr>
            <w:r>
              <w:rPr>
                <w:rFonts w:hint="eastAsia"/>
              </w:rPr>
              <w:t>0</w:t>
            </w:r>
          </w:p>
        </w:tc>
        <w:tc>
          <w:tcPr>
            <w:tcW w:w="1265" w:type="pct"/>
            <w:vMerge w:val="continue"/>
            <w:vAlign w:val="center"/>
          </w:tcPr>
          <w:p w14:paraId="20EA9EBB">
            <w:pPr>
              <w:pStyle w:val="278"/>
              <w:adjustRightInd w:val="0"/>
              <w:snapToGrid w:val="0"/>
              <w:spacing w:line="300" w:lineRule="exact"/>
              <w:rPr>
                <w:rFonts w:hint="eastAsia"/>
              </w:rPr>
            </w:pPr>
          </w:p>
        </w:tc>
      </w:tr>
      <w:tr w14:paraId="7F9A05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3D994373">
            <w:pPr>
              <w:pStyle w:val="278"/>
              <w:adjustRightInd w:val="0"/>
              <w:snapToGrid w:val="0"/>
              <w:spacing w:line="300" w:lineRule="exact"/>
              <w:rPr>
                <w:rFonts w:hint="eastAsia"/>
              </w:rPr>
            </w:pPr>
          </w:p>
        </w:tc>
        <w:tc>
          <w:tcPr>
            <w:tcW w:w="637" w:type="pct"/>
            <w:vAlign w:val="center"/>
          </w:tcPr>
          <w:p w14:paraId="3BBD5B16">
            <w:pPr>
              <w:pStyle w:val="278"/>
              <w:adjustRightInd w:val="0"/>
              <w:snapToGrid w:val="0"/>
              <w:spacing w:line="300" w:lineRule="exact"/>
              <w:rPr>
                <w:rFonts w:hint="eastAsia"/>
              </w:rPr>
            </w:pPr>
            <w:r>
              <w:rPr>
                <w:rFonts w:hint="eastAsia"/>
              </w:rPr>
              <w:t>脱硫橇</w:t>
            </w:r>
          </w:p>
        </w:tc>
        <w:tc>
          <w:tcPr>
            <w:tcW w:w="825" w:type="pct"/>
            <w:vAlign w:val="center"/>
          </w:tcPr>
          <w:p w14:paraId="6A5C3055">
            <w:pPr>
              <w:pStyle w:val="278"/>
              <w:adjustRightInd w:val="0"/>
              <w:snapToGrid w:val="0"/>
              <w:spacing w:line="300" w:lineRule="exact"/>
              <w:rPr>
                <w:rFonts w:hint="eastAsia"/>
              </w:rPr>
            </w:pPr>
            <w:r>
              <w:rPr>
                <w:rFonts w:hint="eastAsia"/>
              </w:rPr>
              <w:t>废脱硫剂包装物</w:t>
            </w:r>
          </w:p>
        </w:tc>
        <w:tc>
          <w:tcPr>
            <w:tcW w:w="731" w:type="pct"/>
            <w:vAlign w:val="center"/>
          </w:tcPr>
          <w:p w14:paraId="6DB728CF">
            <w:pPr>
              <w:pStyle w:val="278"/>
              <w:adjustRightInd w:val="0"/>
              <w:snapToGrid w:val="0"/>
              <w:spacing w:line="300" w:lineRule="exact"/>
              <w:rPr>
                <w:rFonts w:hint="eastAsia"/>
              </w:rPr>
            </w:pPr>
            <w:r>
              <w:rPr>
                <w:rFonts w:hint="eastAsia"/>
              </w:rPr>
              <w:t>废脱硫剂包装物</w:t>
            </w:r>
          </w:p>
        </w:tc>
        <w:tc>
          <w:tcPr>
            <w:tcW w:w="649" w:type="pct"/>
            <w:vAlign w:val="center"/>
          </w:tcPr>
          <w:p w14:paraId="26A577AD">
            <w:pPr>
              <w:pStyle w:val="278"/>
              <w:adjustRightInd w:val="0"/>
              <w:snapToGrid w:val="0"/>
              <w:spacing w:line="300" w:lineRule="exact"/>
              <w:rPr>
                <w:rFonts w:hint="eastAsia"/>
              </w:rPr>
            </w:pPr>
            <w:r>
              <w:rPr>
                <w:rFonts w:hint="eastAsia"/>
              </w:rPr>
              <w:t>0.1t/a</w:t>
            </w:r>
          </w:p>
        </w:tc>
        <w:tc>
          <w:tcPr>
            <w:tcW w:w="568" w:type="pct"/>
            <w:vAlign w:val="center"/>
          </w:tcPr>
          <w:p w14:paraId="34ECDFAC">
            <w:pPr>
              <w:pStyle w:val="278"/>
              <w:adjustRightInd w:val="0"/>
              <w:snapToGrid w:val="0"/>
              <w:spacing w:line="300" w:lineRule="exact"/>
              <w:rPr>
                <w:rFonts w:hint="eastAsia"/>
              </w:rPr>
            </w:pPr>
            <w:r>
              <w:rPr>
                <w:rFonts w:hint="eastAsia"/>
              </w:rPr>
              <w:t>0</w:t>
            </w:r>
          </w:p>
        </w:tc>
        <w:tc>
          <w:tcPr>
            <w:tcW w:w="1265" w:type="pct"/>
            <w:vAlign w:val="center"/>
          </w:tcPr>
          <w:p w14:paraId="7E4D8952">
            <w:pPr>
              <w:pStyle w:val="278"/>
              <w:adjustRightInd w:val="0"/>
              <w:snapToGrid w:val="0"/>
              <w:spacing w:line="300" w:lineRule="exact"/>
              <w:rPr>
                <w:rFonts w:hint="eastAsia"/>
              </w:rPr>
            </w:pPr>
            <w:r>
              <w:rPr>
                <w:rFonts w:hint="eastAsia"/>
              </w:rPr>
              <w:t>厂家回收利用</w:t>
            </w:r>
          </w:p>
        </w:tc>
      </w:tr>
      <w:bookmarkEnd w:id="264"/>
      <w:bookmarkEnd w:id="265"/>
      <w:bookmarkEnd w:id="266"/>
      <w:bookmarkEnd w:id="335"/>
      <w:bookmarkEnd w:id="336"/>
      <w:bookmarkEnd w:id="337"/>
      <w:bookmarkEnd w:id="340"/>
    </w:tbl>
    <w:p w14:paraId="71CD400D">
      <w:pPr>
        <w:pStyle w:val="109"/>
        <w:rPr>
          <w:rFonts w:hint="eastAsia"/>
        </w:rPr>
      </w:pPr>
      <w:bookmarkStart w:id="350" w:name="_Toc475624471"/>
      <w:bookmarkStart w:id="351" w:name="_Hlk17367467"/>
    </w:p>
    <w:p w14:paraId="5AC14A92">
      <w:pPr>
        <w:adjustRightInd w:val="0"/>
        <w:snapToGrid w:val="0"/>
        <w:spacing w:line="500" w:lineRule="exact"/>
        <w:jc w:val="center"/>
        <w:textAlignment w:val="baseline"/>
        <w:rPr>
          <w:rFonts w:hint="eastAsia" w:ascii="黑体" w:hAnsi="黑体" w:eastAsia="黑体"/>
          <w:kern w:val="0"/>
          <w:szCs w:val="21"/>
        </w:rPr>
      </w:pPr>
      <w:r>
        <w:rPr>
          <w:rFonts w:hint="eastAsia" w:ascii="黑体" w:hAnsi="黑体" w:eastAsia="黑体"/>
          <w:kern w:val="0"/>
          <w:szCs w:val="21"/>
        </w:rPr>
        <w:t>表</w:t>
      </w:r>
      <w:r>
        <w:rPr>
          <w:rFonts w:ascii="黑体" w:hAnsi="黑体" w:eastAsia="黑体"/>
          <w:kern w:val="0"/>
          <w:szCs w:val="21"/>
        </w:rPr>
        <w:t>3.3</w:t>
      </w:r>
      <w:r>
        <w:rPr>
          <w:rFonts w:hint="eastAsia" w:ascii="黑体" w:hAnsi="黑体" w:eastAsia="黑体"/>
          <w:kern w:val="0"/>
          <w:szCs w:val="21"/>
        </w:rPr>
        <w:t>-21</w:t>
      </w:r>
      <w:r>
        <w:rPr>
          <w:rFonts w:ascii="黑体" w:hAnsi="黑体" w:eastAsia="黑体"/>
          <w:kern w:val="0"/>
          <w:szCs w:val="21"/>
        </w:rPr>
        <w:t xml:space="preserve"> </w:t>
      </w:r>
      <w:r>
        <w:rPr>
          <w:rFonts w:hint="eastAsia" w:ascii="黑体" w:hAnsi="黑体" w:eastAsia="黑体"/>
          <w:kern w:val="0"/>
          <w:szCs w:val="21"/>
        </w:rPr>
        <w:t>二期工程运营期污染物产生及排放一览表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24"/>
        <w:gridCol w:w="1812"/>
        <w:gridCol w:w="2346"/>
        <w:gridCol w:w="2079"/>
        <w:gridCol w:w="1845"/>
        <w:gridCol w:w="1616"/>
        <w:gridCol w:w="3597"/>
      </w:tblGrid>
      <w:tr w14:paraId="0C4E21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Align w:val="center"/>
          </w:tcPr>
          <w:p w14:paraId="4456BBE6">
            <w:pPr>
              <w:pStyle w:val="278"/>
              <w:adjustRightInd w:val="0"/>
              <w:snapToGrid w:val="0"/>
              <w:spacing w:line="300" w:lineRule="exact"/>
              <w:rPr>
                <w:rFonts w:hint="eastAsia"/>
              </w:rPr>
            </w:pPr>
            <w:r>
              <w:rPr>
                <w:rFonts w:hint="eastAsia"/>
              </w:rPr>
              <w:t>类别</w:t>
            </w:r>
          </w:p>
        </w:tc>
        <w:tc>
          <w:tcPr>
            <w:tcW w:w="637" w:type="pct"/>
            <w:vAlign w:val="center"/>
          </w:tcPr>
          <w:p w14:paraId="4E733FDE">
            <w:pPr>
              <w:pStyle w:val="278"/>
              <w:adjustRightInd w:val="0"/>
              <w:snapToGrid w:val="0"/>
              <w:spacing w:line="300" w:lineRule="exact"/>
              <w:rPr>
                <w:rFonts w:hint="eastAsia"/>
              </w:rPr>
            </w:pPr>
            <w:r>
              <w:rPr>
                <w:rFonts w:hint="eastAsia"/>
              </w:rPr>
              <w:t>污染源</w:t>
            </w:r>
          </w:p>
        </w:tc>
        <w:tc>
          <w:tcPr>
            <w:tcW w:w="825" w:type="pct"/>
            <w:vAlign w:val="center"/>
          </w:tcPr>
          <w:p w14:paraId="36661545">
            <w:pPr>
              <w:pStyle w:val="278"/>
              <w:adjustRightInd w:val="0"/>
              <w:snapToGrid w:val="0"/>
              <w:spacing w:line="300" w:lineRule="exact"/>
              <w:rPr>
                <w:rFonts w:hint="eastAsia"/>
              </w:rPr>
            </w:pPr>
            <w:r>
              <w:rPr>
                <w:rFonts w:hint="eastAsia"/>
              </w:rPr>
              <w:t>污染物名称</w:t>
            </w:r>
          </w:p>
        </w:tc>
        <w:tc>
          <w:tcPr>
            <w:tcW w:w="731" w:type="pct"/>
            <w:vAlign w:val="center"/>
          </w:tcPr>
          <w:p w14:paraId="054AC7F2">
            <w:pPr>
              <w:pStyle w:val="278"/>
              <w:adjustRightInd w:val="0"/>
              <w:snapToGrid w:val="0"/>
              <w:spacing w:line="300" w:lineRule="exact"/>
              <w:rPr>
                <w:rFonts w:hint="eastAsia"/>
              </w:rPr>
            </w:pPr>
            <w:r>
              <w:rPr>
                <w:rFonts w:hint="eastAsia"/>
              </w:rPr>
              <w:t>污染因子</w:t>
            </w:r>
          </w:p>
        </w:tc>
        <w:tc>
          <w:tcPr>
            <w:tcW w:w="649" w:type="pct"/>
            <w:vAlign w:val="center"/>
          </w:tcPr>
          <w:p w14:paraId="20E53428">
            <w:pPr>
              <w:pStyle w:val="278"/>
              <w:adjustRightInd w:val="0"/>
              <w:snapToGrid w:val="0"/>
              <w:spacing w:line="300" w:lineRule="exact"/>
              <w:rPr>
                <w:rFonts w:hint="eastAsia"/>
              </w:rPr>
            </w:pPr>
            <w:r>
              <w:rPr>
                <w:rFonts w:hint="eastAsia"/>
              </w:rPr>
              <w:t>产生量</w:t>
            </w:r>
          </w:p>
        </w:tc>
        <w:tc>
          <w:tcPr>
            <w:tcW w:w="568" w:type="pct"/>
            <w:vAlign w:val="center"/>
          </w:tcPr>
          <w:p w14:paraId="140EA093">
            <w:pPr>
              <w:pStyle w:val="278"/>
              <w:adjustRightInd w:val="0"/>
              <w:snapToGrid w:val="0"/>
              <w:spacing w:line="300" w:lineRule="exact"/>
              <w:rPr>
                <w:rFonts w:hint="eastAsia"/>
              </w:rPr>
            </w:pPr>
            <w:r>
              <w:rPr>
                <w:rFonts w:hint="eastAsia"/>
              </w:rPr>
              <w:t>排放量</w:t>
            </w:r>
          </w:p>
        </w:tc>
        <w:tc>
          <w:tcPr>
            <w:tcW w:w="1265" w:type="pct"/>
            <w:vAlign w:val="center"/>
          </w:tcPr>
          <w:p w14:paraId="1032EA2B">
            <w:pPr>
              <w:pStyle w:val="278"/>
              <w:adjustRightInd w:val="0"/>
              <w:snapToGrid w:val="0"/>
              <w:spacing w:line="300" w:lineRule="exact"/>
              <w:rPr>
                <w:rFonts w:hint="eastAsia"/>
              </w:rPr>
            </w:pPr>
            <w:r>
              <w:rPr>
                <w:rFonts w:hint="eastAsia"/>
              </w:rPr>
              <w:t>处理措施及排放去向</w:t>
            </w:r>
          </w:p>
        </w:tc>
      </w:tr>
      <w:tr w14:paraId="0F67E5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2C55E63B">
            <w:pPr>
              <w:pStyle w:val="278"/>
              <w:adjustRightInd w:val="0"/>
              <w:snapToGrid w:val="0"/>
              <w:spacing w:line="300" w:lineRule="exact"/>
              <w:rPr>
                <w:rFonts w:hint="eastAsia"/>
              </w:rPr>
            </w:pPr>
            <w:r>
              <w:rPr>
                <w:rFonts w:hint="eastAsia"/>
              </w:rPr>
              <w:t>废气</w:t>
            </w:r>
          </w:p>
        </w:tc>
        <w:tc>
          <w:tcPr>
            <w:tcW w:w="637" w:type="pct"/>
            <w:vMerge w:val="restart"/>
            <w:vAlign w:val="center"/>
          </w:tcPr>
          <w:p w14:paraId="766E335B">
            <w:pPr>
              <w:pStyle w:val="278"/>
              <w:adjustRightInd w:val="0"/>
              <w:snapToGrid w:val="0"/>
              <w:spacing w:line="300" w:lineRule="exact"/>
              <w:rPr>
                <w:rFonts w:hint="eastAsia"/>
              </w:rPr>
            </w:pPr>
            <w:r>
              <w:rPr>
                <w:rFonts w:hint="eastAsia"/>
              </w:rPr>
              <w:t>采油井场油气集输过程中的阀门、法兰等</w:t>
            </w:r>
          </w:p>
        </w:tc>
        <w:tc>
          <w:tcPr>
            <w:tcW w:w="825" w:type="pct"/>
            <w:vAlign w:val="center"/>
          </w:tcPr>
          <w:p w14:paraId="7CB526A9">
            <w:pPr>
              <w:pStyle w:val="278"/>
              <w:adjustRightInd w:val="0"/>
              <w:snapToGrid w:val="0"/>
              <w:spacing w:line="300" w:lineRule="exact"/>
              <w:rPr>
                <w:rFonts w:hint="eastAsia"/>
              </w:rPr>
            </w:pPr>
            <w:r>
              <w:rPr>
                <w:rFonts w:hint="eastAsia"/>
              </w:rPr>
              <w:t>无组织挥发性有机物</w:t>
            </w:r>
          </w:p>
        </w:tc>
        <w:tc>
          <w:tcPr>
            <w:tcW w:w="731" w:type="pct"/>
            <w:vAlign w:val="center"/>
          </w:tcPr>
          <w:p w14:paraId="4C99244B">
            <w:pPr>
              <w:pStyle w:val="278"/>
              <w:adjustRightInd w:val="0"/>
              <w:snapToGrid w:val="0"/>
              <w:spacing w:line="300" w:lineRule="exact"/>
              <w:rPr>
                <w:rFonts w:hint="eastAsia"/>
              </w:rPr>
            </w:pPr>
            <w:r>
              <w:rPr>
                <w:rFonts w:hint="eastAsia"/>
              </w:rPr>
              <w:t>非甲烷</w:t>
            </w:r>
            <w:r>
              <w:t>总烃</w:t>
            </w:r>
          </w:p>
        </w:tc>
        <w:tc>
          <w:tcPr>
            <w:tcW w:w="649" w:type="pct"/>
            <w:vAlign w:val="center"/>
          </w:tcPr>
          <w:p w14:paraId="2A1237AD">
            <w:pPr>
              <w:pStyle w:val="278"/>
              <w:adjustRightInd w:val="0"/>
              <w:snapToGrid w:val="0"/>
              <w:spacing w:line="300" w:lineRule="exact"/>
              <w:rPr>
                <w:rFonts w:hint="eastAsia"/>
              </w:rPr>
            </w:pPr>
            <w:r>
              <w:rPr>
                <w:rFonts w:hint="eastAsia" w:cs="宋体"/>
                <w:bCs/>
                <w:snapToGrid w:val="0"/>
              </w:rPr>
              <w:t>0.3386t/a</w:t>
            </w:r>
          </w:p>
        </w:tc>
        <w:tc>
          <w:tcPr>
            <w:tcW w:w="568" w:type="pct"/>
            <w:vAlign w:val="center"/>
          </w:tcPr>
          <w:p w14:paraId="17EEA6F1">
            <w:pPr>
              <w:pStyle w:val="278"/>
              <w:adjustRightInd w:val="0"/>
              <w:snapToGrid w:val="0"/>
              <w:spacing w:line="300" w:lineRule="exact"/>
              <w:rPr>
                <w:rFonts w:hint="eastAsia"/>
              </w:rPr>
            </w:pPr>
            <w:r>
              <w:rPr>
                <w:rFonts w:hint="eastAsia" w:cs="宋体"/>
                <w:bCs/>
                <w:snapToGrid w:val="0"/>
              </w:rPr>
              <w:t>0.3386t/a</w:t>
            </w:r>
          </w:p>
        </w:tc>
        <w:tc>
          <w:tcPr>
            <w:tcW w:w="1265" w:type="pct"/>
            <w:vMerge w:val="restart"/>
            <w:vAlign w:val="center"/>
          </w:tcPr>
          <w:p w14:paraId="39871CC8">
            <w:pPr>
              <w:pStyle w:val="278"/>
              <w:adjustRightInd w:val="0"/>
              <w:snapToGrid w:val="0"/>
              <w:spacing w:line="300" w:lineRule="exact"/>
              <w:rPr>
                <w:rFonts w:hint="eastAsia"/>
              </w:rPr>
            </w:pPr>
            <w:r>
              <w:rPr>
                <w:rFonts w:hint="eastAsia" w:cs="宋体"/>
                <w:bCs/>
                <w:snapToGrid w:val="0"/>
              </w:rPr>
              <w:t>选用质量可靠的设备、仪表、阀门等；定期对井场的设备、阀门等检查排放至</w:t>
            </w:r>
            <w:r>
              <w:rPr>
                <w:rFonts w:hint="eastAsia"/>
              </w:rPr>
              <w:t>大气环境</w:t>
            </w:r>
          </w:p>
        </w:tc>
      </w:tr>
      <w:tr w14:paraId="754FAC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1FCCABA7">
            <w:pPr>
              <w:pStyle w:val="278"/>
              <w:adjustRightInd w:val="0"/>
              <w:snapToGrid w:val="0"/>
              <w:spacing w:line="300" w:lineRule="exact"/>
              <w:rPr>
                <w:rFonts w:hint="eastAsia"/>
              </w:rPr>
            </w:pPr>
          </w:p>
        </w:tc>
        <w:tc>
          <w:tcPr>
            <w:tcW w:w="637" w:type="pct"/>
            <w:vMerge w:val="continue"/>
            <w:vAlign w:val="center"/>
          </w:tcPr>
          <w:p w14:paraId="09E1E8A8">
            <w:pPr>
              <w:pStyle w:val="278"/>
              <w:adjustRightInd w:val="0"/>
              <w:snapToGrid w:val="0"/>
              <w:spacing w:line="300" w:lineRule="exact"/>
              <w:rPr>
                <w:rFonts w:hint="eastAsia"/>
              </w:rPr>
            </w:pPr>
          </w:p>
        </w:tc>
        <w:tc>
          <w:tcPr>
            <w:tcW w:w="825" w:type="pct"/>
            <w:vAlign w:val="center"/>
          </w:tcPr>
          <w:p w14:paraId="3AA73758">
            <w:pPr>
              <w:pStyle w:val="278"/>
              <w:adjustRightInd w:val="0"/>
              <w:snapToGrid w:val="0"/>
              <w:spacing w:line="300" w:lineRule="exact"/>
              <w:rPr>
                <w:rFonts w:hint="eastAsia"/>
              </w:rPr>
            </w:pPr>
            <w:r>
              <w:rPr>
                <w:rFonts w:hint="eastAsia"/>
              </w:rPr>
              <w:t>硫化氢</w:t>
            </w:r>
          </w:p>
        </w:tc>
        <w:tc>
          <w:tcPr>
            <w:tcW w:w="731" w:type="pct"/>
            <w:vAlign w:val="center"/>
          </w:tcPr>
          <w:p w14:paraId="3C02FB4B">
            <w:pPr>
              <w:pStyle w:val="278"/>
              <w:adjustRightInd w:val="0"/>
              <w:snapToGrid w:val="0"/>
              <w:spacing w:line="300" w:lineRule="exact"/>
              <w:rPr>
                <w:rFonts w:hint="eastAsia"/>
              </w:rPr>
            </w:pPr>
            <w:r>
              <w:rPr>
                <w:rFonts w:hint="eastAsia"/>
              </w:rPr>
              <w:t>硫化氢</w:t>
            </w:r>
          </w:p>
        </w:tc>
        <w:tc>
          <w:tcPr>
            <w:tcW w:w="649" w:type="pct"/>
            <w:vAlign w:val="center"/>
          </w:tcPr>
          <w:p w14:paraId="596F3B4B">
            <w:pPr>
              <w:pStyle w:val="278"/>
              <w:adjustRightInd w:val="0"/>
              <w:snapToGrid w:val="0"/>
              <w:spacing w:line="300" w:lineRule="exact"/>
              <w:rPr>
                <w:rFonts w:hint="eastAsia"/>
                <w:lang w:bidi="ar"/>
              </w:rPr>
            </w:pPr>
            <w:r>
              <w:rPr>
                <w:rFonts w:hint="eastAsia" w:cs="宋体"/>
                <w:bCs/>
                <w:snapToGrid w:val="0"/>
              </w:rPr>
              <w:t>0.3305kg/a</w:t>
            </w:r>
          </w:p>
        </w:tc>
        <w:tc>
          <w:tcPr>
            <w:tcW w:w="568" w:type="pct"/>
            <w:vAlign w:val="center"/>
          </w:tcPr>
          <w:p w14:paraId="1B429E4A">
            <w:pPr>
              <w:pStyle w:val="278"/>
              <w:adjustRightInd w:val="0"/>
              <w:snapToGrid w:val="0"/>
              <w:spacing w:line="300" w:lineRule="exact"/>
              <w:rPr>
                <w:rFonts w:hint="eastAsia"/>
                <w:lang w:bidi="ar"/>
              </w:rPr>
            </w:pPr>
            <w:r>
              <w:rPr>
                <w:rFonts w:hint="eastAsia" w:cs="宋体"/>
                <w:bCs/>
                <w:snapToGrid w:val="0"/>
              </w:rPr>
              <w:t>0.3305kg/a</w:t>
            </w:r>
          </w:p>
        </w:tc>
        <w:tc>
          <w:tcPr>
            <w:tcW w:w="1265" w:type="pct"/>
            <w:vMerge w:val="continue"/>
            <w:vAlign w:val="center"/>
          </w:tcPr>
          <w:p w14:paraId="65BF41E4">
            <w:pPr>
              <w:pStyle w:val="278"/>
              <w:adjustRightInd w:val="0"/>
              <w:snapToGrid w:val="0"/>
              <w:spacing w:line="300" w:lineRule="exact"/>
              <w:rPr>
                <w:rFonts w:hint="eastAsia" w:cs="宋体"/>
                <w:bCs/>
                <w:snapToGrid w:val="0"/>
              </w:rPr>
            </w:pPr>
          </w:p>
        </w:tc>
      </w:tr>
      <w:tr w14:paraId="782138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CA63B87">
            <w:pPr>
              <w:pStyle w:val="278"/>
              <w:adjustRightInd w:val="0"/>
              <w:snapToGrid w:val="0"/>
              <w:spacing w:line="300" w:lineRule="exact"/>
              <w:rPr>
                <w:rFonts w:hint="eastAsia"/>
              </w:rPr>
            </w:pPr>
          </w:p>
        </w:tc>
        <w:tc>
          <w:tcPr>
            <w:tcW w:w="637" w:type="pct"/>
            <w:vMerge w:val="restart"/>
            <w:vAlign w:val="center"/>
          </w:tcPr>
          <w:p w14:paraId="3A4484E2">
            <w:pPr>
              <w:pStyle w:val="278"/>
              <w:adjustRightInd w:val="0"/>
              <w:snapToGrid w:val="0"/>
              <w:spacing w:line="300" w:lineRule="exact"/>
              <w:rPr>
                <w:rFonts w:hint="eastAsia"/>
              </w:rPr>
            </w:pPr>
            <w:r>
              <w:rPr>
                <w:rFonts w:hint="eastAsia"/>
              </w:rPr>
              <w:t>计量站</w:t>
            </w:r>
          </w:p>
          <w:p w14:paraId="60465CEB">
            <w:pPr>
              <w:pStyle w:val="278"/>
              <w:adjustRightInd w:val="0"/>
              <w:snapToGrid w:val="0"/>
              <w:spacing w:line="300" w:lineRule="exact"/>
              <w:rPr>
                <w:rFonts w:hint="eastAsia"/>
              </w:rPr>
            </w:pPr>
            <w:r>
              <w:rPr>
                <w:rFonts w:hint="eastAsia"/>
              </w:rPr>
              <w:t>无组织废气</w:t>
            </w:r>
          </w:p>
        </w:tc>
        <w:tc>
          <w:tcPr>
            <w:tcW w:w="825" w:type="pct"/>
            <w:vAlign w:val="center"/>
          </w:tcPr>
          <w:p w14:paraId="06678A07">
            <w:pPr>
              <w:pStyle w:val="278"/>
              <w:adjustRightInd w:val="0"/>
              <w:snapToGrid w:val="0"/>
              <w:spacing w:line="300" w:lineRule="exact"/>
              <w:rPr>
                <w:rFonts w:hint="eastAsia"/>
              </w:rPr>
            </w:pPr>
            <w:r>
              <w:rPr>
                <w:rFonts w:hint="eastAsia"/>
              </w:rPr>
              <w:t>无组织挥发性有机物</w:t>
            </w:r>
          </w:p>
        </w:tc>
        <w:tc>
          <w:tcPr>
            <w:tcW w:w="731" w:type="pct"/>
            <w:vAlign w:val="center"/>
          </w:tcPr>
          <w:p w14:paraId="4D26DC2C">
            <w:pPr>
              <w:pStyle w:val="278"/>
              <w:adjustRightInd w:val="0"/>
              <w:snapToGrid w:val="0"/>
              <w:spacing w:line="300" w:lineRule="exact"/>
              <w:rPr>
                <w:rFonts w:hint="eastAsia"/>
              </w:rPr>
            </w:pPr>
            <w:r>
              <w:rPr>
                <w:rFonts w:hint="eastAsia"/>
              </w:rPr>
              <w:t>非甲烷总烃</w:t>
            </w:r>
          </w:p>
        </w:tc>
        <w:tc>
          <w:tcPr>
            <w:tcW w:w="649" w:type="pct"/>
            <w:vAlign w:val="center"/>
          </w:tcPr>
          <w:p w14:paraId="66D97593">
            <w:pPr>
              <w:pStyle w:val="278"/>
              <w:adjustRightInd w:val="0"/>
              <w:snapToGrid w:val="0"/>
              <w:spacing w:line="300" w:lineRule="exact"/>
              <w:rPr>
                <w:rFonts w:hint="eastAsia" w:cs="宋体"/>
                <w:bCs/>
                <w:snapToGrid w:val="0"/>
              </w:rPr>
            </w:pPr>
            <w:bookmarkStart w:id="352" w:name="OLE_LINK350"/>
            <w:r>
              <w:rPr>
                <w:rFonts w:hint="eastAsia" w:cs="宋体"/>
                <w:bCs/>
                <w:snapToGrid w:val="0"/>
              </w:rPr>
              <w:t>0.1625t/a</w:t>
            </w:r>
            <w:bookmarkEnd w:id="352"/>
          </w:p>
        </w:tc>
        <w:tc>
          <w:tcPr>
            <w:tcW w:w="568" w:type="pct"/>
            <w:vAlign w:val="center"/>
          </w:tcPr>
          <w:p w14:paraId="3F807054">
            <w:pPr>
              <w:pStyle w:val="278"/>
              <w:adjustRightInd w:val="0"/>
              <w:snapToGrid w:val="0"/>
              <w:spacing w:line="300" w:lineRule="exact"/>
              <w:rPr>
                <w:rFonts w:hint="eastAsia" w:cs="宋体"/>
                <w:bCs/>
                <w:snapToGrid w:val="0"/>
              </w:rPr>
            </w:pPr>
            <w:r>
              <w:rPr>
                <w:rFonts w:cs="宋体"/>
                <w:bCs/>
                <w:snapToGrid w:val="0"/>
              </w:rPr>
              <w:t>0.1625t/a</w:t>
            </w:r>
          </w:p>
        </w:tc>
        <w:tc>
          <w:tcPr>
            <w:tcW w:w="1265" w:type="pct"/>
            <w:vMerge w:val="restart"/>
            <w:vAlign w:val="center"/>
          </w:tcPr>
          <w:p w14:paraId="3D621DE2">
            <w:pPr>
              <w:pStyle w:val="278"/>
              <w:adjustRightInd w:val="0"/>
              <w:snapToGrid w:val="0"/>
              <w:spacing w:line="300" w:lineRule="exact"/>
              <w:jc w:val="both"/>
              <w:rPr>
                <w:rFonts w:hint="eastAsia" w:cs="宋体"/>
                <w:bCs/>
                <w:snapToGrid w:val="0"/>
              </w:rPr>
            </w:pPr>
            <w:r>
              <w:rPr>
                <w:rFonts w:hint="eastAsia" w:cs="宋体"/>
                <w:bCs/>
                <w:snapToGrid w:val="0"/>
              </w:rPr>
              <w:t>选用质量可靠的设备、仪表、阀门等；定期对计量站的设备、阀门等检查排放至</w:t>
            </w:r>
            <w:r>
              <w:rPr>
                <w:rFonts w:hint="eastAsia"/>
              </w:rPr>
              <w:t>大气环境</w:t>
            </w:r>
          </w:p>
        </w:tc>
      </w:tr>
      <w:tr w14:paraId="3611CD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2D947CEF">
            <w:pPr>
              <w:pStyle w:val="278"/>
              <w:adjustRightInd w:val="0"/>
              <w:snapToGrid w:val="0"/>
              <w:spacing w:line="300" w:lineRule="exact"/>
              <w:rPr>
                <w:rFonts w:hint="eastAsia"/>
              </w:rPr>
            </w:pPr>
          </w:p>
        </w:tc>
        <w:tc>
          <w:tcPr>
            <w:tcW w:w="637" w:type="pct"/>
            <w:vMerge w:val="continue"/>
            <w:vAlign w:val="center"/>
          </w:tcPr>
          <w:p w14:paraId="34899EB0">
            <w:pPr>
              <w:pStyle w:val="278"/>
              <w:adjustRightInd w:val="0"/>
              <w:snapToGrid w:val="0"/>
              <w:spacing w:line="300" w:lineRule="exact"/>
              <w:rPr>
                <w:rFonts w:hint="eastAsia"/>
              </w:rPr>
            </w:pPr>
          </w:p>
        </w:tc>
        <w:tc>
          <w:tcPr>
            <w:tcW w:w="825" w:type="pct"/>
            <w:vAlign w:val="center"/>
          </w:tcPr>
          <w:p w14:paraId="1E9992D1">
            <w:pPr>
              <w:pStyle w:val="278"/>
              <w:adjustRightInd w:val="0"/>
              <w:snapToGrid w:val="0"/>
              <w:spacing w:line="300" w:lineRule="exact"/>
              <w:rPr>
                <w:rFonts w:hint="eastAsia"/>
              </w:rPr>
            </w:pPr>
            <w:r>
              <w:rPr>
                <w:rFonts w:hint="eastAsia"/>
              </w:rPr>
              <w:t>硫化氢</w:t>
            </w:r>
          </w:p>
        </w:tc>
        <w:tc>
          <w:tcPr>
            <w:tcW w:w="731" w:type="pct"/>
            <w:vAlign w:val="center"/>
          </w:tcPr>
          <w:p w14:paraId="04A21D58">
            <w:pPr>
              <w:pStyle w:val="278"/>
              <w:adjustRightInd w:val="0"/>
              <w:snapToGrid w:val="0"/>
              <w:spacing w:line="300" w:lineRule="exact"/>
              <w:rPr>
                <w:rFonts w:hint="eastAsia"/>
              </w:rPr>
            </w:pPr>
            <w:r>
              <w:rPr>
                <w:rFonts w:hint="eastAsia"/>
              </w:rPr>
              <w:t>硫化氢</w:t>
            </w:r>
          </w:p>
        </w:tc>
        <w:tc>
          <w:tcPr>
            <w:tcW w:w="649" w:type="pct"/>
            <w:vAlign w:val="center"/>
          </w:tcPr>
          <w:p w14:paraId="5A4C5C09">
            <w:pPr>
              <w:pStyle w:val="278"/>
              <w:adjustRightInd w:val="0"/>
              <w:snapToGrid w:val="0"/>
              <w:spacing w:line="300" w:lineRule="exact"/>
              <w:rPr>
                <w:rFonts w:hint="eastAsia" w:cs="宋体"/>
                <w:bCs/>
                <w:snapToGrid w:val="0"/>
              </w:rPr>
            </w:pPr>
            <w:r>
              <w:rPr>
                <w:rFonts w:hint="eastAsia" w:cs="宋体"/>
                <w:bCs/>
                <w:snapToGrid w:val="0"/>
              </w:rPr>
              <w:t>0.1586kg/a</w:t>
            </w:r>
          </w:p>
        </w:tc>
        <w:tc>
          <w:tcPr>
            <w:tcW w:w="568" w:type="pct"/>
            <w:vAlign w:val="center"/>
          </w:tcPr>
          <w:p w14:paraId="3E739F69">
            <w:pPr>
              <w:pStyle w:val="278"/>
              <w:adjustRightInd w:val="0"/>
              <w:snapToGrid w:val="0"/>
              <w:spacing w:line="300" w:lineRule="exact"/>
              <w:rPr>
                <w:rFonts w:hint="eastAsia" w:cs="宋体"/>
                <w:bCs/>
                <w:snapToGrid w:val="0"/>
              </w:rPr>
            </w:pPr>
            <w:r>
              <w:rPr>
                <w:rFonts w:hint="eastAsia" w:cs="宋体"/>
                <w:bCs/>
                <w:snapToGrid w:val="0"/>
              </w:rPr>
              <w:t>0.1586kg/a</w:t>
            </w:r>
          </w:p>
        </w:tc>
        <w:tc>
          <w:tcPr>
            <w:tcW w:w="1265" w:type="pct"/>
            <w:vMerge w:val="continue"/>
            <w:vAlign w:val="center"/>
          </w:tcPr>
          <w:p w14:paraId="74B74653">
            <w:pPr>
              <w:pStyle w:val="278"/>
              <w:adjustRightInd w:val="0"/>
              <w:snapToGrid w:val="0"/>
              <w:spacing w:line="300" w:lineRule="exact"/>
              <w:rPr>
                <w:rFonts w:hint="eastAsia" w:cs="宋体"/>
                <w:bCs/>
                <w:snapToGrid w:val="0"/>
              </w:rPr>
            </w:pPr>
          </w:p>
        </w:tc>
      </w:tr>
      <w:tr w14:paraId="7A9A1C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5E9224C1">
            <w:pPr>
              <w:pStyle w:val="278"/>
              <w:adjustRightInd w:val="0"/>
              <w:snapToGrid w:val="0"/>
              <w:spacing w:line="300" w:lineRule="exact"/>
              <w:rPr>
                <w:rFonts w:hint="eastAsia"/>
              </w:rPr>
            </w:pPr>
            <w:r>
              <w:rPr>
                <w:rFonts w:hint="eastAsia"/>
              </w:rPr>
              <w:t>废水</w:t>
            </w:r>
          </w:p>
        </w:tc>
        <w:tc>
          <w:tcPr>
            <w:tcW w:w="637" w:type="pct"/>
            <w:vAlign w:val="center"/>
          </w:tcPr>
          <w:p w14:paraId="2798DF80">
            <w:pPr>
              <w:pStyle w:val="278"/>
              <w:adjustRightInd w:val="0"/>
              <w:snapToGrid w:val="0"/>
              <w:spacing w:line="300" w:lineRule="exact"/>
              <w:rPr>
                <w:rFonts w:hint="eastAsia"/>
              </w:rPr>
            </w:pPr>
            <w:r>
              <w:rPr>
                <w:rFonts w:hint="eastAsia"/>
              </w:rPr>
              <w:t>井下作业</w:t>
            </w:r>
          </w:p>
        </w:tc>
        <w:tc>
          <w:tcPr>
            <w:tcW w:w="825" w:type="pct"/>
            <w:vAlign w:val="center"/>
          </w:tcPr>
          <w:p w14:paraId="2EC2EDBE">
            <w:pPr>
              <w:pStyle w:val="278"/>
              <w:adjustRightInd w:val="0"/>
              <w:snapToGrid w:val="0"/>
              <w:spacing w:line="300" w:lineRule="exact"/>
              <w:rPr>
                <w:rFonts w:hint="eastAsia"/>
              </w:rPr>
            </w:pPr>
            <w:r>
              <w:rPr>
                <w:rFonts w:hint="eastAsia"/>
              </w:rPr>
              <w:t>压裂返排液</w:t>
            </w:r>
          </w:p>
        </w:tc>
        <w:tc>
          <w:tcPr>
            <w:tcW w:w="731" w:type="pct"/>
            <w:vAlign w:val="center"/>
          </w:tcPr>
          <w:p w14:paraId="07276D5D">
            <w:pPr>
              <w:pStyle w:val="278"/>
              <w:adjustRightInd w:val="0"/>
              <w:snapToGrid w:val="0"/>
              <w:spacing w:line="300" w:lineRule="exact"/>
              <w:rPr>
                <w:rFonts w:hint="eastAsia" w:cs="宋体"/>
              </w:rPr>
            </w:pPr>
            <w:r>
              <w:rPr>
                <w:rFonts w:hint="eastAsia"/>
              </w:rPr>
              <w:t>压裂返排液</w:t>
            </w:r>
          </w:p>
        </w:tc>
        <w:tc>
          <w:tcPr>
            <w:tcW w:w="649" w:type="pct"/>
            <w:vAlign w:val="center"/>
          </w:tcPr>
          <w:p w14:paraId="0E9B4C60">
            <w:pPr>
              <w:pStyle w:val="278"/>
              <w:adjustRightInd w:val="0"/>
              <w:snapToGrid w:val="0"/>
              <w:spacing w:line="300" w:lineRule="exact"/>
              <w:rPr>
                <w:rFonts w:hint="eastAsia"/>
              </w:rPr>
            </w:pPr>
            <w:r>
              <w:rPr>
                <w:rFonts w:hint="eastAsia" w:cs="宋体"/>
              </w:rPr>
              <w:t>766.05m</w:t>
            </w:r>
            <w:r>
              <w:rPr>
                <w:rFonts w:hint="eastAsia" w:cs="宋体"/>
                <w:vertAlign w:val="superscript"/>
              </w:rPr>
              <w:t>3</w:t>
            </w:r>
            <w:r>
              <w:rPr>
                <w:rFonts w:hint="eastAsia" w:cs="宋体"/>
              </w:rPr>
              <w:t>/a</w:t>
            </w:r>
          </w:p>
        </w:tc>
        <w:tc>
          <w:tcPr>
            <w:tcW w:w="568" w:type="pct"/>
            <w:vAlign w:val="center"/>
          </w:tcPr>
          <w:p w14:paraId="76CDAC34">
            <w:pPr>
              <w:pStyle w:val="278"/>
              <w:adjustRightInd w:val="0"/>
              <w:snapToGrid w:val="0"/>
              <w:spacing w:line="300" w:lineRule="exact"/>
              <w:rPr>
                <w:rFonts w:hint="eastAsia"/>
              </w:rPr>
            </w:pPr>
            <w:r>
              <w:rPr>
                <w:rFonts w:hint="eastAsia"/>
              </w:rPr>
              <w:t>0</w:t>
            </w:r>
          </w:p>
        </w:tc>
        <w:tc>
          <w:tcPr>
            <w:tcW w:w="1265" w:type="pct"/>
            <w:vMerge w:val="restart"/>
            <w:tcBorders>
              <w:top w:val="single" w:color="auto" w:sz="4" w:space="0"/>
            </w:tcBorders>
            <w:vAlign w:val="center"/>
          </w:tcPr>
          <w:p w14:paraId="4B5442F9">
            <w:pPr>
              <w:pStyle w:val="278"/>
              <w:adjustRightInd w:val="0"/>
              <w:snapToGrid w:val="0"/>
              <w:spacing w:line="300" w:lineRule="exact"/>
              <w:rPr>
                <w:rFonts w:hint="eastAsia"/>
              </w:rPr>
            </w:pPr>
            <w:r>
              <w:rPr>
                <w:rFonts w:hint="eastAsia"/>
              </w:rPr>
              <w:t>送至压裂返排液处理系统处理</w:t>
            </w:r>
          </w:p>
        </w:tc>
      </w:tr>
      <w:tr w14:paraId="7A73DD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54456BC">
            <w:pPr>
              <w:pStyle w:val="278"/>
              <w:adjustRightInd w:val="0"/>
              <w:snapToGrid w:val="0"/>
              <w:spacing w:line="300" w:lineRule="exact"/>
              <w:rPr>
                <w:rFonts w:hint="eastAsia"/>
              </w:rPr>
            </w:pPr>
          </w:p>
        </w:tc>
        <w:tc>
          <w:tcPr>
            <w:tcW w:w="637" w:type="pct"/>
            <w:vAlign w:val="center"/>
          </w:tcPr>
          <w:p w14:paraId="29C02411">
            <w:pPr>
              <w:pStyle w:val="278"/>
              <w:adjustRightInd w:val="0"/>
              <w:snapToGrid w:val="0"/>
              <w:spacing w:line="300" w:lineRule="exact"/>
              <w:rPr>
                <w:rFonts w:hint="eastAsia"/>
              </w:rPr>
            </w:pPr>
            <w:r>
              <w:rPr>
                <w:rFonts w:hint="eastAsia"/>
              </w:rPr>
              <w:t>井下作业</w:t>
            </w:r>
          </w:p>
        </w:tc>
        <w:tc>
          <w:tcPr>
            <w:tcW w:w="825" w:type="pct"/>
            <w:vAlign w:val="center"/>
          </w:tcPr>
          <w:p w14:paraId="4B347BBD">
            <w:pPr>
              <w:pStyle w:val="278"/>
              <w:adjustRightInd w:val="0"/>
              <w:snapToGrid w:val="0"/>
              <w:spacing w:line="300" w:lineRule="exact"/>
              <w:rPr>
                <w:rFonts w:hint="eastAsia"/>
              </w:rPr>
            </w:pPr>
            <w:r>
              <w:rPr>
                <w:rFonts w:hint="eastAsia"/>
              </w:rPr>
              <w:t>酸化返排液</w:t>
            </w:r>
          </w:p>
        </w:tc>
        <w:tc>
          <w:tcPr>
            <w:tcW w:w="731" w:type="pct"/>
            <w:vAlign w:val="center"/>
          </w:tcPr>
          <w:p w14:paraId="377BDA27">
            <w:pPr>
              <w:pStyle w:val="278"/>
              <w:adjustRightInd w:val="0"/>
              <w:snapToGrid w:val="0"/>
              <w:spacing w:line="300" w:lineRule="exact"/>
              <w:rPr>
                <w:rFonts w:hint="eastAsia" w:cs="宋体"/>
              </w:rPr>
            </w:pPr>
            <w:r>
              <w:rPr>
                <w:rFonts w:hint="eastAsia"/>
              </w:rPr>
              <w:t>酸化返排液</w:t>
            </w:r>
          </w:p>
        </w:tc>
        <w:tc>
          <w:tcPr>
            <w:tcW w:w="649" w:type="pct"/>
            <w:vAlign w:val="center"/>
          </w:tcPr>
          <w:p w14:paraId="256CD180">
            <w:pPr>
              <w:pStyle w:val="278"/>
              <w:adjustRightInd w:val="0"/>
              <w:snapToGrid w:val="0"/>
              <w:spacing w:line="300" w:lineRule="exact"/>
              <w:rPr>
                <w:rFonts w:hint="eastAsia" w:cs="宋体"/>
              </w:rPr>
            </w:pPr>
            <w:r>
              <w:rPr>
                <w:rFonts w:hint="eastAsia" w:cs="Arial"/>
                <w:kern w:val="2"/>
              </w:rPr>
              <w:t>752.45m</w:t>
            </w:r>
            <w:r>
              <w:rPr>
                <w:rFonts w:hint="eastAsia" w:cs="Arial"/>
                <w:kern w:val="2"/>
                <w:vertAlign w:val="superscript"/>
              </w:rPr>
              <w:t>3</w:t>
            </w:r>
            <w:r>
              <w:rPr>
                <w:rFonts w:hint="eastAsia" w:cs="Arial"/>
                <w:kern w:val="2"/>
              </w:rPr>
              <w:t>/</w:t>
            </w:r>
            <w:r>
              <w:rPr>
                <w:rFonts w:cs="Arial"/>
                <w:kern w:val="2"/>
              </w:rPr>
              <w:t>a</w:t>
            </w:r>
          </w:p>
        </w:tc>
        <w:tc>
          <w:tcPr>
            <w:tcW w:w="568" w:type="pct"/>
            <w:vAlign w:val="center"/>
          </w:tcPr>
          <w:p w14:paraId="5AADF257">
            <w:pPr>
              <w:pStyle w:val="278"/>
              <w:adjustRightInd w:val="0"/>
              <w:snapToGrid w:val="0"/>
              <w:spacing w:line="300" w:lineRule="exact"/>
              <w:rPr>
                <w:rFonts w:hint="eastAsia"/>
              </w:rPr>
            </w:pPr>
            <w:r>
              <w:rPr>
                <w:rFonts w:hint="eastAsia"/>
              </w:rPr>
              <w:t>0</w:t>
            </w:r>
          </w:p>
        </w:tc>
        <w:tc>
          <w:tcPr>
            <w:tcW w:w="1265" w:type="pct"/>
            <w:vMerge w:val="continue"/>
            <w:vAlign w:val="center"/>
          </w:tcPr>
          <w:p w14:paraId="5E36E173">
            <w:pPr>
              <w:pStyle w:val="278"/>
              <w:adjustRightInd w:val="0"/>
              <w:snapToGrid w:val="0"/>
              <w:spacing w:line="300" w:lineRule="exact"/>
              <w:rPr>
                <w:rFonts w:hint="eastAsia"/>
              </w:rPr>
            </w:pPr>
          </w:p>
        </w:tc>
      </w:tr>
      <w:bookmarkEnd w:id="341"/>
      <w:tr w14:paraId="6A8098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4A077630">
            <w:pPr>
              <w:pStyle w:val="278"/>
              <w:adjustRightInd w:val="0"/>
              <w:snapToGrid w:val="0"/>
              <w:spacing w:line="300" w:lineRule="exact"/>
              <w:rPr>
                <w:rFonts w:hint="eastAsia"/>
              </w:rPr>
            </w:pPr>
          </w:p>
        </w:tc>
        <w:tc>
          <w:tcPr>
            <w:tcW w:w="637" w:type="pct"/>
            <w:vAlign w:val="center"/>
          </w:tcPr>
          <w:p w14:paraId="1B4DF4F8">
            <w:pPr>
              <w:pStyle w:val="278"/>
              <w:adjustRightInd w:val="0"/>
              <w:snapToGrid w:val="0"/>
              <w:spacing w:line="300" w:lineRule="exact"/>
              <w:rPr>
                <w:rFonts w:hint="eastAsia"/>
              </w:rPr>
            </w:pPr>
            <w:r>
              <w:rPr>
                <w:rFonts w:hint="eastAsia"/>
              </w:rPr>
              <w:t>井下作业</w:t>
            </w:r>
          </w:p>
        </w:tc>
        <w:tc>
          <w:tcPr>
            <w:tcW w:w="825" w:type="pct"/>
            <w:vAlign w:val="center"/>
          </w:tcPr>
          <w:p w14:paraId="18BB864B">
            <w:pPr>
              <w:pStyle w:val="278"/>
              <w:adjustRightInd w:val="0"/>
              <w:snapToGrid w:val="0"/>
              <w:spacing w:line="300" w:lineRule="exact"/>
              <w:rPr>
                <w:rFonts w:hint="eastAsia"/>
              </w:rPr>
            </w:pPr>
            <w:r>
              <w:rPr>
                <w:rFonts w:hint="eastAsia"/>
              </w:rPr>
              <w:t>废洗井液</w:t>
            </w:r>
          </w:p>
        </w:tc>
        <w:tc>
          <w:tcPr>
            <w:tcW w:w="731" w:type="pct"/>
            <w:vAlign w:val="center"/>
          </w:tcPr>
          <w:p w14:paraId="6D1BA790">
            <w:pPr>
              <w:pStyle w:val="278"/>
              <w:adjustRightInd w:val="0"/>
              <w:snapToGrid w:val="0"/>
              <w:spacing w:line="300" w:lineRule="exact"/>
              <w:rPr>
                <w:rFonts w:hint="eastAsia" w:cs="Arial"/>
                <w:kern w:val="2"/>
              </w:rPr>
            </w:pPr>
            <w:r>
              <w:rPr>
                <w:rFonts w:hint="eastAsia"/>
              </w:rPr>
              <w:t>废洗井液</w:t>
            </w:r>
          </w:p>
        </w:tc>
        <w:tc>
          <w:tcPr>
            <w:tcW w:w="649" w:type="pct"/>
            <w:vAlign w:val="center"/>
          </w:tcPr>
          <w:p w14:paraId="58F8219E">
            <w:pPr>
              <w:pStyle w:val="278"/>
              <w:adjustRightInd w:val="0"/>
              <w:snapToGrid w:val="0"/>
              <w:spacing w:line="300" w:lineRule="exact"/>
              <w:rPr>
                <w:rFonts w:hint="eastAsia" w:cs="宋体"/>
                <w:lang w:bidi="ar"/>
              </w:rPr>
            </w:pPr>
            <w:r>
              <w:rPr>
                <w:rFonts w:hint="eastAsia" w:cs="Arial"/>
                <w:kern w:val="2"/>
              </w:rPr>
              <w:t>126.45t/</w:t>
            </w:r>
            <w:r>
              <w:rPr>
                <w:rFonts w:cs="Arial"/>
                <w:kern w:val="2"/>
              </w:rPr>
              <w:t>a</w:t>
            </w:r>
          </w:p>
        </w:tc>
        <w:tc>
          <w:tcPr>
            <w:tcW w:w="568" w:type="pct"/>
            <w:vAlign w:val="center"/>
          </w:tcPr>
          <w:p w14:paraId="422E903A">
            <w:pPr>
              <w:pStyle w:val="278"/>
              <w:adjustRightInd w:val="0"/>
              <w:snapToGrid w:val="0"/>
              <w:spacing w:line="300" w:lineRule="exact"/>
              <w:rPr>
                <w:rFonts w:hint="eastAsia"/>
              </w:rPr>
            </w:pPr>
            <w:r>
              <w:rPr>
                <w:rFonts w:hint="eastAsia"/>
              </w:rPr>
              <w:t>0</w:t>
            </w:r>
          </w:p>
        </w:tc>
        <w:tc>
          <w:tcPr>
            <w:tcW w:w="1265" w:type="pct"/>
            <w:vMerge w:val="continue"/>
            <w:vAlign w:val="center"/>
          </w:tcPr>
          <w:p w14:paraId="0F5FD525">
            <w:pPr>
              <w:pStyle w:val="278"/>
              <w:adjustRightInd w:val="0"/>
              <w:snapToGrid w:val="0"/>
              <w:spacing w:line="300" w:lineRule="exact"/>
              <w:rPr>
                <w:rFonts w:hint="eastAsia"/>
              </w:rPr>
            </w:pPr>
          </w:p>
        </w:tc>
      </w:tr>
      <w:tr w14:paraId="488FEF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625E993B">
            <w:pPr>
              <w:pStyle w:val="278"/>
              <w:adjustRightInd w:val="0"/>
              <w:snapToGrid w:val="0"/>
              <w:spacing w:line="300" w:lineRule="exact"/>
              <w:rPr>
                <w:rFonts w:hint="eastAsia"/>
              </w:rPr>
            </w:pPr>
          </w:p>
        </w:tc>
        <w:tc>
          <w:tcPr>
            <w:tcW w:w="637" w:type="pct"/>
            <w:vAlign w:val="center"/>
          </w:tcPr>
          <w:p w14:paraId="62296A89">
            <w:pPr>
              <w:pStyle w:val="278"/>
              <w:adjustRightInd w:val="0"/>
              <w:snapToGrid w:val="0"/>
              <w:spacing w:line="300" w:lineRule="exact"/>
              <w:rPr>
                <w:rFonts w:hint="eastAsia"/>
              </w:rPr>
            </w:pPr>
            <w:r>
              <w:rPr>
                <w:rFonts w:hint="eastAsia"/>
              </w:rPr>
              <w:t>井下作业</w:t>
            </w:r>
          </w:p>
        </w:tc>
        <w:tc>
          <w:tcPr>
            <w:tcW w:w="825" w:type="pct"/>
            <w:vAlign w:val="center"/>
          </w:tcPr>
          <w:p w14:paraId="69E8FE81">
            <w:pPr>
              <w:pStyle w:val="278"/>
              <w:adjustRightInd w:val="0"/>
              <w:snapToGrid w:val="0"/>
              <w:spacing w:line="300" w:lineRule="exact"/>
              <w:rPr>
                <w:rFonts w:hint="eastAsia"/>
              </w:rPr>
            </w:pPr>
            <w:r>
              <w:rPr>
                <w:rFonts w:hint="eastAsia"/>
              </w:rPr>
              <w:t>洗井废水</w:t>
            </w:r>
          </w:p>
        </w:tc>
        <w:tc>
          <w:tcPr>
            <w:tcW w:w="731" w:type="pct"/>
            <w:vAlign w:val="center"/>
          </w:tcPr>
          <w:p w14:paraId="2A789AEB">
            <w:pPr>
              <w:pStyle w:val="278"/>
              <w:adjustRightInd w:val="0"/>
              <w:snapToGrid w:val="0"/>
              <w:spacing w:line="300" w:lineRule="exact"/>
              <w:rPr>
                <w:rFonts w:hint="eastAsia"/>
              </w:rPr>
            </w:pPr>
            <w:r>
              <w:rPr>
                <w:rFonts w:hint="eastAsia"/>
              </w:rPr>
              <w:t>洗井废水</w:t>
            </w:r>
          </w:p>
        </w:tc>
        <w:tc>
          <w:tcPr>
            <w:tcW w:w="649" w:type="pct"/>
            <w:vAlign w:val="center"/>
          </w:tcPr>
          <w:p w14:paraId="6FDBED1B">
            <w:pPr>
              <w:pStyle w:val="278"/>
              <w:adjustRightInd w:val="0"/>
              <w:snapToGrid w:val="0"/>
              <w:spacing w:line="300" w:lineRule="exact"/>
              <w:rPr>
                <w:rFonts w:hint="eastAsia" w:cs="Arial"/>
                <w:kern w:val="2"/>
              </w:rPr>
            </w:pPr>
            <w:r>
              <w:rPr>
                <w:rFonts w:hint="eastAsia"/>
                <w:lang w:bidi="ar"/>
              </w:rPr>
              <w:t>135.65</w:t>
            </w:r>
            <w:r>
              <w:rPr>
                <w:rFonts w:hint="eastAsia" w:cs="Arial"/>
                <w:kern w:val="2"/>
              </w:rPr>
              <w:t>m</w:t>
            </w:r>
            <w:r>
              <w:rPr>
                <w:rFonts w:hint="eastAsia" w:cs="Arial"/>
                <w:kern w:val="2"/>
                <w:vertAlign w:val="superscript"/>
              </w:rPr>
              <w:t>3</w:t>
            </w:r>
            <w:r>
              <w:rPr>
                <w:rFonts w:hint="eastAsia" w:cs="Arial"/>
                <w:kern w:val="2"/>
              </w:rPr>
              <w:t>/</w:t>
            </w:r>
            <w:r>
              <w:rPr>
                <w:rFonts w:cs="Arial"/>
                <w:kern w:val="2"/>
              </w:rPr>
              <w:t>a</w:t>
            </w:r>
          </w:p>
        </w:tc>
        <w:tc>
          <w:tcPr>
            <w:tcW w:w="568" w:type="pct"/>
            <w:vAlign w:val="center"/>
          </w:tcPr>
          <w:p w14:paraId="63240670">
            <w:pPr>
              <w:pStyle w:val="278"/>
              <w:adjustRightInd w:val="0"/>
              <w:snapToGrid w:val="0"/>
              <w:spacing w:line="300" w:lineRule="exact"/>
              <w:rPr>
                <w:rFonts w:hint="eastAsia"/>
              </w:rPr>
            </w:pPr>
            <w:r>
              <w:rPr>
                <w:rFonts w:hint="eastAsia"/>
              </w:rPr>
              <w:t>0</w:t>
            </w:r>
          </w:p>
        </w:tc>
        <w:tc>
          <w:tcPr>
            <w:tcW w:w="1265" w:type="pct"/>
            <w:vMerge w:val="continue"/>
            <w:vAlign w:val="center"/>
          </w:tcPr>
          <w:p w14:paraId="7817EA99">
            <w:pPr>
              <w:pStyle w:val="278"/>
              <w:adjustRightInd w:val="0"/>
              <w:snapToGrid w:val="0"/>
              <w:spacing w:line="300" w:lineRule="exact"/>
              <w:rPr>
                <w:rFonts w:hint="eastAsia"/>
              </w:rPr>
            </w:pPr>
          </w:p>
        </w:tc>
      </w:tr>
      <w:tr w14:paraId="3B2675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Align w:val="center"/>
          </w:tcPr>
          <w:p w14:paraId="54EBE3F8">
            <w:pPr>
              <w:pStyle w:val="278"/>
              <w:adjustRightInd w:val="0"/>
              <w:snapToGrid w:val="0"/>
              <w:spacing w:line="300" w:lineRule="exact"/>
              <w:rPr>
                <w:rFonts w:hint="eastAsia"/>
              </w:rPr>
            </w:pPr>
            <w:r>
              <w:rPr>
                <w:rFonts w:hint="eastAsia"/>
              </w:rPr>
              <w:t>噪声</w:t>
            </w:r>
          </w:p>
        </w:tc>
        <w:tc>
          <w:tcPr>
            <w:tcW w:w="637" w:type="pct"/>
            <w:vAlign w:val="center"/>
          </w:tcPr>
          <w:p w14:paraId="78958C8A">
            <w:pPr>
              <w:pStyle w:val="278"/>
              <w:adjustRightInd w:val="0"/>
              <w:snapToGrid w:val="0"/>
              <w:spacing w:line="300" w:lineRule="exact"/>
              <w:rPr>
                <w:rFonts w:hint="eastAsia" w:cs="宋体"/>
                <w:kern w:val="2"/>
              </w:rPr>
            </w:pPr>
            <w:r>
              <w:rPr>
                <w:rFonts w:hint="eastAsia"/>
              </w:rPr>
              <w:t>各类机泵及巡检车辆</w:t>
            </w:r>
          </w:p>
        </w:tc>
        <w:tc>
          <w:tcPr>
            <w:tcW w:w="825" w:type="pct"/>
            <w:vAlign w:val="center"/>
          </w:tcPr>
          <w:p w14:paraId="1C3D761B">
            <w:pPr>
              <w:pStyle w:val="278"/>
              <w:adjustRightInd w:val="0"/>
              <w:snapToGrid w:val="0"/>
              <w:spacing w:line="300" w:lineRule="exact"/>
              <w:rPr>
                <w:rFonts w:hint="eastAsia"/>
              </w:rPr>
            </w:pPr>
            <w:r>
              <w:rPr>
                <w:rFonts w:hint="eastAsia"/>
              </w:rPr>
              <w:t>噪声</w:t>
            </w:r>
          </w:p>
        </w:tc>
        <w:tc>
          <w:tcPr>
            <w:tcW w:w="731" w:type="pct"/>
            <w:vAlign w:val="center"/>
          </w:tcPr>
          <w:p w14:paraId="7CE8B9E7">
            <w:pPr>
              <w:pStyle w:val="278"/>
              <w:adjustRightInd w:val="0"/>
              <w:snapToGrid w:val="0"/>
              <w:spacing w:line="300" w:lineRule="exact"/>
              <w:rPr>
                <w:rFonts w:hint="eastAsia"/>
              </w:rPr>
            </w:pPr>
            <w:r>
              <w:rPr>
                <w:rFonts w:hint="eastAsia"/>
              </w:rPr>
              <w:t>连续等效A声级</w:t>
            </w:r>
          </w:p>
        </w:tc>
        <w:tc>
          <w:tcPr>
            <w:tcW w:w="649" w:type="pct"/>
            <w:vAlign w:val="center"/>
          </w:tcPr>
          <w:p w14:paraId="0730D9CB">
            <w:pPr>
              <w:pStyle w:val="278"/>
              <w:adjustRightInd w:val="0"/>
              <w:snapToGrid w:val="0"/>
              <w:spacing w:line="300" w:lineRule="exact"/>
              <w:rPr>
                <w:rFonts w:hint="eastAsia"/>
              </w:rPr>
            </w:pPr>
            <w:r>
              <w:rPr>
                <w:rFonts w:hint="eastAsia"/>
              </w:rPr>
              <w:t>/</w:t>
            </w:r>
          </w:p>
        </w:tc>
        <w:tc>
          <w:tcPr>
            <w:tcW w:w="568" w:type="pct"/>
            <w:vAlign w:val="center"/>
          </w:tcPr>
          <w:p w14:paraId="781FF26C">
            <w:pPr>
              <w:pStyle w:val="278"/>
              <w:adjustRightInd w:val="0"/>
              <w:snapToGrid w:val="0"/>
              <w:spacing w:line="300" w:lineRule="exact"/>
              <w:rPr>
                <w:rFonts w:hint="eastAsia"/>
              </w:rPr>
            </w:pPr>
            <w:r>
              <w:rPr>
                <w:rFonts w:hint="eastAsia"/>
              </w:rPr>
              <w:t>/</w:t>
            </w:r>
          </w:p>
        </w:tc>
        <w:tc>
          <w:tcPr>
            <w:tcW w:w="1265" w:type="pct"/>
            <w:vAlign w:val="center"/>
          </w:tcPr>
          <w:p w14:paraId="7CA4037B">
            <w:pPr>
              <w:pStyle w:val="278"/>
              <w:adjustRightInd w:val="0"/>
              <w:snapToGrid w:val="0"/>
              <w:spacing w:line="300" w:lineRule="exact"/>
              <w:rPr>
                <w:rFonts w:hint="eastAsia"/>
              </w:rPr>
            </w:pPr>
            <w:r>
              <w:rPr>
                <w:rFonts w:hint="eastAsia"/>
              </w:rPr>
              <w:t>采用低噪声设备、基础减震</w:t>
            </w:r>
          </w:p>
        </w:tc>
      </w:tr>
      <w:tr w14:paraId="0661B1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restart"/>
            <w:vAlign w:val="center"/>
          </w:tcPr>
          <w:p w14:paraId="4D72C3AA">
            <w:pPr>
              <w:pStyle w:val="278"/>
              <w:adjustRightInd w:val="0"/>
              <w:snapToGrid w:val="0"/>
              <w:spacing w:line="300" w:lineRule="exact"/>
              <w:rPr>
                <w:rFonts w:hint="eastAsia"/>
              </w:rPr>
            </w:pPr>
            <w:r>
              <w:rPr>
                <w:rFonts w:hint="eastAsia"/>
              </w:rPr>
              <w:t>固体废物</w:t>
            </w:r>
          </w:p>
        </w:tc>
        <w:tc>
          <w:tcPr>
            <w:tcW w:w="637" w:type="pct"/>
            <w:vAlign w:val="center"/>
          </w:tcPr>
          <w:p w14:paraId="46C92307">
            <w:pPr>
              <w:pStyle w:val="278"/>
              <w:adjustRightInd w:val="0"/>
              <w:snapToGrid w:val="0"/>
              <w:spacing w:line="300" w:lineRule="exact"/>
              <w:rPr>
                <w:rFonts w:hint="eastAsia"/>
              </w:rPr>
            </w:pPr>
            <w:r>
              <w:rPr>
                <w:rFonts w:hint="eastAsia"/>
              </w:rPr>
              <w:t>设备检维修</w:t>
            </w:r>
          </w:p>
        </w:tc>
        <w:tc>
          <w:tcPr>
            <w:tcW w:w="825" w:type="pct"/>
            <w:vAlign w:val="center"/>
          </w:tcPr>
          <w:p w14:paraId="2D51AE51">
            <w:pPr>
              <w:pStyle w:val="278"/>
              <w:adjustRightInd w:val="0"/>
              <w:snapToGrid w:val="0"/>
              <w:spacing w:line="300" w:lineRule="exact"/>
              <w:rPr>
                <w:rFonts w:hint="eastAsia"/>
              </w:rPr>
            </w:pPr>
            <w:r>
              <w:rPr>
                <w:rFonts w:hint="eastAsia"/>
              </w:rPr>
              <w:t>废润滑油</w:t>
            </w:r>
          </w:p>
        </w:tc>
        <w:tc>
          <w:tcPr>
            <w:tcW w:w="731" w:type="pct"/>
            <w:vAlign w:val="center"/>
          </w:tcPr>
          <w:p w14:paraId="31992D0C">
            <w:pPr>
              <w:pStyle w:val="278"/>
              <w:adjustRightInd w:val="0"/>
              <w:snapToGrid w:val="0"/>
              <w:spacing w:line="300" w:lineRule="exact"/>
              <w:rPr>
                <w:rFonts w:hint="eastAsia"/>
              </w:rPr>
            </w:pPr>
            <w:r>
              <w:rPr>
                <w:rFonts w:hint="eastAsia"/>
              </w:rPr>
              <w:t>废润滑油</w:t>
            </w:r>
          </w:p>
        </w:tc>
        <w:tc>
          <w:tcPr>
            <w:tcW w:w="649" w:type="pct"/>
            <w:vAlign w:val="center"/>
          </w:tcPr>
          <w:p w14:paraId="5C61F41C">
            <w:pPr>
              <w:pStyle w:val="278"/>
              <w:adjustRightInd w:val="0"/>
              <w:snapToGrid w:val="0"/>
              <w:spacing w:line="300" w:lineRule="exact"/>
              <w:rPr>
                <w:rFonts w:hint="eastAsia"/>
              </w:rPr>
            </w:pPr>
            <w:r>
              <w:rPr>
                <w:rFonts w:hint="eastAsia"/>
              </w:rPr>
              <w:t>0.25t</w:t>
            </w:r>
            <w:r>
              <w:t>/a</w:t>
            </w:r>
          </w:p>
        </w:tc>
        <w:tc>
          <w:tcPr>
            <w:tcW w:w="568" w:type="pct"/>
            <w:vAlign w:val="center"/>
          </w:tcPr>
          <w:p w14:paraId="34DEAC57">
            <w:pPr>
              <w:pStyle w:val="278"/>
              <w:adjustRightInd w:val="0"/>
              <w:snapToGrid w:val="0"/>
              <w:spacing w:line="300" w:lineRule="exact"/>
              <w:rPr>
                <w:rFonts w:hint="eastAsia"/>
              </w:rPr>
            </w:pPr>
            <w:r>
              <w:rPr>
                <w:rFonts w:hint="eastAsia"/>
              </w:rPr>
              <w:t>0</w:t>
            </w:r>
          </w:p>
        </w:tc>
        <w:tc>
          <w:tcPr>
            <w:tcW w:w="1265" w:type="pct"/>
            <w:vMerge w:val="restart"/>
            <w:vAlign w:val="center"/>
          </w:tcPr>
          <w:p w14:paraId="5D865B19">
            <w:pPr>
              <w:pStyle w:val="278"/>
              <w:adjustRightInd w:val="0"/>
              <w:snapToGrid w:val="0"/>
              <w:spacing w:line="300" w:lineRule="exact"/>
              <w:rPr>
                <w:rFonts w:hint="eastAsia"/>
              </w:rPr>
            </w:pPr>
            <w:r>
              <w:rPr>
                <w:rFonts w:hint="eastAsia"/>
              </w:rPr>
              <w:t>集中收集后交由有相应危险废物处理资质的单位回收处置</w:t>
            </w:r>
          </w:p>
        </w:tc>
      </w:tr>
      <w:tr w14:paraId="23CCD1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6CE6A9B9">
            <w:pPr>
              <w:pStyle w:val="278"/>
              <w:adjustRightInd w:val="0"/>
              <w:snapToGrid w:val="0"/>
              <w:spacing w:line="300" w:lineRule="exact"/>
              <w:rPr>
                <w:rFonts w:hint="eastAsia"/>
              </w:rPr>
            </w:pPr>
          </w:p>
        </w:tc>
        <w:tc>
          <w:tcPr>
            <w:tcW w:w="637" w:type="pct"/>
            <w:vAlign w:val="center"/>
          </w:tcPr>
          <w:p w14:paraId="6809FD10">
            <w:pPr>
              <w:pStyle w:val="278"/>
              <w:adjustRightInd w:val="0"/>
              <w:snapToGrid w:val="0"/>
              <w:spacing w:line="300" w:lineRule="exact"/>
              <w:rPr>
                <w:rFonts w:hint="eastAsia"/>
              </w:rPr>
            </w:pPr>
            <w:r>
              <w:rPr>
                <w:rFonts w:hint="eastAsia"/>
              </w:rPr>
              <w:t>设备检维修</w:t>
            </w:r>
          </w:p>
        </w:tc>
        <w:tc>
          <w:tcPr>
            <w:tcW w:w="825" w:type="pct"/>
            <w:vAlign w:val="center"/>
          </w:tcPr>
          <w:p w14:paraId="623E4D84">
            <w:pPr>
              <w:pStyle w:val="278"/>
              <w:adjustRightInd w:val="0"/>
              <w:snapToGrid w:val="0"/>
              <w:spacing w:line="300" w:lineRule="exact"/>
              <w:rPr>
                <w:rFonts w:hint="eastAsia"/>
              </w:rPr>
            </w:pPr>
            <w:r>
              <w:rPr>
                <w:rFonts w:hint="eastAsia"/>
              </w:rPr>
              <w:t>废润滑油桶</w:t>
            </w:r>
          </w:p>
        </w:tc>
        <w:tc>
          <w:tcPr>
            <w:tcW w:w="731" w:type="pct"/>
            <w:vAlign w:val="center"/>
          </w:tcPr>
          <w:p w14:paraId="0B30A0B7">
            <w:pPr>
              <w:pStyle w:val="278"/>
              <w:adjustRightInd w:val="0"/>
              <w:snapToGrid w:val="0"/>
              <w:spacing w:line="300" w:lineRule="exact"/>
              <w:rPr>
                <w:rFonts w:hint="eastAsia"/>
              </w:rPr>
            </w:pPr>
            <w:r>
              <w:rPr>
                <w:rFonts w:hint="eastAsia"/>
              </w:rPr>
              <w:t>废润滑油桶</w:t>
            </w:r>
          </w:p>
        </w:tc>
        <w:tc>
          <w:tcPr>
            <w:tcW w:w="649" w:type="pct"/>
            <w:vAlign w:val="center"/>
          </w:tcPr>
          <w:p w14:paraId="63924533">
            <w:pPr>
              <w:pStyle w:val="278"/>
              <w:adjustRightInd w:val="0"/>
              <w:snapToGrid w:val="0"/>
              <w:spacing w:line="300" w:lineRule="exact"/>
              <w:rPr>
                <w:rFonts w:hint="eastAsia"/>
              </w:rPr>
            </w:pPr>
            <w:r>
              <w:rPr>
                <w:rFonts w:hint="eastAsia"/>
              </w:rPr>
              <w:t>0.02t</w:t>
            </w:r>
            <w:r>
              <w:t>/a</w:t>
            </w:r>
          </w:p>
        </w:tc>
        <w:tc>
          <w:tcPr>
            <w:tcW w:w="568" w:type="pct"/>
            <w:vAlign w:val="center"/>
          </w:tcPr>
          <w:p w14:paraId="7D75A29F">
            <w:pPr>
              <w:pStyle w:val="278"/>
              <w:adjustRightInd w:val="0"/>
              <w:snapToGrid w:val="0"/>
              <w:spacing w:line="300" w:lineRule="exact"/>
              <w:rPr>
                <w:rFonts w:hint="eastAsia"/>
              </w:rPr>
            </w:pPr>
            <w:r>
              <w:rPr>
                <w:rFonts w:hint="eastAsia"/>
              </w:rPr>
              <w:t>0</w:t>
            </w:r>
          </w:p>
        </w:tc>
        <w:tc>
          <w:tcPr>
            <w:tcW w:w="1265" w:type="pct"/>
            <w:vMerge w:val="continue"/>
            <w:vAlign w:val="center"/>
          </w:tcPr>
          <w:p w14:paraId="24EC9996">
            <w:pPr>
              <w:pStyle w:val="278"/>
              <w:adjustRightInd w:val="0"/>
              <w:snapToGrid w:val="0"/>
              <w:spacing w:line="300" w:lineRule="exact"/>
              <w:rPr>
                <w:rFonts w:hint="eastAsia"/>
              </w:rPr>
            </w:pPr>
          </w:p>
        </w:tc>
      </w:tr>
      <w:tr w14:paraId="0A3766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393DC6C">
            <w:pPr>
              <w:pStyle w:val="278"/>
              <w:adjustRightInd w:val="0"/>
              <w:snapToGrid w:val="0"/>
              <w:spacing w:line="300" w:lineRule="exact"/>
              <w:rPr>
                <w:rFonts w:hint="eastAsia"/>
              </w:rPr>
            </w:pPr>
          </w:p>
        </w:tc>
        <w:tc>
          <w:tcPr>
            <w:tcW w:w="637" w:type="pct"/>
            <w:vAlign w:val="center"/>
          </w:tcPr>
          <w:p w14:paraId="5A7BCC29">
            <w:pPr>
              <w:pStyle w:val="278"/>
              <w:adjustRightInd w:val="0"/>
              <w:snapToGrid w:val="0"/>
              <w:spacing w:line="300" w:lineRule="exact"/>
              <w:rPr>
                <w:rFonts w:hint="eastAsia"/>
              </w:rPr>
            </w:pPr>
            <w:r>
              <w:rPr>
                <w:rFonts w:hint="eastAsia"/>
              </w:rPr>
              <w:t>设备检维修</w:t>
            </w:r>
          </w:p>
        </w:tc>
        <w:tc>
          <w:tcPr>
            <w:tcW w:w="825" w:type="pct"/>
            <w:vAlign w:val="center"/>
          </w:tcPr>
          <w:p w14:paraId="5A54322F">
            <w:pPr>
              <w:pStyle w:val="278"/>
              <w:adjustRightInd w:val="0"/>
              <w:snapToGrid w:val="0"/>
              <w:spacing w:line="300" w:lineRule="exact"/>
              <w:rPr>
                <w:rFonts w:hint="eastAsia"/>
              </w:rPr>
            </w:pPr>
            <w:r>
              <w:rPr>
                <w:rFonts w:hint="eastAsia"/>
              </w:rPr>
              <w:t>废含油抹布、劳保用品</w:t>
            </w:r>
          </w:p>
        </w:tc>
        <w:tc>
          <w:tcPr>
            <w:tcW w:w="731" w:type="pct"/>
            <w:vAlign w:val="center"/>
          </w:tcPr>
          <w:p w14:paraId="6B16277D">
            <w:pPr>
              <w:pStyle w:val="278"/>
              <w:adjustRightInd w:val="0"/>
              <w:snapToGrid w:val="0"/>
              <w:spacing w:line="300" w:lineRule="exact"/>
              <w:rPr>
                <w:rFonts w:hint="eastAsia"/>
              </w:rPr>
            </w:pPr>
            <w:r>
              <w:rPr>
                <w:rFonts w:hint="eastAsia"/>
              </w:rPr>
              <w:t>废含油抹布、劳保用品</w:t>
            </w:r>
          </w:p>
        </w:tc>
        <w:tc>
          <w:tcPr>
            <w:tcW w:w="649" w:type="pct"/>
            <w:vAlign w:val="center"/>
          </w:tcPr>
          <w:p w14:paraId="4BF5CE43">
            <w:pPr>
              <w:pStyle w:val="278"/>
              <w:adjustRightInd w:val="0"/>
              <w:snapToGrid w:val="0"/>
              <w:spacing w:line="300" w:lineRule="exact"/>
              <w:rPr>
                <w:rFonts w:hint="eastAsia"/>
              </w:rPr>
            </w:pPr>
            <w:r>
              <w:rPr>
                <w:rFonts w:hint="eastAsia"/>
              </w:rPr>
              <w:t>0.01t</w:t>
            </w:r>
            <w:r>
              <w:t>/a</w:t>
            </w:r>
          </w:p>
        </w:tc>
        <w:tc>
          <w:tcPr>
            <w:tcW w:w="568" w:type="pct"/>
            <w:vAlign w:val="center"/>
          </w:tcPr>
          <w:p w14:paraId="2FF6B0E4">
            <w:pPr>
              <w:pStyle w:val="278"/>
              <w:adjustRightInd w:val="0"/>
              <w:snapToGrid w:val="0"/>
              <w:spacing w:line="300" w:lineRule="exact"/>
              <w:rPr>
                <w:rFonts w:hint="eastAsia"/>
              </w:rPr>
            </w:pPr>
            <w:r>
              <w:rPr>
                <w:rFonts w:hint="eastAsia"/>
              </w:rPr>
              <w:t>0</w:t>
            </w:r>
          </w:p>
        </w:tc>
        <w:tc>
          <w:tcPr>
            <w:tcW w:w="1265" w:type="pct"/>
            <w:vMerge w:val="continue"/>
            <w:vAlign w:val="center"/>
          </w:tcPr>
          <w:p w14:paraId="25ECD86C">
            <w:pPr>
              <w:pStyle w:val="278"/>
              <w:adjustRightInd w:val="0"/>
              <w:snapToGrid w:val="0"/>
              <w:spacing w:line="300" w:lineRule="exact"/>
              <w:rPr>
                <w:rFonts w:hint="eastAsia"/>
              </w:rPr>
            </w:pPr>
          </w:p>
        </w:tc>
      </w:tr>
      <w:tr w14:paraId="2C0034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A65F55C">
            <w:pPr>
              <w:pStyle w:val="278"/>
              <w:adjustRightInd w:val="0"/>
              <w:snapToGrid w:val="0"/>
              <w:spacing w:line="300" w:lineRule="exact"/>
              <w:rPr>
                <w:rFonts w:hint="eastAsia"/>
              </w:rPr>
            </w:pPr>
          </w:p>
        </w:tc>
        <w:tc>
          <w:tcPr>
            <w:tcW w:w="637" w:type="pct"/>
            <w:vAlign w:val="center"/>
          </w:tcPr>
          <w:p w14:paraId="04827E80">
            <w:pPr>
              <w:pStyle w:val="278"/>
              <w:adjustRightInd w:val="0"/>
              <w:snapToGrid w:val="0"/>
              <w:spacing w:line="300" w:lineRule="exact"/>
              <w:rPr>
                <w:rFonts w:hint="eastAsia"/>
              </w:rPr>
            </w:pPr>
            <w:r>
              <w:rPr>
                <w:rFonts w:hint="eastAsia"/>
              </w:rPr>
              <w:t>井下作业</w:t>
            </w:r>
          </w:p>
        </w:tc>
        <w:tc>
          <w:tcPr>
            <w:tcW w:w="825" w:type="pct"/>
            <w:vAlign w:val="center"/>
          </w:tcPr>
          <w:p w14:paraId="1D3BB132">
            <w:pPr>
              <w:pStyle w:val="278"/>
              <w:adjustRightInd w:val="0"/>
              <w:snapToGrid w:val="0"/>
              <w:spacing w:line="300" w:lineRule="exact"/>
              <w:rPr>
                <w:rFonts w:hint="eastAsia"/>
              </w:rPr>
            </w:pPr>
            <w:r>
              <w:rPr>
                <w:rFonts w:hint="eastAsia"/>
              </w:rPr>
              <w:t>沾油废防渗材料</w:t>
            </w:r>
          </w:p>
        </w:tc>
        <w:tc>
          <w:tcPr>
            <w:tcW w:w="731" w:type="pct"/>
            <w:vAlign w:val="center"/>
          </w:tcPr>
          <w:p w14:paraId="16098397">
            <w:pPr>
              <w:pStyle w:val="278"/>
              <w:adjustRightInd w:val="0"/>
              <w:snapToGrid w:val="0"/>
              <w:spacing w:line="300" w:lineRule="exact"/>
              <w:rPr>
                <w:rFonts w:hint="eastAsia"/>
              </w:rPr>
            </w:pPr>
            <w:r>
              <w:rPr>
                <w:rFonts w:hint="eastAsia"/>
              </w:rPr>
              <w:t>沾油废防渗材料</w:t>
            </w:r>
          </w:p>
        </w:tc>
        <w:tc>
          <w:tcPr>
            <w:tcW w:w="649" w:type="pct"/>
            <w:vAlign w:val="center"/>
          </w:tcPr>
          <w:p w14:paraId="0609E2B8">
            <w:pPr>
              <w:pStyle w:val="278"/>
              <w:adjustRightInd w:val="0"/>
              <w:snapToGrid w:val="0"/>
              <w:spacing w:line="300" w:lineRule="exact"/>
              <w:rPr>
                <w:rFonts w:hint="eastAsia"/>
              </w:rPr>
            </w:pPr>
            <w:r>
              <w:rPr>
                <w:rFonts w:hint="eastAsia"/>
              </w:rPr>
              <w:t>0.35t</w:t>
            </w:r>
            <w:r>
              <w:t>/a</w:t>
            </w:r>
          </w:p>
        </w:tc>
        <w:tc>
          <w:tcPr>
            <w:tcW w:w="568" w:type="pct"/>
            <w:vAlign w:val="center"/>
          </w:tcPr>
          <w:p w14:paraId="444B5C6C">
            <w:pPr>
              <w:pStyle w:val="278"/>
              <w:adjustRightInd w:val="0"/>
              <w:snapToGrid w:val="0"/>
              <w:spacing w:line="300" w:lineRule="exact"/>
              <w:rPr>
                <w:rFonts w:hint="eastAsia"/>
              </w:rPr>
            </w:pPr>
            <w:r>
              <w:rPr>
                <w:rFonts w:hint="eastAsia"/>
              </w:rPr>
              <w:t>0</w:t>
            </w:r>
          </w:p>
        </w:tc>
        <w:tc>
          <w:tcPr>
            <w:tcW w:w="1265" w:type="pct"/>
            <w:vMerge w:val="continue"/>
            <w:vAlign w:val="center"/>
          </w:tcPr>
          <w:p w14:paraId="1A258230">
            <w:pPr>
              <w:pStyle w:val="278"/>
              <w:adjustRightInd w:val="0"/>
              <w:snapToGrid w:val="0"/>
              <w:spacing w:line="300" w:lineRule="exact"/>
              <w:rPr>
                <w:rFonts w:hint="eastAsia"/>
              </w:rPr>
            </w:pPr>
          </w:p>
        </w:tc>
      </w:tr>
      <w:tr w14:paraId="639C6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25" w:type="pct"/>
            <w:vMerge w:val="continue"/>
            <w:vAlign w:val="center"/>
          </w:tcPr>
          <w:p w14:paraId="0888F073">
            <w:pPr>
              <w:pStyle w:val="278"/>
              <w:adjustRightInd w:val="0"/>
              <w:snapToGrid w:val="0"/>
              <w:spacing w:line="300" w:lineRule="exact"/>
              <w:rPr>
                <w:rFonts w:hint="eastAsia"/>
              </w:rPr>
            </w:pPr>
          </w:p>
        </w:tc>
        <w:tc>
          <w:tcPr>
            <w:tcW w:w="637" w:type="pct"/>
            <w:vAlign w:val="center"/>
          </w:tcPr>
          <w:p w14:paraId="087D2267">
            <w:pPr>
              <w:pStyle w:val="278"/>
              <w:adjustRightInd w:val="0"/>
              <w:snapToGrid w:val="0"/>
              <w:spacing w:line="300" w:lineRule="exact"/>
              <w:rPr>
                <w:rFonts w:hint="eastAsia"/>
              </w:rPr>
            </w:pPr>
            <w:r>
              <w:rPr>
                <w:rFonts w:hint="eastAsia"/>
              </w:rPr>
              <w:t>脱硫橇</w:t>
            </w:r>
          </w:p>
        </w:tc>
        <w:tc>
          <w:tcPr>
            <w:tcW w:w="825" w:type="pct"/>
            <w:vAlign w:val="center"/>
          </w:tcPr>
          <w:p w14:paraId="439D8CDB">
            <w:pPr>
              <w:pStyle w:val="278"/>
              <w:adjustRightInd w:val="0"/>
              <w:snapToGrid w:val="0"/>
              <w:spacing w:line="300" w:lineRule="exact"/>
              <w:rPr>
                <w:rFonts w:hint="eastAsia"/>
              </w:rPr>
            </w:pPr>
            <w:r>
              <w:rPr>
                <w:rFonts w:hint="eastAsia"/>
              </w:rPr>
              <w:t>废脱硫剂包装物</w:t>
            </w:r>
          </w:p>
        </w:tc>
        <w:tc>
          <w:tcPr>
            <w:tcW w:w="731" w:type="pct"/>
            <w:vAlign w:val="center"/>
          </w:tcPr>
          <w:p w14:paraId="0E317352">
            <w:pPr>
              <w:pStyle w:val="278"/>
              <w:adjustRightInd w:val="0"/>
              <w:snapToGrid w:val="0"/>
              <w:spacing w:line="300" w:lineRule="exact"/>
              <w:rPr>
                <w:rFonts w:hint="eastAsia"/>
              </w:rPr>
            </w:pPr>
            <w:r>
              <w:rPr>
                <w:rFonts w:hint="eastAsia"/>
              </w:rPr>
              <w:t>废脱硫剂包装物</w:t>
            </w:r>
          </w:p>
        </w:tc>
        <w:tc>
          <w:tcPr>
            <w:tcW w:w="649" w:type="pct"/>
            <w:vAlign w:val="center"/>
          </w:tcPr>
          <w:p w14:paraId="1A21C863">
            <w:pPr>
              <w:pStyle w:val="278"/>
              <w:adjustRightInd w:val="0"/>
              <w:snapToGrid w:val="0"/>
              <w:spacing w:line="300" w:lineRule="exact"/>
              <w:rPr>
                <w:rFonts w:hint="eastAsia"/>
              </w:rPr>
            </w:pPr>
            <w:r>
              <w:rPr>
                <w:rFonts w:hint="eastAsia"/>
              </w:rPr>
              <w:t>0.1t/a</w:t>
            </w:r>
          </w:p>
        </w:tc>
        <w:tc>
          <w:tcPr>
            <w:tcW w:w="568" w:type="pct"/>
            <w:vAlign w:val="center"/>
          </w:tcPr>
          <w:p w14:paraId="1D114F44">
            <w:pPr>
              <w:pStyle w:val="278"/>
              <w:adjustRightInd w:val="0"/>
              <w:snapToGrid w:val="0"/>
              <w:spacing w:line="300" w:lineRule="exact"/>
              <w:rPr>
                <w:rFonts w:hint="eastAsia"/>
              </w:rPr>
            </w:pPr>
            <w:r>
              <w:rPr>
                <w:rFonts w:hint="eastAsia"/>
              </w:rPr>
              <w:t>0</w:t>
            </w:r>
          </w:p>
        </w:tc>
        <w:tc>
          <w:tcPr>
            <w:tcW w:w="1265" w:type="pct"/>
            <w:vAlign w:val="center"/>
          </w:tcPr>
          <w:p w14:paraId="3C1A9A40">
            <w:pPr>
              <w:pStyle w:val="278"/>
              <w:adjustRightInd w:val="0"/>
              <w:snapToGrid w:val="0"/>
              <w:spacing w:line="300" w:lineRule="exact"/>
              <w:rPr>
                <w:rFonts w:hint="eastAsia"/>
              </w:rPr>
            </w:pPr>
            <w:r>
              <w:rPr>
                <w:rFonts w:hint="eastAsia"/>
              </w:rPr>
              <w:t>厂家回收利用</w:t>
            </w:r>
          </w:p>
        </w:tc>
      </w:tr>
    </w:tbl>
    <w:p w14:paraId="22147842">
      <w:pPr>
        <w:pStyle w:val="109"/>
        <w:rPr>
          <w:rFonts w:hint="eastAsia"/>
        </w:rPr>
        <w:sectPr>
          <w:pgSz w:w="16838" w:h="11906" w:orient="landscape"/>
          <w:pgMar w:top="1588" w:right="1418" w:bottom="1588" w:left="1418" w:header="1020" w:footer="1020" w:gutter="0"/>
          <w:cols w:space="720" w:num="1"/>
          <w:docGrid w:type="lines" w:linePitch="317" w:charSpace="0"/>
        </w:sectPr>
      </w:pPr>
    </w:p>
    <w:p w14:paraId="2A4BA0A3">
      <w:pPr>
        <w:pStyle w:val="4"/>
        <w:rPr>
          <w:rFonts w:hint="eastAsia"/>
        </w:rPr>
      </w:pPr>
      <w:r>
        <w:rPr>
          <w:rFonts w:hint="eastAsia"/>
        </w:rPr>
        <w:t>退役期污染源分析</w:t>
      </w:r>
    </w:p>
    <w:p w14:paraId="325E47F6">
      <w:pPr>
        <w:pStyle w:val="117"/>
        <w:ind w:firstLine="480"/>
        <w:rPr>
          <w:rFonts w:hint="eastAsia"/>
        </w:rPr>
      </w:pPr>
      <w:r>
        <w:rPr>
          <w:rFonts w:hint="eastAsia"/>
        </w:rPr>
        <w:t>退役期施工过程中会产生少量的扬尘、废弃管线、建筑垃圾等。</w:t>
      </w:r>
    </w:p>
    <w:p w14:paraId="65FB6B6D">
      <w:pPr>
        <w:pStyle w:val="4"/>
        <w:rPr>
          <w:rFonts w:hint="eastAsia"/>
        </w:rPr>
      </w:pPr>
      <w:bookmarkStart w:id="353" w:name="_Hlk92205310"/>
      <w:r>
        <w:rPr>
          <w:rFonts w:hint="eastAsia"/>
        </w:rPr>
        <w:t>非正常工况环境影响分析</w:t>
      </w:r>
    </w:p>
    <w:bookmarkEnd w:id="353"/>
    <w:p w14:paraId="6D561E61">
      <w:pPr>
        <w:pStyle w:val="117"/>
        <w:adjustRightInd w:val="0"/>
        <w:snapToGrid w:val="0"/>
        <w:spacing w:line="480" w:lineRule="exact"/>
        <w:ind w:firstLine="480"/>
        <w:rPr>
          <w:rFonts w:hint="eastAsia"/>
        </w:rPr>
      </w:pPr>
      <w:r>
        <w:rPr>
          <w:rFonts w:hint="eastAsia"/>
        </w:rPr>
        <w:t>可能出现的事故主要有井喷、井漏和管线泄漏事故。</w:t>
      </w:r>
    </w:p>
    <w:p w14:paraId="1BD86913">
      <w:pPr>
        <w:pStyle w:val="117"/>
        <w:adjustRightInd w:val="0"/>
        <w:snapToGrid w:val="0"/>
        <w:spacing w:line="480" w:lineRule="exact"/>
        <w:ind w:firstLine="480" w:firstLineChars="0"/>
        <w:rPr>
          <w:rFonts w:hint="eastAsia"/>
        </w:rPr>
      </w:pPr>
      <w:r>
        <w:rPr>
          <w:rFonts w:hint="eastAsia"/>
        </w:rPr>
        <w:t>①井喷事故</w:t>
      </w:r>
    </w:p>
    <w:p w14:paraId="5843BEDD">
      <w:pPr>
        <w:pStyle w:val="117"/>
        <w:adjustRightInd w:val="0"/>
        <w:snapToGrid w:val="0"/>
        <w:spacing w:line="480" w:lineRule="exact"/>
        <w:ind w:firstLine="480"/>
        <w:rPr>
          <w:rFonts w:hint="eastAsia"/>
        </w:rPr>
      </w:pPr>
      <w:r>
        <w:rPr>
          <w:rFonts w:hint="eastAsia"/>
        </w:rPr>
        <w:t>井喷主要是在油田钻井和井下作业过程中发生的事故。在钻井下作业过程中由于地层压力不稳、封井不严或者井控设备失灵，均可能发生井喷事故。发生井喷事故时，伴生气、采出水、原油和钻井液一同冲出井口，很容易发生爆炸和火灾事故。</w:t>
      </w:r>
    </w:p>
    <w:p w14:paraId="39FE10A2">
      <w:pPr>
        <w:pStyle w:val="117"/>
        <w:adjustRightInd w:val="0"/>
        <w:snapToGrid w:val="0"/>
        <w:spacing w:line="480" w:lineRule="exact"/>
        <w:ind w:firstLine="480"/>
        <w:rPr>
          <w:rFonts w:hint="eastAsia"/>
        </w:rPr>
      </w:pPr>
      <w:r>
        <w:rPr>
          <w:rFonts w:hint="eastAsia"/>
        </w:rPr>
        <w:t>②井漏事故</w:t>
      </w:r>
    </w:p>
    <w:p w14:paraId="62D0E35A">
      <w:pPr>
        <w:pStyle w:val="117"/>
        <w:adjustRightInd w:val="0"/>
        <w:snapToGrid w:val="0"/>
        <w:spacing w:line="480" w:lineRule="exact"/>
        <w:ind w:firstLine="480"/>
        <w:rPr>
          <w:rFonts w:hint="eastAsia"/>
        </w:rPr>
      </w:pPr>
      <w:r>
        <w:rPr>
          <w:rFonts w:hint="eastAsia"/>
        </w:rPr>
        <w:t>井漏事故一般发生在钻井及井下作业修井过程中，通常是由于套管破损或者固井质量不好，导致钻井液/修井液漏入地层。漏层的类型、井漏的严重程度，因漏失层位各不相同，变化很大，一旦发生井漏，使大量钻井液/修井液漏失，除造成经济损失外，还可能对地下含水层造成一定的污染和危害。</w:t>
      </w:r>
    </w:p>
    <w:p w14:paraId="02AEDEFF">
      <w:pPr>
        <w:pStyle w:val="117"/>
        <w:adjustRightInd w:val="0"/>
        <w:snapToGrid w:val="0"/>
        <w:spacing w:line="480" w:lineRule="exact"/>
        <w:ind w:firstLine="480" w:firstLineChars="0"/>
        <w:rPr>
          <w:rFonts w:hint="eastAsia"/>
        </w:rPr>
      </w:pPr>
      <w:r>
        <w:rPr>
          <w:rFonts w:hint="eastAsia"/>
        </w:rPr>
        <w:t>③管线泄漏</w:t>
      </w:r>
    </w:p>
    <w:p w14:paraId="09AD9450">
      <w:pPr>
        <w:pStyle w:val="117"/>
        <w:adjustRightInd w:val="0"/>
        <w:snapToGrid w:val="0"/>
        <w:spacing w:line="480" w:lineRule="exact"/>
        <w:ind w:firstLine="480"/>
        <w:rPr>
          <w:rFonts w:hint="eastAsia"/>
        </w:rPr>
      </w:pPr>
      <w:r>
        <w:rPr>
          <w:rFonts w:hint="eastAsia"/>
        </w:rPr>
        <w:t>由于腐蚀、误操作等原因，单井采油管线和拉油罐发生破裂导致原油、伴生气泄漏，泄漏的原油可能污染土壤和地下水。</w:t>
      </w:r>
    </w:p>
    <w:p w14:paraId="31BFBF8D">
      <w:pPr>
        <w:pStyle w:val="2"/>
        <w:rPr>
          <w:rFonts w:hint="eastAsia"/>
        </w:rPr>
      </w:pPr>
      <w:bookmarkStart w:id="354" w:name="_Toc160381878"/>
      <w:r>
        <w:rPr>
          <w:rFonts w:hint="eastAsia"/>
        </w:rPr>
        <w:t>总量控制指标</w:t>
      </w:r>
      <w:bookmarkEnd w:id="354"/>
    </w:p>
    <w:p w14:paraId="5599B40D">
      <w:pPr>
        <w:pStyle w:val="117"/>
        <w:ind w:firstLine="480"/>
        <w:rPr>
          <w:rFonts w:hint="eastAsia"/>
        </w:rPr>
      </w:pPr>
      <w:r>
        <w:rPr>
          <w:rFonts w:hint="eastAsia"/>
        </w:rPr>
        <w:t>根据《“十四五”污染减排综合工作方案编制技术指南》，大气污染物减排因子为N</w:t>
      </w:r>
      <w:r>
        <w:t>O</w:t>
      </w:r>
      <w:r>
        <w:rPr>
          <w:vertAlign w:val="subscript"/>
        </w:rPr>
        <w:t>x</w:t>
      </w:r>
      <w:r>
        <w:rPr>
          <w:rFonts w:hint="eastAsia"/>
        </w:rPr>
        <w:t>、V</w:t>
      </w:r>
      <w:r>
        <w:t>OCs</w:t>
      </w:r>
      <w:r>
        <w:rPr>
          <w:rFonts w:hint="eastAsia"/>
        </w:rPr>
        <w:t>，水污染物减排因子为C</w:t>
      </w:r>
      <w:r>
        <w:t>OD</w:t>
      </w:r>
      <w:r>
        <w:rPr>
          <w:rFonts w:hint="eastAsia"/>
        </w:rPr>
        <w:t>和氨氮。洗井废水、压裂返排液、酸化返排液和废洗井液集中收集后送至压裂返排液处理系统处理，处理达标后用于压裂液复配，不外排；放空火炬燃烧烟气中的氮氧化物为无组织排放，本项目无有组织氮氧化物排放，非甲烷总烃为无组织排放，</w:t>
      </w:r>
      <w:r>
        <w:rPr>
          <w:rFonts w:hint="eastAsia" w:cs="宋体"/>
        </w:rPr>
        <w:t>故本次不进行总量控制指标申请</w:t>
      </w:r>
      <w:r>
        <w:rPr>
          <w:rFonts w:hint="eastAsia"/>
        </w:rPr>
        <w:t>。</w:t>
      </w:r>
    </w:p>
    <w:bookmarkEnd w:id="350"/>
    <w:bookmarkEnd w:id="351"/>
    <w:p w14:paraId="20DD8D23">
      <w:pPr>
        <w:pStyle w:val="2"/>
        <w:rPr>
          <w:rFonts w:hint="eastAsia"/>
        </w:rPr>
      </w:pPr>
      <w:bookmarkStart w:id="355" w:name="_Toc160381879"/>
      <w:bookmarkStart w:id="356" w:name="_Toc475624472"/>
      <w:r>
        <w:rPr>
          <w:rFonts w:hint="eastAsia"/>
        </w:rPr>
        <w:t>清洁生产分析</w:t>
      </w:r>
      <w:bookmarkEnd w:id="355"/>
      <w:bookmarkEnd w:id="356"/>
    </w:p>
    <w:p w14:paraId="76BD76C4">
      <w:pPr>
        <w:pStyle w:val="117"/>
        <w:adjustRightInd w:val="0"/>
        <w:snapToGrid w:val="0"/>
        <w:spacing w:line="480" w:lineRule="exact"/>
        <w:ind w:firstLine="480"/>
        <w:rPr>
          <w:rFonts w:hint="eastAsia"/>
        </w:rPr>
      </w:pPr>
      <w:r>
        <w:rPr>
          <w:rFonts w:hint="eastAsia"/>
        </w:rPr>
        <w:t>所谓</w:t>
      </w:r>
      <w:r>
        <w:t>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w:t>
      </w:r>
      <w:bookmarkStart w:id="357" w:name="_Toc445840430"/>
      <w:bookmarkStart w:id="358" w:name="_Toc30202"/>
      <w:bookmarkStart w:id="359" w:name="_Toc445996487"/>
      <w:bookmarkStart w:id="360" w:name="_Toc445842172"/>
      <w:r>
        <w:rPr>
          <w:rFonts w:hint="eastAsia"/>
        </w:rPr>
        <w:t>清洁生产是一种新的、创造性的思维方式，它以节能、降耗、减污、增效为目标，以技术和管理为手段，通过对生产全过程的排污审核、筛选并实施污染防治措施，以消除和减少工业生产对人类健康与生态环境的影响，达到防治污染、提高经济效益的双重目的。</w:t>
      </w:r>
      <w:bookmarkEnd w:id="357"/>
      <w:bookmarkEnd w:id="358"/>
      <w:bookmarkEnd w:id="359"/>
      <w:bookmarkEnd w:id="360"/>
    </w:p>
    <w:p w14:paraId="5D822341">
      <w:pPr>
        <w:pStyle w:val="117"/>
        <w:adjustRightInd w:val="0"/>
        <w:snapToGrid w:val="0"/>
        <w:spacing w:line="480" w:lineRule="exact"/>
        <w:ind w:firstLine="480"/>
        <w:rPr>
          <w:rFonts w:hint="eastAsia"/>
        </w:rPr>
      </w:pPr>
      <w:r>
        <w:rPr>
          <w:rFonts w:hint="eastAsia"/>
        </w:rPr>
        <w:t>（1）指标分析</w:t>
      </w:r>
    </w:p>
    <w:p w14:paraId="648F5DBC">
      <w:pPr>
        <w:pStyle w:val="117"/>
        <w:adjustRightInd w:val="0"/>
        <w:snapToGrid w:val="0"/>
        <w:spacing w:line="480" w:lineRule="exact"/>
        <w:ind w:firstLine="480"/>
        <w:rPr>
          <w:rFonts w:hint="eastAsia"/>
        </w:rPr>
      </w:pPr>
      <w:r>
        <w:rPr>
          <w:rFonts w:hint="eastAsia"/>
        </w:rPr>
        <w:t>①指标</w:t>
      </w:r>
    </w:p>
    <w:p w14:paraId="6B0BEF6D">
      <w:pPr>
        <w:pStyle w:val="117"/>
        <w:adjustRightInd w:val="0"/>
        <w:snapToGrid w:val="0"/>
        <w:spacing w:line="480" w:lineRule="exact"/>
        <w:ind w:firstLine="480"/>
        <w:rPr>
          <w:rFonts w:hint="eastAsia"/>
        </w:rPr>
      </w:pPr>
      <w:r>
        <w:t>根据《石油天然气开采行业清洁生产评价指标体系》（试行）</w:t>
      </w:r>
      <w:r>
        <w:rPr>
          <w:rFonts w:hint="eastAsia"/>
        </w:rPr>
        <w:t>进行</w:t>
      </w:r>
      <w:r>
        <w:t>清洁生产水平评价</w:t>
      </w:r>
      <w:r>
        <w:rPr>
          <w:rFonts w:hint="eastAsia"/>
        </w:rPr>
        <w:t>。</w:t>
      </w:r>
      <w:r>
        <w:t>井下</w:t>
      </w:r>
      <w:r>
        <w:rPr>
          <w:rFonts w:hint="eastAsia"/>
        </w:rPr>
        <w:t>作业</w:t>
      </w:r>
      <w:r>
        <w:t>、采</w:t>
      </w:r>
      <w:r>
        <w:rPr>
          <w:rFonts w:hint="eastAsia"/>
        </w:rPr>
        <w:t>油</w:t>
      </w:r>
      <w:r>
        <w:t>作业定量和定性评价指标项目、权重及基准值</w:t>
      </w:r>
      <w:r>
        <w:rPr>
          <w:rFonts w:hint="eastAsia"/>
        </w:rPr>
        <w:t>见表3.</w:t>
      </w:r>
      <w:r>
        <w:t>5</w:t>
      </w:r>
      <w:r>
        <w:rPr>
          <w:rFonts w:hint="eastAsia"/>
        </w:rPr>
        <w:t>-1表3.</w:t>
      </w:r>
      <w:r>
        <w:t>5</w:t>
      </w:r>
      <w:r>
        <w:rPr>
          <w:rFonts w:hint="eastAsia"/>
        </w:rPr>
        <w:t>-2和表3.5-3</w:t>
      </w:r>
      <w:r>
        <w:t>。</w:t>
      </w:r>
    </w:p>
    <w:p w14:paraId="43ED2BA6">
      <w:pPr>
        <w:adjustRightInd w:val="0"/>
        <w:snapToGrid w:val="0"/>
        <w:spacing w:line="480" w:lineRule="exact"/>
        <w:ind w:firstLine="480" w:firstLineChars="200"/>
        <w:rPr>
          <w:rFonts w:hint="eastAsia" w:ascii="宋体" w:hAnsi="宋体"/>
          <w:sz w:val="24"/>
          <w:szCs w:val="24"/>
        </w:rPr>
      </w:pPr>
      <w:bookmarkStart w:id="361" w:name="_Hlk512531051"/>
      <w:r>
        <w:rPr>
          <w:rFonts w:hint="eastAsia" w:ascii="宋体" w:hAnsi="宋体"/>
          <w:sz w:val="24"/>
          <w:szCs w:val="24"/>
        </w:rPr>
        <w:t>②</w:t>
      </w:r>
      <w:r>
        <w:rPr>
          <w:rFonts w:ascii="宋体" w:hAnsi="宋体"/>
          <w:sz w:val="24"/>
          <w:szCs w:val="24"/>
        </w:rPr>
        <w:t>综合评价指数考核评分计算</w:t>
      </w:r>
      <w:bookmarkEnd w:id="361"/>
    </w:p>
    <w:p w14:paraId="7CB04D4D">
      <w:pPr>
        <w:adjustRightInd w:val="0"/>
        <w:snapToGrid w:val="0"/>
        <w:spacing w:line="480" w:lineRule="exact"/>
        <w:ind w:firstLine="480" w:firstLineChars="200"/>
        <w:rPr>
          <w:rFonts w:hint="eastAsia" w:ascii="宋体" w:hAnsi="宋体"/>
          <w:sz w:val="24"/>
          <w:szCs w:val="24"/>
        </w:rPr>
      </w:pPr>
      <w:r>
        <w:rPr>
          <w:rFonts w:ascii="宋体" w:hAnsi="宋体"/>
          <w:sz w:val="24"/>
          <w:szCs w:val="24"/>
        </w:rPr>
        <w:t>综合评价指数考核总分值的计算公式为：</w:t>
      </w:r>
    </w:p>
    <w:p w14:paraId="62CB628A">
      <w:pPr>
        <w:adjustRightInd w:val="0"/>
        <w:snapToGrid w:val="0"/>
        <w:spacing w:line="480" w:lineRule="exact"/>
        <w:ind w:firstLine="480" w:firstLineChars="200"/>
        <w:rPr>
          <w:rFonts w:hint="eastAsia" w:ascii="宋体" w:hAnsi="宋体"/>
          <w:sz w:val="24"/>
          <w:szCs w:val="24"/>
          <w:vertAlign w:val="subscript"/>
        </w:rPr>
      </w:pPr>
      <w:r>
        <w:rPr>
          <w:rFonts w:ascii="宋体" w:hAnsi="宋体"/>
          <w:sz w:val="24"/>
          <w:szCs w:val="24"/>
        </w:rPr>
        <w:t xml:space="preserve">       P=0.6P</w:t>
      </w:r>
      <w:r>
        <w:rPr>
          <w:rFonts w:ascii="宋体" w:hAnsi="宋体"/>
          <w:sz w:val="24"/>
          <w:szCs w:val="24"/>
          <w:vertAlign w:val="subscript"/>
        </w:rPr>
        <w:t>1</w:t>
      </w:r>
      <w:r>
        <w:rPr>
          <w:rFonts w:ascii="宋体" w:hAnsi="宋体"/>
          <w:sz w:val="24"/>
          <w:szCs w:val="24"/>
        </w:rPr>
        <w:t>+0.4P</w:t>
      </w:r>
      <w:r>
        <w:rPr>
          <w:rFonts w:ascii="宋体" w:hAnsi="宋体"/>
          <w:sz w:val="24"/>
          <w:szCs w:val="24"/>
          <w:vertAlign w:val="subscript"/>
        </w:rPr>
        <w:t>2</w:t>
      </w:r>
    </w:p>
    <w:p w14:paraId="29DAB5FD">
      <w:pPr>
        <w:adjustRightInd w:val="0"/>
        <w:snapToGrid w:val="0"/>
        <w:spacing w:line="480" w:lineRule="exact"/>
        <w:ind w:firstLine="480" w:firstLineChars="200"/>
        <w:rPr>
          <w:rFonts w:hint="eastAsia" w:ascii="宋体" w:hAnsi="宋体"/>
          <w:sz w:val="24"/>
          <w:szCs w:val="24"/>
        </w:rPr>
      </w:pPr>
      <w:r>
        <w:rPr>
          <w:rFonts w:ascii="宋体" w:hAnsi="宋体"/>
          <w:sz w:val="24"/>
          <w:szCs w:val="24"/>
        </w:rPr>
        <w:t>式中：P—清洁生产综合评价指数</w:t>
      </w:r>
    </w:p>
    <w:p w14:paraId="46846787">
      <w:pPr>
        <w:adjustRightInd w:val="0"/>
        <w:snapToGrid w:val="0"/>
        <w:spacing w:line="480" w:lineRule="exact"/>
        <w:ind w:firstLine="480" w:firstLineChars="200"/>
        <w:rPr>
          <w:rFonts w:hint="eastAsia" w:ascii="宋体" w:hAnsi="宋体"/>
          <w:sz w:val="24"/>
          <w:szCs w:val="24"/>
        </w:rPr>
      </w:pPr>
      <w:r>
        <w:rPr>
          <w:rFonts w:ascii="宋体" w:hAnsi="宋体"/>
          <w:sz w:val="24"/>
          <w:szCs w:val="24"/>
        </w:rPr>
        <w:t xml:space="preserve">      P</w:t>
      </w:r>
      <w:r>
        <w:rPr>
          <w:rFonts w:ascii="宋体" w:hAnsi="宋体"/>
          <w:sz w:val="24"/>
          <w:szCs w:val="24"/>
          <w:vertAlign w:val="subscript"/>
        </w:rPr>
        <w:t>1</w:t>
      </w:r>
      <w:r>
        <w:rPr>
          <w:rFonts w:ascii="宋体" w:hAnsi="宋体"/>
          <w:sz w:val="24"/>
          <w:szCs w:val="24"/>
        </w:rPr>
        <w:t>—定量评价考核总分值；</w:t>
      </w:r>
    </w:p>
    <w:p w14:paraId="60847DDB">
      <w:pPr>
        <w:adjustRightInd w:val="0"/>
        <w:snapToGrid w:val="0"/>
        <w:spacing w:line="480" w:lineRule="exact"/>
        <w:ind w:firstLine="480" w:firstLineChars="200"/>
      </w:pPr>
      <w:r>
        <w:rPr>
          <w:rFonts w:ascii="宋体" w:hAnsi="宋体"/>
          <w:sz w:val="24"/>
          <w:szCs w:val="24"/>
        </w:rPr>
        <w:t xml:space="preserve">      P</w:t>
      </w:r>
      <w:r>
        <w:rPr>
          <w:rFonts w:ascii="宋体" w:hAnsi="宋体"/>
          <w:sz w:val="24"/>
          <w:szCs w:val="24"/>
          <w:vertAlign w:val="subscript"/>
        </w:rPr>
        <w:t>2</w:t>
      </w:r>
      <w:r>
        <w:rPr>
          <w:rFonts w:ascii="宋体" w:hAnsi="宋体"/>
          <w:sz w:val="24"/>
          <w:szCs w:val="24"/>
        </w:rPr>
        <w:t>—定性评价二级指标考核总分值。</w:t>
      </w:r>
    </w:p>
    <w:p w14:paraId="55DD3644">
      <w:pPr>
        <w:pStyle w:val="191"/>
        <w:adjustRightInd w:val="0"/>
        <w:snapToGrid w:val="0"/>
        <w:spacing w:line="480" w:lineRule="exact"/>
        <w:ind w:firstLine="480"/>
        <w:rPr>
          <w:rFonts w:hint="eastAsia"/>
        </w:rPr>
      </w:pPr>
      <w:bookmarkStart w:id="362" w:name="_Hlk147581819"/>
      <w:r>
        <w:t>根据目前我国石油和天然气开采行业的实际情况，不同等级的清洁生产企业的综合评价指标</w:t>
      </w:r>
      <w:r>
        <w:rPr>
          <w:rFonts w:hint="eastAsia"/>
        </w:rPr>
        <w:t>表3.</w:t>
      </w:r>
      <w:r>
        <w:t>5</w:t>
      </w:r>
      <w:r>
        <w:rPr>
          <w:rFonts w:hint="eastAsia"/>
        </w:rPr>
        <w:t>-3</w:t>
      </w:r>
      <w:r>
        <w:t>。</w:t>
      </w:r>
    </w:p>
    <w:p w14:paraId="2277A446">
      <w:pPr>
        <w:pStyle w:val="109"/>
        <w:rPr>
          <w:rFonts w:hint="eastAsia"/>
        </w:rPr>
      </w:pPr>
      <w:r>
        <w:rPr>
          <w:rFonts w:hint="eastAsia"/>
        </w:rPr>
        <w:t>表3.</w:t>
      </w:r>
      <w:r>
        <w:t>5</w:t>
      </w:r>
      <w:r>
        <w:rPr>
          <w:rFonts w:hint="eastAsia"/>
        </w:rPr>
        <w:t>-3</w:t>
      </w:r>
      <w:r>
        <w:t xml:space="preserve">  石油和天然气开采行业不同等级清洁生产企业综合评价指数</w:t>
      </w:r>
    </w:p>
    <w:tbl>
      <w:tblPr>
        <w:tblStyle w:val="51"/>
        <w:tblW w:w="5000" w:type="pct"/>
        <w:tblInd w:w="0" w:type="dxa"/>
        <w:tblLayout w:type="autofit"/>
        <w:tblCellMar>
          <w:top w:w="0" w:type="dxa"/>
          <w:left w:w="108" w:type="dxa"/>
          <w:bottom w:w="0" w:type="dxa"/>
          <w:right w:w="108" w:type="dxa"/>
        </w:tblCellMar>
      </w:tblPr>
      <w:tblGrid>
        <w:gridCol w:w="4473"/>
        <w:gridCol w:w="4473"/>
      </w:tblGrid>
      <w:tr w14:paraId="30C342C2">
        <w:tblPrEx>
          <w:tblCellMar>
            <w:top w:w="0" w:type="dxa"/>
            <w:left w:w="108" w:type="dxa"/>
            <w:bottom w:w="0" w:type="dxa"/>
            <w:right w:w="108" w:type="dxa"/>
          </w:tblCellMar>
        </w:tblPrEx>
        <w:trPr>
          <w:trHeight w:val="340" w:hRule="atLeast"/>
        </w:trPr>
        <w:tc>
          <w:tcPr>
            <w:tcW w:w="2500" w:type="pct"/>
            <w:tcBorders>
              <w:top w:val="single" w:color="auto" w:sz="12" w:space="0"/>
              <w:bottom w:val="single" w:color="auto" w:sz="4" w:space="0"/>
              <w:right w:val="single" w:color="auto" w:sz="4" w:space="0"/>
            </w:tcBorders>
            <w:vAlign w:val="center"/>
          </w:tcPr>
          <w:p w14:paraId="62E5D58A">
            <w:pPr>
              <w:adjustRightInd w:val="0"/>
              <w:snapToGrid w:val="0"/>
              <w:spacing w:line="300" w:lineRule="exact"/>
              <w:jc w:val="center"/>
              <w:rPr>
                <w:rFonts w:hint="eastAsia" w:ascii="宋体" w:hAnsi="宋体"/>
              </w:rPr>
            </w:pPr>
            <w:r>
              <w:rPr>
                <w:rFonts w:ascii="宋体" w:hAnsi="宋体"/>
              </w:rPr>
              <w:t>清洁生产企业等级</w:t>
            </w:r>
          </w:p>
        </w:tc>
        <w:tc>
          <w:tcPr>
            <w:tcW w:w="2500" w:type="pct"/>
            <w:tcBorders>
              <w:top w:val="single" w:color="auto" w:sz="12" w:space="0"/>
              <w:left w:val="single" w:color="auto" w:sz="4" w:space="0"/>
              <w:bottom w:val="single" w:color="auto" w:sz="4" w:space="0"/>
            </w:tcBorders>
            <w:vAlign w:val="center"/>
          </w:tcPr>
          <w:p w14:paraId="263DED3F">
            <w:pPr>
              <w:adjustRightInd w:val="0"/>
              <w:snapToGrid w:val="0"/>
              <w:spacing w:line="300" w:lineRule="exact"/>
              <w:jc w:val="center"/>
              <w:rPr>
                <w:rFonts w:hint="eastAsia" w:ascii="宋体" w:hAnsi="宋体"/>
              </w:rPr>
            </w:pPr>
            <w:r>
              <w:rPr>
                <w:rFonts w:ascii="宋体" w:hAnsi="宋体"/>
              </w:rPr>
              <w:t>清洁生产综合评价指数</w:t>
            </w:r>
          </w:p>
        </w:tc>
      </w:tr>
      <w:tr w14:paraId="2F0BA504">
        <w:tblPrEx>
          <w:tblCellMar>
            <w:top w:w="0" w:type="dxa"/>
            <w:left w:w="108" w:type="dxa"/>
            <w:bottom w:w="0" w:type="dxa"/>
            <w:right w:w="108" w:type="dxa"/>
          </w:tblCellMar>
        </w:tblPrEx>
        <w:trPr>
          <w:trHeight w:val="340" w:hRule="atLeast"/>
        </w:trPr>
        <w:tc>
          <w:tcPr>
            <w:tcW w:w="2500" w:type="pct"/>
            <w:tcBorders>
              <w:top w:val="single" w:color="auto" w:sz="4" w:space="0"/>
              <w:bottom w:val="single" w:color="auto" w:sz="4" w:space="0"/>
              <w:right w:val="single" w:color="auto" w:sz="4" w:space="0"/>
            </w:tcBorders>
            <w:vAlign w:val="center"/>
          </w:tcPr>
          <w:p w14:paraId="4DE4E125">
            <w:pPr>
              <w:adjustRightInd w:val="0"/>
              <w:snapToGrid w:val="0"/>
              <w:spacing w:line="300" w:lineRule="exact"/>
              <w:jc w:val="center"/>
              <w:rPr>
                <w:rFonts w:hint="eastAsia" w:ascii="宋体" w:hAnsi="宋体"/>
              </w:rPr>
            </w:pPr>
            <w:r>
              <w:rPr>
                <w:rFonts w:ascii="宋体" w:hAnsi="宋体"/>
              </w:rPr>
              <w:t>清洁生产先进企业</w:t>
            </w:r>
          </w:p>
        </w:tc>
        <w:tc>
          <w:tcPr>
            <w:tcW w:w="2500" w:type="pct"/>
            <w:tcBorders>
              <w:top w:val="single" w:color="auto" w:sz="4" w:space="0"/>
              <w:left w:val="single" w:color="auto" w:sz="4" w:space="0"/>
              <w:bottom w:val="single" w:color="auto" w:sz="4" w:space="0"/>
            </w:tcBorders>
            <w:vAlign w:val="center"/>
          </w:tcPr>
          <w:p w14:paraId="609E2C05">
            <w:pPr>
              <w:adjustRightInd w:val="0"/>
              <w:snapToGrid w:val="0"/>
              <w:spacing w:line="300" w:lineRule="exact"/>
              <w:jc w:val="center"/>
              <w:rPr>
                <w:rFonts w:hint="eastAsia" w:ascii="宋体" w:hAnsi="宋体"/>
              </w:rPr>
            </w:pPr>
            <w:r>
              <w:rPr>
                <w:rFonts w:ascii="宋体" w:hAnsi="宋体"/>
              </w:rPr>
              <w:t>P≥90</w:t>
            </w:r>
          </w:p>
        </w:tc>
      </w:tr>
      <w:tr w14:paraId="2BE6A19A">
        <w:tblPrEx>
          <w:tblCellMar>
            <w:top w:w="0" w:type="dxa"/>
            <w:left w:w="108" w:type="dxa"/>
            <w:bottom w:w="0" w:type="dxa"/>
            <w:right w:w="108" w:type="dxa"/>
          </w:tblCellMar>
        </w:tblPrEx>
        <w:trPr>
          <w:trHeight w:val="340" w:hRule="atLeast"/>
        </w:trPr>
        <w:tc>
          <w:tcPr>
            <w:tcW w:w="2500" w:type="pct"/>
            <w:tcBorders>
              <w:top w:val="single" w:color="auto" w:sz="4" w:space="0"/>
              <w:bottom w:val="single" w:color="auto" w:sz="12" w:space="0"/>
              <w:right w:val="single" w:color="auto" w:sz="4" w:space="0"/>
            </w:tcBorders>
            <w:vAlign w:val="center"/>
          </w:tcPr>
          <w:p w14:paraId="6CC66530">
            <w:pPr>
              <w:adjustRightInd w:val="0"/>
              <w:snapToGrid w:val="0"/>
              <w:spacing w:line="300" w:lineRule="exact"/>
              <w:jc w:val="center"/>
              <w:rPr>
                <w:rFonts w:hint="eastAsia" w:ascii="宋体" w:hAnsi="宋体"/>
              </w:rPr>
            </w:pPr>
            <w:r>
              <w:rPr>
                <w:rFonts w:ascii="宋体" w:hAnsi="宋体"/>
              </w:rPr>
              <w:t>清洁生产企业</w:t>
            </w:r>
          </w:p>
        </w:tc>
        <w:tc>
          <w:tcPr>
            <w:tcW w:w="2500" w:type="pct"/>
            <w:tcBorders>
              <w:top w:val="single" w:color="auto" w:sz="4" w:space="0"/>
              <w:left w:val="single" w:color="auto" w:sz="4" w:space="0"/>
              <w:bottom w:val="single" w:color="auto" w:sz="12" w:space="0"/>
            </w:tcBorders>
            <w:vAlign w:val="center"/>
          </w:tcPr>
          <w:p w14:paraId="1224E15F">
            <w:pPr>
              <w:adjustRightInd w:val="0"/>
              <w:snapToGrid w:val="0"/>
              <w:spacing w:line="300" w:lineRule="exact"/>
              <w:jc w:val="center"/>
              <w:rPr>
                <w:rFonts w:hint="eastAsia" w:ascii="宋体" w:hAnsi="宋体"/>
              </w:rPr>
            </w:pPr>
            <w:r>
              <w:rPr>
                <w:rFonts w:ascii="宋体" w:hAnsi="宋体"/>
              </w:rPr>
              <w:t>75≤P＜90</w:t>
            </w:r>
          </w:p>
        </w:tc>
      </w:tr>
      <w:bookmarkEnd w:id="362"/>
    </w:tbl>
    <w:p w14:paraId="1A7ADE05">
      <w:pPr>
        <w:spacing w:line="520" w:lineRule="exact"/>
        <w:ind w:firstLine="420" w:firstLineChars="200"/>
      </w:pPr>
    </w:p>
    <w:p w14:paraId="1DF8CDF5">
      <w:pPr>
        <w:sectPr>
          <w:pgSz w:w="11906" w:h="16838"/>
          <w:pgMar w:top="1418" w:right="1588" w:bottom="1418" w:left="1588" w:header="1020" w:footer="1020" w:gutter="0"/>
          <w:cols w:space="720" w:num="1"/>
          <w:docGrid w:type="lines" w:linePitch="317" w:charSpace="0"/>
        </w:sectPr>
      </w:pPr>
    </w:p>
    <w:p w14:paraId="2C0D823C">
      <w:pPr>
        <w:pStyle w:val="109"/>
        <w:ind w:firstLine="480"/>
        <w:rPr>
          <w:rFonts w:hint="eastAsia"/>
        </w:rPr>
      </w:pPr>
      <w:bookmarkStart w:id="363" w:name="_Ref78835907"/>
      <w:r>
        <w:rPr>
          <w:rFonts w:hint="eastAsia"/>
        </w:rPr>
        <w:t>表3</w:t>
      </w:r>
      <w:r>
        <w:t>.5</w:t>
      </w:r>
      <w:r>
        <w:rPr>
          <w:rFonts w:hint="eastAsia"/>
        </w:rPr>
        <w:t>-</w:t>
      </w:r>
      <w:r>
        <w:t>1</w:t>
      </w:r>
      <w:r>
        <w:rPr>
          <w:rFonts w:hint="eastAsia" w:cs="宋体"/>
          <w:bCs/>
        </w:rPr>
        <w:t xml:space="preserve"> </w:t>
      </w:r>
      <w:r>
        <w:rPr>
          <w:rFonts w:cs="宋体"/>
          <w:bCs/>
        </w:rPr>
        <w:t xml:space="preserve"> 钻井作业定量和定性评价指标项目、权重及基准值</w:t>
      </w:r>
    </w:p>
    <w:tbl>
      <w:tblPr>
        <w:tblStyle w:val="51"/>
        <w:tblW w:w="14180"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661"/>
        <w:gridCol w:w="883"/>
        <w:gridCol w:w="252"/>
        <w:gridCol w:w="1134"/>
        <w:gridCol w:w="457"/>
        <w:gridCol w:w="2379"/>
        <w:gridCol w:w="456"/>
        <w:gridCol w:w="1134"/>
        <w:gridCol w:w="2381"/>
        <w:gridCol w:w="737"/>
        <w:gridCol w:w="397"/>
        <w:gridCol w:w="596"/>
        <w:gridCol w:w="713"/>
      </w:tblGrid>
      <w:tr w14:paraId="63F4FB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474" w:type="dxa"/>
            <w:gridSpan w:val="10"/>
            <w:vAlign w:val="center"/>
          </w:tcPr>
          <w:p w14:paraId="1D49FF35">
            <w:pPr>
              <w:adjustRightInd w:val="0"/>
              <w:snapToGrid w:val="0"/>
              <w:spacing w:line="240" w:lineRule="exact"/>
              <w:jc w:val="center"/>
              <w:rPr>
                <w:rFonts w:hint="eastAsia" w:ascii="宋体" w:hAnsi="宋体"/>
                <w:spacing w:val="4"/>
              </w:rPr>
            </w:pPr>
            <w:r>
              <w:rPr>
                <w:rFonts w:ascii="宋体" w:hAnsi="宋体"/>
                <w:spacing w:val="4"/>
              </w:rPr>
              <w:t>定量指标</w:t>
            </w:r>
          </w:p>
        </w:tc>
        <w:tc>
          <w:tcPr>
            <w:tcW w:w="1706" w:type="dxa"/>
            <w:gridSpan w:val="3"/>
            <w:vAlign w:val="center"/>
          </w:tcPr>
          <w:p w14:paraId="3AD04BB4">
            <w:pPr>
              <w:adjustRightInd w:val="0"/>
              <w:snapToGrid w:val="0"/>
              <w:spacing w:line="240" w:lineRule="exact"/>
              <w:jc w:val="center"/>
              <w:rPr>
                <w:rFonts w:hint="eastAsia" w:ascii="宋体" w:hAnsi="宋体"/>
                <w:spacing w:val="4"/>
              </w:rPr>
            </w:pPr>
            <w:r>
              <w:rPr>
                <w:rFonts w:ascii="宋体" w:hAnsi="宋体"/>
                <w:spacing w:val="4"/>
              </w:rPr>
              <w:t>本项目</w:t>
            </w:r>
          </w:p>
        </w:tc>
      </w:tr>
      <w:tr w14:paraId="186945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Align w:val="center"/>
          </w:tcPr>
          <w:p w14:paraId="486AD9E7">
            <w:pPr>
              <w:adjustRightInd w:val="0"/>
              <w:snapToGrid w:val="0"/>
              <w:spacing w:line="240" w:lineRule="exact"/>
              <w:jc w:val="center"/>
              <w:rPr>
                <w:rFonts w:hint="eastAsia" w:ascii="宋体" w:hAnsi="宋体"/>
                <w:spacing w:val="4"/>
              </w:rPr>
            </w:pPr>
            <w:r>
              <w:rPr>
                <w:rFonts w:ascii="宋体" w:hAnsi="宋体"/>
                <w:spacing w:val="4"/>
              </w:rPr>
              <w:t>一级指标</w:t>
            </w:r>
          </w:p>
        </w:tc>
        <w:tc>
          <w:tcPr>
            <w:tcW w:w="883" w:type="dxa"/>
            <w:vAlign w:val="center"/>
          </w:tcPr>
          <w:p w14:paraId="46365500">
            <w:pPr>
              <w:adjustRightInd w:val="0"/>
              <w:snapToGrid w:val="0"/>
              <w:spacing w:line="240" w:lineRule="exact"/>
              <w:jc w:val="center"/>
              <w:rPr>
                <w:rFonts w:hint="eastAsia" w:ascii="宋体" w:hAnsi="宋体"/>
                <w:spacing w:val="4"/>
              </w:rPr>
            </w:pPr>
            <w:r>
              <w:rPr>
                <w:rFonts w:ascii="宋体" w:hAnsi="宋体"/>
                <w:spacing w:val="4"/>
              </w:rPr>
              <w:t>权重值</w:t>
            </w:r>
          </w:p>
        </w:tc>
        <w:tc>
          <w:tcPr>
            <w:tcW w:w="1843" w:type="dxa"/>
            <w:gridSpan w:val="3"/>
            <w:vAlign w:val="center"/>
          </w:tcPr>
          <w:p w14:paraId="2D67B1ED">
            <w:pPr>
              <w:adjustRightInd w:val="0"/>
              <w:snapToGrid w:val="0"/>
              <w:spacing w:line="240" w:lineRule="exact"/>
              <w:jc w:val="center"/>
              <w:rPr>
                <w:rFonts w:hint="eastAsia" w:ascii="宋体" w:hAnsi="宋体"/>
                <w:spacing w:val="4"/>
              </w:rPr>
            </w:pPr>
            <w:r>
              <w:rPr>
                <w:rFonts w:ascii="宋体" w:hAnsi="宋体"/>
                <w:spacing w:val="4"/>
              </w:rPr>
              <w:t>二级指标</w:t>
            </w:r>
          </w:p>
        </w:tc>
        <w:tc>
          <w:tcPr>
            <w:tcW w:w="2835" w:type="dxa"/>
            <w:gridSpan w:val="2"/>
            <w:vAlign w:val="center"/>
          </w:tcPr>
          <w:p w14:paraId="7E218B2A">
            <w:pPr>
              <w:adjustRightInd w:val="0"/>
              <w:snapToGrid w:val="0"/>
              <w:spacing w:line="240" w:lineRule="exact"/>
              <w:jc w:val="center"/>
              <w:rPr>
                <w:rFonts w:hint="eastAsia" w:ascii="宋体" w:hAnsi="宋体"/>
                <w:spacing w:val="4"/>
              </w:rPr>
            </w:pPr>
            <w:r>
              <w:rPr>
                <w:rFonts w:ascii="宋体" w:hAnsi="宋体"/>
                <w:spacing w:val="4"/>
              </w:rPr>
              <w:t>单位</w:t>
            </w:r>
          </w:p>
        </w:tc>
        <w:tc>
          <w:tcPr>
            <w:tcW w:w="1134" w:type="dxa"/>
            <w:vAlign w:val="center"/>
          </w:tcPr>
          <w:p w14:paraId="67E4C1B1">
            <w:pPr>
              <w:adjustRightInd w:val="0"/>
              <w:snapToGrid w:val="0"/>
              <w:spacing w:line="240" w:lineRule="exact"/>
              <w:jc w:val="center"/>
              <w:rPr>
                <w:rFonts w:hint="eastAsia" w:ascii="宋体" w:hAnsi="宋体"/>
                <w:spacing w:val="4"/>
              </w:rPr>
            </w:pPr>
            <w:r>
              <w:rPr>
                <w:rFonts w:ascii="宋体" w:hAnsi="宋体"/>
                <w:spacing w:val="4"/>
              </w:rPr>
              <w:t>权重分值</w:t>
            </w:r>
          </w:p>
        </w:tc>
        <w:tc>
          <w:tcPr>
            <w:tcW w:w="3118" w:type="dxa"/>
            <w:gridSpan w:val="2"/>
            <w:vAlign w:val="center"/>
          </w:tcPr>
          <w:p w14:paraId="4DE791D2">
            <w:pPr>
              <w:adjustRightInd w:val="0"/>
              <w:snapToGrid w:val="0"/>
              <w:spacing w:line="240" w:lineRule="exact"/>
              <w:jc w:val="center"/>
              <w:rPr>
                <w:rFonts w:hint="eastAsia" w:ascii="宋体" w:hAnsi="宋体"/>
                <w:spacing w:val="4"/>
              </w:rPr>
            </w:pPr>
            <w:r>
              <w:rPr>
                <w:rFonts w:ascii="宋体" w:hAnsi="宋体"/>
                <w:spacing w:val="4"/>
              </w:rPr>
              <w:t>评价基准值</w:t>
            </w:r>
          </w:p>
        </w:tc>
        <w:tc>
          <w:tcPr>
            <w:tcW w:w="993" w:type="dxa"/>
            <w:gridSpan w:val="2"/>
            <w:vAlign w:val="center"/>
          </w:tcPr>
          <w:p w14:paraId="47D1FC0E">
            <w:pPr>
              <w:adjustRightInd w:val="0"/>
              <w:snapToGrid w:val="0"/>
              <w:spacing w:line="240" w:lineRule="exact"/>
              <w:jc w:val="center"/>
              <w:rPr>
                <w:rFonts w:hint="eastAsia" w:ascii="宋体" w:hAnsi="宋体"/>
                <w:spacing w:val="4"/>
              </w:rPr>
            </w:pPr>
            <w:r>
              <w:rPr>
                <w:rFonts w:ascii="宋体" w:hAnsi="宋体"/>
                <w:spacing w:val="4"/>
              </w:rPr>
              <w:t>估算值</w:t>
            </w:r>
          </w:p>
        </w:tc>
        <w:tc>
          <w:tcPr>
            <w:tcW w:w="713" w:type="dxa"/>
            <w:vAlign w:val="center"/>
          </w:tcPr>
          <w:p w14:paraId="5DBF8BF6">
            <w:pPr>
              <w:adjustRightInd w:val="0"/>
              <w:snapToGrid w:val="0"/>
              <w:spacing w:line="240" w:lineRule="exact"/>
              <w:jc w:val="center"/>
              <w:rPr>
                <w:rFonts w:hint="eastAsia" w:ascii="宋体" w:hAnsi="宋体"/>
                <w:spacing w:val="4"/>
              </w:rPr>
            </w:pPr>
            <w:r>
              <w:rPr>
                <w:rFonts w:ascii="宋体" w:hAnsi="宋体"/>
                <w:spacing w:val="4"/>
              </w:rPr>
              <w:t>评分</w:t>
            </w:r>
          </w:p>
        </w:tc>
      </w:tr>
      <w:tr w14:paraId="059420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restart"/>
            <w:vAlign w:val="center"/>
          </w:tcPr>
          <w:p w14:paraId="199326EF">
            <w:pPr>
              <w:adjustRightInd w:val="0"/>
              <w:snapToGrid w:val="0"/>
              <w:spacing w:line="240" w:lineRule="exact"/>
              <w:jc w:val="center"/>
              <w:rPr>
                <w:rFonts w:hint="eastAsia" w:ascii="宋体" w:hAnsi="宋体"/>
                <w:spacing w:val="4"/>
              </w:rPr>
            </w:pPr>
            <w:r>
              <w:rPr>
                <w:rFonts w:ascii="宋体" w:hAnsi="宋体"/>
                <w:spacing w:val="4"/>
              </w:rPr>
              <w:t>（1）资源和能源消耗指标</w:t>
            </w:r>
          </w:p>
        </w:tc>
        <w:tc>
          <w:tcPr>
            <w:tcW w:w="883" w:type="dxa"/>
            <w:vMerge w:val="restart"/>
            <w:vAlign w:val="center"/>
          </w:tcPr>
          <w:p w14:paraId="3D496183">
            <w:pPr>
              <w:adjustRightInd w:val="0"/>
              <w:snapToGrid w:val="0"/>
              <w:spacing w:line="240" w:lineRule="exact"/>
              <w:jc w:val="center"/>
              <w:rPr>
                <w:rFonts w:hint="eastAsia" w:ascii="宋体" w:hAnsi="宋体"/>
                <w:spacing w:val="4"/>
              </w:rPr>
            </w:pPr>
            <w:r>
              <w:rPr>
                <w:rFonts w:ascii="宋体" w:hAnsi="宋体"/>
                <w:spacing w:val="4"/>
              </w:rPr>
              <w:t>30</w:t>
            </w:r>
          </w:p>
        </w:tc>
        <w:tc>
          <w:tcPr>
            <w:tcW w:w="1843" w:type="dxa"/>
            <w:gridSpan w:val="3"/>
            <w:vAlign w:val="center"/>
          </w:tcPr>
          <w:p w14:paraId="432EAB64">
            <w:pPr>
              <w:adjustRightInd w:val="0"/>
              <w:snapToGrid w:val="0"/>
              <w:spacing w:line="240" w:lineRule="exact"/>
              <w:jc w:val="center"/>
              <w:rPr>
                <w:rFonts w:hint="eastAsia" w:ascii="宋体" w:hAnsi="宋体"/>
                <w:spacing w:val="4"/>
              </w:rPr>
            </w:pPr>
            <w:r>
              <w:rPr>
                <w:rFonts w:ascii="宋体" w:hAnsi="宋体"/>
                <w:spacing w:val="4"/>
              </w:rPr>
              <w:t>占地面积</w:t>
            </w:r>
          </w:p>
        </w:tc>
        <w:tc>
          <w:tcPr>
            <w:tcW w:w="2835" w:type="dxa"/>
            <w:gridSpan w:val="2"/>
            <w:vAlign w:val="center"/>
          </w:tcPr>
          <w:p w14:paraId="7071FC22">
            <w:pPr>
              <w:adjustRightInd w:val="0"/>
              <w:snapToGrid w:val="0"/>
              <w:spacing w:line="240" w:lineRule="exact"/>
              <w:jc w:val="center"/>
              <w:rPr>
                <w:rFonts w:hint="eastAsia" w:ascii="宋体" w:hAnsi="宋体"/>
                <w:spacing w:val="4"/>
              </w:rPr>
            </w:pPr>
            <w:r>
              <w:rPr>
                <w:rFonts w:ascii="宋体" w:hAnsi="宋体"/>
                <w:spacing w:val="4"/>
              </w:rPr>
              <w:t>m</w:t>
            </w:r>
            <w:r>
              <w:rPr>
                <w:rFonts w:ascii="宋体" w:hAnsi="宋体"/>
                <w:spacing w:val="4"/>
                <w:vertAlign w:val="superscript"/>
              </w:rPr>
              <w:t>2</w:t>
            </w:r>
          </w:p>
        </w:tc>
        <w:tc>
          <w:tcPr>
            <w:tcW w:w="1134" w:type="dxa"/>
            <w:vAlign w:val="center"/>
          </w:tcPr>
          <w:p w14:paraId="5FE29844">
            <w:pPr>
              <w:adjustRightInd w:val="0"/>
              <w:snapToGrid w:val="0"/>
              <w:spacing w:line="240" w:lineRule="exact"/>
              <w:jc w:val="center"/>
              <w:rPr>
                <w:rFonts w:hint="eastAsia" w:ascii="宋体" w:hAnsi="宋体"/>
                <w:spacing w:val="4"/>
              </w:rPr>
            </w:pPr>
            <w:r>
              <w:rPr>
                <w:rFonts w:ascii="宋体" w:hAnsi="宋体"/>
                <w:spacing w:val="4"/>
              </w:rPr>
              <w:t>15</w:t>
            </w:r>
          </w:p>
        </w:tc>
        <w:tc>
          <w:tcPr>
            <w:tcW w:w="3118" w:type="dxa"/>
            <w:gridSpan w:val="2"/>
            <w:vAlign w:val="center"/>
          </w:tcPr>
          <w:p w14:paraId="12F8428C">
            <w:pPr>
              <w:adjustRightInd w:val="0"/>
              <w:snapToGrid w:val="0"/>
              <w:spacing w:line="240" w:lineRule="exact"/>
              <w:jc w:val="center"/>
              <w:rPr>
                <w:rFonts w:hint="eastAsia" w:ascii="宋体" w:hAnsi="宋体"/>
                <w:spacing w:val="4"/>
              </w:rPr>
            </w:pPr>
            <w:r>
              <w:rPr>
                <w:rFonts w:ascii="宋体" w:hAnsi="宋体"/>
                <w:spacing w:val="4"/>
              </w:rPr>
              <w:t>符合行业标准要求</w:t>
            </w:r>
          </w:p>
        </w:tc>
        <w:tc>
          <w:tcPr>
            <w:tcW w:w="993" w:type="dxa"/>
            <w:gridSpan w:val="2"/>
            <w:vAlign w:val="center"/>
          </w:tcPr>
          <w:p w14:paraId="591DA02B">
            <w:pPr>
              <w:adjustRightInd w:val="0"/>
              <w:snapToGrid w:val="0"/>
              <w:spacing w:line="240" w:lineRule="exact"/>
              <w:jc w:val="center"/>
              <w:rPr>
                <w:rFonts w:hint="eastAsia" w:ascii="宋体" w:hAnsi="宋体"/>
                <w:spacing w:val="4"/>
              </w:rPr>
            </w:pPr>
            <w:r>
              <w:rPr>
                <w:rFonts w:hint="eastAsia" w:ascii="宋体" w:hAnsi="宋体"/>
                <w:spacing w:val="4"/>
              </w:rPr>
              <w:t>符合</w:t>
            </w:r>
          </w:p>
        </w:tc>
        <w:tc>
          <w:tcPr>
            <w:tcW w:w="713" w:type="dxa"/>
            <w:vAlign w:val="center"/>
          </w:tcPr>
          <w:p w14:paraId="60966B02">
            <w:pPr>
              <w:adjustRightInd w:val="0"/>
              <w:snapToGrid w:val="0"/>
              <w:spacing w:line="240" w:lineRule="exact"/>
              <w:jc w:val="center"/>
              <w:rPr>
                <w:rFonts w:hint="eastAsia" w:ascii="宋体" w:hAnsi="宋体"/>
                <w:spacing w:val="4"/>
              </w:rPr>
            </w:pPr>
            <w:r>
              <w:rPr>
                <w:rFonts w:hint="eastAsia" w:ascii="宋体" w:hAnsi="宋体"/>
                <w:spacing w:val="4"/>
              </w:rPr>
              <w:t>15</w:t>
            </w:r>
          </w:p>
        </w:tc>
      </w:tr>
      <w:tr w14:paraId="7F324A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1EA88F2E">
            <w:pPr>
              <w:widowControl/>
              <w:adjustRightInd w:val="0"/>
              <w:snapToGrid w:val="0"/>
              <w:spacing w:line="240" w:lineRule="exact"/>
              <w:jc w:val="left"/>
              <w:rPr>
                <w:rFonts w:hint="eastAsia" w:ascii="宋体" w:hAnsi="宋体"/>
                <w:spacing w:val="4"/>
              </w:rPr>
            </w:pPr>
          </w:p>
        </w:tc>
        <w:tc>
          <w:tcPr>
            <w:tcW w:w="883" w:type="dxa"/>
            <w:vMerge w:val="continue"/>
            <w:vAlign w:val="center"/>
          </w:tcPr>
          <w:p w14:paraId="4389A3B0">
            <w:pPr>
              <w:widowControl/>
              <w:adjustRightInd w:val="0"/>
              <w:snapToGrid w:val="0"/>
              <w:spacing w:line="240" w:lineRule="exact"/>
              <w:jc w:val="left"/>
              <w:rPr>
                <w:rFonts w:hint="eastAsia" w:ascii="宋体" w:hAnsi="宋体"/>
                <w:spacing w:val="4"/>
              </w:rPr>
            </w:pPr>
          </w:p>
        </w:tc>
        <w:tc>
          <w:tcPr>
            <w:tcW w:w="1843" w:type="dxa"/>
            <w:gridSpan w:val="3"/>
            <w:vAlign w:val="center"/>
          </w:tcPr>
          <w:p w14:paraId="125977D3">
            <w:pPr>
              <w:adjustRightInd w:val="0"/>
              <w:snapToGrid w:val="0"/>
              <w:spacing w:line="240" w:lineRule="exact"/>
              <w:jc w:val="center"/>
              <w:rPr>
                <w:rFonts w:hint="eastAsia" w:ascii="宋体" w:hAnsi="宋体"/>
                <w:spacing w:val="4"/>
              </w:rPr>
            </w:pPr>
            <w:r>
              <w:rPr>
                <w:rFonts w:ascii="宋体" w:hAnsi="宋体"/>
                <w:spacing w:val="4"/>
              </w:rPr>
              <w:t>新鲜水消耗</w:t>
            </w:r>
          </w:p>
        </w:tc>
        <w:tc>
          <w:tcPr>
            <w:tcW w:w="2835" w:type="dxa"/>
            <w:gridSpan w:val="2"/>
            <w:vAlign w:val="center"/>
          </w:tcPr>
          <w:p w14:paraId="0D5687D0">
            <w:pPr>
              <w:adjustRightInd w:val="0"/>
              <w:snapToGrid w:val="0"/>
              <w:spacing w:line="240" w:lineRule="exact"/>
              <w:jc w:val="center"/>
              <w:rPr>
                <w:rFonts w:hint="eastAsia" w:ascii="宋体" w:hAnsi="宋体"/>
                <w:spacing w:val="4"/>
              </w:rPr>
            </w:pPr>
            <w:r>
              <w:rPr>
                <w:rFonts w:ascii="宋体" w:hAnsi="宋体"/>
                <w:spacing w:val="4"/>
              </w:rPr>
              <w:t>t/100m标准进尺</w:t>
            </w:r>
          </w:p>
        </w:tc>
        <w:tc>
          <w:tcPr>
            <w:tcW w:w="1134" w:type="dxa"/>
            <w:vAlign w:val="center"/>
          </w:tcPr>
          <w:p w14:paraId="4BA4E5D8">
            <w:pPr>
              <w:adjustRightInd w:val="0"/>
              <w:snapToGrid w:val="0"/>
              <w:spacing w:line="240" w:lineRule="exact"/>
              <w:jc w:val="center"/>
              <w:rPr>
                <w:rFonts w:hint="eastAsia" w:ascii="宋体" w:hAnsi="宋体"/>
                <w:spacing w:val="4"/>
              </w:rPr>
            </w:pPr>
            <w:r>
              <w:rPr>
                <w:rFonts w:ascii="宋体" w:hAnsi="宋体"/>
                <w:spacing w:val="4"/>
              </w:rPr>
              <w:t>15</w:t>
            </w:r>
          </w:p>
        </w:tc>
        <w:tc>
          <w:tcPr>
            <w:tcW w:w="3118" w:type="dxa"/>
            <w:gridSpan w:val="2"/>
            <w:vAlign w:val="center"/>
          </w:tcPr>
          <w:p w14:paraId="10125A8D">
            <w:pPr>
              <w:adjustRightInd w:val="0"/>
              <w:snapToGrid w:val="0"/>
              <w:spacing w:line="240" w:lineRule="exact"/>
              <w:jc w:val="center"/>
              <w:rPr>
                <w:rFonts w:hint="eastAsia" w:ascii="宋体" w:hAnsi="宋体"/>
                <w:spacing w:val="4"/>
              </w:rPr>
            </w:pPr>
            <w:r>
              <w:rPr>
                <w:rFonts w:ascii="宋体" w:hAnsi="宋体"/>
                <w:spacing w:val="4"/>
              </w:rPr>
              <w:t>≤25</w:t>
            </w:r>
          </w:p>
        </w:tc>
        <w:tc>
          <w:tcPr>
            <w:tcW w:w="993" w:type="dxa"/>
            <w:gridSpan w:val="2"/>
            <w:vAlign w:val="center"/>
          </w:tcPr>
          <w:p w14:paraId="2B2886DA">
            <w:pPr>
              <w:adjustRightInd w:val="0"/>
              <w:snapToGrid w:val="0"/>
              <w:spacing w:line="240" w:lineRule="exact"/>
              <w:jc w:val="center"/>
              <w:rPr>
                <w:rFonts w:hint="eastAsia" w:ascii="宋体" w:hAnsi="宋体"/>
                <w:spacing w:val="4"/>
              </w:rPr>
            </w:pPr>
            <w:r>
              <w:rPr>
                <w:rFonts w:hint="eastAsia" w:ascii="宋体" w:hAnsi="宋体"/>
                <w:spacing w:val="4"/>
              </w:rPr>
              <w:t>符合</w:t>
            </w:r>
          </w:p>
        </w:tc>
        <w:tc>
          <w:tcPr>
            <w:tcW w:w="713" w:type="dxa"/>
            <w:vAlign w:val="center"/>
          </w:tcPr>
          <w:p w14:paraId="4CCA1271">
            <w:pPr>
              <w:adjustRightInd w:val="0"/>
              <w:snapToGrid w:val="0"/>
              <w:spacing w:line="240" w:lineRule="exact"/>
              <w:jc w:val="center"/>
              <w:rPr>
                <w:rFonts w:hint="eastAsia" w:ascii="宋体" w:hAnsi="宋体"/>
                <w:spacing w:val="4"/>
              </w:rPr>
            </w:pPr>
            <w:r>
              <w:rPr>
                <w:rFonts w:hint="eastAsia" w:ascii="宋体" w:hAnsi="宋体"/>
                <w:spacing w:val="4"/>
              </w:rPr>
              <w:t>15</w:t>
            </w:r>
          </w:p>
        </w:tc>
      </w:tr>
      <w:tr w14:paraId="003AE0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2661" w:type="dxa"/>
            <w:vAlign w:val="center"/>
          </w:tcPr>
          <w:p w14:paraId="47555580">
            <w:pPr>
              <w:adjustRightInd w:val="0"/>
              <w:snapToGrid w:val="0"/>
              <w:spacing w:line="240" w:lineRule="exact"/>
              <w:jc w:val="center"/>
              <w:rPr>
                <w:rFonts w:hint="eastAsia" w:ascii="宋体" w:hAnsi="宋体"/>
                <w:spacing w:val="4"/>
              </w:rPr>
            </w:pPr>
            <w:r>
              <w:rPr>
                <w:rFonts w:ascii="宋体" w:hAnsi="宋体"/>
                <w:spacing w:val="4"/>
              </w:rPr>
              <w:t>（2）生产技术特征指标</w:t>
            </w:r>
          </w:p>
        </w:tc>
        <w:tc>
          <w:tcPr>
            <w:tcW w:w="883" w:type="dxa"/>
            <w:vAlign w:val="center"/>
          </w:tcPr>
          <w:p w14:paraId="2FBDFAB9">
            <w:pPr>
              <w:adjustRightInd w:val="0"/>
              <w:snapToGrid w:val="0"/>
              <w:spacing w:line="240" w:lineRule="exact"/>
              <w:jc w:val="center"/>
              <w:rPr>
                <w:rFonts w:hint="eastAsia" w:ascii="宋体" w:hAnsi="宋体"/>
                <w:spacing w:val="4"/>
              </w:rPr>
            </w:pPr>
            <w:r>
              <w:rPr>
                <w:rFonts w:ascii="宋体" w:hAnsi="宋体"/>
                <w:spacing w:val="4"/>
              </w:rPr>
              <w:t>5</w:t>
            </w:r>
          </w:p>
        </w:tc>
        <w:tc>
          <w:tcPr>
            <w:tcW w:w="1843" w:type="dxa"/>
            <w:gridSpan w:val="3"/>
            <w:vAlign w:val="center"/>
          </w:tcPr>
          <w:p w14:paraId="26486247">
            <w:pPr>
              <w:adjustRightInd w:val="0"/>
              <w:snapToGrid w:val="0"/>
              <w:spacing w:line="240" w:lineRule="exact"/>
              <w:jc w:val="center"/>
              <w:rPr>
                <w:rFonts w:hint="eastAsia" w:ascii="宋体" w:hAnsi="宋体"/>
                <w:spacing w:val="4"/>
              </w:rPr>
            </w:pPr>
            <w:r>
              <w:rPr>
                <w:rFonts w:ascii="宋体" w:hAnsi="宋体"/>
                <w:spacing w:val="4"/>
              </w:rPr>
              <w:t>固井质量合格率</w:t>
            </w:r>
          </w:p>
        </w:tc>
        <w:tc>
          <w:tcPr>
            <w:tcW w:w="2835" w:type="dxa"/>
            <w:gridSpan w:val="2"/>
            <w:vAlign w:val="center"/>
          </w:tcPr>
          <w:p w14:paraId="41EEF3D1">
            <w:pPr>
              <w:adjustRightInd w:val="0"/>
              <w:snapToGrid w:val="0"/>
              <w:spacing w:line="240" w:lineRule="exact"/>
              <w:jc w:val="center"/>
              <w:rPr>
                <w:rFonts w:hint="eastAsia" w:ascii="宋体" w:hAnsi="宋体"/>
                <w:spacing w:val="4"/>
              </w:rPr>
            </w:pPr>
            <w:r>
              <w:rPr>
                <w:rFonts w:ascii="宋体" w:hAnsi="宋体"/>
                <w:spacing w:val="4"/>
              </w:rPr>
              <w:t>%</w:t>
            </w:r>
          </w:p>
        </w:tc>
        <w:tc>
          <w:tcPr>
            <w:tcW w:w="1134" w:type="dxa"/>
            <w:vAlign w:val="center"/>
          </w:tcPr>
          <w:p w14:paraId="070C7158">
            <w:pPr>
              <w:adjustRightInd w:val="0"/>
              <w:snapToGrid w:val="0"/>
              <w:spacing w:line="240" w:lineRule="exact"/>
              <w:jc w:val="center"/>
              <w:rPr>
                <w:rFonts w:hint="eastAsia" w:ascii="宋体" w:hAnsi="宋体"/>
                <w:spacing w:val="4"/>
              </w:rPr>
            </w:pPr>
            <w:r>
              <w:rPr>
                <w:rFonts w:ascii="宋体" w:hAnsi="宋体"/>
                <w:spacing w:val="4"/>
              </w:rPr>
              <w:t>5</w:t>
            </w:r>
          </w:p>
        </w:tc>
        <w:tc>
          <w:tcPr>
            <w:tcW w:w="3118" w:type="dxa"/>
            <w:gridSpan w:val="2"/>
            <w:vAlign w:val="center"/>
          </w:tcPr>
          <w:p w14:paraId="0364FD56">
            <w:pPr>
              <w:adjustRightInd w:val="0"/>
              <w:snapToGrid w:val="0"/>
              <w:spacing w:line="240" w:lineRule="exact"/>
              <w:jc w:val="center"/>
              <w:rPr>
                <w:rFonts w:hint="eastAsia" w:ascii="宋体" w:hAnsi="宋体"/>
                <w:spacing w:val="4"/>
              </w:rPr>
            </w:pPr>
            <w:r>
              <w:rPr>
                <w:rFonts w:ascii="宋体" w:hAnsi="宋体"/>
                <w:spacing w:val="4"/>
              </w:rPr>
              <w:t>≥95%</w:t>
            </w:r>
          </w:p>
        </w:tc>
        <w:tc>
          <w:tcPr>
            <w:tcW w:w="993" w:type="dxa"/>
            <w:gridSpan w:val="2"/>
            <w:vAlign w:val="center"/>
          </w:tcPr>
          <w:p w14:paraId="545780D7">
            <w:pPr>
              <w:adjustRightInd w:val="0"/>
              <w:snapToGrid w:val="0"/>
              <w:spacing w:line="240" w:lineRule="exact"/>
              <w:jc w:val="center"/>
              <w:rPr>
                <w:rFonts w:hint="eastAsia" w:ascii="宋体" w:hAnsi="宋体"/>
                <w:spacing w:val="4"/>
              </w:rPr>
            </w:pPr>
            <w:r>
              <w:rPr>
                <w:rFonts w:ascii="宋体" w:hAnsi="宋体"/>
                <w:spacing w:val="4"/>
              </w:rPr>
              <w:t>100</w:t>
            </w:r>
          </w:p>
        </w:tc>
        <w:tc>
          <w:tcPr>
            <w:tcW w:w="713" w:type="dxa"/>
            <w:vAlign w:val="center"/>
          </w:tcPr>
          <w:p w14:paraId="3BF6A594">
            <w:pPr>
              <w:adjustRightInd w:val="0"/>
              <w:snapToGrid w:val="0"/>
              <w:spacing w:line="240" w:lineRule="exact"/>
              <w:jc w:val="center"/>
              <w:rPr>
                <w:rFonts w:hint="eastAsia" w:ascii="宋体" w:hAnsi="宋体"/>
                <w:spacing w:val="4"/>
              </w:rPr>
            </w:pPr>
            <w:r>
              <w:rPr>
                <w:rFonts w:ascii="宋体" w:hAnsi="宋体"/>
                <w:spacing w:val="4"/>
              </w:rPr>
              <w:t>5</w:t>
            </w:r>
          </w:p>
        </w:tc>
      </w:tr>
      <w:tr w14:paraId="151B12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2661" w:type="dxa"/>
            <w:vMerge w:val="restart"/>
            <w:vAlign w:val="center"/>
          </w:tcPr>
          <w:p w14:paraId="6DCB2D3C">
            <w:pPr>
              <w:adjustRightInd w:val="0"/>
              <w:snapToGrid w:val="0"/>
              <w:spacing w:line="240" w:lineRule="exact"/>
              <w:jc w:val="center"/>
              <w:rPr>
                <w:rFonts w:hint="eastAsia" w:ascii="宋体" w:hAnsi="宋体"/>
                <w:spacing w:val="4"/>
              </w:rPr>
            </w:pPr>
            <w:r>
              <w:rPr>
                <w:rFonts w:ascii="宋体" w:hAnsi="宋体"/>
                <w:spacing w:val="4"/>
              </w:rPr>
              <w:t>（3）资源综合利用指标</w:t>
            </w:r>
          </w:p>
        </w:tc>
        <w:tc>
          <w:tcPr>
            <w:tcW w:w="883" w:type="dxa"/>
            <w:vMerge w:val="restart"/>
            <w:vAlign w:val="center"/>
          </w:tcPr>
          <w:p w14:paraId="26933A74">
            <w:pPr>
              <w:adjustRightInd w:val="0"/>
              <w:snapToGrid w:val="0"/>
              <w:spacing w:line="240" w:lineRule="exact"/>
              <w:jc w:val="center"/>
              <w:rPr>
                <w:rFonts w:hint="eastAsia" w:ascii="宋体" w:hAnsi="宋体"/>
                <w:spacing w:val="4"/>
              </w:rPr>
            </w:pPr>
            <w:r>
              <w:rPr>
                <w:rFonts w:ascii="宋体" w:hAnsi="宋体"/>
                <w:spacing w:val="4"/>
              </w:rPr>
              <w:t>30</w:t>
            </w:r>
          </w:p>
        </w:tc>
        <w:tc>
          <w:tcPr>
            <w:tcW w:w="1843" w:type="dxa"/>
            <w:gridSpan w:val="3"/>
            <w:vAlign w:val="center"/>
          </w:tcPr>
          <w:p w14:paraId="79364C54">
            <w:pPr>
              <w:adjustRightInd w:val="0"/>
              <w:snapToGrid w:val="0"/>
              <w:spacing w:line="240" w:lineRule="exact"/>
              <w:jc w:val="center"/>
              <w:rPr>
                <w:rFonts w:hint="eastAsia" w:ascii="宋体" w:hAnsi="宋体"/>
                <w:spacing w:val="4"/>
              </w:rPr>
            </w:pPr>
            <w:r>
              <w:rPr>
                <w:rFonts w:ascii="宋体" w:hAnsi="宋体"/>
                <w:spacing w:val="4"/>
              </w:rPr>
              <w:t>钻井液循环率</w:t>
            </w:r>
          </w:p>
        </w:tc>
        <w:tc>
          <w:tcPr>
            <w:tcW w:w="2835" w:type="dxa"/>
            <w:gridSpan w:val="2"/>
            <w:vAlign w:val="center"/>
          </w:tcPr>
          <w:p w14:paraId="331B2AB4">
            <w:pPr>
              <w:adjustRightInd w:val="0"/>
              <w:snapToGrid w:val="0"/>
              <w:spacing w:line="240" w:lineRule="exact"/>
              <w:jc w:val="center"/>
              <w:rPr>
                <w:rFonts w:hint="eastAsia" w:ascii="宋体" w:hAnsi="宋体"/>
                <w:spacing w:val="4"/>
              </w:rPr>
            </w:pPr>
            <w:r>
              <w:rPr>
                <w:rFonts w:ascii="宋体" w:hAnsi="宋体"/>
                <w:spacing w:val="4"/>
              </w:rPr>
              <w:t>井深：2000m以下；2000</w:t>
            </w:r>
            <w:r>
              <w:rPr>
                <w:rFonts w:hint="eastAsia" w:ascii="宋体" w:hAnsi="宋体"/>
                <w:spacing w:val="4"/>
              </w:rPr>
              <w:t>m～</w:t>
            </w:r>
            <w:r>
              <w:rPr>
                <w:rFonts w:ascii="宋体" w:hAnsi="宋体"/>
                <w:spacing w:val="4"/>
              </w:rPr>
              <w:t>300</w:t>
            </w:r>
            <w:r>
              <w:rPr>
                <w:rFonts w:hint="eastAsia" w:ascii="宋体" w:hAnsi="宋体"/>
                <w:spacing w:val="4"/>
              </w:rPr>
              <w:t>0m</w:t>
            </w:r>
            <w:r>
              <w:rPr>
                <w:rFonts w:ascii="宋体" w:hAnsi="宋体"/>
                <w:spacing w:val="4"/>
              </w:rPr>
              <w:t>；3000</w:t>
            </w:r>
            <w:r>
              <w:rPr>
                <w:rFonts w:hint="eastAsia" w:ascii="宋体" w:hAnsi="宋体"/>
                <w:spacing w:val="4"/>
              </w:rPr>
              <w:t>m</w:t>
            </w:r>
            <w:r>
              <w:rPr>
                <w:rFonts w:ascii="宋体" w:hAnsi="宋体"/>
                <w:spacing w:val="4"/>
              </w:rPr>
              <w:t>以上</w:t>
            </w:r>
          </w:p>
        </w:tc>
        <w:tc>
          <w:tcPr>
            <w:tcW w:w="1134" w:type="dxa"/>
            <w:vAlign w:val="center"/>
          </w:tcPr>
          <w:p w14:paraId="3441FC5B">
            <w:pPr>
              <w:adjustRightInd w:val="0"/>
              <w:snapToGrid w:val="0"/>
              <w:spacing w:line="240" w:lineRule="exact"/>
              <w:jc w:val="center"/>
              <w:rPr>
                <w:rFonts w:hint="eastAsia" w:ascii="宋体" w:hAnsi="宋体"/>
                <w:spacing w:val="4"/>
              </w:rPr>
            </w:pPr>
            <w:r>
              <w:rPr>
                <w:rFonts w:ascii="宋体" w:hAnsi="宋体"/>
                <w:spacing w:val="4"/>
              </w:rPr>
              <w:t>10</w:t>
            </w:r>
          </w:p>
        </w:tc>
        <w:tc>
          <w:tcPr>
            <w:tcW w:w="3118" w:type="dxa"/>
            <w:gridSpan w:val="2"/>
            <w:vAlign w:val="center"/>
          </w:tcPr>
          <w:p w14:paraId="627AF50A">
            <w:pPr>
              <w:adjustRightInd w:val="0"/>
              <w:snapToGrid w:val="0"/>
              <w:spacing w:line="240" w:lineRule="exact"/>
              <w:jc w:val="center"/>
              <w:rPr>
                <w:rFonts w:hint="eastAsia" w:ascii="宋体" w:hAnsi="宋体"/>
                <w:spacing w:val="4"/>
              </w:rPr>
            </w:pPr>
            <w:r>
              <w:rPr>
                <w:rFonts w:ascii="宋体" w:hAnsi="宋体"/>
                <w:spacing w:val="4"/>
              </w:rPr>
              <w:t>≥40%；≥50%；≥60%</w:t>
            </w:r>
          </w:p>
        </w:tc>
        <w:tc>
          <w:tcPr>
            <w:tcW w:w="993" w:type="dxa"/>
            <w:gridSpan w:val="2"/>
            <w:vAlign w:val="center"/>
          </w:tcPr>
          <w:p w14:paraId="22177380">
            <w:pPr>
              <w:adjustRightInd w:val="0"/>
              <w:snapToGrid w:val="0"/>
              <w:spacing w:line="240" w:lineRule="exact"/>
              <w:jc w:val="center"/>
              <w:rPr>
                <w:rFonts w:hint="eastAsia" w:ascii="宋体" w:hAnsi="宋体"/>
                <w:spacing w:val="4"/>
              </w:rPr>
            </w:pPr>
            <w:r>
              <w:rPr>
                <w:rFonts w:ascii="宋体" w:hAnsi="宋体"/>
                <w:spacing w:val="4"/>
              </w:rPr>
              <w:t>95</w:t>
            </w:r>
          </w:p>
        </w:tc>
        <w:tc>
          <w:tcPr>
            <w:tcW w:w="713" w:type="dxa"/>
            <w:vAlign w:val="center"/>
          </w:tcPr>
          <w:p w14:paraId="78B6BA6E">
            <w:pPr>
              <w:adjustRightInd w:val="0"/>
              <w:snapToGrid w:val="0"/>
              <w:spacing w:line="240" w:lineRule="exact"/>
              <w:jc w:val="center"/>
              <w:rPr>
                <w:rFonts w:hint="eastAsia" w:ascii="宋体" w:hAnsi="宋体"/>
                <w:spacing w:val="4"/>
              </w:rPr>
            </w:pPr>
            <w:r>
              <w:rPr>
                <w:rFonts w:ascii="宋体" w:hAnsi="宋体"/>
                <w:spacing w:val="4"/>
              </w:rPr>
              <w:t>10</w:t>
            </w:r>
          </w:p>
        </w:tc>
      </w:tr>
      <w:tr w14:paraId="040F89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4A9C2BC3">
            <w:pPr>
              <w:widowControl/>
              <w:adjustRightInd w:val="0"/>
              <w:snapToGrid w:val="0"/>
              <w:spacing w:line="240" w:lineRule="exact"/>
              <w:jc w:val="left"/>
              <w:rPr>
                <w:rFonts w:hint="eastAsia" w:ascii="宋体" w:hAnsi="宋体"/>
                <w:spacing w:val="4"/>
              </w:rPr>
            </w:pPr>
          </w:p>
        </w:tc>
        <w:tc>
          <w:tcPr>
            <w:tcW w:w="883" w:type="dxa"/>
            <w:vMerge w:val="continue"/>
            <w:vAlign w:val="center"/>
          </w:tcPr>
          <w:p w14:paraId="6447B799">
            <w:pPr>
              <w:widowControl/>
              <w:adjustRightInd w:val="0"/>
              <w:snapToGrid w:val="0"/>
              <w:spacing w:line="240" w:lineRule="exact"/>
              <w:jc w:val="left"/>
              <w:rPr>
                <w:rFonts w:hint="eastAsia" w:ascii="宋体" w:hAnsi="宋体"/>
                <w:spacing w:val="4"/>
              </w:rPr>
            </w:pPr>
          </w:p>
        </w:tc>
        <w:tc>
          <w:tcPr>
            <w:tcW w:w="1843" w:type="dxa"/>
            <w:gridSpan w:val="3"/>
            <w:vAlign w:val="center"/>
          </w:tcPr>
          <w:p w14:paraId="2E5B47AB">
            <w:pPr>
              <w:adjustRightInd w:val="0"/>
              <w:snapToGrid w:val="0"/>
              <w:spacing w:line="240" w:lineRule="exact"/>
              <w:jc w:val="center"/>
              <w:rPr>
                <w:rFonts w:hint="eastAsia" w:ascii="宋体" w:hAnsi="宋体"/>
                <w:spacing w:val="4"/>
              </w:rPr>
            </w:pPr>
            <w:r>
              <w:rPr>
                <w:rFonts w:ascii="宋体" w:hAnsi="宋体"/>
                <w:spacing w:val="4"/>
              </w:rPr>
              <w:t>柴油机效率</w:t>
            </w:r>
          </w:p>
        </w:tc>
        <w:tc>
          <w:tcPr>
            <w:tcW w:w="2835" w:type="dxa"/>
            <w:gridSpan w:val="2"/>
            <w:vAlign w:val="center"/>
          </w:tcPr>
          <w:p w14:paraId="7ED931DA">
            <w:pPr>
              <w:adjustRightInd w:val="0"/>
              <w:snapToGrid w:val="0"/>
              <w:spacing w:line="240" w:lineRule="exact"/>
              <w:jc w:val="center"/>
              <w:rPr>
                <w:rFonts w:hint="eastAsia" w:ascii="宋体" w:hAnsi="宋体"/>
                <w:spacing w:val="4"/>
              </w:rPr>
            </w:pPr>
            <w:r>
              <w:rPr>
                <w:rFonts w:ascii="宋体" w:hAnsi="宋体"/>
                <w:spacing w:val="4"/>
              </w:rPr>
              <w:t>%</w:t>
            </w:r>
          </w:p>
        </w:tc>
        <w:tc>
          <w:tcPr>
            <w:tcW w:w="1134" w:type="dxa"/>
            <w:vAlign w:val="center"/>
          </w:tcPr>
          <w:p w14:paraId="6D5A6404">
            <w:pPr>
              <w:adjustRightInd w:val="0"/>
              <w:snapToGrid w:val="0"/>
              <w:spacing w:line="240" w:lineRule="exact"/>
              <w:jc w:val="center"/>
              <w:rPr>
                <w:rFonts w:hint="eastAsia" w:ascii="宋体" w:hAnsi="宋体"/>
                <w:spacing w:val="4"/>
              </w:rPr>
            </w:pPr>
            <w:r>
              <w:rPr>
                <w:rFonts w:ascii="宋体" w:hAnsi="宋体"/>
                <w:spacing w:val="4"/>
              </w:rPr>
              <w:t>10</w:t>
            </w:r>
          </w:p>
        </w:tc>
        <w:tc>
          <w:tcPr>
            <w:tcW w:w="3118" w:type="dxa"/>
            <w:gridSpan w:val="2"/>
            <w:vAlign w:val="center"/>
          </w:tcPr>
          <w:p w14:paraId="3FBBD5FA">
            <w:pPr>
              <w:adjustRightInd w:val="0"/>
              <w:snapToGrid w:val="0"/>
              <w:spacing w:line="240" w:lineRule="exact"/>
              <w:jc w:val="center"/>
              <w:rPr>
                <w:rFonts w:hint="eastAsia" w:ascii="宋体" w:hAnsi="宋体"/>
                <w:spacing w:val="4"/>
              </w:rPr>
            </w:pPr>
            <w:r>
              <w:rPr>
                <w:rFonts w:ascii="宋体" w:hAnsi="宋体"/>
                <w:spacing w:val="4"/>
              </w:rPr>
              <w:t>≥80</w:t>
            </w:r>
          </w:p>
        </w:tc>
        <w:tc>
          <w:tcPr>
            <w:tcW w:w="993" w:type="dxa"/>
            <w:gridSpan w:val="2"/>
            <w:vAlign w:val="center"/>
          </w:tcPr>
          <w:p w14:paraId="240CC0A6">
            <w:pPr>
              <w:adjustRightInd w:val="0"/>
              <w:snapToGrid w:val="0"/>
              <w:spacing w:line="240" w:lineRule="exact"/>
              <w:jc w:val="center"/>
              <w:rPr>
                <w:rFonts w:hint="eastAsia" w:ascii="宋体" w:hAnsi="宋体"/>
                <w:spacing w:val="4"/>
              </w:rPr>
            </w:pPr>
            <w:r>
              <w:rPr>
                <w:rFonts w:hint="eastAsia" w:ascii="宋体" w:hAnsi="宋体"/>
                <w:spacing w:val="4"/>
              </w:rPr>
              <w:t>＞85</w:t>
            </w:r>
          </w:p>
        </w:tc>
        <w:tc>
          <w:tcPr>
            <w:tcW w:w="713" w:type="dxa"/>
            <w:vAlign w:val="center"/>
          </w:tcPr>
          <w:p w14:paraId="18475834">
            <w:pPr>
              <w:adjustRightInd w:val="0"/>
              <w:snapToGrid w:val="0"/>
              <w:spacing w:line="240" w:lineRule="exact"/>
              <w:jc w:val="center"/>
              <w:rPr>
                <w:rFonts w:hint="eastAsia" w:ascii="宋体" w:hAnsi="宋体"/>
                <w:spacing w:val="4"/>
              </w:rPr>
            </w:pPr>
            <w:r>
              <w:rPr>
                <w:rFonts w:hint="eastAsia" w:ascii="宋体" w:hAnsi="宋体"/>
                <w:spacing w:val="4"/>
              </w:rPr>
              <w:t>10</w:t>
            </w:r>
          </w:p>
        </w:tc>
      </w:tr>
      <w:tr w14:paraId="460103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63226474">
            <w:pPr>
              <w:widowControl/>
              <w:adjustRightInd w:val="0"/>
              <w:snapToGrid w:val="0"/>
              <w:spacing w:line="240" w:lineRule="exact"/>
              <w:jc w:val="left"/>
              <w:rPr>
                <w:rFonts w:hint="eastAsia" w:ascii="宋体" w:hAnsi="宋体"/>
                <w:spacing w:val="4"/>
              </w:rPr>
            </w:pPr>
          </w:p>
        </w:tc>
        <w:tc>
          <w:tcPr>
            <w:tcW w:w="883" w:type="dxa"/>
            <w:vMerge w:val="continue"/>
            <w:vAlign w:val="center"/>
          </w:tcPr>
          <w:p w14:paraId="39749A78">
            <w:pPr>
              <w:widowControl/>
              <w:adjustRightInd w:val="0"/>
              <w:snapToGrid w:val="0"/>
              <w:spacing w:line="240" w:lineRule="exact"/>
              <w:jc w:val="left"/>
              <w:rPr>
                <w:rFonts w:hint="eastAsia" w:ascii="宋体" w:hAnsi="宋体"/>
                <w:spacing w:val="4"/>
              </w:rPr>
            </w:pPr>
          </w:p>
        </w:tc>
        <w:tc>
          <w:tcPr>
            <w:tcW w:w="1843" w:type="dxa"/>
            <w:gridSpan w:val="3"/>
            <w:vAlign w:val="center"/>
          </w:tcPr>
          <w:p w14:paraId="4956CFC0">
            <w:pPr>
              <w:adjustRightInd w:val="0"/>
              <w:snapToGrid w:val="0"/>
              <w:spacing w:line="240" w:lineRule="exact"/>
              <w:jc w:val="center"/>
              <w:rPr>
                <w:rFonts w:hint="eastAsia" w:ascii="宋体" w:hAnsi="宋体"/>
                <w:spacing w:val="4"/>
              </w:rPr>
            </w:pPr>
            <w:r>
              <w:rPr>
                <w:rFonts w:ascii="宋体" w:hAnsi="宋体"/>
                <w:spacing w:val="4"/>
              </w:rPr>
              <w:t>污油回收率</w:t>
            </w:r>
          </w:p>
        </w:tc>
        <w:tc>
          <w:tcPr>
            <w:tcW w:w="2835" w:type="dxa"/>
            <w:gridSpan w:val="2"/>
            <w:vAlign w:val="center"/>
          </w:tcPr>
          <w:p w14:paraId="226CD0A5">
            <w:pPr>
              <w:adjustRightInd w:val="0"/>
              <w:snapToGrid w:val="0"/>
              <w:spacing w:line="240" w:lineRule="exact"/>
              <w:jc w:val="center"/>
              <w:rPr>
                <w:rFonts w:hint="eastAsia" w:ascii="宋体" w:hAnsi="宋体"/>
                <w:spacing w:val="4"/>
              </w:rPr>
            </w:pPr>
            <w:r>
              <w:rPr>
                <w:rFonts w:ascii="宋体" w:hAnsi="宋体"/>
                <w:spacing w:val="4"/>
              </w:rPr>
              <w:t>%</w:t>
            </w:r>
          </w:p>
        </w:tc>
        <w:tc>
          <w:tcPr>
            <w:tcW w:w="1134" w:type="dxa"/>
            <w:vAlign w:val="center"/>
          </w:tcPr>
          <w:p w14:paraId="438CFFE4">
            <w:pPr>
              <w:adjustRightInd w:val="0"/>
              <w:snapToGrid w:val="0"/>
              <w:spacing w:line="240" w:lineRule="exact"/>
              <w:jc w:val="center"/>
              <w:rPr>
                <w:rFonts w:hint="eastAsia" w:ascii="宋体" w:hAnsi="宋体"/>
                <w:spacing w:val="4"/>
              </w:rPr>
            </w:pPr>
            <w:r>
              <w:rPr>
                <w:rFonts w:ascii="宋体" w:hAnsi="宋体"/>
                <w:spacing w:val="4"/>
              </w:rPr>
              <w:t>10</w:t>
            </w:r>
          </w:p>
        </w:tc>
        <w:tc>
          <w:tcPr>
            <w:tcW w:w="3118" w:type="dxa"/>
            <w:gridSpan w:val="2"/>
            <w:vAlign w:val="center"/>
          </w:tcPr>
          <w:p w14:paraId="13419F47">
            <w:pPr>
              <w:adjustRightInd w:val="0"/>
              <w:snapToGrid w:val="0"/>
              <w:spacing w:line="240" w:lineRule="exact"/>
              <w:jc w:val="center"/>
              <w:rPr>
                <w:rFonts w:hint="eastAsia" w:ascii="宋体" w:hAnsi="宋体"/>
                <w:spacing w:val="4"/>
              </w:rPr>
            </w:pPr>
            <w:r>
              <w:rPr>
                <w:rFonts w:ascii="宋体" w:hAnsi="宋体"/>
                <w:spacing w:val="4"/>
              </w:rPr>
              <w:t>≥90</w:t>
            </w:r>
          </w:p>
        </w:tc>
        <w:tc>
          <w:tcPr>
            <w:tcW w:w="993" w:type="dxa"/>
            <w:gridSpan w:val="2"/>
            <w:vAlign w:val="center"/>
          </w:tcPr>
          <w:p w14:paraId="57882B47">
            <w:pPr>
              <w:adjustRightInd w:val="0"/>
              <w:snapToGrid w:val="0"/>
              <w:spacing w:line="240" w:lineRule="exact"/>
              <w:jc w:val="center"/>
              <w:rPr>
                <w:rFonts w:hint="eastAsia" w:ascii="宋体" w:hAnsi="宋体"/>
                <w:spacing w:val="4"/>
              </w:rPr>
            </w:pPr>
            <w:r>
              <w:rPr>
                <w:rFonts w:ascii="宋体" w:hAnsi="宋体"/>
                <w:spacing w:val="4"/>
              </w:rPr>
              <w:t>100</w:t>
            </w:r>
          </w:p>
        </w:tc>
        <w:tc>
          <w:tcPr>
            <w:tcW w:w="713" w:type="dxa"/>
            <w:vAlign w:val="center"/>
          </w:tcPr>
          <w:p w14:paraId="1DF11D62">
            <w:pPr>
              <w:adjustRightInd w:val="0"/>
              <w:snapToGrid w:val="0"/>
              <w:spacing w:line="240" w:lineRule="exact"/>
              <w:jc w:val="center"/>
              <w:rPr>
                <w:rFonts w:hint="eastAsia" w:ascii="宋体" w:hAnsi="宋体"/>
                <w:spacing w:val="4"/>
              </w:rPr>
            </w:pPr>
            <w:r>
              <w:rPr>
                <w:rFonts w:ascii="宋体" w:hAnsi="宋体"/>
                <w:spacing w:val="4"/>
              </w:rPr>
              <w:t>10</w:t>
            </w:r>
          </w:p>
        </w:tc>
      </w:tr>
      <w:tr w14:paraId="58E749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restart"/>
            <w:vAlign w:val="center"/>
          </w:tcPr>
          <w:p w14:paraId="2FE5C4FA">
            <w:pPr>
              <w:adjustRightInd w:val="0"/>
              <w:snapToGrid w:val="0"/>
              <w:spacing w:line="240" w:lineRule="exact"/>
              <w:jc w:val="center"/>
              <w:rPr>
                <w:rFonts w:hint="eastAsia" w:ascii="宋体" w:hAnsi="宋体"/>
                <w:spacing w:val="4"/>
              </w:rPr>
            </w:pPr>
            <w:r>
              <w:rPr>
                <w:rFonts w:ascii="宋体" w:hAnsi="宋体"/>
                <w:spacing w:val="4"/>
              </w:rPr>
              <w:t>（4）污染物产生指标</w:t>
            </w:r>
          </w:p>
        </w:tc>
        <w:tc>
          <w:tcPr>
            <w:tcW w:w="883" w:type="dxa"/>
            <w:vMerge w:val="restart"/>
            <w:vAlign w:val="center"/>
          </w:tcPr>
          <w:p w14:paraId="1CC27CCB">
            <w:pPr>
              <w:adjustRightInd w:val="0"/>
              <w:snapToGrid w:val="0"/>
              <w:spacing w:line="240" w:lineRule="exact"/>
              <w:jc w:val="center"/>
              <w:rPr>
                <w:rFonts w:hint="eastAsia" w:ascii="宋体" w:hAnsi="宋体"/>
                <w:spacing w:val="4"/>
              </w:rPr>
            </w:pPr>
            <w:r>
              <w:rPr>
                <w:rFonts w:ascii="宋体" w:hAnsi="宋体"/>
                <w:spacing w:val="4"/>
              </w:rPr>
              <w:t>35</w:t>
            </w:r>
          </w:p>
        </w:tc>
        <w:tc>
          <w:tcPr>
            <w:tcW w:w="1843" w:type="dxa"/>
            <w:gridSpan w:val="3"/>
            <w:vAlign w:val="center"/>
          </w:tcPr>
          <w:p w14:paraId="6C3A46A5">
            <w:pPr>
              <w:adjustRightInd w:val="0"/>
              <w:snapToGrid w:val="0"/>
              <w:spacing w:line="240" w:lineRule="exact"/>
              <w:jc w:val="center"/>
              <w:rPr>
                <w:rFonts w:hint="eastAsia" w:ascii="宋体" w:hAnsi="宋体"/>
                <w:spacing w:val="4"/>
              </w:rPr>
            </w:pPr>
            <w:r>
              <w:rPr>
                <w:rFonts w:ascii="宋体" w:hAnsi="宋体"/>
                <w:spacing w:val="4"/>
              </w:rPr>
              <w:t>钻井废水</w:t>
            </w:r>
          </w:p>
        </w:tc>
        <w:tc>
          <w:tcPr>
            <w:tcW w:w="2835" w:type="dxa"/>
            <w:gridSpan w:val="2"/>
            <w:vAlign w:val="center"/>
          </w:tcPr>
          <w:p w14:paraId="12B50C0C">
            <w:pPr>
              <w:adjustRightInd w:val="0"/>
              <w:snapToGrid w:val="0"/>
              <w:spacing w:line="240" w:lineRule="exact"/>
              <w:jc w:val="center"/>
              <w:rPr>
                <w:rFonts w:hint="eastAsia" w:ascii="宋体" w:hAnsi="宋体"/>
                <w:spacing w:val="4"/>
              </w:rPr>
            </w:pPr>
            <w:r>
              <w:rPr>
                <w:rFonts w:ascii="宋体" w:hAnsi="宋体"/>
                <w:spacing w:val="4"/>
              </w:rPr>
              <w:t>t/100m标准进尺</w:t>
            </w:r>
          </w:p>
        </w:tc>
        <w:tc>
          <w:tcPr>
            <w:tcW w:w="1134" w:type="dxa"/>
            <w:vAlign w:val="center"/>
          </w:tcPr>
          <w:p w14:paraId="469BF59C">
            <w:pPr>
              <w:adjustRightInd w:val="0"/>
              <w:snapToGrid w:val="0"/>
              <w:spacing w:line="240" w:lineRule="exact"/>
              <w:jc w:val="center"/>
              <w:rPr>
                <w:rFonts w:hint="eastAsia" w:ascii="宋体" w:hAnsi="宋体"/>
                <w:spacing w:val="4"/>
              </w:rPr>
            </w:pPr>
            <w:r>
              <w:rPr>
                <w:rFonts w:ascii="宋体" w:hAnsi="宋体"/>
                <w:spacing w:val="4"/>
              </w:rPr>
              <w:t>10</w:t>
            </w:r>
          </w:p>
        </w:tc>
        <w:tc>
          <w:tcPr>
            <w:tcW w:w="3118" w:type="dxa"/>
            <w:gridSpan w:val="2"/>
            <w:vAlign w:val="center"/>
          </w:tcPr>
          <w:p w14:paraId="682A45EC">
            <w:pPr>
              <w:adjustRightInd w:val="0"/>
              <w:snapToGrid w:val="0"/>
              <w:spacing w:line="240" w:lineRule="exact"/>
              <w:jc w:val="center"/>
              <w:rPr>
                <w:rFonts w:hint="eastAsia" w:ascii="宋体" w:hAnsi="宋体"/>
                <w:spacing w:val="4"/>
              </w:rPr>
            </w:pPr>
            <w:r>
              <w:rPr>
                <w:rFonts w:ascii="宋体" w:hAnsi="宋体"/>
                <w:spacing w:val="4"/>
              </w:rPr>
              <w:t>甲类区：≤30；乙类区：≤35</w:t>
            </w:r>
          </w:p>
        </w:tc>
        <w:tc>
          <w:tcPr>
            <w:tcW w:w="993" w:type="dxa"/>
            <w:gridSpan w:val="2"/>
            <w:vAlign w:val="center"/>
          </w:tcPr>
          <w:p w14:paraId="38C97049">
            <w:pPr>
              <w:adjustRightInd w:val="0"/>
              <w:snapToGrid w:val="0"/>
              <w:spacing w:line="240" w:lineRule="exact"/>
              <w:jc w:val="center"/>
              <w:rPr>
                <w:rFonts w:hint="eastAsia" w:ascii="宋体" w:hAnsi="宋体"/>
                <w:spacing w:val="4"/>
              </w:rPr>
            </w:pPr>
            <w:r>
              <w:rPr>
                <w:rFonts w:hint="eastAsia" w:ascii="宋体" w:hAnsi="宋体"/>
                <w:spacing w:val="4"/>
              </w:rPr>
              <w:t>＜</w:t>
            </w:r>
            <w:r>
              <w:rPr>
                <w:rFonts w:ascii="宋体" w:hAnsi="宋体"/>
                <w:spacing w:val="4"/>
              </w:rPr>
              <w:t>35</w:t>
            </w:r>
          </w:p>
        </w:tc>
        <w:tc>
          <w:tcPr>
            <w:tcW w:w="713" w:type="dxa"/>
            <w:vAlign w:val="center"/>
          </w:tcPr>
          <w:p w14:paraId="22E57C89">
            <w:pPr>
              <w:adjustRightInd w:val="0"/>
              <w:snapToGrid w:val="0"/>
              <w:spacing w:line="240" w:lineRule="exact"/>
              <w:jc w:val="center"/>
              <w:rPr>
                <w:rFonts w:hint="eastAsia" w:ascii="宋体" w:hAnsi="宋体"/>
                <w:spacing w:val="4"/>
              </w:rPr>
            </w:pPr>
            <w:r>
              <w:rPr>
                <w:rFonts w:hint="eastAsia" w:ascii="宋体" w:hAnsi="宋体"/>
                <w:spacing w:val="4"/>
              </w:rPr>
              <w:t>10</w:t>
            </w:r>
          </w:p>
        </w:tc>
      </w:tr>
      <w:tr w14:paraId="61F743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3BF589F0">
            <w:pPr>
              <w:widowControl/>
              <w:adjustRightInd w:val="0"/>
              <w:snapToGrid w:val="0"/>
              <w:spacing w:line="240" w:lineRule="exact"/>
              <w:jc w:val="left"/>
              <w:rPr>
                <w:rFonts w:hint="eastAsia" w:ascii="宋体" w:hAnsi="宋体"/>
                <w:spacing w:val="4"/>
              </w:rPr>
            </w:pPr>
          </w:p>
        </w:tc>
        <w:tc>
          <w:tcPr>
            <w:tcW w:w="883" w:type="dxa"/>
            <w:vMerge w:val="continue"/>
            <w:vAlign w:val="center"/>
          </w:tcPr>
          <w:p w14:paraId="55B99547">
            <w:pPr>
              <w:widowControl/>
              <w:adjustRightInd w:val="0"/>
              <w:snapToGrid w:val="0"/>
              <w:spacing w:line="240" w:lineRule="exact"/>
              <w:jc w:val="left"/>
              <w:rPr>
                <w:rFonts w:hint="eastAsia" w:ascii="宋体" w:hAnsi="宋体"/>
                <w:spacing w:val="4"/>
              </w:rPr>
            </w:pPr>
          </w:p>
        </w:tc>
        <w:tc>
          <w:tcPr>
            <w:tcW w:w="1843" w:type="dxa"/>
            <w:gridSpan w:val="3"/>
            <w:vAlign w:val="center"/>
          </w:tcPr>
          <w:p w14:paraId="4BA09D82">
            <w:pPr>
              <w:adjustRightInd w:val="0"/>
              <w:snapToGrid w:val="0"/>
              <w:spacing w:line="240" w:lineRule="exact"/>
              <w:jc w:val="center"/>
              <w:rPr>
                <w:rFonts w:hint="eastAsia" w:ascii="宋体" w:hAnsi="宋体"/>
                <w:spacing w:val="4"/>
              </w:rPr>
            </w:pPr>
            <w:r>
              <w:rPr>
                <w:rFonts w:ascii="宋体" w:hAnsi="宋体"/>
                <w:spacing w:val="4"/>
              </w:rPr>
              <w:t>废弃钻井液</w:t>
            </w:r>
          </w:p>
        </w:tc>
        <w:tc>
          <w:tcPr>
            <w:tcW w:w="2835" w:type="dxa"/>
            <w:gridSpan w:val="2"/>
            <w:vAlign w:val="center"/>
          </w:tcPr>
          <w:p w14:paraId="6BC76076">
            <w:pPr>
              <w:adjustRightInd w:val="0"/>
              <w:snapToGrid w:val="0"/>
              <w:spacing w:line="240" w:lineRule="exact"/>
              <w:jc w:val="center"/>
              <w:rPr>
                <w:rFonts w:hint="eastAsia" w:ascii="宋体" w:hAnsi="宋体"/>
                <w:spacing w:val="4"/>
              </w:rPr>
            </w:pPr>
            <w:r>
              <w:rPr>
                <w:rFonts w:ascii="宋体" w:hAnsi="宋体"/>
                <w:spacing w:val="4"/>
              </w:rPr>
              <w:t>m</w:t>
            </w:r>
            <w:r>
              <w:rPr>
                <w:rFonts w:ascii="宋体" w:hAnsi="宋体"/>
                <w:spacing w:val="4"/>
                <w:vertAlign w:val="superscript"/>
              </w:rPr>
              <w:t>3</w:t>
            </w:r>
            <w:r>
              <w:rPr>
                <w:rFonts w:ascii="宋体" w:hAnsi="宋体"/>
                <w:spacing w:val="4"/>
              </w:rPr>
              <w:t>/100m标准进尺</w:t>
            </w:r>
          </w:p>
        </w:tc>
        <w:tc>
          <w:tcPr>
            <w:tcW w:w="1134" w:type="dxa"/>
            <w:vAlign w:val="center"/>
          </w:tcPr>
          <w:p w14:paraId="5ACC7FB5">
            <w:pPr>
              <w:adjustRightInd w:val="0"/>
              <w:snapToGrid w:val="0"/>
              <w:spacing w:line="240" w:lineRule="exact"/>
              <w:jc w:val="center"/>
              <w:rPr>
                <w:rFonts w:hint="eastAsia" w:ascii="宋体" w:hAnsi="宋体"/>
                <w:spacing w:val="4"/>
              </w:rPr>
            </w:pPr>
            <w:r>
              <w:rPr>
                <w:rFonts w:ascii="宋体" w:hAnsi="宋体"/>
                <w:spacing w:val="4"/>
              </w:rPr>
              <w:t>10</w:t>
            </w:r>
          </w:p>
        </w:tc>
        <w:tc>
          <w:tcPr>
            <w:tcW w:w="3118" w:type="dxa"/>
            <w:gridSpan w:val="2"/>
            <w:vAlign w:val="center"/>
          </w:tcPr>
          <w:p w14:paraId="724C31DF">
            <w:pPr>
              <w:adjustRightInd w:val="0"/>
              <w:snapToGrid w:val="0"/>
              <w:spacing w:line="240" w:lineRule="exact"/>
              <w:jc w:val="center"/>
              <w:rPr>
                <w:rFonts w:hint="eastAsia" w:ascii="宋体" w:hAnsi="宋体"/>
                <w:spacing w:val="4"/>
              </w:rPr>
            </w:pPr>
            <w:r>
              <w:rPr>
                <w:rFonts w:ascii="宋体" w:hAnsi="宋体"/>
                <w:spacing w:val="4"/>
              </w:rPr>
              <w:t>≤10</w:t>
            </w:r>
          </w:p>
        </w:tc>
        <w:tc>
          <w:tcPr>
            <w:tcW w:w="993" w:type="dxa"/>
            <w:gridSpan w:val="2"/>
            <w:vAlign w:val="center"/>
          </w:tcPr>
          <w:p w14:paraId="70222029">
            <w:pPr>
              <w:adjustRightInd w:val="0"/>
              <w:snapToGrid w:val="0"/>
              <w:spacing w:line="240" w:lineRule="exact"/>
              <w:jc w:val="center"/>
              <w:rPr>
                <w:rFonts w:hint="eastAsia" w:ascii="宋体" w:hAnsi="宋体"/>
                <w:spacing w:val="4"/>
              </w:rPr>
            </w:pPr>
            <w:r>
              <w:rPr>
                <w:rFonts w:hint="eastAsia" w:ascii="宋体" w:hAnsi="宋体"/>
                <w:spacing w:val="4"/>
              </w:rPr>
              <w:t>＜1</w:t>
            </w:r>
            <w:r>
              <w:rPr>
                <w:rFonts w:ascii="宋体" w:hAnsi="宋体"/>
                <w:spacing w:val="4"/>
              </w:rPr>
              <w:t>0</w:t>
            </w:r>
          </w:p>
        </w:tc>
        <w:tc>
          <w:tcPr>
            <w:tcW w:w="713" w:type="dxa"/>
            <w:vAlign w:val="center"/>
          </w:tcPr>
          <w:p w14:paraId="6838B150">
            <w:pPr>
              <w:adjustRightInd w:val="0"/>
              <w:snapToGrid w:val="0"/>
              <w:spacing w:line="240" w:lineRule="exact"/>
              <w:jc w:val="center"/>
              <w:rPr>
                <w:rFonts w:hint="eastAsia" w:ascii="宋体" w:hAnsi="宋体"/>
                <w:spacing w:val="4"/>
              </w:rPr>
            </w:pPr>
            <w:r>
              <w:rPr>
                <w:rFonts w:hint="eastAsia" w:ascii="宋体" w:hAnsi="宋体"/>
                <w:spacing w:val="4"/>
              </w:rPr>
              <w:t>10</w:t>
            </w:r>
          </w:p>
        </w:tc>
      </w:tr>
      <w:tr w14:paraId="1BC2DF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65F76F3D">
            <w:pPr>
              <w:widowControl/>
              <w:adjustRightInd w:val="0"/>
              <w:snapToGrid w:val="0"/>
              <w:spacing w:line="240" w:lineRule="exact"/>
              <w:jc w:val="left"/>
              <w:rPr>
                <w:rFonts w:hint="eastAsia" w:ascii="宋体" w:hAnsi="宋体"/>
                <w:spacing w:val="4"/>
              </w:rPr>
            </w:pPr>
          </w:p>
        </w:tc>
        <w:tc>
          <w:tcPr>
            <w:tcW w:w="883" w:type="dxa"/>
            <w:vMerge w:val="continue"/>
            <w:vAlign w:val="center"/>
          </w:tcPr>
          <w:p w14:paraId="60735172">
            <w:pPr>
              <w:widowControl/>
              <w:adjustRightInd w:val="0"/>
              <w:snapToGrid w:val="0"/>
              <w:spacing w:line="240" w:lineRule="exact"/>
              <w:jc w:val="left"/>
              <w:rPr>
                <w:rFonts w:hint="eastAsia" w:ascii="宋体" w:hAnsi="宋体"/>
                <w:spacing w:val="4"/>
              </w:rPr>
            </w:pPr>
          </w:p>
        </w:tc>
        <w:tc>
          <w:tcPr>
            <w:tcW w:w="1843" w:type="dxa"/>
            <w:gridSpan w:val="3"/>
            <w:vAlign w:val="center"/>
          </w:tcPr>
          <w:p w14:paraId="43087DE5">
            <w:pPr>
              <w:adjustRightInd w:val="0"/>
              <w:snapToGrid w:val="0"/>
              <w:spacing w:line="240" w:lineRule="exact"/>
              <w:jc w:val="center"/>
              <w:rPr>
                <w:rFonts w:hint="eastAsia" w:ascii="宋体" w:hAnsi="宋体"/>
                <w:spacing w:val="4"/>
              </w:rPr>
            </w:pPr>
            <w:r>
              <w:rPr>
                <w:rFonts w:ascii="宋体" w:hAnsi="宋体"/>
                <w:spacing w:val="4"/>
              </w:rPr>
              <w:t>采油机烟气</w:t>
            </w:r>
          </w:p>
        </w:tc>
        <w:tc>
          <w:tcPr>
            <w:tcW w:w="2835" w:type="dxa"/>
            <w:gridSpan w:val="2"/>
            <w:vAlign w:val="center"/>
          </w:tcPr>
          <w:p w14:paraId="37D2A138">
            <w:pPr>
              <w:adjustRightInd w:val="0"/>
              <w:snapToGrid w:val="0"/>
              <w:spacing w:line="240" w:lineRule="exact"/>
              <w:jc w:val="center"/>
              <w:rPr>
                <w:rFonts w:hint="eastAsia" w:ascii="宋体" w:hAnsi="宋体"/>
                <w:spacing w:val="4"/>
              </w:rPr>
            </w:pPr>
            <w:r>
              <w:rPr>
                <w:rFonts w:ascii="宋体" w:hAnsi="宋体"/>
                <w:spacing w:val="4"/>
              </w:rPr>
              <w:t>-</w:t>
            </w:r>
          </w:p>
        </w:tc>
        <w:tc>
          <w:tcPr>
            <w:tcW w:w="1134" w:type="dxa"/>
            <w:vAlign w:val="center"/>
          </w:tcPr>
          <w:p w14:paraId="267FB1D2">
            <w:pPr>
              <w:adjustRightInd w:val="0"/>
              <w:snapToGrid w:val="0"/>
              <w:spacing w:line="240" w:lineRule="exact"/>
              <w:jc w:val="center"/>
              <w:rPr>
                <w:rFonts w:hint="eastAsia" w:ascii="宋体" w:hAnsi="宋体"/>
                <w:spacing w:val="4"/>
              </w:rPr>
            </w:pPr>
            <w:r>
              <w:rPr>
                <w:rFonts w:ascii="宋体" w:hAnsi="宋体"/>
                <w:spacing w:val="4"/>
              </w:rPr>
              <w:t>5</w:t>
            </w:r>
          </w:p>
        </w:tc>
        <w:tc>
          <w:tcPr>
            <w:tcW w:w="3118" w:type="dxa"/>
            <w:gridSpan w:val="2"/>
            <w:vAlign w:val="center"/>
          </w:tcPr>
          <w:p w14:paraId="0BD57BEA">
            <w:pPr>
              <w:adjustRightInd w:val="0"/>
              <w:snapToGrid w:val="0"/>
              <w:spacing w:line="240" w:lineRule="exact"/>
              <w:jc w:val="center"/>
              <w:rPr>
                <w:rFonts w:hint="eastAsia" w:ascii="宋体" w:hAnsi="宋体"/>
                <w:spacing w:val="4"/>
              </w:rPr>
            </w:pPr>
            <w:r>
              <w:rPr>
                <w:rFonts w:ascii="宋体" w:hAnsi="宋体"/>
                <w:spacing w:val="4"/>
              </w:rPr>
              <w:t>符合排放标准要求</w:t>
            </w:r>
          </w:p>
        </w:tc>
        <w:tc>
          <w:tcPr>
            <w:tcW w:w="993" w:type="dxa"/>
            <w:gridSpan w:val="2"/>
            <w:vAlign w:val="center"/>
          </w:tcPr>
          <w:p w14:paraId="17FF8372">
            <w:pPr>
              <w:adjustRightInd w:val="0"/>
              <w:snapToGrid w:val="0"/>
              <w:spacing w:line="240" w:lineRule="exact"/>
              <w:jc w:val="center"/>
              <w:rPr>
                <w:rFonts w:hint="eastAsia" w:ascii="宋体" w:hAnsi="宋体"/>
                <w:spacing w:val="4"/>
              </w:rPr>
            </w:pPr>
            <w:r>
              <w:rPr>
                <w:rFonts w:hint="eastAsia" w:ascii="宋体" w:hAnsi="宋体"/>
                <w:spacing w:val="4"/>
              </w:rPr>
              <w:t>符合</w:t>
            </w:r>
          </w:p>
        </w:tc>
        <w:tc>
          <w:tcPr>
            <w:tcW w:w="713" w:type="dxa"/>
            <w:vAlign w:val="center"/>
          </w:tcPr>
          <w:p w14:paraId="4062722C">
            <w:pPr>
              <w:adjustRightInd w:val="0"/>
              <w:snapToGrid w:val="0"/>
              <w:spacing w:line="240" w:lineRule="exact"/>
              <w:jc w:val="center"/>
              <w:rPr>
                <w:rFonts w:hint="eastAsia" w:ascii="宋体" w:hAnsi="宋体"/>
                <w:spacing w:val="4"/>
              </w:rPr>
            </w:pPr>
            <w:r>
              <w:rPr>
                <w:rFonts w:ascii="宋体" w:hAnsi="宋体"/>
                <w:spacing w:val="4"/>
              </w:rPr>
              <w:t>5</w:t>
            </w:r>
          </w:p>
        </w:tc>
      </w:tr>
      <w:tr w14:paraId="6E55C0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1E161837">
            <w:pPr>
              <w:widowControl/>
              <w:adjustRightInd w:val="0"/>
              <w:snapToGrid w:val="0"/>
              <w:spacing w:line="240" w:lineRule="exact"/>
              <w:jc w:val="left"/>
              <w:rPr>
                <w:rFonts w:hint="eastAsia" w:ascii="宋体" w:hAnsi="宋体"/>
                <w:spacing w:val="4"/>
              </w:rPr>
            </w:pPr>
          </w:p>
        </w:tc>
        <w:tc>
          <w:tcPr>
            <w:tcW w:w="883" w:type="dxa"/>
            <w:vMerge w:val="continue"/>
            <w:vAlign w:val="center"/>
          </w:tcPr>
          <w:p w14:paraId="50ABAC87">
            <w:pPr>
              <w:widowControl/>
              <w:adjustRightInd w:val="0"/>
              <w:snapToGrid w:val="0"/>
              <w:spacing w:line="240" w:lineRule="exact"/>
              <w:jc w:val="left"/>
              <w:rPr>
                <w:rFonts w:hint="eastAsia" w:ascii="宋体" w:hAnsi="宋体"/>
                <w:spacing w:val="4"/>
              </w:rPr>
            </w:pPr>
          </w:p>
        </w:tc>
        <w:tc>
          <w:tcPr>
            <w:tcW w:w="1843" w:type="dxa"/>
            <w:gridSpan w:val="3"/>
            <w:vAlign w:val="center"/>
          </w:tcPr>
          <w:p w14:paraId="650699DF">
            <w:pPr>
              <w:adjustRightInd w:val="0"/>
              <w:snapToGrid w:val="0"/>
              <w:spacing w:line="240" w:lineRule="exact"/>
              <w:jc w:val="center"/>
              <w:rPr>
                <w:rFonts w:hint="eastAsia" w:ascii="宋体" w:hAnsi="宋体"/>
                <w:spacing w:val="4"/>
              </w:rPr>
            </w:pPr>
            <w:r>
              <w:rPr>
                <w:rFonts w:ascii="宋体" w:hAnsi="宋体"/>
                <w:spacing w:val="4"/>
              </w:rPr>
              <w:t>石油类</w:t>
            </w:r>
          </w:p>
        </w:tc>
        <w:tc>
          <w:tcPr>
            <w:tcW w:w="2835" w:type="dxa"/>
            <w:gridSpan w:val="2"/>
            <w:vAlign w:val="center"/>
          </w:tcPr>
          <w:p w14:paraId="4949F041">
            <w:pPr>
              <w:adjustRightInd w:val="0"/>
              <w:snapToGrid w:val="0"/>
              <w:spacing w:line="240" w:lineRule="exact"/>
              <w:jc w:val="center"/>
              <w:rPr>
                <w:rFonts w:hint="eastAsia" w:ascii="宋体" w:hAnsi="宋体"/>
                <w:spacing w:val="4"/>
              </w:rPr>
            </w:pPr>
            <w:r>
              <w:rPr>
                <w:rFonts w:ascii="宋体" w:hAnsi="宋体"/>
                <w:spacing w:val="4"/>
              </w:rPr>
              <w:t>mg/L</w:t>
            </w:r>
          </w:p>
        </w:tc>
        <w:tc>
          <w:tcPr>
            <w:tcW w:w="1134" w:type="dxa"/>
            <w:vAlign w:val="center"/>
          </w:tcPr>
          <w:p w14:paraId="3492CB33">
            <w:pPr>
              <w:adjustRightInd w:val="0"/>
              <w:snapToGrid w:val="0"/>
              <w:spacing w:line="240" w:lineRule="exact"/>
              <w:jc w:val="center"/>
              <w:rPr>
                <w:rFonts w:hint="eastAsia" w:ascii="宋体" w:hAnsi="宋体"/>
                <w:spacing w:val="4"/>
              </w:rPr>
            </w:pPr>
            <w:r>
              <w:rPr>
                <w:rFonts w:ascii="宋体" w:hAnsi="宋体"/>
                <w:spacing w:val="4"/>
              </w:rPr>
              <w:t>5</w:t>
            </w:r>
          </w:p>
        </w:tc>
        <w:tc>
          <w:tcPr>
            <w:tcW w:w="3118" w:type="dxa"/>
            <w:gridSpan w:val="2"/>
            <w:vAlign w:val="center"/>
          </w:tcPr>
          <w:p w14:paraId="7E8A3858">
            <w:pPr>
              <w:adjustRightInd w:val="0"/>
              <w:snapToGrid w:val="0"/>
              <w:spacing w:line="240" w:lineRule="exact"/>
              <w:jc w:val="center"/>
              <w:rPr>
                <w:rFonts w:hint="eastAsia" w:ascii="宋体" w:hAnsi="宋体"/>
                <w:spacing w:val="4"/>
              </w:rPr>
            </w:pPr>
            <w:r>
              <w:rPr>
                <w:rFonts w:ascii="宋体" w:hAnsi="宋体"/>
                <w:spacing w:val="4"/>
              </w:rPr>
              <w:t>≤10</w:t>
            </w:r>
          </w:p>
        </w:tc>
        <w:tc>
          <w:tcPr>
            <w:tcW w:w="993" w:type="dxa"/>
            <w:gridSpan w:val="2"/>
            <w:vAlign w:val="center"/>
          </w:tcPr>
          <w:p w14:paraId="17A0797D">
            <w:pPr>
              <w:adjustRightInd w:val="0"/>
              <w:snapToGrid w:val="0"/>
              <w:spacing w:line="240" w:lineRule="exact"/>
              <w:jc w:val="center"/>
              <w:rPr>
                <w:rFonts w:hint="eastAsia" w:ascii="宋体" w:hAnsi="宋体"/>
                <w:spacing w:val="4"/>
              </w:rPr>
            </w:pPr>
            <w:r>
              <w:rPr>
                <w:rFonts w:hint="eastAsia" w:ascii="宋体" w:hAnsi="宋体"/>
                <w:spacing w:val="4"/>
              </w:rPr>
              <w:t>＜</w:t>
            </w:r>
            <w:r>
              <w:rPr>
                <w:rFonts w:ascii="宋体" w:hAnsi="宋体"/>
                <w:spacing w:val="4"/>
              </w:rPr>
              <w:t>10</w:t>
            </w:r>
          </w:p>
        </w:tc>
        <w:tc>
          <w:tcPr>
            <w:tcW w:w="713" w:type="dxa"/>
            <w:vAlign w:val="center"/>
          </w:tcPr>
          <w:p w14:paraId="02616B15">
            <w:pPr>
              <w:adjustRightInd w:val="0"/>
              <w:snapToGrid w:val="0"/>
              <w:spacing w:line="240" w:lineRule="exact"/>
              <w:jc w:val="center"/>
              <w:rPr>
                <w:rFonts w:hint="eastAsia" w:ascii="宋体" w:hAnsi="宋体"/>
                <w:spacing w:val="4"/>
              </w:rPr>
            </w:pPr>
            <w:r>
              <w:rPr>
                <w:rFonts w:ascii="宋体" w:hAnsi="宋体"/>
                <w:spacing w:val="4"/>
              </w:rPr>
              <w:t>5</w:t>
            </w:r>
          </w:p>
        </w:tc>
      </w:tr>
      <w:tr w14:paraId="5A02FE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2661" w:type="dxa"/>
            <w:vMerge w:val="continue"/>
            <w:vAlign w:val="center"/>
          </w:tcPr>
          <w:p w14:paraId="6ACF469C">
            <w:pPr>
              <w:widowControl/>
              <w:adjustRightInd w:val="0"/>
              <w:snapToGrid w:val="0"/>
              <w:spacing w:line="240" w:lineRule="exact"/>
              <w:jc w:val="left"/>
              <w:rPr>
                <w:rFonts w:hint="eastAsia" w:ascii="宋体" w:hAnsi="宋体"/>
                <w:spacing w:val="4"/>
              </w:rPr>
            </w:pPr>
          </w:p>
        </w:tc>
        <w:tc>
          <w:tcPr>
            <w:tcW w:w="883" w:type="dxa"/>
            <w:vMerge w:val="continue"/>
            <w:vAlign w:val="center"/>
          </w:tcPr>
          <w:p w14:paraId="2CD4B181">
            <w:pPr>
              <w:widowControl/>
              <w:adjustRightInd w:val="0"/>
              <w:snapToGrid w:val="0"/>
              <w:spacing w:line="240" w:lineRule="exact"/>
              <w:jc w:val="left"/>
              <w:rPr>
                <w:rFonts w:hint="eastAsia" w:ascii="宋体" w:hAnsi="宋体"/>
                <w:spacing w:val="4"/>
              </w:rPr>
            </w:pPr>
          </w:p>
        </w:tc>
        <w:tc>
          <w:tcPr>
            <w:tcW w:w="1843" w:type="dxa"/>
            <w:gridSpan w:val="3"/>
            <w:vAlign w:val="center"/>
          </w:tcPr>
          <w:p w14:paraId="76AA6BD1">
            <w:pPr>
              <w:adjustRightInd w:val="0"/>
              <w:snapToGrid w:val="0"/>
              <w:spacing w:line="240" w:lineRule="exact"/>
              <w:jc w:val="center"/>
              <w:rPr>
                <w:rFonts w:hint="eastAsia" w:ascii="宋体" w:hAnsi="宋体"/>
                <w:spacing w:val="4"/>
              </w:rPr>
            </w:pPr>
            <w:r>
              <w:rPr>
                <w:rFonts w:ascii="宋体" w:hAnsi="宋体"/>
                <w:spacing w:val="4"/>
              </w:rPr>
              <w:t>COD</w:t>
            </w:r>
          </w:p>
        </w:tc>
        <w:tc>
          <w:tcPr>
            <w:tcW w:w="2835" w:type="dxa"/>
            <w:gridSpan w:val="2"/>
            <w:vAlign w:val="center"/>
          </w:tcPr>
          <w:p w14:paraId="02F7157C">
            <w:pPr>
              <w:adjustRightInd w:val="0"/>
              <w:snapToGrid w:val="0"/>
              <w:spacing w:line="240" w:lineRule="exact"/>
              <w:jc w:val="center"/>
              <w:rPr>
                <w:rFonts w:hint="eastAsia" w:ascii="宋体" w:hAnsi="宋体"/>
                <w:spacing w:val="4"/>
              </w:rPr>
            </w:pPr>
            <w:r>
              <w:rPr>
                <w:rFonts w:ascii="宋体" w:hAnsi="宋体"/>
                <w:spacing w:val="4"/>
              </w:rPr>
              <w:t>mgL</w:t>
            </w:r>
          </w:p>
        </w:tc>
        <w:tc>
          <w:tcPr>
            <w:tcW w:w="1134" w:type="dxa"/>
            <w:vAlign w:val="center"/>
          </w:tcPr>
          <w:p w14:paraId="5BFFE088">
            <w:pPr>
              <w:adjustRightInd w:val="0"/>
              <w:snapToGrid w:val="0"/>
              <w:spacing w:line="240" w:lineRule="exact"/>
              <w:jc w:val="center"/>
              <w:rPr>
                <w:rFonts w:hint="eastAsia" w:ascii="宋体" w:hAnsi="宋体"/>
                <w:spacing w:val="4"/>
              </w:rPr>
            </w:pPr>
            <w:r>
              <w:rPr>
                <w:rFonts w:ascii="宋体" w:hAnsi="宋体"/>
                <w:spacing w:val="4"/>
              </w:rPr>
              <w:t>5</w:t>
            </w:r>
          </w:p>
        </w:tc>
        <w:tc>
          <w:tcPr>
            <w:tcW w:w="3118" w:type="dxa"/>
            <w:gridSpan w:val="2"/>
            <w:vAlign w:val="center"/>
          </w:tcPr>
          <w:p w14:paraId="02559AE1">
            <w:pPr>
              <w:adjustRightInd w:val="0"/>
              <w:snapToGrid w:val="0"/>
              <w:spacing w:line="240" w:lineRule="exact"/>
              <w:jc w:val="center"/>
              <w:rPr>
                <w:rFonts w:hint="eastAsia" w:ascii="宋体" w:hAnsi="宋体"/>
                <w:spacing w:val="4"/>
              </w:rPr>
            </w:pPr>
            <w:r>
              <w:rPr>
                <w:rFonts w:ascii="宋体" w:hAnsi="宋体"/>
                <w:spacing w:val="4"/>
              </w:rPr>
              <w:t>甲类区：≤100；乙类区：≤150</w:t>
            </w:r>
          </w:p>
        </w:tc>
        <w:tc>
          <w:tcPr>
            <w:tcW w:w="993" w:type="dxa"/>
            <w:gridSpan w:val="2"/>
            <w:vAlign w:val="center"/>
          </w:tcPr>
          <w:p w14:paraId="29234936">
            <w:pPr>
              <w:adjustRightInd w:val="0"/>
              <w:snapToGrid w:val="0"/>
              <w:spacing w:line="240" w:lineRule="exact"/>
              <w:jc w:val="center"/>
              <w:rPr>
                <w:rFonts w:hint="eastAsia" w:ascii="宋体" w:hAnsi="宋体"/>
                <w:spacing w:val="4"/>
              </w:rPr>
            </w:pPr>
            <w:r>
              <w:rPr>
                <w:rFonts w:hint="eastAsia" w:ascii="宋体" w:hAnsi="宋体"/>
                <w:spacing w:val="4"/>
              </w:rPr>
              <w:t>＜</w:t>
            </w:r>
            <w:r>
              <w:rPr>
                <w:rFonts w:ascii="宋体" w:hAnsi="宋体"/>
                <w:spacing w:val="4"/>
              </w:rPr>
              <w:t>150</w:t>
            </w:r>
          </w:p>
        </w:tc>
        <w:tc>
          <w:tcPr>
            <w:tcW w:w="713" w:type="dxa"/>
            <w:vAlign w:val="center"/>
          </w:tcPr>
          <w:p w14:paraId="49BC5B2F">
            <w:pPr>
              <w:adjustRightInd w:val="0"/>
              <w:snapToGrid w:val="0"/>
              <w:spacing w:line="240" w:lineRule="exact"/>
              <w:jc w:val="center"/>
              <w:rPr>
                <w:rFonts w:hint="eastAsia" w:ascii="宋体" w:hAnsi="宋体"/>
                <w:spacing w:val="4"/>
              </w:rPr>
            </w:pPr>
            <w:r>
              <w:rPr>
                <w:rFonts w:ascii="宋体" w:hAnsi="宋体"/>
                <w:spacing w:val="4"/>
              </w:rPr>
              <w:t>5</w:t>
            </w:r>
          </w:p>
        </w:tc>
      </w:tr>
      <w:tr w14:paraId="2FC4E6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4180" w:type="dxa"/>
            <w:gridSpan w:val="13"/>
            <w:vAlign w:val="center"/>
          </w:tcPr>
          <w:p w14:paraId="3FE0D7D5">
            <w:pPr>
              <w:adjustRightInd w:val="0"/>
              <w:snapToGrid w:val="0"/>
              <w:spacing w:line="240" w:lineRule="exact"/>
              <w:jc w:val="center"/>
              <w:rPr>
                <w:rFonts w:hint="eastAsia" w:ascii="宋体" w:hAnsi="宋体"/>
                <w:spacing w:val="4"/>
              </w:rPr>
            </w:pPr>
            <w:r>
              <w:rPr>
                <w:rFonts w:ascii="宋体" w:hAnsi="宋体"/>
                <w:spacing w:val="4"/>
              </w:rPr>
              <w:t>定性指标</w:t>
            </w:r>
          </w:p>
        </w:tc>
      </w:tr>
      <w:tr w14:paraId="4C217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Align w:val="center"/>
          </w:tcPr>
          <w:p w14:paraId="2FCC0B27">
            <w:pPr>
              <w:adjustRightInd w:val="0"/>
              <w:snapToGrid w:val="0"/>
              <w:spacing w:line="240" w:lineRule="exact"/>
              <w:jc w:val="center"/>
              <w:rPr>
                <w:rFonts w:hint="eastAsia" w:ascii="宋体" w:hAnsi="宋体"/>
                <w:spacing w:val="4"/>
              </w:rPr>
            </w:pPr>
            <w:r>
              <w:rPr>
                <w:rFonts w:ascii="宋体" w:hAnsi="宋体"/>
                <w:spacing w:val="4"/>
              </w:rPr>
              <w:t>一级指标</w:t>
            </w:r>
          </w:p>
        </w:tc>
        <w:tc>
          <w:tcPr>
            <w:tcW w:w="1134" w:type="dxa"/>
            <w:vAlign w:val="center"/>
          </w:tcPr>
          <w:p w14:paraId="41D4AFA9">
            <w:pPr>
              <w:adjustRightInd w:val="0"/>
              <w:snapToGrid w:val="0"/>
              <w:spacing w:line="240" w:lineRule="exact"/>
              <w:jc w:val="center"/>
              <w:rPr>
                <w:rFonts w:hint="eastAsia" w:ascii="宋体" w:hAnsi="宋体"/>
                <w:spacing w:val="4"/>
              </w:rPr>
            </w:pPr>
            <w:r>
              <w:rPr>
                <w:rFonts w:ascii="宋体" w:hAnsi="宋体"/>
                <w:spacing w:val="4"/>
              </w:rPr>
              <w:t>指标分值</w:t>
            </w:r>
          </w:p>
        </w:tc>
        <w:tc>
          <w:tcPr>
            <w:tcW w:w="6807" w:type="dxa"/>
            <w:gridSpan w:val="5"/>
            <w:vAlign w:val="center"/>
          </w:tcPr>
          <w:p w14:paraId="1763ADBB">
            <w:pPr>
              <w:adjustRightInd w:val="0"/>
              <w:snapToGrid w:val="0"/>
              <w:spacing w:line="240" w:lineRule="exact"/>
              <w:jc w:val="center"/>
              <w:rPr>
                <w:rFonts w:hint="eastAsia" w:ascii="宋体" w:hAnsi="宋体"/>
                <w:spacing w:val="4"/>
              </w:rPr>
            </w:pPr>
            <w:r>
              <w:rPr>
                <w:rFonts w:ascii="宋体" w:hAnsi="宋体"/>
                <w:spacing w:val="4"/>
              </w:rPr>
              <w:t>二级指标</w:t>
            </w:r>
          </w:p>
        </w:tc>
        <w:tc>
          <w:tcPr>
            <w:tcW w:w="1134" w:type="dxa"/>
            <w:gridSpan w:val="2"/>
            <w:vAlign w:val="center"/>
          </w:tcPr>
          <w:p w14:paraId="660C8F69">
            <w:pPr>
              <w:adjustRightInd w:val="0"/>
              <w:snapToGrid w:val="0"/>
              <w:spacing w:line="240" w:lineRule="exact"/>
              <w:jc w:val="center"/>
              <w:rPr>
                <w:rFonts w:hint="eastAsia" w:ascii="宋体" w:hAnsi="宋体"/>
                <w:spacing w:val="4"/>
              </w:rPr>
            </w:pPr>
            <w:r>
              <w:rPr>
                <w:rFonts w:ascii="宋体" w:hAnsi="宋体"/>
                <w:spacing w:val="4"/>
              </w:rPr>
              <w:t>指标分值</w:t>
            </w:r>
          </w:p>
        </w:tc>
        <w:tc>
          <w:tcPr>
            <w:tcW w:w="1309" w:type="dxa"/>
            <w:gridSpan w:val="2"/>
            <w:vAlign w:val="center"/>
          </w:tcPr>
          <w:p w14:paraId="0AE69CFE">
            <w:pPr>
              <w:adjustRightInd w:val="0"/>
              <w:snapToGrid w:val="0"/>
              <w:spacing w:line="240" w:lineRule="exact"/>
              <w:jc w:val="center"/>
              <w:rPr>
                <w:rFonts w:hint="eastAsia" w:ascii="宋体" w:hAnsi="宋体"/>
                <w:spacing w:val="4"/>
              </w:rPr>
            </w:pPr>
            <w:r>
              <w:rPr>
                <w:rFonts w:ascii="宋体" w:hAnsi="宋体"/>
                <w:spacing w:val="4"/>
              </w:rPr>
              <w:t>本项目评分</w:t>
            </w:r>
          </w:p>
        </w:tc>
      </w:tr>
      <w:tr w14:paraId="4761A0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restart"/>
            <w:vAlign w:val="center"/>
          </w:tcPr>
          <w:p w14:paraId="3B6C978A">
            <w:pPr>
              <w:adjustRightInd w:val="0"/>
              <w:snapToGrid w:val="0"/>
              <w:spacing w:line="240" w:lineRule="exact"/>
              <w:jc w:val="center"/>
              <w:rPr>
                <w:rFonts w:hint="eastAsia" w:ascii="宋体" w:hAnsi="宋体"/>
                <w:spacing w:val="4"/>
              </w:rPr>
            </w:pPr>
            <w:r>
              <w:rPr>
                <w:rFonts w:ascii="宋体" w:hAnsi="宋体"/>
                <w:spacing w:val="4"/>
              </w:rPr>
              <w:t>（1）原辅材料</w:t>
            </w:r>
          </w:p>
        </w:tc>
        <w:tc>
          <w:tcPr>
            <w:tcW w:w="1134" w:type="dxa"/>
            <w:vMerge w:val="restart"/>
            <w:vAlign w:val="center"/>
          </w:tcPr>
          <w:p w14:paraId="4FFE6EA9">
            <w:pPr>
              <w:adjustRightInd w:val="0"/>
              <w:snapToGrid w:val="0"/>
              <w:spacing w:line="240" w:lineRule="exact"/>
              <w:jc w:val="center"/>
              <w:rPr>
                <w:rFonts w:hint="eastAsia" w:ascii="宋体" w:hAnsi="宋体"/>
                <w:spacing w:val="4"/>
              </w:rPr>
            </w:pPr>
            <w:r>
              <w:rPr>
                <w:rFonts w:ascii="宋体" w:hAnsi="宋体"/>
                <w:spacing w:val="4"/>
              </w:rPr>
              <w:t>15</w:t>
            </w:r>
          </w:p>
        </w:tc>
        <w:tc>
          <w:tcPr>
            <w:tcW w:w="2836" w:type="dxa"/>
            <w:gridSpan w:val="2"/>
            <w:vAlign w:val="center"/>
          </w:tcPr>
          <w:p w14:paraId="6EE827F4">
            <w:pPr>
              <w:adjustRightInd w:val="0"/>
              <w:snapToGrid w:val="0"/>
              <w:spacing w:line="240" w:lineRule="exact"/>
              <w:jc w:val="center"/>
              <w:rPr>
                <w:rFonts w:hint="eastAsia" w:ascii="宋体" w:hAnsi="宋体"/>
                <w:spacing w:val="4"/>
              </w:rPr>
            </w:pPr>
            <w:r>
              <w:rPr>
                <w:rFonts w:ascii="宋体" w:hAnsi="宋体"/>
                <w:spacing w:val="4"/>
              </w:rPr>
              <w:t>钻井液毒性</w:t>
            </w:r>
          </w:p>
        </w:tc>
        <w:tc>
          <w:tcPr>
            <w:tcW w:w="3971" w:type="dxa"/>
            <w:gridSpan w:val="3"/>
            <w:vAlign w:val="center"/>
          </w:tcPr>
          <w:p w14:paraId="5B519E52">
            <w:pPr>
              <w:adjustRightInd w:val="0"/>
              <w:snapToGrid w:val="0"/>
              <w:spacing w:line="240" w:lineRule="exact"/>
              <w:jc w:val="center"/>
              <w:rPr>
                <w:rFonts w:hint="eastAsia" w:ascii="宋体" w:hAnsi="宋体"/>
                <w:spacing w:val="4"/>
              </w:rPr>
            </w:pPr>
            <w:r>
              <w:rPr>
                <w:rFonts w:ascii="宋体" w:hAnsi="宋体"/>
                <w:spacing w:val="4"/>
              </w:rPr>
              <w:t>可生物降解或无毒钻井液</w:t>
            </w:r>
          </w:p>
        </w:tc>
        <w:tc>
          <w:tcPr>
            <w:tcW w:w="1134" w:type="dxa"/>
            <w:gridSpan w:val="2"/>
            <w:vAlign w:val="center"/>
          </w:tcPr>
          <w:p w14:paraId="6533922B">
            <w:pPr>
              <w:adjustRightInd w:val="0"/>
              <w:snapToGrid w:val="0"/>
              <w:spacing w:line="240" w:lineRule="exact"/>
              <w:jc w:val="center"/>
              <w:rPr>
                <w:rFonts w:hint="eastAsia" w:ascii="宋体" w:hAnsi="宋体"/>
                <w:spacing w:val="4"/>
              </w:rPr>
            </w:pPr>
            <w:r>
              <w:rPr>
                <w:rFonts w:ascii="宋体" w:hAnsi="宋体"/>
                <w:spacing w:val="4"/>
              </w:rPr>
              <w:t>10</w:t>
            </w:r>
          </w:p>
        </w:tc>
        <w:tc>
          <w:tcPr>
            <w:tcW w:w="1309" w:type="dxa"/>
            <w:gridSpan w:val="2"/>
            <w:vAlign w:val="center"/>
          </w:tcPr>
          <w:p w14:paraId="067B686C">
            <w:pPr>
              <w:adjustRightInd w:val="0"/>
              <w:snapToGrid w:val="0"/>
              <w:spacing w:line="240" w:lineRule="exact"/>
              <w:jc w:val="center"/>
              <w:rPr>
                <w:rFonts w:hint="eastAsia" w:ascii="宋体" w:hAnsi="宋体"/>
                <w:spacing w:val="4"/>
              </w:rPr>
            </w:pPr>
            <w:r>
              <w:rPr>
                <w:rFonts w:ascii="宋体" w:hAnsi="宋体"/>
                <w:spacing w:val="4"/>
              </w:rPr>
              <w:t>10</w:t>
            </w:r>
          </w:p>
        </w:tc>
      </w:tr>
      <w:tr w14:paraId="258C2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07636ADD">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0C075A35">
            <w:pPr>
              <w:widowControl/>
              <w:adjustRightInd w:val="0"/>
              <w:snapToGrid w:val="0"/>
              <w:spacing w:line="240" w:lineRule="exact"/>
              <w:jc w:val="left"/>
              <w:rPr>
                <w:rFonts w:hint="eastAsia" w:ascii="宋体" w:hAnsi="宋体"/>
                <w:spacing w:val="4"/>
              </w:rPr>
            </w:pPr>
          </w:p>
        </w:tc>
        <w:tc>
          <w:tcPr>
            <w:tcW w:w="2836" w:type="dxa"/>
            <w:gridSpan w:val="2"/>
            <w:vAlign w:val="center"/>
          </w:tcPr>
          <w:p w14:paraId="111C6665">
            <w:pPr>
              <w:adjustRightInd w:val="0"/>
              <w:snapToGrid w:val="0"/>
              <w:spacing w:line="240" w:lineRule="exact"/>
              <w:jc w:val="center"/>
              <w:rPr>
                <w:rFonts w:hint="eastAsia" w:ascii="宋体" w:hAnsi="宋体"/>
                <w:spacing w:val="4"/>
              </w:rPr>
            </w:pPr>
            <w:r>
              <w:rPr>
                <w:rFonts w:ascii="宋体" w:hAnsi="宋体"/>
                <w:spacing w:val="4"/>
              </w:rPr>
              <w:t>柴油消耗</w:t>
            </w:r>
          </w:p>
        </w:tc>
        <w:tc>
          <w:tcPr>
            <w:tcW w:w="3971" w:type="dxa"/>
            <w:gridSpan w:val="3"/>
            <w:vAlign w:val="center"/>
          </w:tcPr>
          <w:p w14:paraId="0990DA94">
            <w:pPr>
              <w:adjustRightInd w:val="0"/>
              <w:snapToGrid w:val="0"/>
              <w:spacing w:line="240" w:lineRule="exact"/>
              <w:jc w:val="center"/>
              <w:rPr>
                <w:rFonts w:hint="eastAsia" w:ascii="宋体" w:hAnsi="宋体"/>
                <w:spacing w:val="4"/>
              </w:rPr>
            </w:pPr>
            <w:r>
              <w:rPr>
                <w:rFonts w:ascii="宋体" w:hAnsi="宋体"/>
                <w:spacing w:val="4"/>
              </w:rPr>
              <w:t>具有节油措施</w:t>
            </w:r>
          </w:p>
        </w:tc>
        <w:tc>
          <w:tcPr>
            <w:tcW w:w="1134" w:type="dxa"/>
            <w:gridSpan w:val="2"/>
            <w:vAlign w:val="center"/>
          </w:tcPr>
          <w:p w14:paraId="151E27D9">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40EB7FA2">
            <w:pPr>
              <w:adjustRightInd w:val="0"/>
              <w:snapToGrid w:val="0"/>
              <w:spacing w:line="240" w:lineRule="exact"/>
              <w:jc w:val="center"/>
              <w:rPr>
                <w:rFonts w:hint="eastAsia" w:ascii="宋体" w:hAnsi="宋体"/>
                <w:spacing w:val="4"/>
              </w:rPr>
            </w:pPr>
            <w:r>
              <w:rPr>
                <w:rFonts w:ascii="宋体" w:hAnsi="宋体"/>
                <w:spacing w:val="4"/>
              </w:rPr>
              <w:t>5</w:t>
            </w:r>
          </w:p>
        </w:tc>
      </w:tr>
      <w:tr w14:paraId="71CD80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restart"/>
            <w:vAlign w:val="center"/>
          </w:tcPr>
          <w:p w14:paraId="0DE03393">
            <w:pPr>
              <w:adjustRightInd w:val="0"/>
              <w:snapToGrid w:val="0"/>
              <w:spacing w:line="240" w:lineRule="exact"/>
              <w:jc w:val="center"/>
              <w:rPr>
                <w:rFonts w:hint="eastAsia" w:ascii="宋体" w:hAnsi="宋体"/>
                <w:spacing w:val="4"/>
              </w:rPr>
            </w:pPr>
            <w:r>
              <w:rPr>
                <w:rFonts w:ascii="宋体" w:hAnsi="宋体"/>
                <w:spacing w:val="4"/>
              </w:rPr>
              <w:t>（2）生产工艺及设备要求</w:t>
            </w:r>
          </w:p>
        </w:tc>
        <w:tc>
          <w:tcPr>
            <w:tcW w:w="1134" w:type="dxa"/>
            <w:vMerge w:val="restart"/>
            <w:vAlign w:val="center"/>
          </w:tcPr>
          <w:p w14:paraId="6D2750C9">
            <w:pPr>
              <w:adjustRightInd w:val="0"/>
              <w:snapToGrid w:val="0"/>
              <w:spacing w:line="240" w:lineRule="exact"/>
              <w:jc w:val="center"/>
              <w:rPr>
                <w:rFonts w:hint="eastAsia" w:ascii="宋体" w:hAnsi="宋体"/>
                <w:spacing w:val="4"/>
              </w:rPr>
            </w:pPr>
            <w:r>
              <w:rPr>
                <w:rFonts w:ascii="宋体" w:hAnsi="宋体"/>
                <w:spacing w:val="4"/>
              </w:rPr>
              <w:t>30</w:t>
            </w:r>
          </w:p>
        </w:tc>
        <w:tc>
          <w:tcPr>
            <w:tcW w:w="2836" w:type="dxa"/>
            <w:gridSpan w:val="2"/>
            <w:vAlign w:val="center"/>
          </w:tcPr>
          <w:p w14:paraId="18532CAD">
            <w:pPr>
              <w:adjustRightInd w:val="0"/>
              <w:snapToGrid w:val="0"/>
              <w:spacing w:line="240" w:lineRule="exact"/>
              <w:jc w:val="center"/>
              <w:rPr>
                <w:rFonts w:hint="eastAsia" w:ascii="宋体" w:hAnsi="宋体"/>
                <w:spacing w:val="4"/>
              </w:rPr>
            </w:pPr>
            <w:r>
              <w:rPr>
                <w:rFonts w:ascii="宋体" w:hAnsi="宋体"/>
                <w:spacing w:val="4"/>
              </w:rPr>
              <w:t>钻井设备</w:t>
            </w:r>
          </w:p>
        </w:tc>
        <w:tc>
          <w:tcPr>
            <w:tcW w:w="3971" w:type="dxa"/>
            <w:gridSpan w:val="3"/>
            <w:vAlign w:val="center"/>
          </w:tcPr>
          <w:p w14:paraId="49E5B3DA">
            <w:pPr>
              <w:adjustRightInd w:val="0"/>
              <w:snapToGrid w:val="0"/>
              <w:spacing w:line="240" w:lineRule="exact"/>
              <w:jc w:val="center"/>
              <w:rPr>
                <w:rFonts w:hint="eastAsia" w:ascii="宋体" w:hAnsi="宋体"/>
                <w:spacing w:val="4"/>
              </w:rPr>
            </w:pPr>
            <w:r>
              <w:rPr>
                <w:rFonts w:ascii="宋体" w:hAnsi="宋体"/>
                <w:spacing w:val="4"/>
              </w:rPr>
              <w:t>国内领先</w:t>
            </w:r>
          </w:p>
        </w:tc>
        <w:tc>
          <w:tcPr>
            <w:tcW w:w="1134" w:type="dxa"/>
            <w:gridSpan w:val="2"/>
            <w:vAlign w:val="center"/>
          </w:tcPr>
          <w:p w14:paraId="0C318538">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62D072B5">
            <w:pPr>
              <w:adjustRightInd w:val="0"/>
              <w:snapToGrid w:val="0"/>
              <w:spacing w:line="240" w:lineRule="exact"/>
              <w:jc w:val="center"/>
              <w:rPr>
                <w:rFonts w:hint="eastAsia" w:ascii="宋体" w:hAnsi="宋体"/>
                <w:spacing w:val="4"/>
              </w:rPr>
            </w:pPr>
            <w:r>
              <w:rPr>
                <w:rFonts w:ascii="宋体" w:hAnsi="宋体"/>
                <w:spacing w:val="4"/>
              </w:rPr>
              <w:t>5</w:t>
            </w:r>
          </w:p>
        </w:tc>
      </w:tr>
      <w:tr w14:paraId="297D78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73D67D52">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0692B28C">
            <w:pPr>
              <w:widowControl/>
              <w:adjustRightInd w:val="0"/>
              <w:snapToGrid w:val="0"/>
              <w:spacing w:line="240" w:lineRule="exact"/>
              <w:jc w:val="left"/>
              <w:rPr>
                <w:rFonts w:hint="eastAsia" w:ascii="宋体" w:hAnsi="宋体"/>
                <w:spacing w:val="4"/>
              </w:rPr>
            </w:pPr>
          </w:p>
        </w:tc>
        <w:tc>
          <w:tcPr>
            <w:tcW w:w="2836" w:type="dxa"/>
            <w:gridSpan w:val="2"/>
            <w:vAlign w:val="center"/>
          </w:tcPr>
          <w:p w14:paraId="44D84CCC">
            <w:pPr>
              <w:adjustRightInd w:val="0"/>
              <w:snapToGrid w:val="0"/>
              <w:spacing w:line="240" w:lineRule="exact"/>
              <w:jc w:val="center"/>
              <w:rPr>
                <w:rFonts w:hint="eastAsia" w:ascii="宋体" w:hAnsi="宋体"/>
                <w:spacing w:val="4"/>
              </w:rPr>
            </w:pPr>
            <w:r>
              <w:rPr>
                <w:rFonts w:ascii="宋体" w:hAnsi="宋体"/>
                <w:spacing w:val="4"/>
              </w:rPr>
              <w:t>压力平衡技术</w:t>
            </w:r>
          </w:p>
        </w:tc>
        <w:tc>
          <w:tcPr>
            <w:tcW w:w="3971" w:type="dxa"/>
            <w:gridSpan w:val="3"/>
            <w:vAlign w:val="center"/>
          </w:tcPr>
          <w:p w14:paraId="390700D5">
            <w:pPr>
              <w:adjustRightInd w:val="0"/>
              <w:snapToGrid w:val="0"/>
              <w:spacing w:line="240" w:lineRule="exact"/>
              <w:jc w:val="center"/>
              <w:rPr>
                <w:rFonts w:hint="eastAsia" w:ascii="宋体" w:hAnsi="宋体"/>
                <w:spacing w:val="4"/>
              </w:rPr>
            </w:pPr>
            <w:r>
              <w:rPr>
                <w:rFonts w:ascii="宋体" w:hAnsi="宋体"/>
                <w:spacing w:val="4"/>
              </w:rPr>
              <w:t>具备欠平衡技术</w:t>
            </w:r>
          </w:p>
        </w:tc>
        <w:tc>
          <w:tcPr>
            <w:tcW w:w="1134" w:type="dxa"/>
            <w:gridSpan w:val="2"/>
            <w:vAlign w:val="center"/>
          </w:tcPr>
          <w:p w14:paraId="5CB7B33C">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0E63E60F">
            <w:pPr>
              <w:adjustRightInd w:val="0"/>
              <w:snapToGrid w:val="0"/>
              <w:spacing w:line="240" w:lineRule="exact"/>
              <w:jc w:val="center"/>
              <w:rPr>
                <w:rFonts w:hint="eastAsia" w:ascii="宋体" w:hAnsi="宋体"/>
                <w:spacing w:val="4"/>
              </w:rPr>
            </w:pPr>
            <w:r>
              <w:rPr>
                <w:rFonts w:ascii="宋体" w:hAnsi="宋体"/>
                <w:spacing w:val="4"/>
              </w:rPr>
              <w:t>5</w:t>
            </w:r>
          </w:p>
        </w:tc>
      </w:tr>
      <w:tr w14:paraId="4E4B2E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4D74A508">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0EEBF0DC">
            <w:pPr>
              <w:widowControl/>
              <w:adjustRightInd w:val="0"/>
              <w:snapToGrid w:val="0"/>
              <w:spacing w:line="240" w:lineRule="exact"/>
              <w:jc w:val="left"/>
              <w:rPr>
                <w:rFonts w:hint="eastAsia" w:ascii="宋体" w:hAnsi="宋体"/>
                <w:spacing w:val="4"/>
              </w:rPr>
            </w:pPr>
          </w:p>
        </w:tc>
        <w:tc>
          <w:tcPr>
            <w:tcW w:w="2836" w:type="dxa"/>
            <w:gridSpan w:val="2"/>
            <w:vAlign w:val="center"/>
          </w:tcPr>
          <w:p w14:paraId="0C83F04E">
            <w:pPr>
              <w:adjustRightInd w:val="0"/>
              <w:snapToGrid w:val="0"/>
              <w:spacing w:line="240" w:lineRule="exact"/>
              <w:jc w:val="center"/>
              <w:rPr>
                <w:rFonts w:hint="eastAsia" w:ascii="宋体" w:hAnsi="宋体"/>
                <w:spacing w:val="4"/>
              </w:rPr>
            </w:pPr>
            <w:r>
              <w:rPr>
                <w:rFonts w:ascii="宋体" w:hAnsi="宋体"/>
                <w:spacing w:val="4"/>
              </w:rPr>
              <w:t>钻井液收集设施</w:t>
            </w:r>
          </w:p>
        </w:tc>
        <w:tc>
          <w:tcPr>
            <w:tcW w:w="3971" w:type="dxa"/>
            <w:gridSpan w:val="3"/>
            <w:vAlign w:val="center"/>
          </w:tcPr>
          <w:p w14:paraId="3CA6A5A5">
            <w:pPr>
              <w:adjustRightInd w:val="0"/>
              <w:snapToGrid w:val="0"/>
              <w:spacing w:line="240" w:lineRule="exact"/>
              <w:jc w:val="center"/>
              <w:rPr>
                <w:rFonts w:hint="eastAsia" w:ascii="宋体" w:hAnsi="宋体"/>
                <w:spacing w:val="4"/>
              </w:rPr>
            </w:pPr>
            <w:r>
              <w:rPr>
                <w:rFonts w:ascii="宋体" w:hAnsi="宋体"/>
                <w:spacing w:val="4"/>
              </w:rPr>
              <w:t>配有收集设施，且使钻井液不落地</w:t>
            </w:r>
          </w:p>
        </w:tc>
        <w:tc>
          <w:tcPr>
            <w:tcW w:w="1134" w:type="dxa"/>
            <w:gridSpan w:val="2"/>
            <w:vAlign w:val="center"/>
          </w:tcPr>
          <w:p w14:paraId="602D8574">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4D659D2A">
            <w:pPr>
              <w:adjustRightInd w:val="0"/>
              <w:snapToGrid w:val="0"/>
              <w:spacing w:line="240" w:lineRule="exact"/>
              <w:jc w:val="center"/>
              <w:rPr>
                <w:rFonts w:hint="eastAsia" w:ascii="宋体" w:hAnsi="宋体"/>
                <w:spacing w:val="4"/>
              </w:rPr>
            </w:pPr>
            <w:r>
              <w:rPr>
                <w:rFonts w:ascii="宋体" w:hAnsi="宋体"/>
                <w:spacing w:val="4"/>
              </w:rPr>
              <w:t>5</w:t>
            </w:r>
          </w:p>
        </w:tc>
      </w:tr>
      <w:tr w14:paraId="43CD6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796" w:type="dxa"/>
            <w:gridSpan w:val="3"/>
            <w:vMerge w:val="continue"/>
            <w:vAlign w:val="center"/>
          </w:tcPr>
          <w:p w14:paraId="3553E555">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6E91C04C">
            <w:pPr>
              <w:widowControl/>
              <w:adjustRightInd w:val="0"/>
              <w:snapToGrid w:val="0"/>
              <w:spacing w:line="240" w:lineRule="exact"/>
              <w:jc w:val="left"/>
              <w:rPr>
                <w:rFonts w:hint="eastAsia" w:ascii="宋体" w:hAnsi="宋体"/>
                <w:spacing w:val="4"/>
              </w:rPr>
            </w:pPr>
          </w:p>
        </w:tc>
        <w:tc>
          <w:tcPr>
            <w:tcW w:w="2836" w:type="dxa"/>
            <w:gridSpan w:val="2"/>
            <w:vAlign w:val="center"/>
          </w:tcPr>
          <w:p w14:paraId="688B1C51">
            <w:pPr>
              <w:adjustRightInd w:val="0"/>
              <w:snapToGrid w:val="0"/>
              <w:spacing w:line="240" w:lineRule="exact"/>
              <w:jc w:val="center"/>
              <w:rPr>
                <w:rFonts w:hint="eastAsia" w:ascii="宋体" w:hAnsi="宋体"/>
                <w:spacing w:val="4"/>
              </w:rPr>
            </w:pPr>
            <w:r>
              <w:rPr>
                <w:rFonts w:ascii="宋体" w:hAnsi="宋体"/>
                <w:spacing w:val="4"/>
              </w:rPr>
              <w:t>固井设备</w:t>
            </w:r>
          </w:p>
        </w:tc>
        <w:tc>
          <w:tcPr>
            <w:tcW w:w="3971" w:type="dxa"/>
            <w:gridSpan w:val="3"/>
            <w:vAlign w:val="center"/>
          </w:tcPr>
          <w:p w14:paraId="3BCA413E">
            <w:pPr>
              <w:adjustRightInd w:val="0"/>
              <w:snapToGrid w:val="0"/>
              <w:spacing w:line="240" w:lineRule="exact"/>
              <w:jc w:val="center"/>
              <w:rPr>
                <w:rFonts w:hint="eastAsia" w:ascii="宋体" w:hAnsi="宋体"/>
                <w:spacing w:val="4"/>
              </w:rPr>
            </w:pPr>
            <w:r>
              <w:rPr>
                <w:rFonts w:ascii="宋体" w:hAnsi="宋体"/>
                <w:spacing w:val="4"/>
              </w:rPr>
              <w:t>配备振动筛、除气器、除泥器、除砂器、离心机等固控设备</w:t>
            </w:r>
          </w:p>
        </w:tc>
        <w:tc>
          <w:tcPr>
            <w:tcW w:w="1134" w:type="dxa"/>
            <w:gridSpan w:val="2"/>
            <w:vAlign w:val="center"/>
          </w:tcPr>
          <w:p w14:paraId="5935BDFD">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7DC68446">
            <w:pPr>
              <w:adjustRightInd w:val="0"/>
              <w:snapToGrid w:val="0"/>
              <w:spacing w:line="240" w:lineRule="exact"/>
              <w:jc w:val="center"/>
              <w:rPr>
                <w:rFonts w:hint="eastAsia" w:ascii="宋体" w:hAnsi="宋体"/>
                <w:spacing w:val="4"/>
              </w:rPr>
            </w:pPr>
            <w:r>
              <w:rPr>
                <w:rFonts w:ascii="宋体" w:hAnsi="宋体"/>
                <w:spacing w:val="4"/>
              </w:rPr>
              <w:t>5</w:t>
            </w:r>
          </w:p>
        </w:tc>
      </w:tr>
      <w:tr w14:paraId="679555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3A87914B">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7DDDBB04">
            <w:pPr>
              <w:widowControl/>
              <w:adjustRightInd w:val="0"/>
              <w:snapToGrid w:val="0"/>
              <w:spacing w:line="240" w:lineRule="exact"/>
              <w:jc w:val="left"/>
              <w:rPr>
                <w:rFonts w:hint="eastAsia" w:ascii="宋体" w:hAnsi="宋体"/>
                <w:spacing w:val="4"/>
              </w:rPr>
            </w:pPr>
          </w:p>
        </w:tc>
        <w:tc>
          <w:tcPr>
            <w:tcW w:w="2836" w:type="dxa"/>
            <w:gridSpan w:val="2"/>
            <w:vAlign w:val="center"/>
          </w:tcPr>
          <w:p w14:paraId="3E5C8150">
            <w:pPr>
              <w:adjustRightInd w:val="0"/>
              <w:snapToGrid w:val="0"/>
              <w:spacing w:line="240" w:lineRule="exact"/>
              <w:jc w:val="center"/>
              <w:rPr>
                <w:rFonts w:hint="eastAsia" w:ascii="宋体" w:hAnsi="宋体"/>
                <w:spacing w:val="4"/>
              </w:rPr>
            </w:pPr>
            <w:r>
              <w:rPr>
                <w:rFonts w:ascii="宋体" w:hAnsi="宋体"/>
                <w:spacing w:val="4"/>
              </w:rPr>
              <w:t>井控措施</w:t>
            </w:r>
          </w:p>
        </w:tc>
        <w:tc>
          <w:tcPr>
            <w:tcW w:w="3971" w:type="dxa"/>
            <w:gridSpan w:val="3"/>
            <w:vAlign w:val="center"/>
          </w:tcPr>
          <w:p w14:paraId="7DD9B373">
            <w:pPr>
              <w:adjustRightInd w:val="0"/>
              <w:snapToGrid w:val="0"/>
              <w:spacing w:line="240" w:lineRule="exact"/>
              <w:jc w:val="center"/>
              <w:rPr>
                <w:rFonts w:hint="eastAsia" w:ascii="宋体" w:hAnsi="宋体"/>
                <w:spacing w:val="4"/>
              </w:rPr>
            </w:pPr>
            <w:r>
              <w:rPr>
                <w:rFonts w:ascii="宋体" w:hAnsi="宋体"/>
                <w:spacing w:val="4"/>
              </w:rPr>
              <w:t>具备</w:t>
            </w:r>
          </w:p>
        </w:tc>
        <w:tc>
          <w:tcPr>
            <w:tcW w:w="1134" w:type="dxa"/>
            <w:gridSpan w:val="2"/>
            <w:vAlign w:val="center"/>
          </w:tcPr>
          <w:p w14:paraId="23C6375E">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0646DCE8">
            <w:pPr>
              <w:adjustRightInd w:val="0"/>
              <w:snapToGrid w:val="0"/>
              <w:spacing w:line="240" w:lineRule="exact"/>
              <w:jc w:val="center"/>
              <w:rPr>
                <w:rFonts w:hint="eastAsia" w:ascii="宋体" w:hAnsi="宋体"/>
                <w:spacing w:val="4"/>
              </w:rPr>
            </w:pPr>
            <w:r>
              <w:rPr>
                <w:rFonts w:ascii="宋体" w:hAnsi="宋体"/>
                <w:spacing w:val="4"/>
              </w:rPr>
              <w:t>5</w:t>
            </w:r>
          </w:p>
        </w:tc>
      </w:tr>
      <w:tr w14:paraId="2CABCF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670D1312">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7BA1946B">
            <w:pPr>
              <w:widowControl/>
              <w:adjustRightInd w:val="0"/>
              <w:snapToGrid w:val="0"/>
              <w:spacing w:line="240" w:lineRule="exact"/>
              <w:jc w:val="left"/>
              <w:rPr>
                <w:rFonts w:hint="eastAsia" w:ascii="宋体" w:hAnsi="宋体"/>
                <w:spacing w:val="4"/>
              </w:rPr>
            </w:pPr>
          </w:p>
        </w:tc>
        <w:tc>
          <w:tcPr>
            <w:tcW w:w="2836" w:type="dxa"/>
            <w:gridSpan w:val="2"/>
            <w:vAlign w:val="center"/>
          </w:tcPr>
          <w:p w14:paraId="00C7C8E2">
            <w:pPr>
              <w:adjustRightInd w:val="0"/>
              <w:snapToGrid w:val="0"/>
              <w:spacing w:line="240" w:lineRule="exact"/>
              <w:jc w:val="center"/>
              <w:rPr>
                <w:rFonts w:hint="eastAsia" w:ascii="宋体" w:hAnsi="宋体"/>
                <w:spacing w:val="4"/>
              </w:rPr>
            </w:pPr>
            <w:r>
              <w:rPr>
                <w:rFonts w:ascii="宋体" w:hAnsi="宋体"/>
                <w:spacing w:val="4"/>
              </w:rPr>
              <w:t>有无防噪措施</w:t>
            </w:r>
          </w:p>
        </w:tc>
        <w:tc>
          <w:tcPr>
            <w:tcW w:w="3971" w:type="dxa"/>
            <w:gridSpan w:val="3"/>
            <w:vAlign w:val="center"/>
          </w:tcPr>
          <w:p w14:paraId="0B722AE5">
            <w:pPr>
              <w:adjustRightInd w:val="0"/>
              <w:snapToGrid w:val="0"/>
              <w:spacing w:line="240" w:lineRule="exact"/>
              <w:jc w:val="center"/>
              <w:rPr>
                <w:rFonts w:hint="eastAsia" w:ascii="宋体" w:hAnsi="宋体"/>
                <w:spacing w:val="4"/>
              </w:rPr>
            </w:pPr>
            <w:r>
              <w:rPr>
                <w:rFonts w:hint="eastAsia" w:ascii="宋体" w:hAnsi="宋体"/>
                <w:spacing w:val="4"/>
              </w:rPr>
              <w:t>有</w:t>
            </w:r>
          </w:p>
        </w:tc>
        <w:tc>
          <w:tcPr>
            <w:tcW w:w="1134" w:type="dxa"/>
            <w:gridSpan w:val="2"/>
            <w:vAlign w:val="center"/>
          </w:tcPr>
          <w:p w14:paraId="35E44DCA">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1288FF03">
            <w:pPr>
              <w:adjustRightInd w:val="0"/>
              <w:snapToGrid w:val="0"/>
              <w:spacing w:line="240" w:lineRule="exact"/>
              <w:jc w:val="center"/>
              <w:rPr>
                <w:rFonts w:hint="eastAsia" w:ascii="宋体" w:hAnsi="宋体"/>
                <w:spacing w:val="4"/>
              </w:rPr>
            </w:pPr>
            <w:r>
              <w:rPr>
                <w:rFonts w:hint="eastAsia" w:ascii="宋体" w:hAnsi="宋体"/>
                <w:spacing w:val="4"/>
              </w:rPr>
              <w:t>5</w:t>
            </w:r>
          </w:p>
        </w:tc>
      </w:tr>
      <w:tr w14:paraId="3E9854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restart"/>
            <w:vAlign w:val="center"/>
          </w:tcPr>
          <w:p w14:paraId="5654E65B">
            <w:pPr>
              <w:adjustRightInd w:val="0"/>
              <w:snapToGrid w:val="0"/>
              <w:spacing w:line="240" w:lineRule="exact"/>
              <w:jc w:val="center"/>
              <w:rPr>
                <w:rFonts w:hint="eastAsia" w:ascii="宋体" w:hAnsi="宋体"/>
                <w:spacing w:val="4"/>
              </w:rPr>
            </w:pPr>
            <w:r>
              <w:rPr>
                <w:rFonts w:ascii="宋体" w:hAnsi="宋体"/>
                <w:spacing w:val="4"/>
              </w:rPr>
              <w:t>（3）管理体系建设及清洁生产审核</w:t>
            </w:r>
          </w:p>
        </w:tc>
        <w:tc>
          <w:tcPr>
            <w:tcW w:w="1134" w:type="dxa"/>
            <w:vMerge w:val="restart"/>
            <w:vAlign w:val="center"/>
          </w:tcPr>
          <w:p w14:paraId="1216056E">
            <w:pPr>
              <w:adjustRightInd w:val="0"/>
              <w:snapToGrid w:val="0"/>
              <w:spacing w:line="240" w:lineRule="exact"/>
              <w:jc w:val="center"/>
              <w:rPr>
                <w:rFonts w:hint="eastAsia" w:ascii="宋体" w:hAnsi="宋体"/>
                <w:spacing w:val="4"/>
              </w:rPr>
            </w:pPr>
            <w:r>
              <w:rPr>
                <w:rFonts w:ascii="宋体" w:hAnsi="宋体"/>
                <w:spacing w:val="4"/>
              </w:rPr>
              <w:t>35</w:t>
            </w:r>
          </w:p>
        </w:tc>
        <w:tc>
          <w:tcPr>
            <w:tcW w:w="6807" w:type="dxa"/>
            <w:gridSpan w:val="5"/>
            <w:vAlign w:val="center"/>
          </w:tcPr>
          <w:p w14:paraId="71DB14AA">
            <w:pPr>
              <w:adjustRightInd w:val="0"/>
              <w:snapToGrid w:val="0"/>
              <w:spacing w:line="240" w:lineRule="exact"/>
              <w:jc w:val="center"/>
              <w:rPr>
                <w:rFonts w:hint="eastAsia" w:ascii="宋体" w:hAnsi="宋体"/>
                <w:spacing w:val="4"/>
              </w:rPr>
            </w:pPr>
            <w:r>
              <w:rPr>
                <w:rFonts w:ascii="宋体" w:hAnsi="宋体"/>
                <w:spacing w:val="4"/>
              </w:rPr>
              <w:t>建立HSE管理体系并通过认证</w:t>
            </w:r>
          </w:p>
        </w:tc>
        <w:tc>
          <w:tcPr>
            <w:tcW w:w="1134" w:type="dxa"/>
            <w:gridSpan w:val="2"/>
            <w:vAlign w:val="center"/>
          </w:tcPr>
          <w:p w14:paraId="7CB4B770">
            <w:pPr>
              <w:adjustRightInd w:val="0"/>
              <w:snapToGrid w:val="0"/>
              <w:spacing w:line="240" w:lineRule="exact"/>
              <w:jc w:val="center"/>
              <w:rPr>
                <w:rFonts w:hint="eastAsia" w:ascii="宋体" w:hAnsi="宋体"/>
                <w:spacing w:val="4"/>
              </w:rPr>
            </w:pPr>
            <w:r>
              <w:rPr>
                <w:rFonts w:ascii="宋体" w:hAnsi="宋体"/>
                <w:spacing w:val="4"/>
              </w:rPr>
              <w:t>10</w:t>
            </w:r>
          </w:p>
        </w:tc>
        <w:tc>
          <w:tcPr>
            <w:tcW w:w="1309" w:type="dxa"/>
            <w:gridSpan w:val="2"/>
            <w:vAlign w:val="center"/>
          </w:tcPr>
          <w:p w14:paraId="3BEE434A">
            <w:pPr>
              <w:adjustRightInd w:val="0"/>
              <w:snapToGrid w:val="0"/>
              <w:spacing w:line="240" w:lineRule="exact"/>
              <w:jc w:val="center"/>
              <w:rPr>
                <w:rFonts w:hint="eastAsia" w:ascii="宋体" w:hAnsi="宋体"/>
                <w:spacing w:val="4"/>
              </w:rPr>
            </w:pPr>
            <w:r>
              <w:rPr>
                <w:rFonts w:ascii="宋体" w:hAnsi="宋体"/>
                <w:spacing w:val="4"/>
              </w:rPr>
              <w:t>10</w:t>
            </w:r>
          </w:p>
        </w:tc>
      </w:tr>
      <w:tr w14:paraId="6752C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74F2BFA2">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1FAE9753">
            <w:pPr>
              <w:widowControl/>
              <w:adjustRightInd w:val="0"/>
              <w:snapToGrid w:val="0"/>
              <w:spacing w:line="240" w:lineRule="exact"/>
              <w:jc w:val="left"/>
              <w:rPr>
                <w:rFonts w:hint="eastAsia" w:ascii="宋体" w:hAnsi="宋体"/>
                <w:spacing w:val="4"/>
              </w:rPr>
            </w:pPr>
          </w:p>
        </w:tc>
        <w:tc>
          <w:tcPr>
            <w:tcW w:w="6807" w:type="dxa"/>
            <w:gridSpan w:val="5"/>
            <w:vAlign w:val="center"/>
          </w:tcPr>
          <w:p w14:paraId="07F00D2B">
            <w:pPr>
              <w:adjustRightInd w:val="0"/>
              <w:snapToGrid w:val="0"/>
              <w:spacing w:line="240" w:lineRule="exact"/>
              <w:jc w:val="center"/>
              <w:rPr>
                <w:rFonts w:hint="eastAsia" w:ascii="宋体" w:hAnsi="宋体"/>
                <w:spacing w:val="4"/>
              </w:rPr>
            </w:pPr>
            <w:r>
              <w:rPr>
                <w:rFonts w:ascii="宋体" w:hAnsi="宋体"/>
                <w:spacing w:val="4"/>
              </w:rPr>
              <w:t>开展清洁生产审核，并通过验收</w:t>
            </w:r>
          </w:p>
        </w:tc>
        <w:tc>
          <w:tcPr>
            <w:tcW w:w="1134" w:type="dxa"/>
            <w:gridSpan w:val="2"/>
            <w:vAlign w:val="center"/>
          </w:tcPr>
          <w:p w14:paraId="1F35DF13">
            <w:pPr>
              <w:adjustRightInd w:val="0"/>
              <w:snapToGrid w:val="0"/>
              <w:spacing w:line="240" w:lineRule="exact"/>
              <w:jc w:val="center"/>
              <w:rPr>
                <w:rFonts w:hint="eastAsia" w:ascii="宋体" w:hAnsi="宋体"/>
                <w:spacing w:val="4"/>
              </w:rPr>
            </w:pPr>
            <w:r>
              <w:rPr>
                <w:rFonts w:ascii="宋体" w:hAnsi="宋体"/>
                <w:spacing w:val="4"/>
              </w:rPr>
              <w:t>20</w:t>
            </w:r>
          </w:p>
        </w:tc>
        <w:tc>
          <w:tcPr>
            <w:tcW w:w="1309" w:type="dxa"/>
            <w:gridSpan w:val="2"/>
            <w:vAlign w:val="center"/>
          </w:tcPr>
          <w:p w14:paraId="70BB9512">
            <w:pPr>
              <w:adjustRightInd w:val="0"/>
              <w:snapToGrid w:val="0"/>
              <w:spacing w:line="240" w:lineRule="exact"/>
              <w:jc w:val="center"/>
              <w:rPr>
                <w:rFonts w:hint="eastAsia" w:ascii="宋体" w:hAnsi="宋体"/>
                <w:spacing w:val="4"/>
              </w:rPr>
            </w:pPr>
            <w:r>
              <w:rPr>
                <w:rFonts w:hint="eastAsia" w:ascii="宋体" w:hAnsi="宋体"/>
                <w:spacing w:val="4"/>
              </w:rPr>
              <w:t>20</w:t>
            </w:r>
          </w:p>
        </w:tc>
      </w:tr>
      <w:tr w14:paraId="141E5B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6D392CDF">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457B5FA5">
            <w:pPr>
              <w:widowControl/>
              <w:adjustRightInd w:val="0"/>
              <w:snapToGrid w:val="0"/>
              <w:spacing w:line="240" w:lineRule="exact"/>
              <w:jc w:val="left"/>
              <w:rPr>
                <w:rFonts w:hint="eastAsia" w:ascii="宋体" w:hAnsi="宋体"/>
                <w:spacing w:val="4"/>
              </w:rPr>
            </w:pPr>
          </w:p>
        </w:tc>
        <w:tc>
          <w:tcPr>
            <w:tcW w:w="6807" w:type="dxa"/>
            <w:gridSpan w:val="5"/>
            <w:vAlign w:val="center"/>
          </w:tcPr>
          <w:p w14:paraId="291127DE">
            <w:pPr>
              <w:adjustRightInd w:val="0"/>
              <w:snapToGrid w:val="0"/>
              <w:spacing w:line="240" w:lineRule="exact"/>
              <w:jc w:val="center"/>
              <w:rPr>
                <w:rFonts w:hint="eastAsia" w:ascii="宋体" w:hAnsi="宋体"/>
                <w:spacing w:val="4"/>
              </w:rPr>
            </w:pPr>
            <w:r>
              <w:rPr>
                <w:rFonts w:ascii="宋体" w:hAnsi="宋体"/>
                <w:spacing w:val="4"/>
              </w:rPr>
              <w:t>制定节能减排工作计划</w:t>
            </w:r>
          </w:p>
        </w:tc>
        <w:tc>
          <w:tcPr>
            <w:tcW w:w="1134" w:type="dxa"/>
            <w:gridSpan w:val="2"/>
            <w:vAlign w:val="center"/>
          </w:tcPr>
          <w:p w14:paraId="12332AD8">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4FFF66FA">
            <w:pPr>
              <w:adjustRightInd w:val="0"/>
              <w:snapToGrid w:val="0"/>
              <w:spacing w:line="240" w:lineRule="exact"/>
              <w:jc w:val="center"/>
              <w:rPr>
                <w:rFonts w:hint="eastAsia" w:ascii="宋体" w:hAnsi="宋体"/>
                <w:spacing w:val="4"/>
              </w:rPr>
            </w:pPr>
            <w:r>
              <w:rPr>
                <w:rFonts w:ascii="宋体" w:hAnsi="宋体"/>
                <w:spacing w:val="4"/>
              </w:rPr>
              <w:t>5</w:t>
            </w:r>
          </w:p>
        </w:tc>
      </w:tr>
      <w:tr w14:paraId="6FEFF1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restart"/>
            <w:vAlign w:val="center"/>
          </w:tcPr>
          <w:p w14:paraId="6BB2301C">
            <w:pPr>
              <w:adjustRightInd w:val="0"/>
              <w:snapToGrid w:val="0"/>
              <w:spacing w:line="240" w:lineRule="exact"/>
              <w:jc w:val="center"/>
              <w:rPr>
                <w:rFonts w:hint="eastAsia" w:ascii="宋体" w:hAnsi="宋体"/>
                <w:spacing w:val="4"/>
              </w:rPr>
            </w:pPr>
            <w:r>
              <w:rPr>
                <w:rFonts w:ascii="宋体" w:hAnsi="宋体"/>
                <w:spacing w:val="4"/>
              </w:rPr>
              <w:t>（4）贯彻执行环境保护法规的符合性</w:t>
            </w:r>
          </w:p>
        </w:tc>
        <w:tc>
          <w:tcPr>
            <w:tcW w:w="1134" w:type="dxa"/>
            <w:vMerge w:val="restart"/>
            <w:vAlign w:val="center"/>
          </w:tcPr>
          <w:p w14:paraId="2DEC82D5">
            <w:pPr>
              <w:adjustRightInd w:val="0"/>
              <w:snapToGrid w:val="0"/>
              <w:spacing w:line="240" w:lineRule="exact"/>
              <w:jc w:val="center"/>
              <w:rPr>
                <w:rFonts w:hint="eastAsia" w:ascii="宋体" w:hAnsi="宋体"/>
                <w:spacing w:val="4"/>
              </w:rPr>
            </w:pPr>
            <w:r>
              <w:rPr>
                <w:rFonts w:ascii="宋体" w:hAnsi="宋体"/>
                <w:spacing w:val="4"/>
              </w:rPr>
              <w:t>20</w:t>
            </w:r>
          </w:p>
        </w:tc>
        <w:tc>
          <w:tcPr>
            <w:tcW w:w="6807" w:type="dxa"/>
            <w:gridSpan w:val="5"/>
            <w:vAlign w:val="center"/>
          </w:tcPr>
          <w:p w14:paraId="6563E524">
            <w:pPr>
              <w:adjustRightInd w:val="0"/>
              <w:snapToGrid w:val="0"/>
              <w:spacing w:line="240" w:lineRule="exact"/>
              <w:jc w:val="center"/>
              <w:rPr>
                <w:rFonts w:hint="eastAsia" w:ascii="宋体" w:hAnsi="宋体"/>
                <w:spacing w:val="4"/>
              </w:rPr>
            </w:pPr>
            <w:r>
              <w:rPr>
                <w:rFonts w:ascii="宋体" w:hAnsi="宋体"/>
                <w:spacing w:val="4"/>
              </w:rPr>
              <w:t>废弃钻井液处置措施满足法规要求</w:t>
            </w:r>
          </w:p>
        </w:tc>
        <w:tc>
          <w:tcPr>
            <w:tcW w:w="1134" w:type="dxa"/>
            <w:gridSpan w:val="2"/>
            <w:vAlign w:val="center"/>
          </w:tcPr>
          <w:p w14:paraId="445A8605">
            <w:pPr>
              <w:adjustRightInd w:val="0"/>
              <w:snapToGrid w:val="0"/>
              <w:spacing w:line="240" w:lineRule="exact"/>
              <w:jc w:val="center"/>
              <w:rPr>
                <w:rFonts w:hint="eastAsia" w:ascii="宋体" w:hAnsi="宋体"/>
                <w:spacing w:val="4"/>
              </w:rPr>
            </w:pPr>
            <w:r>
              <w:rPr>
                <w:rFonts w:ascii="宋体" w:hAnsi="宋体"/>
                <w:spacing w:val="4"/>
              </w:rPr>
              <w:t>10</w:t>
            </w:r>
          </w:p>
        </w:tc>
        <w:tc>
          <w:tcPr>
            <w:tcW w:w="1309" w:type="dxa"/>
            <w:gridSpan w:val="2"/>
            <w:vAlign w:val="center"/>
          </w:tcPr>
          <w:p w14:paraId="5FD455E4">
            <w:pPr>
              <w:adjustRightInd w:val="0"/>
              <w:snapToGrid w:val="0"/>
              <w:spacing w:line="240" w:lineRule="exact"/>
              <w:jc w:val="center"/>
              <w:rPr>
                <w:rFonts w:hint="eastAsia" w:ascii="宋体" w:hAnsi="宋体"/>
                <w:spacing w:val="4"/>
              </w:rPr>
            </w:pPr>
            <w:r>
              <w:rPr>
                <w:rFonts w:ascii="宋体" w:hAnsi="宋体"/>
                <w:spacing w:val="4"/>
              </w:rPr>
              <w:t>10</w:t>
            </w:r>
          </w:p>
        </w:tc>
      </w:tr>
      <w:tr w14:paraId="0D46E8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3796" w:type="dxa"/>
            <w:gridSpan w:val="3"/>
            <w:vMerge w:val="continue"/>
            <w:vAlign w:val="center"/>
          </w:tcPr>
          <w:p w14:paraId="63026F01">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6F69687B">
            <w:pPr>
              <w:widowControl/>
              <w:adjustRightInd w:val="0"/>
              <w:snapToGrid w:val="0"/>
              <w:spacing w:line="240" w:lineRule="exact"/>
              <w:jc w:val="left"/>
              <w:rPr>
                <w:rFonts w:hint="eastAsia" w:ascii="宋体" w:hAnsi="宋体"/>
                <w:spacing w:val="4"/>
              </w:rPr>
            </w:pPr>
          </w:p>
        </w:tc>
        <w:tc>
          <w:tcPr>
            <w:tcW w:w="6807" w:type="dxa"/>
            <w:gridSpan w:val="5"/>
            <w:vAlign w:val="center"/>
          </w:tcPr>
          <w:p w14:paraId="39DA1ED6">
            <w:pPr>
              <w:adjustRightInd w:val="0"/>
              <w:snapToGrid w:val="0"/>
              <w:spacing w:line="240" w:lineRule="exact"/>
              <w:jc w:val="center"/>
              <w:rPr>
                <w:rFonts w:hint="eastAsia" w:ascii="宋体" w:hAnsi="宋体"/>
                <w:spacing w:val="4"/>
              </w:rPr>
            </w:pPr>
            <w:r>
              <w:rPr>
                <w:rFonts w:ascii="宋体" w:hAnsi="宋体"/>
                <w:spacing w:val="4"/>
              </w:rPr>
              <w:t>污染物排放总量控制与减排措施情况</w:t>
            </w:r>
          </w:p>
        </w:tc>
        <w:tc>
          <w:tcPr>
            <w:tcW w:w="1134" w:type="dxa"/>
            <w:gridSpan w:val="2"/>
            <w:vAlign w:val="center"/>
          </w:tcPr>
          <w:p w14:paraId="7FDDBDCC">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78C734F1">
            <w:pPr>
              <w:adjustRightInd w:val="0"/>
              <w:snapToGrid w:val="0"/>
              <w:spacing w:line="240" w:lineRule="exact"/>
              <w:jc w:val="center"/>
              <w:rPr>
                <w:rFonts w:hint="eastAsia" w:ascii="宋体" w:hAnsi="宋体"/>
                <w:spacing w:val="4"/>
              </w:rPr>
            </w:pPr>
            <w:r>
              <w:rPr>
                <w:rFonts w:ascii="宋体" w:hAnsi="宋体"/>
                <w:spacing w:val="4"/>
              </w:rPr>
              <w:t>5</w:t>
            </w:r>
          </w:p>
        </w:tc>
      </w:tr>
      <w:tr w14:paraId="0E89B4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3796" w:type="dxa"/>
            <w:gridSpan w:val="3"/>
            <w:vMerge w:val="continue"/>
            <w:vAlign w:val="center"/>
          </w:tcPr>
          <w:p w14:paraId="7460C5CB">
            <w:pPr>
              <w:widowControl/>
              <w:adjustRightInd w:val="0"/>
              <w:snapToGrid w:val="0"/>
              <w:spacing w:line="240" w:lineRule="exact"/>
              <w:jc w:val="left"/>
              <w:rPr>
                <w:rFonts w:hint="eastAsia" w:ascii="宋体" w:hAnsi="宋体"/>
                <w:spacing w:val="4"/>
              </w:rPr>
            </w:pPr>
          </w:p>
        </w:tc>
        <w:tc>
          <w:tcPr>
            <w:tcW w:w="1134" w:type="dxa"/>
            <w:vMerge w:val="continue"/>
            <w:vAlign w:val="center"/>
          </w:tcPr>
          <w:p w14:paraId="3F90F694">
            <w:pPr>
              <w:widowControl/>
              <w:adjustRightInd w:val="0"/>
              <w:snapToGrid w:val="0"/>
              <w:spacing w:line="240" w:lineRule="exact"/>
              <w:jc w:val="left"/>
              <w:rPr>
                <w:rFonts w:hint="eastAsia" w:ascii="宋体" w:hAnsi="宋体"/>
                <w:spacing w:val="4"/>
              </w:rPr>
            </w:pPr>
          </w:p>
        </w:tc>
        <w:tc>
          <w:tcPr>
            <w:tcW w:w="6807" w:type="dxa"/>
            <w:gridSpan w:val="5"/>
            <w:vAlign w:val="center"/>
          </w:tcPr>
          <w:p w14:paraId="37507318">
            <w:pPr>
              <w:adjustRightInd w:val="0"/>
              <w:snapToGrid w:val="0"/>
              <w:spacing w:line="240" w:lineRule="exact"/>
              <w:jc w:val="center"/>
              <w:rPr>
                <w:rFonts w:hint="eastAsia" w:ascii="宋体" w:hAnsi="宋体"/>
                <w:spacing w:val="4"/>
              </w:rPr>
            </w:pPr>
            <w:r>
              <w:rPr>
                <w:rFonts w:ascii="宋体" w:hAnsi="宋体"/>
                <w:spacing w:val="4"/>
              </w:rPr>
              <w:t>满足其他法律法规要求</w:t>
            </w:r>
          </w:p>
        </w:tc>
        <w:tc>
          <w:tcPr>
            <w:tcW w:w="1134" w:type="dxa"/>
            <w:gridSpan w:val="2"/>
            <w:vAlign w:val="center"/>
          </w:tcPr>
          <w:p w14:paraId="245C25B4">
            <w:pPr>
              <w:adjustRightInd w:val="0"/>
              <w:snapToGrid w:val="0"/>
              <w:spacing w:line="240" w:lineRule="exact"/>
              <w:jc w:val="center"/>
              <w:rPr>
                <w:rFonts w:hint="eastAsia" w:ascii="宋体" w:hAnsi="宋体"/>
                <w:spacing w:val="4"/>
              </w:rPr>
            </w:pPr>
            <w:r>
              <w:rPr>
                <w:rFonts w:ascii="宋体" w:hAnsi="宋体"/>
                <w:spacing w:val="4"/>
              </w:rPr>
              <w:t>5</w:t>
            </w:r>
          </w:p>
        </w:tc>
        <w:tc>
          <w:tcPr>
            <w:tcW w:w="1309" w:type="dxa"/>
            <w:gridSpan w:val="2"/>
            <w:vAlign w:val="center"/>
          </w:tcPr>
          <w:p w14:paraId="7E1F36E4">
            <w:pPr>
              <w:adjustRightInd w:val="0"/>
              <w:snapToGrid w:val="0"/>
              <w:spacing w:line="240" w:lineRule="exact"/>
              <w:jc w:val="center"/>
              <w:rPr>
                <w:rFonts w:hint="eastAsia" w:ascii="宋体" w:hAnsi="宋体"/>
                <w:spacing w:val="4"/>
              </w:rPr>
            </w:pPr>
            <w:r>
              <w:rPr>
                <w:rFonts w:ascii="宋体" w:hAnsi="宋体"/>
                <w:spacing w:val="4"/>
              </w:rPr>
              <w:t>5</w:t>
            </w:r>
          </w:p>
        </w:tc>
      </w:tr>
      <w:bookmarkEnd w:id="363"/>
    </w:tbl>
    <w:p w14:paraId="4E45DB19">
      <w:pPr>
        <w:pStyle w:val="15"/>
        <w:rPr>
          <w:rFonts w:hint="eastAsia"/>
          <w:spacing w:val="4"/>
        </w:rPr>
      </w:pPr>
      <w:r>
        <w:rPr>
          <w:rFonts w:hint="eastAsia"/>
        </w:rPr>
        <w:t>表3.</w:t>
      </w:r>
      <w:r>
        <w:t>5</w:t>
      </w:r>
      <w:r>
        <w:rPr>
          <w:rFonts w:hint="eastAsia"/>
        </w:rPr>
        <w:t>-2</w:t>
      </w:r>
      <w:r>
        <w:t xml:space="preserve"> </w:t>
      </w:r>
      <w:r>
        <w:rPr>
          <w:spacing w:val="4"/>
        </w:rPr>
        <w:t xml:space="preserve"> 井下作业</w:t>
      </w:r>
      <w:r>
        <w:t>定量和定性评价指标项目、权重及基准值</w:t>
      </w:r>
    </w:p>
    <w:tbl>
      <w:tblPr>
        <w:tblStyle w:val="51"/>
        <w:tblW w:w="5000" w:type="pct"/>
        <w:tblInd w:w="0" w:type="dxa"/>
        <w:tblLayout w:type="autofit"/>
        <w:tblCellMar>
          <w:top w:w="0" w:type="dxa"/>
          <w:left w:w="108" w:type="dxa"/>
          <w:bottom w:w="0" w:type="dxa"/>
          <w:right w:w="108" w:type="dxa"/>
        </w:tblCellMar>
      </w:tblPr>
      <w:tblGrid>
        <w:gridCol w:w="2731"/>
        <w:gridCol w:w="897"/>
        <w:gridCol w:w="72"/>
        <w:gridCol w:w="1138"/>
        <w:gridCol w:w="1649"/>
        <w:gridCol w:w="1238"/>
        <w:gridCol w:w="153"/>
        <w:gridCol w:w="1110"/>
        <w:gridCol w:w="2498"/>
        <w:gridCol w:w="558"/>
        <w:gridCol w:w="555"/>
        <w:gridCol w:w="555"/>
        <w:gridCol w:w="724"/>
      </w:tblGrid>
      <w:tr w14:paraId="616BC9E7">
        <w:tblPrEx>
          <w:tblCellMar>
            <w:top w:w="0" w:type="dxa"/>
            <w:left w:w="108" w:type="dxa"/>
            <w:bottom w:w="0" w:type="dxa"/>
            <w:right w:w="108" w:type="dxa"/>
          </w:tblCellMar>
        </w:tblPrEx>
        <w:trPr>
          <w:trHeight w:val="284" w:hRule="atLeast"/>
        </w:trPr>
        <w:tc>
          <w:tcPr>
            <w:tcW w:w="4339" w:type="pct"/>
            <w:gridSpan w:val="10"/>
            <w:tcBorders>
              <w:top w:val="single" w:color="auto" w:sz="12" w:space="0"/>
              <w:bottom w:val="single" w:color="auto" w:sz="4" w:space="0"/>
              <w:right w:val="single" w:color="auto" w:sz="4" w:space="0"/>
            </w:tcBorders>
            <w:vAlign w:val="center"/>
          </w:tcPr>
          <w:p w14:paraId="68F3260C">
            <w:pPr>
              <w:adjustRightInd w:val="0"/>
              <w:snapToGrid w:val="0"/>
              <w:spacing w:line="300" w:lineRule="exact"/>
              <w:jc w:val="left"/>
              <w:rPr>
                <w:rFonts w:hint="eastAsia" w:ascii="宋体" w:hAnsi="宋体"/>
                <w:spacing w:val="4"/>
                <w:szCs w:val="21"/>
              </w:rPr>
            </w:pPr>
            <w:r>
              <w:rPr>
                <w:rFonts w:ascii="宋体" w:hAnsi="宋体"/>
                <w:spacing w:val="4"/>
                <w:szCs w:val="21"/>
              </w:rPr>
              <w:t>定量指标</w:t>
            </w:r>
          </w:p>
        </w:tc>
        <w:tc>
          <w:tcPr>
            <w:tcW w:w="661" w:type="pct"/>
            <w:gridSpan w:val="3"/>
            <w:tcBorders>
              <w:top w:val="single" w:color="auto" w:sz="12" w:space="0"/>
              <w:left w:val="single" w:color="auto" w:sz="4" w:space="0"/>
              <w:bottom w:val="single" w:color="auto" w:sz="4" w:space="0"/>
            </w:tcBorders>
            <w:vAlign w:val="center"/>
          </w:tcPr>
          <w:p w14:paraId="53077DA3">
            <w:pPr>
              <w:adjustRightInd w:val="0"/>
              <w:snapToGrid w:val="0"/>
              <w:spacing w:line="300" w:lineRule="exact"/>
              <w:jc w:val="center"/>
              <w:rPr>
                <w:rFonts w:hint="eastAsia" w:ascii="宋体" w:hAnsi="宋体"/>
                <w:spacing w:val="4"/>
                <w:szCs w:val="21"/>
              </w:rPr>
            </w:pPr>
            <w:r>
              <w:rPr>
                <w:rFonts w:ascii="宋体" w:hAnsi="宋体"/>
                <w:spacing w:val="4"/>
                <w:szCs w:val="21"/>
              </w:rPr>
              <w:t>本项目</w:t>
            </w:r>
          </w:p>
        </w:tc>
      </w:tr>
      <w:tr w14:paraId="32B5ABD7">
        <w:tblPrEx>
          <w:tblCellMar>
            <w:top w:w="0" w:type="dxa"/>
            <w:left w:w="108" w:type="dxa"/>
            <w:bottom w:w="0" w:type="dxa"/>
            <w:right w:w="108" w:type="dxa"/>
          </w:tblCellMar>
        </w:tblPrEx>
        <w:trPr>
          <w:trHeight w:val="284" w:hRule="atLeast"/>
        </w:trPr>
        <w:tc>
          <w:tcPr>
            <w:tcW w:w="984" w:type="pct"/>
            <w:tcBorders>
              <w:top w:val="single" w:color="auto" w:sz="4" w:space="0"/>
              <w:bottom w:val="single" w:color="auto" w:sz="4" w:space="0"/>
              <w:right w:val="single" w:color="auto" w:sz="4" w:space="0"/>
            </w:tcBorders>
            <w:vAlign w:val="center"/>
          </w:tcPr>
          <w:p w14:paraId="7F2D8E23">
            <w:pPr>
              <w:adjustRightInd w:val="0"/>
              <w:snapToGrid w:val="0"/>
              <w:spacing w:line="300" w:lineRule="exact"/>
              <w:jc w:val="center"/>
              <w:rPr>
                <w:rFonts w:hint="eastAsia" w:ascii="宋体" w:hAnsi="宋体"/>
                <w:spacing w:val="4"/>
                <w:szCs w:val="21"/>
              </w:rPr>
            </w:pPr>
            <w:r>
              <w:rPr>
                <w:rFonts w:ascii="宋体" w:hAnsi="宋体"/>
                <w:spacing w:val="4"/>
                <w:szCs w:val="21"/>
              </w:rPr>
              <w:t>一级指标</w:t>
            </w:r>
          </w:p>
        </w:tc>
        <w:tc>
          <w:tcPr>
            <w:tcW w:w="323" w:type="pct"/>
            <w:tcBorders>
              <w:top w:val="single" w:color="auto" w:sz="4" w:space="0"/>
              <w:left w:val="single" w:color="auto" w:sz="4" w:space="0"/>
              <w:bottom w:val="single" w:color="auto" w:sz="4" w:space="0"/>
              <w:right w:val="single" w:color="auto" w:sz="4" w:space="0"/>
            </w:tcBorders>
            <w:vAlign w:val="center"/>
          </w:tcPr>
          <w:p w14:paraId="11B2D226">
            <w:pPr>
              <w:adjustRightInd w:val="0"/>
              <w:snapToGrid w:val="0"/>
              <w:spacing w:line="300" w:lineRule="exact"/>
              <w:jc w:val="center"/>
              <w:rPr>
                <w:rFonts w:hint="eastAsia" w:ascii="宋体" w:hAnsi="宋体"/>
                <w:spacing w:val="4"/>
                <w:szCs w:val="21"/>
              </w:rPr>
            </w:pPr>
            <w:r>
              <w:rPr>
                <w:rFonts w:ascii="宋体" w:hAnsi="宋体"/>
                <w:spacing w:val="4"/>
                <w:szCs w:val="21"/>
              </w:rPr>
              <w:t>权重值</w:t>
            </w: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1434B1FB">
            <w:pPr>
              <w:adjustRightInd w:val="0"/>
              <w:snapToGrid w:val="0"/>
              <w:spacing w:line="300" w:lineRule="exact"/>
              <w:jc w:val="center"/>
              <w:rPr>
                <w:rFonts w:hint="eastAsia" w:ascii="宋体" w:hAnsi="宋体"/>
                <w:spacing w:val="4"/>
                <w:szCs w:val="21"/>
              </w:rPr>
            </w:pPr>
            <w:r>
              <w:rPr>
                <w:rFonts w:ascii="宋体" w:hAnsi="宋体"/>
                <w:spacing w:val="4"/>
                <w:szCs w:val="21"/>
              </w:rPr>
              <w:t>二级指标</w:t>
            </w:r>
          </w:p>
        </w:tc>
        <w:tc>
          <w:tcPr>
            <w:tcW w:w="446" w:type="pct"/>
            <w:tcBorders>
              <w:top w:val="single" w:color="auto" w:sz="4" w:space="0"/>
              <w:left w:val="single" w:color="auto" w:sz="4" w:space="0"/>
              <w:bottom w:val="single" w:color="auto" w:sz="4" w:space="0"/>
              <w:right w:val="single" w:color="auto" w:sz="4" w:space="0"/>
            </w:tcBorders>
            <w:vAlign w:val="center"/>
          </w:tcPr>
          <w:p w14:paraId="449CAA2C">
            <w:pPr>
              <w:adjustRightInd w:val="0"/>
              <w:snapToGrid w:val="0"/>
              <w:spacing w:line="300" w:lineRule="exact"/>
              <w:jc w:val="center"/>
              <w:rPr>
                <w:rFonts w:hint="eastAsia" w:ascii="宋体" w:hAnsi="宋体"/>
                <w:spacing w:val="4"/>
                <w:szCs w:val="21"/>
              </w:rPr>
            </w:pPr>
            <w:r>
              <w:rPr>
                <w:rFonts w:ascii="宋体" w:hAnsi="宋体"/>
                <w:spacing w:val="4"/>
                <w:szCs w:val="21"/>
              </w:rPr>
              <w:t>单位</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49393878">
            <w:pPr>
              <w:adjustRightInd w:val="0"/>
              <w:snapToGrid w:val="0"/>
              <w:spacing w:line="300" w:lineRule="exact"/>
              <w:jc w:val="center"/>
              <w:rPr>
                <w:rFonts w:hint="eastAsia" w:ascii="宋体" w:hAnsi="宋体"/>
                <w:spacing w:val="4"/>
                <w:szCs w:val="21"/>
              </w:rPr>
            </w:pPr>
            <w:r>
              <w:rPr>
                <w:rFonts w:ascii="宋体" w:hAnsi="宋体"/>
                <w:spacing w:val="4"/>
                <w:szCs w:val="21"/>
              </w:rPr>
              <w:t>权重分值</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33382F4F">
            <w:pPr>
              <w:adjustRightInd w:val="0"/>
              <w:snapToGrid w:val="0"/>
              <w:spacing w:line="300" w:lineRule="exact"/>
              <w:jc w:val="center"/>
              <w:rPr>
                <w:rFonts w:hint="eastAsia" w:ascii="宋体" w:hAnsi="宋体"/>
                <w:spacing w:val="4"/>
                <w:szCs w:val="21"/>
              </w:rPr>
            </w:pPr>
            <w:r>
              <w:rPr>
                <w:rFonts w:ascii="宋体" w:hAnsi="宋体"/>
                <w:spacing w:val="4"/>
                <w:szCs w:val="21"/>
              </w:rPr>
              <w:t>评价基准值</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0D7BA9C4">
            <w:pPr>
              <w:adjustRightInd w:val="0"/>
              <w:snapToGrid w:val="0"/>
              <w:spacing w:line="300" w:lineRule="exact"/>
              <w:jc w:val="center"/>
              <w:rPr>
                <w:rFonts w:hint="eastAsia" w:ascii="宋体" w:hAnsi="宋体"/>
                <w:spacing w:val="4"/>
                <w:szCs w:val="21"/>
              </w:rPr>
            </w:pPr>
            <w:r>
              <w:rPr>
                <w:rFonts w:ascii="宋体" w:hAnsi="宋体"/>
                <w:spacing w:val="4"/>
                <w:szCs w:val="21"/>
              </w:rPr>
              <w:t>估算值</w:t>
            </w:r>
          </w:p>
        </w:tc>
        <w:tc>
          <w:tcPr>
            <w:tcW w:w="261" w:type="pct"/>
            <w:tcBorders>
              <w:top w:val="single" w:color="auto" w:sz="4" w:space="0"/>
              <w:left w:val="single" w:color="auto" w:sz="4" w:space="0"/>
              <w:bottom w:val="single" w:color="auto" w:sz="4" w:space="0"/>
            </w:tcBorders>
            <w:vAlign w:val="center"/>
          </w:tcPr>
          <w:p w14:paraId="5C2C834B">
            <w:pPr>
              <w:adjustRightInd w:val="0"/>
              <w:snapToGrid w:val="0"/>
              <w:spacing w:line="300" w:lineRule="exact"/>
              <w:jc w:val="center"/>
              <w:rPr>
                <w:rFonts w:hint="eastAsia" w:ascii="宋体" w:hAnsi="宋体"/>
                <w:spacing w:val="4"/>
                <w:szCs w:val="21"/>
              </w:rPr>
            </w:pPr>
            <w:r>
              <w:rPr>
                <w:rFonts w:ascii="宋体" w:hAnsi="宋体"/>
                <w:spacing w:val="4"/>
                <w:szCs w:val="21"/>
              </w:rPr>
              <w:t>评分</w:t>
            </w:r>
          </w:p>
        </w:tc>
      </w:tr>
      <w:tr w14:paraId="08F62F50">
        <w:tblPrEx>
          <w:tblCellMar>
            <w:top w:w="0" w:type="dxa"/>
            <w:left w:w="108" w:type="dxa"/>
            <w:bottom w:w="0" w:type="dxa"/>
            <w:right w:w="108" w:type="dxa"/>
          </w:tblCellMar>
        </w:tblPrEx>
        <w:trPr>
          <w:trHeight w:val="284" w:hRule="atLeast"/>
        </w:trPr>
        <w:tc>
          <w:tcPr>
            <w:tcW w:w="984" w:type="pct"/>
            <w:vMerge w:val="restart"/>
            <w:tcBorders>
              <w:top w:val="single" w:color="auto" w:sz="4" w:space="0"/>
              <w:bottom w:val="single" w:color="auto" w:sz="4" w:space="0"/>
              <w:right w:val="single" w:color="auto" w:sz="4" w:space="0"/>
            </w:tcBorders>
            <w:vAlign w:val="center"/>
          </w:tcPr>
          <w:p w14:paraId="7E8E178A">
            <w:pPr>
              <w:adjustRightInd w:val="0"/>
              <w:snapToGrid w:val="0"/>
              <w:spacing w:line="300" w:lineRule="exact"/>
              <w:jc w:val="center"/>
              <w:rPr>
                <w:rFonts w:hint="eastAsia" w:ascii="宋体" w:hAnsi="宋体"/>
                <w:spacing w:val="4"/>
                <w:szCs w:val="21"/>
              </w:rPr>
            </w:pPr>
            <w:r>
              <w:rPr>
                <w:rFonts w:ascii="宋体" w:hAnsi="宋体"/>
                <w:spacing w:val="4"/>
                <w:szCs w:val="21"/>
              </w:rPr>
              <w:t>（1）资源和能源消耗指标</w:t>
            </w:r>
          </w:p>
        </w:tc>
        <w:tc>
          <w:tcPr>
            <w:tcW w:w="323" w:type="pct"/>
            <w:vMerge w:val="restart"/>
            <w:tcBorders>
              <w:top w:val="single" w:color="auto" w:sz="4" w:space="0"/>
              <w:left w:val="single" w:color="auto" w:sz="4" w:space="0"/>
              <w:bottom w:val="single" w:color="auto" w:sz="4" w:space="0"/>
              <w:right w:val="single" w:color="auto" w:sz="4" w:space="0"/>
            </w:tcBorders>
            <w:vAlign w:val="center"/>
          </w:tcPr>
          <w:p w14:paraId="2C2A116E">
            <w:pPr>
              <w:adjustRightInd w:val="0"/>
              <w:snapToGrid w:val="0"/>
              <w:spacing w:line="300" w:lineRule="exact"/>
              <w:jc w:val="center"/>
              <w:rPr>
                <w:rFonts w:hint="eastAsia" w:ascii="宋体" w:hAnsi="宋体"/>
                <w:spacing w:val="4"/>
                <w:szCs w:val="21"/>
              </w:rPr>
            </w:pPr>
            <w:r>
              <w:rPr>
                <w:rFonts w:ascii="宋体" w:hAnsi="宋体"/>
                <w:spacing w:val="4"/>
                <w:szCs w:val="21"/>
              </w:rPr>
              <w:t>30</w:t>
            </w: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64EB6C05">
            <w:pPr>
              <w:adjustRightInd w:val="0"/>
              <w:snapToGrid w:val="0"/>
              <w:spacing w:line="300" w:lineRule="exact"/>
              <w:jc w:val="center"/>
              <w:rPr>
                <w:rFonts w:hint="eastAsia" w:ascii="宋体" w:hAnsi="宋体"/>
                <w:spacing w:val="4"/>
                <w:szCs w:val="21"/>
              </w:rPr>
            </w:pPr>
            <w:r>
              <w:rPr>
                <w:rFonts w:ascii="宋体" w:hAnsi="宋体"/>
                <w:spacing w:val="4"/>
                <w:szCs w:val="21"/>
              </w:rPr>
              <w:t>作业液消耗</w:t>
            </w:r>
          </w:p>
        </w:tc>
        <w:tc>
          <w:tcPr>
            <w:tcW w:w="446" w:type="pct"/>
            <w:tcBorders>
              <w:top w:val="single" w:color="auto" w:sz="4" w:space="0"/>
              <w:left w:val="single" w:color="auto" w:sz="4" w:space="0"/>
              <w:bottom w:val="single" w:color="auto" w:sz="4" w:space="0"/>
              <w:right w:val="single" w:color="auto" w:sz="4" w:space="0"/>
            </w:tcBorders>
            <w:vAlign w:val="center"/>
          </w:tcPr>
          <w:p w14:paraId="369BEB76">
            <w:pPr>
              <w:adjustRightInd w:val="0"/>
              <w:snapToGrid w:val="0"/>
              <w:spacing w:line="300" w:lineRule="exact"/>
              <w:jc w:val="center"/>
              <w:rPr>
                <w:rFonts w:hint="eastAsia" w:ascii="宋体" w:hAnsi="宋体"/>
                <w:spacing w:val="4"/>
                <w:szCs w:val="21"/>
              </w:rPr>
            </w:pPr>
            <w:r>
              <w:rPr>
                <w:rFonts w:ascii="宋体" w:hAnsi="宋体"/>
                <w:spacing w:val="4"/>
                <w:szCs w:val="21"/>
              </w:rPr>
              <w:t>m</w:t>
            </w:r>
            <w:r>
              <w:rPr>
                <w:rFonts w:ascii="宋体" w:hAnsi="宋体"/>
                <w:spacing w:val="4"/>
                <w:szCs w:val="21"/>
                <w:vertAlign w:val="superscript"/>
              </w:rPr>
              <w:t>3</w:t>
            </w:r>
            <w:r>
              <w:rPr>
                <w:rFonts w:ascii="宋体" w:hAnsi="宋体"/>
                <w:spacing w:val="4"/>
                <w:szCs w:val="21"/>
              </w:rPr>
              <w:t>/井次</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16A4DA12">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4D4EB3F6">
            <w:pPr>
              <w:adjustRightInd w:val="0"/>
              <w:snapToGrid w:val="0"/>
              <w:spacing w:line="300" w:lineRule="exact"/>
              <w:jc w:val="center"/>
              <w:rPr>
                <w:rFonts w:hint="eastAsia" w:ascii="宋体" w:hAnsi="宋体"/>
                <w:spacing w:val="4"/>
                <w:szCs w:val="21"/>
              </w:rPr>
            </w:pPr>
            <w:r>
              <w:rPr>
                <w:rFonts w:ascii="宋体" w:hAnsi="宋体"/>
                <w:spacing w:val="4"/>
                <w:szCs w:val="21"/>
              </w:rPr>
              <w:t>≤5.0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5F5AD2E3">
            <w:pPr>
              <w:adjustRightInd w:val="0"/>
              <w:snapToGrid w:val="0"/>
              <w:spacing w:line="300" w:lineRule="exact"/>
              <w:jc w:val="center"/>
              <w:rPr>
                <w:rFonts w:hint="eastAsia" w:ascii="宋体" w:hAnsi="宋体"/>
                <w:spacing w:val="4"/>
                <w:szCs w:val="21"/>
              </w:rPr>
            </w:pPr>
            <w:r>
              <w:rPr>
                <w:rFonts w:hint="eastAsia" w:ascii="宋体" w:hAnsi="宋体"/>
                <w:spacing w:val="4"/>
                <w:szCs w:val="21"/>
              </w:rPr>
              <w:t>＜5</w:t>
            </w:r>
          </w:p>
        </w:tc>
        <w:tc>
          <w:tcPr>
            <w:tcW w:w="261" w:type="pct"/>
            <w:tcBorders>
              <w:top w:val="single" w:color="auto" w:sz="4" w:space="0"/>
              <w:left w:val="single" w:color="auto" w:sz="4" w:space="0"/>
              <w:bottom w:val="single" w:color="auto" w:sz="4" w:space="0"/>
            </w:tcBorders>
            <w:vAlign w:val="center"/>
          </w:tcPr>
          <w:p w14:paraId="3A59253C">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6CF2C1DE">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6781D299">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7A791CCF">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13531A40">
            <w:pPr>
              <w:adjustRightInd w:val="0"/>
              <w:snapToGrid w:val="0"/>
              <w:spacing w:line="300" w:lineRule="exact"/>
              <w:jc w:val="center"/>
              <w:rPr>
                <w:rFonts w:hint="eastAsia" w:ascii="宋体" w:hAnsi="宋体"/>
                <w:spacing w:val="4"/>
                <w:szCs w:val="21"/>
              </w:rPr>
            </w:pPr>
            <w:r>
              <w:rPr>
                <w:rFonts w:ascii="宋体" w:hAnsi="宋体"/>
                <w:spacing w:val="4"/>
                <w:szCs w:val="21"/>
              </w:rPr>
              <w:t>新鲜水消耗</w:t>
            </w:r>
          </w:p>
        </w:tc>
        <w:tc>
          <w:tcPr>
            <w:tcW w:w="446" w:type="pct"/>
            <w:tcBorders>
              <w:top w:val="single" w:color="auto" w:sz="4" w:space="0"/>
              <w:left w:val="single" w:color="auto" w:sz="4" w:space="0"/>
              <w:bottom w:val="single" w:color="auto" w:sz="4" w:space="0"/>
              <w:right w:val="single" w:color="auto" w:sz="4" w:space="0"/>
            </w:tcBorders>
            <w:vAlign w:val="center"/>
          </w:tcPr>
          <w:p w14:paraId="7622D633">
            <w:pPr>
              <w:adjustRightInd w:val="0"/>
              <w:snapToGrid w:val="0"/>
              <w:spacing w:line="300" w:lineRule="exact"/>
              <w:jc w:val="center"/>
              <w:rPr>
                <w:rFonts w:hint="eastAsia" w:ascii="宋体" w:hAnsi="宋体"/>
                <w:spacing w:val="4"/>
                <w:szCs w:val="21"/>
              </w:rPr>
            </w:pPr>
            <w:r>
              <w:rPr>
                <w:rFonts w:ascii="宋体" w:hAnsi="宋体"/>
                <w:spacing w:val="4"/>
                <w:szCs w:val="21"/>
              </w:rPr>
              <w:t>m</w:t>
            </w:r>
            <w:r>
              <w:rPr>
                <w:rFonts w:ascii="宋体" w:hAnsi="宋体"/>
                <w:spacing w:val="4"/>
                <w:szCs w:val="21"/>
                <w:vertAlign w:val="superscript"/>
              </w:rPr>
              <w:t>3</w:t>
            </w:r>
            <w:r>
              <w:rPr>
                <w:rFonts w:ascii="宋体" w:hAnsi="宋体"/>
                <w:spacing w:val="4"/>
                <w:szCs w:val="21"/>
              </w:rPr>
              <w:t>/井次</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31805146">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22BAAFE4">
            <w:pPr>
              <w:adjustRightInd w:val="0"/>
              <w:snapToGrid w:val="0"/>
              <w:spacing w:line="300" w:lineRule="exact"/>
              <w:jc w:val="center"/>
              <w:rPr>
                <w:rFonts w:hint="eastAsia" w:ascii="宋体" w:hAnsi="宋体"/>
                <w:spacing w:val="4"/>
                <w:szCs w:val="21"/>
              </w:rPr>
            </w:pPr>
            <w:r>
              <w:rPr>
                <w:rFonts w:ascii="宋体" w:hAnsi="宋体"/>
                <w:spacing w:val="4"/>
                <w:szCs w:val="21"/>
              </w:rPr>
              <w:t>≤5.0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6EFA7FEA">
            <w:pPr>
              <w:adjustRightInd w:val="0"/>
              <w:snapToGrid w:val="0"/>
              <w:spacing w:line="300" w:lineRule="exact"/>
              <w:jc w:val="center"/>
              <w:rPr>
                <w:rFonts w:hint="eastAsia" w:ascii="宋体" w:hAnsi="宋体"/>
                <w:spacing w:val="4"/>
                <w:szCs w:val="21"/>
              </w:rPr>
            </w:pPr>
            <w:r>
              <w:rPr>
                <w:rFonts w:hint="eastAsia" w:ascii="宋体" w:hAnsi="宋体"/>
                <w:spacing w:val="4"/>
                <w:szCs w:val="21"/>
              </w:rPr>
              <w:t>0</w:t>
            </w:r>
          </w:p>
        </w:tc>
        <w:tc>
          <w:tcPr>
            <w:tcW w:w="261" w:type="pct"/>
            <w:tcBorders>
              <w:top w:val="single" w:color="auto" w:sz="4" w:space="0"/>
              <w:left w:val="single" w:color="auto" w:sz="4" w:space="0"/>
              <w:bottom w:val="single" w:color="auto" w:sz="4" w:space="0"/>
            </w:tcBorders>
            <w:vAlign w:val="center"/>
          </w:tcPr>
          <w:p w14:paraId="1B0A15CB">
            <w:pPr>
              <w:adjustRightInd w:val="0"/>
              <w:snapToGrid w:val="0"/>
              <w:spacing w:line="300" w:lineRule="exact"/>
              <w:jc w:val="center"/>
              <w:rPr>
                <w:rFonts w:hint="eastAsia" w:ascii="宋体" w:hAnsi="宋体"/>
                <w:spacing w:val="4"/>
                <w:szCs w:val="21"/>
              </w:rPr>
            </w:pPr>
            <w:r>
              <w:rPr>
                <w:rFonts w:hint="eastAsia" w:ascii="宋体" w:hAnsi="宋体"/>
                <w:spacing w:val="4"/>
                <w:szCs w:val="21"/>
              </w:rPr>
              <w:t>10</w:t>
            </w:r>
          </w:p>
        </w:tc>
      </w:tr>
      <w:tr w14:paraId="2E7A89FE">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38045989">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19EBA83A">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00A1692E">
            <w:pPr>
              <w:adjustRightInd w:val="0"/>
              <w:snapToGrid w:val="0"/>
              <w:spacing w:line="300" w:lineRule="exact"/>
              <w:jc w:val="center"/>
              <w:rPr>
                <w:rFonts w:hint="eastAsia" w:ascii="宋体" w:hAnsi="宋体"/>
                <w:spacing w:val="4"/>
                <w:szCs w:val="21"/>
              </w:rPr>
            </w:pPr>
            <w:r>
              <w:rPr>
                <w:rFonts w:ascii="宋体" w:hAnsi="宋体"/>
                <w:spacing w:val="4"/>
                <w:szCs w:val="21"/>
              </w:rPr>
              <w:t>单位能耗</w:t>
            </w:r>
          </w:p>
        </w:tc>
        <w:tc>
          <w:tcPr>
            <w:tcW w:w="446" w:type="pct"/>
            <w:tcBorders>
              <w:top w:val="single" w:color="auto" w:sz="4" w:space="0"/>
              <w:left w:val="single" w:color="auto" w:sz="4" w:space="0"/>
              <w:bottom w:val="single" w:color="auto" w:sz="4" w:space="0"/>
              <w:right w:val="single" w:color="auto" w:sz="4" w:space="0"/>
            </w:tcBorders>
            <w:vAlign w:val="center"/>
          </w:tcPr>
          <w:p w14:paraId="4B4CAE5A">
            <w:pPr>
              <w:adjustRightInd w:val="0"/>
              <w:snapToGrid w:val="0"/>
              <w:spacing w:line="300" w:lineRule="exact"/>
              <w:jc w:val="center"/>
              <w:rPr>
                <w:rFonts w:hint="eastAsia" w:ascii="宋体" w:hAnsi="宋体"/>
                <w:spacing w:val="4"/>
                <w:szCs w:val="21"/>
              </w:rPr>
            </w:pPr>
            <w:r>
              <w:rPr>
                <w:rFonts w:ascii="宋体" w:hAnsi="宋体"/>
                <w:spacing w:val="4"/>
                <w:szCs w:val="21"/>
              </w:rPr>
              <w:t>-</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57C985B7">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691BACAC">
            <w:pPr>
              <w:adjustRightInd w:val="0"/>
              <w:snapToGrid w:val="0"/>
              <w:spacing w:line="300" w:lineRule="exact"/>
              <w:jc w:val="center"/>
              <w:rPr>
                <w:rFonts w:hint="eastAsia" w:ascii="宋体" w:hAnsi="宋体"/>
                <w:spacing w:val="4"/>
                <w:szCs w:val="21"/>
              </w:rPr>
            </w:pPr>
            <w:r>
              <w:rPr>
                <w:rFonts w:ascii="宋体" w:hAnsi="宋体"/>
                <w:spacing w:val="4"/>
                <w:szCs w:val="21"/>
              </w:rPr>
              <w:t>行业基本水平</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65BC319A">
            <w:pPr>
              <w:adjustRightInd w:val="0"/>
              <w:snapToGrid w:val="0"/>
              <w:spacing w:line="300" w:lineRule="exact"/>
              <w:jc w:val="center"/>
              <w:rPr>
                <w:rFonts w:hint="eastAsia" w:ascii="宋体" w:hAnsi="宋体"/>
                <w:spacing w:val="4"/>
                <w:szCs w:val="21"/>
              </w:rPr>
            </w:pPr>
            <w:r>
              <w:rPr>
                <w:rFonts w:hint="eastAsia" w:ascii="宋体" w:hAnsi="宋体"/>
                <w:spacing w:val="4"/>
                <w:szCs w:val="21"/>
              </w:rPr>
              <w:t>基本水平</w:t>
            </w:r>
          </w:p>
        </w:tc>
        <w:tc>
          <w:tcPr>
            <w:tcW w:w="261" w:type="pct"/>
            <w:tcBorders>
              <w:top w:val="single" w:color="auto" w:sz="4" w:space="0"/>
              <w:left w:val="single" w:color="auto" w:sz="4" w:space="0"/>
              <w:bottom w:val="single" w:color="auto" w:sz="4" w:space="0"/>
            </w:tcBorders>
            <w:vAlign w:val="center"/>
          </w:tcPr>
          <w:p w14:paraId="7FC7C918">
            <w:pPr>
              <w:adjustRightInd w:val="0"/>
              <w:snapToGrid w:val="0"/>
              <w:spacing w:line="300" w:lineRule="exact"/>
              <w:jc w:val="center"/>
              <w:rPr>
                <w:rFonts w:hint="eastAsia" w:ascii="宋体" w:hAnsi="宋体"/>
                <w:spacing w:val="4"/>
                <w:szCs w:val="21"/>
              </w:rPr>
            </w:pPr>
            <w:r>
              <w:rPr>
                <w:rFonts w:hint="eastAsia" w:ascii="宋体" w:hAnsi="宋体"/>
                <w:spacing w:val="4"/>
                <w:szCs w:val="21"/>
              </w:rPr>
              <w:t>10</w:t>
            </w:r>
          </w:p>
        </w:tc>
      </w:tr>
      <w:tr w14:paraId="49E00040">
        <w:tblPrEx>
          <w:tblCellMar>
            <w:top w:w="0" w:type="dxa"/>
            <w:left w:w="108" w:type="dxa"/>
            <w:bottom w:w="0" w:type="dxa"/>
            <w:right w:w="108" w:type="dxa"/>
          </w:tblCellMar>
        </w:tblPrEx>
        <w:trPr>
          <w:trHeight w:val="284" w:hRule="atLeast"/>
        </w:trPr>
        <w:tc>
          <w:tcPr>
            <w:tcW w:w="984" w:type="pct"/>
            <w:tcBorders>
              <w:top w:val="single" w:color="auto" w:sz="4" w:space="0"/>
              <w:bottom w:val="single" w:color="auto" w:sz="4" w:space="0"/>
              <w:right w:val="single" w:color="auto" w:sz="4" w:space="0"/>
            </w:tcBorders>
            <w:vAlign w:val="center"/>
          </w:tcPr>
          <w:p w14:paraId="2E0C9AE2">
            <w:pPr>
              <w:adjustRightInd w:val="0"/>
              <w:snapToGrid w:val="0"/>
              <w:spacing w:line="300" w:lineRule="exact"/>
              <w:jc w:val="center"/>
              <w:rPr>
                <w:rFonts w:hint="eastAsia" w:ascii="宋体" w:hAnsi="宋体"/>
                <w:spacing w:val="4"/>
                <w:szCs w:val="21"/>
              </w:rPr>
            </w:pPr>
            <w:r>
              <w:rPr>
                <w:rFonts w:ascii="宋体" w:hAnsi="宋体"/>
                <w:spacing w:val="4"/>
                <w:szCs w:val="21"/>
              </w:rPr>
              <w:t>（2）生产技术特征指标</w:t>
            </w:r>
          </w:p>
        </w:tc>
        <w:tc>
          <w:tcPr>
            <w:tcW w:w="323" w:type="pct"/>
            <w:tcBorders>
              <w:top w:val="single" w:color="auto" w:sz="4" w:space="0"/>
              <w:left w:val="single" w:color="auto" w:sz="4" w:space="0"/>
              <w:bottom w:val="single" w:color="auto" w:sz="4" w:space="0"/>
              <w:right w:val="single" w:color="auto" w:sz="4" w:space="0"/>
            </w:tcBorders>
            <w:vAlign w:val="center"/>
          </w:tcPr>
          <w:p w14:paraId="349EA020">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4471C52A">
            <w:pPr>
              <w:adjustRightInd w:val="0"/>
              <w:snapToGrid w:val="0"/>
              <w:spacing w:line="300" w:lineRule="exact"/>
              <w:jc w:val="center"/>
              <w:rPr>
                <w:rFonts w:hint="eastAsia" w:ascii="宋体" w:hAnsi="宋体"/>
                <w:spacing w:val="4"/>
                <w:szCs w:val="21"/>
              </w:rPr>
            </w:pPr>
            <w:r>
              <w:rPr>
                <w:rFonts w:ascii="宋体" w:hAnsi="宋体"/>
                <w:spacing w:val="4"/>
                <w:szCs w:val="21"/>
              </w:rPr>
              <w:t>压裂放喷返排入罐率</w:t>
            </w:r>
          </w:p>
        </w:tc>
        <w:tc>
          <w:tcPr>
            <w:tcW w:w="446" w:type="pct"/>
            <w:tcBorders>
              <w:top w:val="single" w:color="auto" w:sz="4" w:space="0"/>
              <w:left w:val="single" w:color="auto" w:sz="4" w:space="0"/>
              <w:bottom w:val="single" w:color="auto" w:sz="4" w:space="0"/>
              <w:right w:val="single" w:color="auto" w:sz="4" w:space="0"/>
            </w:tcBorders>
            <w:vAlign w:val="center"/>
          </w:tcPr>
          <w:p w14:paraId="5BA5B86B">
            <w:pPr>
              <w:adjustRightInd w:val="0"/>
              <w:snapToGrid w:val="0"/>
              <w:spacing w:line="300" w:lineRule="exact"/>
              <w:jc w:val="center"/>
              <w:rPr>
                <w:rFonts w:hint="eastAsia" w:ascii="宋体" w:hAnsi="宋体"/>
                <w:spacing w:val="4"/>
                <w:szCs w:val="21"/>
              </w:rPr>
            </w:pPr>
            <w:r>
              <w:rPr>
                <w:rFonts w:ascii="宋体" w:hAnsi="宋体"/>
                <w:spacing w:val="4"/>
                <w:szCs w:val="21"/>
              </w:rPr>
              <w:t>%</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7FA0CABE">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568ECE1D">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3F860860">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261" w:type="pct"/>
            <w:tcBorders>
              <w:top w:val="single" w:color="auto" w:sz="4" w:space="0"/>
              <w:left w:val="single" w:color="auto" w:sz="4" w:space="0"/>
              <w:bottom w:val="single" w:color="auto" w:sz="4" w:space="0"/>
            </w:tcBorders>
            <w:vAlign w:val="center"/>
          </w:tcPr>
          <w:p w14:paraId="13FC1C8D">
            <w:pPr>
              <w:adjustRightInd w:val="0"/>
              <w:snapToGrid w:val="0"/>
              <w:spacing w:line="300" w:lineRule="exact"/>
              <w:jc w:val="center"/>
              <w:rPr>
                <w:rFonts w:hint="eastAsia" w:ascii="宋体" w:hAnsi="宋体"/>
                <w:spacing w:val="4"/>
                <w:szCs w:val="21"/>
              </w:rPr>
            </w:pPr>
            <w:r>
              <w:rPr>
                <w:rFonts w:ascii="宋体" w:hAnsi="宋体"/>
                <w:spacing w:val="4"/>
                <w:szCs w:val="21"/>
              </w:rPr>
              <w:t>20</w:t>
            </w:r>
          </w:p>
        </w:tc>
      </w:tr>
      <w:tr w14:paraId="40F9AA1F">
        <w:tblPrEx>
          <w:tblCellMar>
            <w:top w:w="0" w:type="dxa"/>
            <w:left w:w="108" w:type="dxa"/>
            <w:bottom w:w="0" w:type="dxa"/>
            <w:right w:w="108" w:type="dxa"/>
          </w:tblCellMar>
        </w:tblPrEx>
        <w:trPr>
          <w:trHeight w:val="284" w:hRule="atLeast"/>
        </w:trPr>
        <w:tc>
          <w:tcPr>
            <w:tcW w:w="984" w:type="pct"/>
            <w:vMerge w:val="restart"/>
            <w:tcBorders>
              <w:top w:val="single" w:color="auto" w:sz="4" w:space="0"/>
              <w:bottom w:val="single" w:color="auto" w:sz="4" w:space="0"/>
              <w:right w:val="single" w:color="auto" w:sz="4" w:space="0"/>
            </w:tcBorders>
            <w:vAlign w:val="center"/>
          </w:tcPr>
          <w:p w14:paraId="3176657A">
            <w:pPr>
              <w:adjustRightInd w:val="0"/>
              <w:snapToGrid w:val="0"/>
              <w:spacing w:line="300" w:lineRule="exact"/>
              <w:jc w:val="center"/>
              <w:rPr>
                <w:rFonts w:hint="eastAsia" w:ascii="宋体" w:hAnsi="宋体"/>
                <w:spacing w:val="4"/>
                <w:szCs w:val="21"/>
              </w:rPr>
            </w:pPr>
            <w:r>
              <w:rPr>
                <w:rFonts w:ascii="宋体" w:hAnsi="宋体"/>
                <w:spacing w:val="4"/>
                <w:szCs w:val="21"/>
              </w:rPr>
              <w:t>（3）资源综合利用指标</w:t>
            </w:r>
          </w:p>
        </w:tc>
        <w:tc>
          <w:tcPr>
            <w:tcW w:w="323" w:type="pct"/>
            <w:vMerge w:val="restart"/>
            <w:tcBorders>
              <w:top w:val="single" w:color="auto" w:sz="4" w:space="0"/>
              <w:left w:val="single" w:color="auto" w:sz="4" w:space="0"/>
              <w:bottom w:val="single" w:color="auto" w:sz="4" w:space="0"/>
              <w:right w:val="single" w:color="auto" w:sz="4" w:space="0"/>
            </w:tcBorders>
            <w:vAlign w:val="center"/>
          </w:tcPr>
          <w:p w14:paraId="261FC513">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2BD835E2">
            <w:pPr>
              <w:adjustRightInd w:val="0"/>
              <w:snapToGrid w:val="0"/>
              <w:spacing w:line="300" w:lineRule="exact"/>
              <w:jc w:val="center"/>
              <w:rPr>
                <w:rFonts w:hint="eastAsia" w:ascii="宋体" w:hAnsi="宋体"/>
                <w:spacing w:val="4"/>
                <w:szCs w:val="21"/>
              </w:rPr>
            </w:pPr>
            <w:r>
              <w:rPr>
                <w:rFonts w:ascii="宋体" w:hAnsi="宋体"/>
                <w:spacing w:val="4"/>
                <w:szCs w:val="21"/>
              </w:rPr>
              <w:t>落地原油回收利用率</w:t>
            </w:r>
          </w:p>
        </w:tc>
        <w:tc>
          <w:tcPr>
            <w:tcW w:w="446" w:type="pct"/>
            <w:tcBorders>
              <w:top w:val="single" w:color="auto" w:sz="4" w:space="0"/>
              <w:left w:val="single" w:color="auto" w:sz="4" w:space="0"/>
              <w:bottom w:val="single" w:color="auto" w:sz="4" w:space="0"/>
              <w:right w:val="single" w:color="auto" w:sz="4" w:space="0"/>
            </w:tcBorders>
            <w:vAlign w:val="center"/>
          </w:tcPr>
          <w:p w14:paraId="2097D99F">
            <w:pPr>
              <w:adjustRightInd w:val="0"/>
              <w:snapToGrid w:val="0"/>
              <w:spacing w:line="300" w:lineRule="exact"/>
              <w:jc w:val="center"/>
              <w:rPr>
                <w:rFonts w:hint="eastAsia" w:ascii="宋体" w:hAnsi="宋体"/>
                <w:spacing w:val="4"/>
                <w:szCs w:val="21"/>
              </w:rPr>
            </w:pPr>
            <w:r>
              <w:rPr>
                <w:rFonts w:ascii="宋体" w:hAnsi="宋体"/>
                <w:spacing w:val="4"/>
                <w:szCs w:val="21"/>
              </w:rPr>
              <w:t>%</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7C847D47">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01C708CE">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4BA96BA0">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261" w:type="pct"/>
            <w:tcBorders>
              <w:top w:val="single" w:color="auto" w:sz="4" w:space="0"/>
              <w:left w:val="single" w:color="auto" w:sz="4" w:space="0"/>
              <w:bottom w:val="single" w:color="auto" w:sz="4" w:space="0"/>
            </w:tcBorders>
            <w:vAlign w:val="center"/>
          </w:tcPr>
          <w:p w14:paraId="3D92BA16">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3DFB64AE">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45002FB8">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3333721F">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57ADE5A7">
            <w:pPr>
              <w:adjustRightInd w:val="0"/>
              <w:snapToGrid w:val="0"/>
              <w:spacing w:line="300" w:lineRule="exact"/>
              <w:jc w:val="center"/>
              <w:rPr>
                <w:rFonts w:hint="eastAsia" w:ascii="宋体" w:hAnsi="宋体"/>
                <w:spacing w:val="4"/>
                <w:szCs w:val="21"/>
              </w:rPr>
            </w:pPr>
            <w:r>
              <w:rPr>
                <w:rFonts w:ascii="宋体" w:hAnsi="宋体"/>
                <w:spacing w:val="4"/>
                <w:szCs w:val="21"/>
              </w:rPr>
              <w:t>生产过程中排出物利用率</w:t>
            </w:r>
          </w:p>
        </w:tc>
        <w:tc>
          <w:tcPr>
            <w:tcW w:w="446" w:type="pct"/>
            <w:tcBorders>
              <w:top w:val="single" w:color="auto" w:sz="4" w:space="0"/>
              <w:left w:val="single" w:color="auto" w:sz="4" w:space="0"/>
              <w:bottom w:val="single" w:color="auto" w:sz="4" w:space="0"/>
              <w:right w:val="single" w:color="auto" w:sz="4" w:space="0"/>
            </w:tcBorders>
            <w:vAlign w:val="center"/>
          </w:tcPr>
          <w:p w14:paraId="45502211">
            <w:pPr>
              <w:adjustRightInd w:val="0"/>
              <w:snapToGrid w:val="0"/>
              <w:spacing w:line="300" w:lineRule="exact"/>
              <w:jc w:val="center"/>
              <w:rPr>
                <w:rFonts w:hint="eastAsia" w:ascii="宋体" w:hAnsi="宋体"/>
                <w:spacing w:val="4"/>
                <w:szCs w:val="21"/>
              </w:rPr>
            </w:pPr>
            <w:r>
              <w:rPr>
                <w:rFonts w:ascii="宋体" w:hAnsi="宋体"/>
                <w:spacing w:val="4"/>
                <w:szCs w:val="21"/>
              </w:rPr>
              <w:t>%</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2E37BD52">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2B66AFC8">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1D725FF4">
            <w:pPr>
              <w:adjustRightInd w:val="0"/>
              <w:snapToGrid w:val="0"/>
              <w:spacing w:line="300" w:lineRule="exact"/>
              <w:jc w:val="center"/>
              <w:rPr>
                <w:rFonts w:hint="eastAsia" w:ascii="宋体" w:hAnsi="宋体"/>
                <w:spacing w:val="4"/>
                <w:szCs w:val="21"/>
              </w:rPr>
            </w:pPr>
            <w:r>
              <w:rPr>
                <w:rFonts w:ascii="宋体" w:hAnsi="宋体"/>
                <w:spacing w:val="4"/>
                <w:szCs w:val="21"/>
              </w:rPr>
              <w:t>100</w:t>
            </w:r>
          </w:p>
        </w:tc>
        <w:tc>
          <w:tcPr>
            <w:tcW w:w="261" w:type="pct"/>
            <w:tcBorders>
              <w:top w:val="single" w:color="auto" w:sz="4" w:space="0"/>
              <w:left w:val="single" w:color="auto" w:sz="4" w:space="0"/>
              <w:bottom w:val="single" w:color="auto" w:sz="4" w:space="0"/>
            </w:tcBorders>
            <w:vAlign w:val="center"/>
          </w:tcPr>
          <w:p w14:paraId="47D7D461">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678ABA61">
        <w:tblPrEx>
          <w:tblCellMar>
            <w:top w:w="0" w:type="dxa"/>
            <w:left w:w="108" w:type="dxa"/>
            <w:bottom w:w="0" w:type="dxa"/>
            <w:right w:w="108" w:type="dxa"/>
          </w:tblCellMar>
        </w:tblPrEx>
        <w:trPr>
          <w:trHeight w:val="284" w:hRule="atLeast"/>
        </w:trPr>
        <w:tc>
          <w:tcPr>
            <w:tcW w:w="984" w:type="pct"/>
            <w:vMerge w:val="restart"/>
            <w:tcBorders>
              <w:top w:val="single" w:color="auto" w:sz="4" w:space="0"/>
              <w:bottom w:val="single" w:color="auto" w:sz="4" w:space="0"/>
              <w:right w:val="single" w:color="auto" w:sz="4" w:space="0"/>
            </w:tcBorders>
            <w:vAlign w:val="center"/>
          </w:tcPr>
          <w:p w14:paraId="70524013">
            <w:pPr>
              <w:adjustRightInd w:val="0"/>
              <w:snapToGrid w:val="0"/>
              <w:spacing w:line="300" w:lineRule="exact"/>
              <w:jc w:val="center"/>
              <w:rPr>
                <w:rFonts w:hint="eastAsia" w:ascii="宋体" w:hAnsi="宋体"/>
                <w:spacing w:val="4"/>
                <w:szCs w:val="21"/>
              </w:rPr>
            </w:pPr>
            <w:r>
              <w:rPr>
                <w:rFonts w:ascii="宋体" w:hAnsi="宋体"/>
                <w:spacing w:val="4"/>
                <w:szCs w:val="21"/>
              </w:rPr>
              <w:t>（4）污染物产生指标</w:t>
            </w:r>
          </w:p>
        </w:tc>
        <w:tc>
          <w:tcPr>
            <w:tcW w:w="323" w:type="pct"/>
            <w:vMerge w:val="restart"/>
            <w:tcBorders>
              <w:top w:val="single" w:color="auto" w:sz="4" w:space="0"/>
              <w:left w:val="single" w:color="auto" w:sz="4" w:space="0"/>
              <w:bottom w:val="single" w:color="auto" w:sz="4" w:space="0"/>
              <w:right w:val="single" w:color="auto" w:sz="4" w:space="0"/>
            </w:tcBorders>
            <w:vAlign w:val="center"/>
          </w:tcPr>
          <w:p w14:paraId="1E710314">
            <w:pPr>
              <w:adjustRightInd w:val="0"/>
              <w:snapToGrid w:val="0"/>
              <w:spacing w:line="300" w:lineRule="exact"/>
              <w:jc w:val="center"/>
              <w:rPr>
                <w:rFonts w:hint="eastAsia" w:ascii="宋体" w:hAnsi="宋体"/>
                <w:spacing w:val="4"/>
                <w:szCs w:val="21"/>
              </w:rPr>
            </w:pPr>
            <w:r>
              <w:rPr>
                <w:rFonts w:ascii="宋体" w:hAnsi="宋体"/>
                <w:spacing w:val="4"/>
                <w:szCs w:val="21"/>
              </w:rPr>
              <w:t>30</w:t>
            </w: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708FD893">
            <w:pPr>
              <w:adjustRightInd w:val="0"/>
              <w:snapToGrid w:val="0"/>
              <w:spacing w:line="300" w:lineRule="exact"/>
              <w:jc w:val="center"/>
              <w:rPr>
                <w:rFonts w:hint="eastAsia" w:ascii="宋体" w:hAnsi="宋体"/>
                <w:spacing w:val="4"/>
                <w:szCs w:val="21"/>
              </w:rPr>
            </w:pPr>
            <w:r>
              <w:rPr>
                <w:rFonts w:ascii="宋体" w:hAnsi="宋体"/>
                <w:spacing w:val="4"/>
                <w:szCs w:val="21"/>
              </w:rPr>
              <w:t>作业废液量</w:t>
            </w:r>
          </w:p>
        </w:tc>
        <w:tc>
          <w:tcPr>
            <w:tcW w:w="446" w:type="pct"/>
            <w:tcBorders>
              <w:top w:val="single" w:color="auto" w:sz="4" w:space="0"/>
              <w:left w:val="single" w:color="auto" w:sz="4" w:space="0"/>
              <w:bottom w:val="single" w:color="auto" w:sz="4" w:space="0"/>
              <w:right w:val="single" w:color="auto" w:sz="4" w:space="0"/>
            </w:tcBorders>
            <w:vAlign w:val="center"/>
          </w:tcPr>
          <w:p w14:paraId="59747616">
            <w:pPr>
              <w:adjustRightInd w:val="0"/>
              <w:snapToGrid w:val="0"/>
              <w:spacing w:line="300" w:lineRule="exact"/>
              <w:jc w:val="center"/>
              <w:rPr>
                <w:rFonts w:hint="eastAsia" w:ascii="宋体" w:hAnsi="宋体"/>
                <w:spacing w:val="4"/>
                <w:szCs w:val="21"/>
              </w:rPr>
            </w:pPr>
            <w:r>
              <w:rPr>
                <w:rFonts w:hint="eastAsia" w:ascii="宋体" w:hAnsi="宋体"/>
                <w:spacing w:val="4"/>
                <w:szCs w:val="21"/>
              </w:rPr>
              <w:t>m</w:t>
            </w:r>
            <w:r>
              <w:rPr>
                <w:rFonts w:ascii="宋体" w:hAnsi="宋体"/>
                <w:spacing w:val="4"/>
                <w:szCs w:val="21"/>
                <w:vertAlign w:val="superscript"/>
              </w:rPr>
              <w:t>3</w:t>
            </w:r>
            <w:r>
              <w:rPr>
                <w:rFonts w:ascii="宋体" w:hAnsi="宋体"/>
                <w:spacing w:val="4"/>
                <w:szCs w:val="21"/>
              </w:rPr>
              <w:t>/井次</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63E31F67">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1B38A476">
            <w:pPr>
              <w:adjustRightInd w:val="0"/>
              <w:snapToGrid w:val="0"/>
              <w:spacing w:line="300" w:lineRule="exact"/>
              <w:jc w:val="center"/>
              <w:rPr>
                <w:rFonts w:hint="eastAsia" w:ascii="宋体" w:hAnsi="宋体"/>
                <w:spacing w:val="4"/>
                <w:szCs w:val="21"/>
              </w:rPr>
            </w:pPr>
            <w:r>
              <w:rPr>
                <w:rFonts w:ascii="宋体" w:hAnsi="宋体"/>
                <w:spacing w:val="4"/>
                <w:szCs w:val="21"/>
              </w:rPr>
              <w:t>≤3.0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670A07E0">
            <w:pPr>
              <w:adjustRightInd w:val="0"/>
              <w:snapToGrid w:val="0"/>
              <w:spacing w:line="300" w:lineRule="exact"/>
              <w:jc w:val="center"/>
              <w:rPr>
                <w:rFonts w:hint="eastAsia" w:ascii="宋体" w:hAnsi="宋体"/>
                <w:spacing w:val="4"/>
                <w:szCs w:val="21"/>
              </w:rPr>
            </w:pPr>
            <w:r>
              <w:rPr>
                <w:rFonts w:hint="eastAsia" w:ascii="宋体" w:hAnsi="宋体"/>
                <w:spacing w:val="4"/>
                <w:szCs w:val="21"/>
              </w:rPr>
              <w:t>＜3</w:t>
            </w:r>
          </w:p>
        </w:tc>
        <w:tc>
          <w:tcPr>
            <w:tcW w:w="261" w:type="pct"/>
            <w:tcBorders>
              <w:top w:val="single" w:color="auto" w:sz="4" w:space="0"/>
              <w:left w:val="single" w:color="auto" w:sz="4" w:space="0"/>
              <w:bottom w:val="single" w:color="auto" w:sz="4" w:space="0"/>
            </w:tcBorders>
            <w:vAlign w:val="center"/>
          </w:tcPr>
          <w:p w14:paraId="06DD0162">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441DEAB7">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501D1AC4">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0798B0E4">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07C6CC96">
            <w:pPr>
              <w:adjustRightInd w:val="0"/>
              <w:snapToGrid w:val="0"/>
              <w:spacing w:line="300" w:lineRule="exact"/>
              <w:jc w:val="center"/>
              <w:rPr>
                <w:rFonts w:hint="eastAsia" w:ascii="宋体" w:hAnsi="宋体"/>
                <w:spacing w:val="4"/>
                <w:szCs w:val="21"/>
              </w:rPr>
            </w:pPr>
            <w:r>
              <w:rPr>
                <w:rFonts w:ascii="宋体" w:hAnsi="宋体"/>
                <w:spacing w:val="4"/>
                <w:szCs w:val="21"/>
              </w:rPr>
              <w:t>石油类</w:t>
            </w:r>
          </w:p>
        </w:tc>
        <w:tc>
          <w:tcPr>
            <w:tcW w:w="446" w:type="pct"/>
            <w:tcBorders>
              <w:top w:val="single" w:color="auto" w:sz="4" w:space="0"/>
              <w:left w:val="single" w:color="auto" w:sz="4" w:space="0"/>
              <w:bottom w:val="single" w:color="auto" w:sz="4" w:space="0"/>
              <w:right w:val="single" w:color="auto" w:sz="4" w:space="0"/>
            </w:tcBorders>
            <w:vAlign w:val="center"/>
          </w:tcPr>
          <w:p w14:paraId="70A33AFB">
            <w:pPr>
              <w:adjustRightInd w:val="0"/>
              <w:snapToGrid w:val="0"/>
              <w:spacing w:line="300" w:lineRule="exact"/>
              <w:jc w:val="center"/>
              <w:rPr>
                <w:rFonts w:hint="eastAsia" w:ascii="宋体" w:hAnsi="宋体"/>
                <w:spacing w:val="4"/>
                <w:szCs w:val="21"/>
              </w:rPr>
            </w:pPr>
            <w:r>
              <w:rPr>
                <w:rFonts w:ascii="宋体" w:hAnsi="宋体"/>
                <w:spacing w:val="4"/>
                <w:szCs w:val="21"/>
              </w:rPr>
              <w:t>mg/L</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411A9AA2">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34AAFE9C">
            <w:pPr>
              <w:adjustRightInd w:val="0"/>
              <w:snapToGrid w:val="0"/>
              <w:spacing w:line="300" w:lineRule="exact"/>
              <w:jc w:val="center"/>
              <w:rPr>
                <w:rFonts w:hint="eastAsia" w:ascii="宋体" w:hAnsi="宋体"/>
                <w:spacing w:val="4"/>
                <w:szCs w:val="21"/>
              </w:rPr>
            </w:pPr>
            <w:r>
              <w:rPr>
                <w:rFonts w:ascii="宋体" w:hAnsi="宋体"/>
                <w:spacing w:val="4"/>
                <w:szCs w:val="21"/>
              </w:rPr>
              <w:t>甲类区：≤10；乙类区：≤50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1EF684A2">
            <w:pPr>
              <w:adjustRightInd w:val="0"/>
              <w:snapToGrid w:val="0"/>
              <w:spacing w:line="300" w:lineRule="exact"/>
              <w:jc w:val="center"/>
              <w:rPr>
                <w:rFonts w:hint="eastAsia" w:ascii="宋体" w:hAnsi="宋体"/>
                <w:spacing w:val="4"/>
                <w:szCs w:val="21"/>
              </w:rPr>
            </w:pPr>
            <w:r>
              <w:rPr>
                <w:rFonts w:hint="eastAsia" w:ascii="宋体" w:hAnsi="宋体"/>
                <w:spacing w:val="4"/>
                <w:szCs w:val="21"/>
              </w:rPr>
              <w:t>225</w:t>
            </w:r>
          </w:p>
        </w:tc>
        <w:tc>
          <w:tcPr>
            <w:tcW w:w="261" w:type="pct"/>
            <w:tcBorders>
              <w:top w:val="single" w:color="auto" w:sz="4" w:space="0"/>
              <w:left w:val="single" w:color="auto" w:sz="4" w:space="0"/>
              <w:bottom w:val="single" w:color="auto" w:sz="4" w:space="0"/>
            </w:tcBorders>
            <w:vAlign w:val="center"/>
          </w:tcPr>
          <w:p w14:paraId="724B0C25">
            <w:pPr>
              <w:adjustRightInd w:val="0"/>
              <w:snapToGrid w:val="0"/>
              <w:spacing w:line="300" w:lineRule="exact"/>
              <w:jc w:val="center"/>
              <w:rPr>
                <w:rFonts w:hint="eastAsia" w:ascii="宋体" w:hAnsi="宋体"/>
                <w:spacing w:val="4"/>
                <w:szCs w:val="21"/>
              </w:rPr>
            </w:pPr>
            <w:r>
              <w:rPr>
                <w:rFonts w:hint="eastAsia" w:ascii="宋体" w:hAnsi="宋体"/>
                <w:spacing w:val="4"/>
                <w:szCs w:val="21"/>
              </w:rPr>
              <w:t>0</w:t>
            </w:r>
          </w:p>
        </w:tc>
      </w:tr>
      <w:tr w14:paraId="5D4D27BC">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4AC25150">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1BB633F2">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37F38223">
            <w:pPr>
              <w:adjustRightInd w:val="0"/>
              <w:snapToGrid w:val="0"/>
              <w:spacing w:line="300" w:lineRule="exact"/>
              <w:jc w:val="center"/>
              <w:rPr>
                <w:rFonts w:hint="eastAsia" w:ascii="宋体" w:hAnsi="宋体"/>
                <w:spacing w:val="4"/>
                <w:szCs w:val="21"/>
              </w:rPr>
            </w:pPr>
            <w:r>
              <w:rPr>
                <w:rFonts w:ascii="宋体" w:hAnsi="宋体"/>
                <w:spacing w:val="4"/>
                <w:szCs w:val="21"/>
              </w:rPr>
              <w:t>COD</w:t>
            </w:r>
          </w:p>
        </w:tc>
        <w:tc>
          <w:tcPr>
            <w:tcW w:w="446" w:type="pct"/>
            <w:tcBorders>
              <w:top w:val="single" w:color="auto" w:sz="4" w:space="0"/>
              <w:left w:val="single" w:color="auto" w:sz="4" w:space="0"/>
              <w:bottom w:val="single" w:color="auto" w:sz="4" w:space="0"/>
              <w:right w:val="single" w:color="auto" w:sz="4" w:space="0"/>
            </w:tcBorders>
            <w:vAlign w:val="center"/>
          </w:tcPr>
          <w:p w14:paraId="13D44D89">
            <w:pPr>
              <w:adjustRightInd w:val="0"/>
              <w:snapToGrid w:val="0"/>
              <w:spacing w:line="300" w:lineRule="exact"/>
              <w:jc w:val="center"/>
              <w:rPr>
                <w:rFonts w:hint="eastAsia" w:ascii="宋体" w:hAnsi="宋体"/>
                <w:spacing w:val="4"/>
                <w:szCs w:val="21"/>
              </w:rPr>
            </w:pPr>
            <w:r>
              <w:rPr>
                <w:rFonts w:ascii="宋体" w:hAnsi="宋体"/>
                <w:spacing w:val="4"/>
                <w:szCs w:val="21"/>
              </w:rPr>
              <w:t>mg/L</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52AF4BEC">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2A007DB1">
            <w:pPr>
              <w:adjustRightInd w:val="0"/>
              <w:snapToGrid w:val="0"/>
              <w:spacing w:line="300" w:lineRule="exact"/>
              <w:jc w:val="center"/>
              <w:rPr>
                <w:rFonts w:hint="eastAsia" w:ascii="宋体" w:hAnsi="宋体"/>
                <w:spacing w:val="4"/>
                <w:szCs w:val="21"/>
              </w:rPr>
            </w:pPr>
            <w:r>
              <w:rPr>
                <w:rFonts w:ascii="宋体" w:hAnsi="宋体"/>
                <w:spacing w:val="4"/>
                <w:szCs w:val="21"/>
              </w:rPr>
              <w:t>甲类区：≤100；乙类区：≤150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6FE2CAC9">
            <w:pPr>
              <w:adjustRightInd w:val="0"/>
              <w:snapToGrid w:val="0"/>
              <w:spacing w:line="300" w:lineRule="exact"/>
              <w:jc w:val="center"/>
              <w:rPr>
                <w:rFonts w:hint="eastAsia" w:ascii="宋体" w:hAnsi="宋体"/>
                <w:spacing w:val="4"/>
                <w:szCs w:val="21"/>
              </w:rPr>
            </w:pPr>
            <w:r>
              <w:rPr>
                <w:rFonts w:hint="eastAsia" w:ascii="宋体" w:hAnsi="宋体"/>
                <w:spacing w:val="4"/>
                <w:szCs w:val="21"/>
              </w:rPr>
              <w:t>1278</w:t>
            </w:r>
          </w:p>
        </w:tc>
        <w:tc>
          <w:tcPr>
            <w:tcW w:w="261" w:type="pct"/>
            <w:tcBorders>
              <w:top w:val="single" w:color="auto" w:sz="4" w:space="0"/>
              <w:left w:val="single" w:color="auto" w:sz="4" w:space="0"/>
              <w:bottom w:val="single" w:color="auto" w:sz="4" w:space="0"/>
            </w:tcBorders>
            <w:vAlign w:val="center"/>
          </w:tcPr>
          <w:p w14:paraId="6A8A78E7">
            <w:pPr>
              <w:adjustRightInd w:val="0"/>
              <w:snapToGrid w:val="0"/>
              <w:spacing w:line="300" w:lineRule="exact"/>
              <w:jc w:val="center"/>
              <w:rPr>
                <w:rFonts w:hint="eastAsia" w:ascii="宋体" w:hAnsi="宋体"/>
                <w:spacing w:val="4"/>
                <w:szCs w:val="21"/>
              </w:rPr>
            </w:pPr>
            <w:r>
              <w:rPr>
                <w:rFonts w:hint="eastAsia" w:ascii="宋体" w:hAnsi="宋体"/>
                <w:spacing w:val="4"/>
                <w:szCs w:val="21"/>
              </w:rPr>
              <w:t>0</w:t>
            </w:r>
          </w:p>
        </w:tc>
      </w:tr>
      <w:tr w14:paraId="7CC48EAF">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73FA2DC3">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5FBA8334">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11485B5A">
            <w:pPr>
              <w:adjustRightInd w:val="0"/>
              <w:snapToGrid w:val="0"/>
              <w:spacing w:line="300" w:lineRule="exact"/>
              <w:jc w:val="center"/>
              <w:rPr>
                <w:rFonts w:hint="eastAsia" w:ascii="宋体" w:hAnsi="宋体"/>
                <w:spacing w:val="4"/>
                <w:szCs w:val="21"/>
              </w:rPr>
            </w:pPr>
            <w:r>
              <w:rPr>
                <w:rFonts w:ascii="宋体" w:hAnsi="宋体"/>
                <w:spacing w:val="4"/>
                <w:szCs w:val="21"/>
              </w:rPr>
              <w:t>含油污泥</w:t>
            </w:r>
          </w:p>
        </w:tc>
        <w:tc>
          <w:tcPr>
            <w:tcW w:w="446" w:type="pct"/>
            <w:tcBorders>
              <w:top w:val="single" w:color="auto" w:sz="4" w:space="0"/>
              <w:left w:val="single" w:color="auto" w:sz="4" w:space="0"/>
              <w:bottom w:val="single" w:color="auto" w:sz="4" w:space="0"/>
              <w:right w:val="single" w:color="auto" w:sz="4" w:space="0"/>
            </w:tcBorders>
            <w:vAlign w:val="center"/>
          </w:tcPr>
          <w:p w14:paraId="1FE55008">
            <w:pPr>
              <w:adjustRightInd w:val="0"/>
              <w:snapToGrid w:val="0"/>
              <w:spacing w:line="300" w:lineRule="exact"/>
              <w:jc w:val="center"/>
              <w:rPr>
                <w:rFonts w:hint="eastAsia" w:ascii="宋体" w:hAnsi="宋体"/>
                <w:spacing w:val="4"/>
                <w:szCs w:val="21"/>
              </w:rPr>
            </w:pPr>
            <w:r>
              <w:rPr>
                <w:rFonts w:ascii="宋体" w:hAnsi="宋体"/>
                <w:spacing w:val="4"/>
                <w:szCs w:val="21"/>
              </w:rPr>
              <w:t>kg/井次</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3B3C0F8F">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0A2DB3D3">
            <w:pPr>
              <w:adjustRightInd w:val="0"/>
              <w:snapToGrid w:val="0"/>
              <w:spacing w:line="300" w:lineRule="exact"/>
              <w:jc w:val="center"/>
              <w:rPr>
                <w:rFonts w:hint="eastAsia" w:ascii="宋体" w:hAnsi="宋体"/>
                <w:spacing w:val="4"/>
                <w:szCs w:val="21"/>
              </w:rPr>
            </w:pPr>
            <w:r>
              <w:rPr>
                <w:rFonts w:ascii="宋体" w:hAnsi="宋体"/>
                <w:spacing w:val="4"/>
                <w:szCs w:val="21"/>
              </w:rPr>
              <w:t>甲类区：≤50；乙类区：≤70</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16585516">
            <w:pPr>
              <w:adjustRightInd w:val="0"/>
              <w:snapToGrid w:val="0"/>
              <w:spacing w:line="300" w:lineRule="exact"/>
              <w:jc w:val="center"/>
              <w:rPr>
                <w:rFonts w:hint="eastAsia" w:ascii="宋体" w:hAnsi="宋体"/>
                <w:spacing w:val="4"/>
                <w:szCs w:val="21"/>
              </w:rPr>
            </w:pPr>
            <w:r>
              <w:rPr>
                <w:rFonts w:ascii="宋体" w:hAnsi="宋体"/>
                <w:spacing w:val="4"/>
                <w:szCs w:val="21"/>
              </w:rPr>
              <w:t>0</w:t>
            </w:r>
          </w:p>
        </w:tc>
        <w:tc>
          <w:tcPr>
            <w:tcW w:w="261" w:type="pct"/>
            <w:tcBorders>
              <w:top w:val="single" w:color="auto" w:sz="4" w:space="0"/>
              <w:left w:val="single" w:color="auto" w:sz="4" w:space="0"/>
              <w:bottom w:val="single" w:color="auto" w:sz="4" w:space="0"/>
            </w:tcBorders>
            <w:vAlign w:val="center"/>
          </w:tcPr>
          <w:p w14:paraId="55C4DFA5">
            <w:pPr>
              <w:adjustRightInd w:val="0"/>
              <w:snapToGrid w:val="0"/>
              <w:spacing w:line="300" w:lineRule="exact"/>
              <w:jc w:val="center"/>
              <w:rPr>
                <w:rFonts w:hint="eastAsia" w:ascii="宋体" w:hAnsi="宋体"/>
                <w:spacing w:val="4"/>
                <w:szCs w:val="21"/>
              </w:rPr>
            </w:pPr>
            <w:r>
              <w:rPr>
                <w:rFonts w:hint="eastAsia" w:ascii="宋体" w:hAnsi="宋体"/>
                <w:spacing w:val="4"/>
                <w:szCs w:val="21"/>
              </w:rPr>
              <w:t>5</w:t>
            </w:r>
          </w:p>
        </w:tc>
      </w:tr>
      <w:tr w14:paraId="4FE91498">
        <w:tblPrEx>
          <w:tblCellMar>
            <w:top w:w="0" w:type="dxa"/>
            <w:left w:w="108" w:type="dxa"/>
            <w:bottom w:w="0" w:type="dxa"/>
            <w:right w:w="108" w:type="dxa"/>
          </w:tblCellMar>
        </w:tblPrEx>
        <w:trPr>
          <w:trHeight w:val="284" w:hRule="atLeast"/>
        </w:trPr>
        <w:tc>
          <w:tcPr>
            <w:tcW w:w="984" w:type="pct"/>
            <w:vMerge w:val="continue"/>
            <w:tcBorders>
              <w:top w:val="single" w:color="auto" w:sz="4" w:space="0"/>
              <w:bottom w:val="single" w:color="auto" w:sz="4" w:space="0"/>
              <w:right w:val="single" w:color="auto" w:sz="4" w:space="0"/>
            </w:tcBorders>
            <w:vAlign w:val="center"/>
          </w:tcPr>
          <w:p w14:paraId="1BA2D64C">
            <w:pPr>
              <w:widowControl/>
              <w:jc w:val="left"/>
              <w:rPr>
                <w:rFonts w:hint="eastAsia" w:ascii="宋体" w:hAnsi="宋体"/>
                <w:spacing w:val="4"/>
                <w:szCs w:val="21"/>
              </w:rPr>
            </w:pPr>
          </w:p>
        </w:tc>
        <w:tc>
          <w:tcPr>
            <w:tcW w:w="323" w:type="pct"/>
            <w:vMerge w:val="continue"/>
            <w:tcBorders>
              <w:top w:val="single" w:color="auto" w:sz="4" w:space="0"/>
              <w:left w:val="single" w:color="auto" w:sz="4" w:space="0"/>
              <w:bottom w:val="single" w:color="auto" w:sz="4" w:space="0"/>
              <w:right w:val="single" w:color="auto" w:sz="4" w:space="0"/>
            </w:tcBorders>
            <w:vAlign w:val="center"/>
          </w:tcPr>
          <w:p w14:paraId="5103EBDD">
            <w:pPr>
              <w:widowControl/>
              <w:jc w:val="left"/>
              <w:rPr>
                <w:rFonts w:hint="eastAsia" w:ascii="宋体" w:hAnsi="宋体"/>
                <w:spacing w:val="4"/>
                <w:szCs w:val="21"/>
              </w:rPr>
            </w:pPr>
          </w:p>
        </w:tc>
        <w:tc>
          <w:tcPr>
            <w:tcW w:w="1030" w:type="pct"/>
            <w:gridSpan w:val="3"/>
            <w:tcBorders>
              <w:top w:val="single" w:color="auto" w:sz="4" w:space="0"/>
              <w:left w:val="single" w:color="auto" w:sz="4" w:space="0"/>
              <w:bottom w:val="single" w:color="auto" w:sz="4" w:space="0"/>
              <w:right w:val="single" w:color="auto" w:sz="4" w:space="0"/>
            </w:tcBorders>
            <w:vAlign w:val="center"/>
          </w:tcPr>
          <w:p w14:paraId="1E7C575A">
            <w:pPr>
              <w:adjustRightInd w:val="0"/>
              <w:snapToGrid w:val="0"/>
              <w:spacing w:line="300" w:lineRule="exact"/>
              <w:jc w:val="center"/>
              <w:rPr>
                <w:rFonts w:hint="eastAsia" w:ascii="宋体" w:hAnsi="宋体"/>
                <w:spacing w:val="4"/>
                <w:szCs w:val="21"/>
              </w:rPr>
            </w:pPr>
            <w:r>
              <w:rPr>
                <w:rFonts w:ascii="宋体" w:hAnsi="宋体"/>
                <w:spacing w:val="4"/>
                <w:szCs w:val="21"/>
              </w:rPr>
              <w:t>一般固体废物（生活垃圾）</w:t>
            </w:r>
          </w:p>
        </w:tc>
        <w:tc>
          <w:tcPr>
            <w:tcW w:w="446" w:type="pct"/>
            <w:tcBorders>
              <w:top w:val="single" w:color="auto" w:sz="4" w:space="0"/>
              <w:left w:val="single" w:color="auto" w:sz="4" w:space="0"/>
              <w:bottom w:val="single" w:color="auto" w:sz="4" w:space="0"/>
              <w:right w:val="single" w:color="auto" w:sz="4" w:space="0"/>
            </w:tcBorders>
            <w:vAlign w:val="center"/>
          </w:tcPr>
          <w:p w14:paraId="232FD7E9">
            <w:pPr>
              <w:adjustRightInd w:val="0"/>
              <w:snapToGrid w:val="0"/>
              <w:spacing w:line="300" w:lineRule="exact"/>
              <w:jc w:val="center"/>
              <w:rPr>
                <w:rFonts w:hint="eastAsia" w:ascii="宋体" w:hAnsi="宋体"/>
                <w:spacing w:val="4"/>
                <w:szCs w:val="21"/>
              </w:rPr>
            </w:pPr>
            <w:r>
              <w:rPr>
                <w:rFonts w:ascii="宋体" w:hAnsi="宋体"/>
                <w:spacing w:val="4"/>
                <w:szCs w:val="21"/>
              </w:rPr>
              <w:t>kg/井次</w:t>
            </w:r>
          </w:p>
        </w:tc>
        <w:tc>
          <w:tcPr>
            <w:tcW w:w="455" w:type="pct"/>
            <w:gridSpan w:val="2"/>
            <w:tcBorders>
              <w:top w:val="single" w:color="auto" w:sz="4" w:space="0"/>
              <w:left w:val="single" w:color="auto" w:sz="4" w:space="0"/>
              <w:bottom w:val="single" w:color="auto" w:sz="4" w:space="0"/>
              <w:right w:val="single" w:color="auto" w:sz="4" w:space="0"/>
            </w:tcBorders>
            <w:vAlign w:val="center"/>
          </w:tcPr>
          <w:p w14:paraId="7D7AD2AB">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1100" w:type="pct"/>
            <w:gridSpan w:val="2"/>
            <w:tcBorders>
              <w:top w:val="single" w:color="auto" w:sz="4" w:space="0"/>
              <w:left w:val="single" w:color="auto" w:sz="4" w:space="0"/>
              <w:bottom w:val="single" w:color="auto" w:sz="4" w:space="0"/>
              <w:right w:val="single" w:color="auto" w:sz="4" w:space="0"/>
            </w:tcBorders>
            <w:vAlign w:val="center"/>
          </w:tcPr>
          <w:p w14:paraId="6BF0DFD5">
            <w:pPr>
              <w:adjustRightInd w:val="0"/>
              <w:snapToGrid w:val="0"/>
              <w:spacing w:line="300" w:lineRule="exact"/>
              <w:jc w:val="center"/>
              <w:rPr>
                <w:rFonts w:hint="eastAsia" w:ascii="宋体" w:hAnsi="宋体"/>
                <w:spacing w:val="4"/>
                <w:szCs w:val="21"/>
              </w:rPr>
            </w:pPr>
            <w:r>
              <w:rPr>
                <w:rFonts w:ascii="宋体" w:hAnsi="宋体"/>
                <w:spacing w:val="4"/>
                <w:szCs w:val="21"/>
              </w:rPr>
              <w:t>符合环保要求</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12C7D602">
            <w:pPr>
              <w:adjustRightInd w:val="0"/>
              <w:snapToGrid w:val="0"/>
              <w:spacing w:line="300" w:lineRule="exact"/>
              <w:jc w:val="center"/>
              <w:rPr>
                <w:rFonts w:hint="eastAsia" w:ascii="宋体" w:hAnsi="宋体"/>
                <w:spacing w:val="4"/>
                <w:szCs w:val="21"/>
              </w:rPr>
            </w:pPr>
            <w:r>
              <w:rPr>
                <w:rFonts w:ascii="宋体" w:hAnsi="宋体"/>
                <w:spacing w:val="4"/>
                <w:szCs w:val="21"/>
              </w:rPr>
              <w:t>0</w:t>
            </w:r>
          </w:p>
        </w:tc>
        <w:tc>
          <w:tcPr>
            <w:tcW w:w="261" w:type="pct"/>
            <w:tcBorders>
              <w:top w:val="single" w:color="auto" w:sz="4" w:space="0"/>
              <w:left w:val="single" w:color="auto" w:sz="4" w:space="0"/>
              <w:bottom w:val="single" w:color="auto" w:sz="4" w:space="0"/>
            </w:tcBorders>
            <w:vAlign w:val="center"/>
          </w:tcPr>
          <w:p w14:paraId="1769C64C">
            <w:pPr>
              <w:adjustRightInd w:val="0"/>
              <w:snapToGrid w:val="0"/>
              <w:spacing w:line="300" w:lineRule="exact"/>
              <w:jc w:val="center"/>
              <w:rPr>
                <w:rFonts w:hint="eastAsia" w:ascii="宋体" w:hAnsi="宋体"/>
                <w:spacing w:val="4"/>
                <w:szCs w:val="21"/>
              </w:rPr>
            </w:pPr>
            <w:r>
              <w:rPr>
                <w:rFonts w:hint="eastAsia" w:ascii="宋体" w:hAnsi="宋体"/>
                <w:spacing w:val="4"/>
                <w:szCs w:val="21"/>
              </w:rPr>
              <w:t>5</w:t>
            </w:r>
          </w:p>
        </w:tc>
      </w:tr>
      <w:tr w14:paraId="00E46885">
        <w:tblPrEx>
          <w:tblCellMar>
            <w:top w:w="0" w:type="dxa"/>
            <w:left w:w="108" w:type="dxa"/>
            <w:bottom w:w="0" w:type="dxa"/>
            <w:right w:w="108" w:type="dxa"/>
          </w:tblCellMar>
        </w:tblPrEx>
        <w:trPr>
          <w:trHeight w:val="284" w:hRule="atLeast"/>
        </w:trPr>
        <w:tc>
          <w:tcPr>
            <w:tcW w:w="5000" w:type="pct"/>
            <w:gridSpan w:val="13"/>
            <w:tcBorders>
              <w:top w:val="single" w:color="auto" w:sz="4" w:space="0"/>
              <w:bottom w:val="single" w:color="auto" w:sz="4" w:space="0"/>
            </w:tcBorders>
            <w:vAlign w:val="center"/>
          </w:tcPr>
          <w:p w14:paraId="3BC7F3E5">
            <w:pPr>
              <w:adjustRightInd w:val="0"/>
              <w:snapToGrid w:val="0"/>
              <w:spacing w:line="300" w:lineRule="exact"/>
              <w:jc w:val="center"/>
              <w:rPr>
                <w:rFonts w:hint="eastAsia" w:ascii="宋体" w:hAnsi="宋体"/>
                <w:spacing w:val="4"/>
                <w:szCs w:val="21"/>
              </w:rPr>
            </w:pPr>
            <w:r>
              <w:rPr>
                <w:rFonts w:ascii="宋体" w:hAnsi="宋体"/>
                <w:spacing w:val="4"/>
                <w:szCs w:val="21"/>
              </w:rPr>
              <w:t>定性指标</w:t>
            </w:r>
          </w:p>
        </w:tc>
      </w:tr>
      <w:tr w14:paraId="6641466F">
        <w:tblPrEx>
          <w:tblCellMar>
            <w:top w:w="0" w:type="dxa"/>
            <w:left w:w="108" w:type="dxa"/>
            <w:bottom w:w="0" w:type="dxa"/>
            <w:right w:w="108" w:type="dxa"/>
          </w:tblCellMar>
        </w:tblPrEx>
        <w:trPr>
          <w:trHeight w:val="284" w:hRule="atLeast"/>
        </w:trPr>
        <w:tc>
          <w:tcPr>
            <w:tcW w:w="1333" w:type="pct"/>
            <w:gridSpan w:val="3"/>
            <w:tcBorders>
              <w:top w:val="single" w:color="auto" w:sz="4" w:space="0"/>
              <w:bottom w:val="single" w:color="auto" w:sz="4" w:space="0"/>
              <w:right w:val="single" w:color="auto" w:sz="4" w:space="0"/>
            </w:tcBorders>
            <w:vAlign w:val="center"/>
          </w:tcPr>
          <w:p w14:paraId="558A5F00">
            <w:pPr>
              <w:adjustRightInd w:val="0"/>
              <w:snapToGrid w:val="0"/>
              <w:spacing w:line="300" w:lineRule="exact"/>
              <w:jc w:val="center"/>
              <w:rPr>
                <w:rFonts w:hint="eastAsia" w:ascii="宋体" w:hAnsi="宋体"/>
                <w:spacing w:val="4"/>
                <w:szCs w:val="21"/>
              </w:rPr>
            </w:pPr>
            <w:r>
              <w:rPr>
                <w:rFonts w:ascii="宋体" w:hAnsi="宋体"/>
                <w:spacing w:val="4"/>
                <w:szCs w:val="21"/>
              </w:rPr>
              <w:t>一级指标</w:t>
            </w:r>
          </w:p>
        </w:tc>
        <w:tc>
          <w:tcPr>
            <w:tcW w:w="410" w:type="pct"/>
            <w:tcBorders>
              <w:top w:val="single" w:color="auto" w:sz="4" w:space="0"/>
              <w:left w:val="single" w:color="auto" w:sz="4" w:space="0"/>
              <w:bottom w:val="single" w:color="auto" w:sz="4" w:space="0"/>
              <w:right w:val="single" w:color="auto" w:sz="4" w:space="0"/>
            </w:tcBorders>
            <w:vAlign w:val="center"/>
          </w:tcPr>
          <w:p w14:paraId="386B750B">
            <w:pPr>
              <w:adjustRightInd w:val="0"/>
              <w:snapToGrid w:val="0"/>
              <w:spacing w:line="300" w:lineRule="exact"/>
              <w:jc w:val="center"/>
              <w:rPr>
                <w:rFonts w:hint="eastAsia" w:ascii="宋体" w:hAnsi="宋体"/>
                <w:spacing w:val="4"/>
                <w:szCs w:val="21"/>
              </w:rPr>
            </w:pPr>
            <w:r>
              <w:rPr>
                <w:rFonts w:ascii="宋体" w:hAnsi="宋体"/>
                <w:spacing w:val="4"/>
                <w:szCs w:val="21"/>
              </w:rPr>
              <w:t>指标分值</w:t>
            </w:r>
          </w:p>
        </w:tc>
        <w:tc>
          <w:tcPr>
            <w:tcW w:w="2395" w:type="pct"/>
            <w:gridSpan w:val="5"/>
            <w:tcBorders>
              <w:top w:val="single" w:color="auto" w:sz="4" w:space="0"/>
              <w:left w:val="single" w:color="auto" w:sz="4" w:space="0"/>
              <w:bottom w:val="single" w:color="auto" w:sz="4" w:space="0"/>
              <w:right w:val="single" w:color="auto" w:sz="4" w:space="0"/>
            </w:tcBorders>
            <w:vAlign w:val="center"/>
          </w:tcPr>
          <w:p w14:paraId="0D75F779">
            <w:pPr>
              <w:adjustRightInd w:val="0"/>
              <w:snapToGrid w:val="0"/>
              <w:spacing w:line="300" w:lineRule="exact"/>
              <w:jc w:val="center"/>
              <w:rPr>
                <w:rFonts w:hint="eastAsia" w:ascii="宋体" w:hAnsi="宋体"/>
                <w:spacing w:val="4"/>
                <w:szCs w:val="21"/>
              </w:rPr>
            </w:pPr>
            <w:r>
              <w:rPr>
                <w:rFonts w:ascii="宋体" w:hAnsi="宋体"/>
                <w:spacing w:val="4"/>
                <w:szCs w:val="21"/>
              </w:rPr>
              <w:t>二级指标</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01A39395">
            <w:pPr>
              <w:adjustRightInd w:val="0"/>
              <w:snapToGrid w:val="0"/>
              <w:spacing w:line="300" w:lineRule="exact"/>
              <w:jc w:val="center"/>
              <w:rPr>
                <w:rFonts w:hint="eastAsia" w:ascii="宋体" w:hAnsi="宋体"/>
                <w:spacing w:val="4"/>
                <w:szCs w:val="21"/>
              </w:rPr>
            </w:pPr>
            <w:r>
              <w:rPr>
                <w:rFonts w:ascii="宋体" w:hAnsi="宋体"/>
                <w:spacing w:val="4"/>
                <w:szCs w:val="21"/>
              </w:rPr>
              <w:t>指标分值</w:t>
            </w:r>
          </w:p>
        </w:tc>
        <w:tc>
          <w:tcPr>
            <w:tcW w:w="462" w:type="pct"/>
            <w:gridSpan w:val="2"/>
            <w:tcBorders>
              <w:top w:val="single" w:color="auto" w:sz="4" w:space="0"/>
              <w:left w:val="single" w:color="auto" w:sz="4" w:space="0"/>
              <w:bottom w:val="single" w:color="auto" w:sz="4" w:space="0"/>
            </w:tcBorders>
            <w:vAlign w:val="center"/>
          </w:tcPr>
          <w:p w14:paraId="7B617E90">
            <w:pPr>
              <w:adjustRightInd w:val="0"/>
              <w:snapToGrid w:val="0"/>
              <w:spacing w:line="300" w:lineRule="exact"/>
              <w:ind w:left="-1" w:leftChars="-122" w:hanging="255" w:hangingChars="117"/>
              <w:jc w:val="center"/>
              <w:rPr>
                <w:rFonts w:hint="eastAsia" w:ascii="宋体" w:hAnsi="宋体"/>
                <w:spacing w:val="4"/>
                <w:szCs w:val="21"/>
              </w:rPr>
            </w:pPr>
            <w:r>
              <w:rPr>
                <w:rFonts w:ascii="宋体" w:hAnsi="宋体"/>
                <w:spacing w:val="4"/>
                <w:szCs w:val="21"/>
              </w:rPr>
              <w:t>本项目评分</w:t>
            </w:r>
          </w:p>
        </w:tc>
      </w:tr>
      <w:tr w14:paraId="1BEF7A91">
        <w:tblPrEx>
          <w:tblCellMar>
            <w:top w:w="0" w:type="dxa"/>
            <w:left w:w="108" w:type="dxa"/>
            <w:bottom w:w="0" w:type="dxa"/>
            <w:right w:w="108" w:type="dxa"/>
          </w:tblCellMar>
        </w:tblPrEx>
        <w:trPr>
          <w:trHeight w:val="284" w:hRule="atLeast"/>
        </w:trPr>
        <w:tc>
          <w:tcPr>
            <w:tcW w:w="1333" w:type="pct"/>
            <w:gridSpan w:val="3"/>
            <w:vMerge w:val="restart"/>
            <w:tcBorders>
              <w:top w:val="single" w:color="auto" w:sz="4" w:space="0"/>
              <w:bottom w:val="single" w:color="auto" w:sz="4" w:space="0"/>
              <w:right w:val="single" w:color="auto" w:sz="4" w:space="0"/>
            </w:tcBorders>
            <w:vAlign w:val="center"/>
          </w:tcPr>
          <w:p w14:paraId="7137F9E5">
            <w:pPr>
              <w:adjustRightInd w:val="0"/>
              <w:snapToGrid w:val="0"/>
              <w:spacing w:line="300" w:lineRule="exact"/>
              <w:jc w:val="center"/>
              <w:rPr>
                <w:rFonts w:hint="eastAsia" w:ascii="宋体" w:hAnsi="宋体"/>
                <w:spacing w:val="4"/>
                <w:szCs w:val="21"/>
              </w:rPr>
            </w:pPr>
            <w:r>
              <w:rPr>
                <w:rFonts w:ascii="宋体" w:hAnsi="宋体"/>
                <w:spacing w:val="4"/>
                <w:szCs w:val="21"/>
              </w:rPr>
              <w:t>（1）生产工艺及设备要求</w:t>
            </w:r>
          </w:p>
        </w:tc>
        <w:tc>
          <w:tcPr>
            <w:tcW w:w="410" w:type="pct"/>
            <w:vMerge w:val="restart"/>
            <w:tcBorders>
              <w:top w:val="single" w:color="auto" w:sz="4" w:space="0"/>
              <w:left w:val="single" w:color="auto" w:sz="4" w:space="0"/>
              <w:bottom w:val="single" w:color="auto" w:sz="4" w:space="0"/>
              <w:right w:val="single" w:color="auto" w:sz="4" w:space="0"/>
            </w:tcBorders>
            <w:vAlign w:val="center"/>
          </w:tcPr>
          <w:p w14:paraId="0B7AC3C6">
            <w:pPr>
              <w:adjustRightInd w:val="0"/>
              <w:snapToGrid w:val="0"/>
              <w:spacing w:line="300" w:lineRule="exact"/>
              <w:jc w:val="center"/>
              <w:rPr>
                <w:rFonts w:hint="eastAsia" w:ascii="宋体" w:hAnsi="宋体"/>
                <w:spacing w:val="4"/>
                <w:szCs w:val="21"/>
              </w:rPr>
            </w:pPr>
            <w:r>
              <w:rPr>
                <w:rFonts w:ascii="宋体" w:hAnsi="宋体"/>
                <w:spacing w:val="4"/>
                <w:szCs w:val="21"/>
              </w:rPr>
              <w:t>40</w:t>
            </w: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7FB546E3">
            <w:pPr>
              <w:adjustRightInd w:val="0"/>
              <w:snapToGrid w:val="0"/>
              <w:spacing w:line="300" w:lineRule="exact"/>
              <w:jc w:val="center"/>
              <w:rPr>
                <w:rFonts w:hint="eastAsia" w:ascii="宋体" w:hAnsi="宋体"/>
                <w:spacing w:val="4"/>
                <w:szCs w:val="21"/>
              </w:rPr>
            </w:pPr>
            <w:r>
              <w:rPr>
                <w:rFonts w:ascii="宋体" w:hAnsi="宋体"/>
                <w:spacing w:val="4"/>
                <w:szCs w:val="21"/>
              </w:rPr>
              <w:t>防喷措施</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686D6900">
            <w:pPr>
              <w:adjustRightInd w:val="0"/>
              <w:snapToGrid w:val="0"/>
              <w:spacing w:line="300" w:lineRule="exact"/>
              <w:jc w:val="center"/>
              <w:rPr>
                <w:rFonts w:hint="eastAsia" w:ascii="宋体" w:hAnsi="宋体"/>
                <w:spacing w:val="4"/>
                <w:szCs w:val="21"/>
              </w:rPr>
            </w:pPr>
            <w:r>
              <w:rPr>
                <w:rFonts w:ascii="宋体" w:hAnsi="宋体"/>
                <w:spacing w:val="4"/>
                <w:szCs w:val="21"/>
              </w:rPr>
              <w:t>具备</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48620CA0">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462" w:type="pct"/>
            <w:gridSpan w:val="2"/>
            <w:tcBorders>
              <w:top w:val="single" w:color="auto" w:sz="4" w:space="0"/>
              <w:left w:val="single" w:color="auto" w:sz="4" w:space="0"/>
              <w:bottom w:val="single" w:color="auto" w:sz="4" w:space="0"/>
            </w:tcBorders>
            <w:vAlign w:val="center"/>
          </w:tcPr>
          <w:p w14:paraId="748B37FA">
            <w:pPr>
              <w:adjustRightInd w:val="0"/>
              <w:snapToGrid w:val="0"/>
              <w:spacing w:line="300" w:lineRule="exact"/>
              <w:jc w:val="center"/>
              <w:rPr>
                <w:rFonts w:hint="eastAsia" w:ascii="宋体" w:hAnsi="宋体"/>
                <w:spacing w:val="4"/>
                <w:szCs w:val="21"/>
              </w:rPr>
            </w:pPr>
            <w:r>
              <w:rPr>
                <w:rFonts w:ascii="宋体" w:hAnsi="宋体"/>
                <w:spacing w:val="4"/>
                <w:szCs w:val="21"/>
              </w:rPr>
              <w:t>5</w:t>
            </w:r>
          </w:p>
        </w:tc>
      </w:tr>
      <w:tr w14:paraId="69D42349">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4D3DD32F">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57DB88FD">
            <w:pPr>
              <w:widowControl/>
              <w:jc w:val="left"/>
              <w:rPr>
                <w:rFonts w:hint="eastAsia" w:ascii="宋体" w:hAnsi="宋体"/>
                <w:spacing w:val="4"/>
                <w:szCs w:val="21"/>
              </w:rPr>
            </w:pP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1C2346BA">
            <w:pPr>
              <w:adjustRightInd w:val="0"/>
              <w:snapToGrid w:val="0"/>
              <w:spacing w:line="300" w:lineRule="exact"/>
              <w:jc w:val="center"/>
              <w:rPr>
                <w:rFonts w:hint="eastAsia" w:ascii="宋体" w:hAnsi="宋体"/>
                <w:spacing w:val="4"/>
                <w:szCs w:val="21"/>
              </w:rPr>
            </w:pPr>
            <w:r>
              <w:rPr>
                <w:rFonts w:ascii="宋体" w:hAnsi="宋体"/>
                <w:spacing w:val="4"/>
                <w:szCs w:val="21"/>
              </w:rPr>
              <w:t>地面管线防刺防漏措施</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105D07DE">
            <w:pPr>
              <w:adjustRightInd w:val="0"/>
              <w:snapToGrid w:val="0"/>
              <w:spacing w:line="300" w:lineRule="exact"/>
              <w:jc w:val="center"/>
              <w:rPr>
                <w:rFonts w:hint="eastAsia" w:ascii="宋体" w:hAnsi="宋体"/>
                <w:spacing w:val="4"/>
                <w:szCs w:val="21"/>
              </w:rPr>
            </w:pPr>
            <w:r>
              <w:rPr>
                <w:rFonts w:ascii="宋体" w:hAnsi="宋体"/>
                <w:spacing w:val="4"/>
                <w:szCs w:val="21"/>
              </w:rPr>
              <w:t>按标准试压</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5C038F43">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462" w:type="pct"/>
            <w:gridSpan w:val="2"/>
            <w:tcBorders>
              <w:top w:val="single" w:color="auto" w:sz="4" w:space="0"/>
              <w:left w:val="single" w:color="auto" w:sz="4" w:space="0"/>
              <w:bottom w:val="single" w:color="auto" w:sz="4" w:space="0"/>
            </w:tcBorders>
            <w:vAlign w:val="center"/>
          </w:tcPr>
          <w:p w14:paraId="0F9BDF59">
            <w:pPr>
              <w:adjustRightInd w:val="0"/>
              <w:snapToGrid w:val="0"/>
              <w:spacing w:line="300" w:lineRule="exact"/>
              <w:jc w:val="center"/>
              <w:rPr>
                <w:rFonts w:hint="eastAsia" w:ascii="宋体" w:hAnsi="宋体"/>
                <w:spacing w:val="4"/>
                <w:szCs w:val="21"/>
              </w:rPr>
            </w:pPr>
            <w:r>
              <w:rPr>
                <w:rFonts w:ascii="宋体" w:hAnsi="宋体"/>
                <w:spacing w:val="4"/>
                <w:szCs w:val="21"/>
              </w:rPr>
              <w:t>5</w:t>
            </w:r>
          </w:p>
        </w:tc>
      </w:tr>
      <w:tr w14:paraId="7D27C050">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0A5A8C14">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4EBC8599">
            <w:pPr>
              <w:widowControl/>
              <w:jc w:val="left"/>
              <w:rPr>
                <w:rFonts w:hint="eastAsia" w:ascii="宋体" w:hAnsi="宋体"/>
                <w:spacing w:val="4"/>
                <w:szCs w:val="21"/>
              </w:rPr>
            </w:pP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315E3079">
            <w:pPr>
              <w:adjustRightInd w:val="0"/>
              <w:snapToGrid w:val="0"/>
              <w:spacing w:line="300" w:lineRule="exact"/>
              <w:jc w:val="center"/>
              <w:rPr>
                <w:rFonts w:hint="eastAsia" w:ascii="宋体" w:hAnsi="宋体"/>
                <w:spacing w:val="4"/>
                <w:szCs w:val="21"/>
              </w:rPr>
            </w:pPr>
            <w:r>
              <w:rPr>
                <w:rFonts w:ascii="宋体" w:hAnsi="宋体"/>
                <w:spacing w:val="4"/>
                <w:szCs w:val="21"/>
              </w:rPr>
              <w:t>防溢设备（防溢池设置）</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05766F66">
            <w:pPr>
              <w:adjustRightInd w:val="0"/>
              <w:snapToGrid w:val="0"/>
              <w:spacing w:line="300" w:lineRule="exact"/>
              <w:jc w:val="center"/>
              <w:rPr>
                <w:rFonts w:hint="eastAsia" w:ascii="宋体" w:hAnsi="宋体"/>
                <w:spacing w:val="4"/>
                <w:szCs w:val="21"/>
              </w:rPr>
            </w:pPr>
            <w:r>
              <w:rPr>
                <w:rFonts w:ascii="宋体" w:hAnsi="宋体"/>
                <w:spacing w:val="4"/>
                <w:szCs w:val="21"/>
              </w:rPr>
              <w:t>具备</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2B9C3C93">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462" w:type="pct"/>
            <w:gridSpan w:val="2"/>
            <w:tcBorders>
              <w:top w:val="single" w:color="auto" w:sz="4" w:space="0"/>
              <w:left w:val="single" w:color="auto" w:sz="4" w:space="0"/>
              <w:bottom w:val="single" w:color="auto" w:sz="4" w:space="0"/>
            </w:tcBorders>
            <w:vAlign w:val="center"/>
          </w:tcPr>
          <w:p w14:paraId="23CCA6CD">
            <w:pPr>
              <w:adjustRightInd w:val="0"/>
              <w:snapToGrid w:val="0"/>
              <w:spacing w:line="300" w:lineRule="exact"/>
              <w:jc w:val="center"/>
              <w:rPr>
                <w:rFonts w:hint="eastAsia" w:ascii="宋体" w:hAnsi="宋体"/>
                <w:spacing w:val="4"/>
                <w:szCs w:val="21"/>
              </w:rPr>
            </w:pPr>
            <w:r>
              <w:rPr>
                <w:rFonts w:ascii="宋体" w:hAnsi="宋体"/>
                <w:spacing w:val="4"/>
                <w:szCs w:val="21"/>
              </w:rPr>
              <w:t>5</w:t>
            </w:r>
          </w:p>
        </w:tc>
      </w:tr>
      <w:tr w14:paraId="0052D007">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7909C5F4">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06FC1C74">
            <w:pPr>
              <w:widowControl/>
              <w:jc w:val="left"/>
              <w:rPr>
                <w:rFonts w:hint="eastAsia" w:ascii="宋体" w:hAnsi="宋体"/>
                <w:spacing w:val="4"/>
                <w:szCs w:val="21"/>
              </w:rPr>
            </w:pP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10DC3688">
            <w:pPr>
              <w:adjustRightInd w:val="0"/>
              <w:snapToGrid w:val="0"/>
              <w:spacing w:line="300" w:lineRule="exact"/>
              <w:jc w:val="center"/>
              <w:rPr>
                <w:rFonts w:hint="eastAsia" w:ascii="宋体" w:hAnsi="宋体"/>
                <w:spacing w:val="4"/>
                <w:szCs w:val="21"/>
              </w:rPr>
            </w:pPr>
            <w:r>
              <w:rPr>
                <w:rFonts w:ascii="宋体" w:hAnsi="宋体"/>
                <w:spacing w:val="4"/>
                <w:szCs w:val="21"/>
              </w:rPr>
              <w:t>防渗范围</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6B24AF35">
            <w:pPr>
              <w:adjustRightInd w:val="0"/>
              <w:snapToGrid w:val="0"/>
              <w:spacing w:line="300" w:lineRule="exact"/>
              <w:jc w:val="center"/>
              <w:rPr>
                <w:rFonts w:hint="eastAsia" w:ascii="宋体" w:hAnsi="宋体"/>
                <w:spacing w:val="4"/>
                <w:szCs w:val="21"/>
              </w:rPr>
            </w:pPr>
            <w:r>
              <w:rPr>
                <w:rFonts w:ascii="宋体" w:hAnsi="宋体"/>
                <w:spacing w:val="4"/>
                <w:szCs w:val="21"/>
              </w:rPr>
              <w:t>废水、使用液、原油等可能落地处</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7962801B">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462" w:type="pct"/>
            <w:gridSpan w:val="2"/>
            <w:tcBorders>
              <w:top w:val="single" w:color="auto" w:sz="4" w:space="0"/>
              <w:left w:val="single" w:color="auto" w:sz="4" w:space="0"/>
              <w:bottom w:val="single" w:color="auto" w:sz="4" w:space="0"/>
            </w:tcBorders>
            <w:vAlign w:val="center"/>
          </w:tcPr>
          <w:p w14:paraId="52D995C0">
            <w:pPr>
              <w:adjustRightInd w:val="0"/>
              <w:snapToGrid w:val="0"/>
              <w:spacing w:line="300" w:lineRule="exact"/>
              <w:jc w:val="center"/>
              <w:rPr>
                <w:rFonts w:hint="eastAsia" w:ascii="宋体" w:hAnsi="宋体"/>
                <w:spacing w:val="4"/>
                <w:szCs w:val="21"/>
              </w:rPr>
            </w:pPr>
            <w:r>
              <w:rPr>
                <w:rFonts w:ascii="宋体" w:hAnsi="宋体"/>
                <w:spacing w:val="4"/>
                <w:szCs w:val="21"/>
              </w:rPr>
              <w:t>5</w:t>
            </w:r>
          </w:p>
        </w:tc>
      </w:tr>
      <w:tr w14:paraId="0197875B">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040357E4">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0F4F73EA">
            <w:pPr>
              <w:widowControl/>
              <w:jc w:val="left"/>
              <w:rPr>
                <w:rFonts w:hint="eastAsia" w:ascii="宋体" w:hAnsi="宋体"/>
                <w:spacing w:val="4"/>
                <w:szCs w:val="21"/>
              </w:rPr>
            </w:pP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761E8EB0">
            <w:pPr>
              <w:adjustRightInd w:val="0"/>
              <w:snapToGrid w:val="0"/>
              <w:spacing w:line="300" w:lineRule="exact"/>
              <w:jc w:val="center"/>
              <w:rPr>
                <w:rFonts w:hint="eastAsia" w:ascii="宋体" w:hAnsi="宋体"/>
                <w:spacing w:val="4"/>
                <w:szCs w:val="21"/>
              </w:rPr>
            </w:pPr>
            <w:r>
              <w:rPr>
                <w:rFonts w:ascii="宋体" w:hAnsi="宋体"/>
                <w:spacing w:val="4"/>
                <w:szCs w:val="21"/>
              </w:rPr>
              <w:t>作业废液污染控制措施</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0D54F62E">
            <w:pPr>
              <w:adjustRightInd w:val="0"/>
              <w:snapToGrid w:val="0"/>
              <w:spacing w:line="300" w:lineRule="exact"/>
              <w:jc w:val="center"/>
              <w:rPr>
                <w:rFonts w:hint="eastAsia" w:ascii="宋体" w:hAnsi="宋体"/>
                <w:spacing w:val="4"/>
                <w:szCs w:val="21"/>
              </w:rPr>
            </w:pPr>
            <w:r>
              <w:rPr>
                <w:rFonts w:ascii="宋体" w:hAnsi="宋体"/>
                <w:spacing w:val="4"/>
                <w:szCs w:val="21"/>
              </w:rPr>
              <w:t>集中回收处理</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0F7504BA">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462" w:type="pct"/>
            <w:gridSpan w:val="2"/>
            <w:tcBorders>
              <w:top w:val="single" w:color="auto" w:sz="4" w:space="0"/>
              <w:left w:val="single" w:color="auto" w:sz="4" w:space="0"/>
              <w:bottom w:val="single" w:color="auto" w:sz="4" w:space="0"/>
            </w:tcBorders>
            <w:vAlign w:val="center"/>
          </w:tcPr>
          <w:p w14:paraId="17430806">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5FE2C051">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2D3051E0">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31C1D179">
            <w:pPr>
              <w:widowControl/>
              <w:jc w:val="left"/>
              <w:rPr>
                <w:rFonts w:hint="eastAsia" w:ascii="宋体" w:hAnsi="宋体"/>
                <w:spacing w:val="4"/>
                <w:szCs w:val="21"/>
              </w:rPr>
            </w:pPr>
          </w:p>
        </w:tc>
        <w:tc>
          <w:tcPr>
            <w:tcW w:w="1095" w:type="pct"/>
            <w:gridSpan w:val="3"/>
            <w:tcBorders>
              <w:top w:val="single" w:color="auto" w:sz="4" w:space="0"/>
              <w:left w:val="single" w:color="auto" w:sz="4" w:space="0"/>
              <w:bottom w:val="single" w:color="auto" w:sz="4" w:space="0"/>
              <w:right w:val="single" w:color="auto" w:sz="4" w:space="0"/>
            </w:tcBorders>
            <w:vAlign w:val="center"/>
          </w:tcPr>
          <w:p w14:paraId="738DDECA">
            <w:pPr>
              <w:adjustRightInd w:val="0"/>
              <w:snapToGrid w:val="0"/>
              <w:spacing w:line="300" w:lineRule="exact"/>
              <w:jc w:val="center"/>
              <w:rPr>
                <w:rFonts w:hint="eastAsia" w:ascii="宋体" w:hAnsi="宋体"/>
                <w:spacing w:val="4"/>
                <w:szCs w:val="21"/>
              </w:rPr>
            </w:pPr>
            <w:r>
              <w:rPr>
                <w:rFonts w:ascii="宋体" w:hAnsi="宋体"/>
                <w:spacing w:val="4"/>
                <w:szCs w:val="21"/>
              </w:rPr>
              <w:t>防止落地原油产生措施</w:t>
            </w:r>
          </w:p>
        </w:tc>
        <w:tc>
          <w:tcPr>
            <w:tcW w:w="1300" w:type="pct"/>
            <w:gridSpan w:val="2"/>
            <w:tcBorders>
              <w:top w:val="single" w:color="auto" w:sz="4" w:space="0"/>
              <w:left w:val="single" w:color="auto" w:sz="4" w:space="0"/>
              <w:bottom w:val="single" w:color="auto" w:sz="4" w:space="0"/>
              <w:right w:val="single" w:color="auto" w:sz="4" w:space="0"/>
            </w:tcBorders>
            <w:vAlign w:val="center"/>
          </w:tcPr>
          <w:p w14:paraId="24A8ED0C">
            <w:pPr>
              <w:adjustRightInd w:val="0"/>
              <w:snapToGrid w:val="0"/>
              <w:spacing w:line="300" w:lineRule="exact"/>
              <w:jc w:val="center"/>
              <w:rPr>
                <w:rFonts w:hint="eastAsia" w:ascii="宋体" w:hAnsi="宋体"/>
                <w:spacing w:val="4"/>
                <w:szCs w:val="21"/>
              </w:rPr>
            </w:pPr>
            <w:r>
              <w:rPr>
                <w:rFonts w:ascii="宋体" w:hAnsi="宋体"/>
                <w:spacing w:val="4"/>
                <w:szCs w:val="21"/>
              </w:rPr>
              <w:t>具备原油回收设施</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7F9AB8C0">
            <w:pPr>
              <w:adjustRightInd w:val="0"/>
              <w:snapToGrid w:val="0"/>
              <w:spacing w:line="300" w:lineRule="exact"/>
              <w:jc w:val="center"/>
              <w:rPr>
                <w:rFonts w:hint="eastAsia" w:ascii="宋体" w:hAnsi="宋体"/>
                <w:spacing w:val="4"/>
                <w:szCs w:val="21"/>
              </w:rPr>
            </w:pPr>
            <w:r>
              <w:rPr>
                <w:rFonts w:ascii="宋体" w:hAnsi="宋体"/>
                <w:spacing w:val="4"/>
                <w:szCs w:val="21"/>
              </w:rPr>
              <w:t>10</w:t>
            </w:r>
          </w:p>
        </w:tc>
        <w:tc>
          <w:tcPr>
            <w:tcW w:w="462" w:type="pct"/>
            <w:gridSpan w:val="2"/>
            <w:tcBorders>
              <w:top w:val="single" w:color="auto" w:sz="4" w:space="0"/>
              <w:left w:val="single" w:color="auto" w:sz="4" w:space="0"/>
              <w:bottom w:val="single" w:color="auto" w:sz="4" w:space="0"/>
            </w:tcBorders>
            <w:vAlign w:val="center"/>
          </w:tcPr>
          <w:p w14:paraId="6DAEA452">
            <w:pPr>
              <w:adjustRightInd w:val="0"/>
              <w:snapToGrid w:val="0"/>
              <w:spacing w:line="300" w:lineRule="exact"/>
              <w:jc w:val="center"/>
              <w:rPr>
                <w:rFonts w:hint="eastAsia" w:ascii="宋体" w:hAnsi="宋体"/>
                <w:spacing w:val="4"/>
                <w:szCs w:val="21"/>
              </w:rPr>
            </w:pPr>
            <w:r>
              <w:rPr>
                <w:rFonts w:ascii="宋体" w:hAnsi="宋体"/>
                <w:spacing w:val="4"/>
                <w:szCs w:val="21"/>
              </w:rPr>
              <w:t>10</w:t>
            </w:r>
          </w:p>
        </w:tc>
      </w:tr>
      <w:tr w14:paraId="7E9C1BCA">
        <w:tblPrEx>
          <w:tblCellMar>
            <w:top w:w="0" w:type="dxa"/>
            <w:left w:w="108" w:type="dxa"/>
            <w:bottom w:w="0" w:type="dxa"/>
            <w:right w:w="108" w:type="dxa"/>
          </w:tblCellMar>
        </w:tblPrEx>
        <w:trPr>
          <w:trHeight w:val="284" w:hRule="atLeast"/>
        </w:trPr>
        <w:tc>
          <w:tcPr>
            <w:tcW w:w="1333" w:type="pct"/>
            <w:gridSpan w:val="3"/>
            <w:vMerge w:val="restart"/>
            <w:tcBorders>
              <w:top w:val="single" w:color="auto" w:sz="4" w:space="0"/>
              <w:bottom w:val="single" w:color="auto" w:sz="4" w:space="0"/>
              <w:right w:val="single" w:color="auto" w:sz="4" w:space="0"/>
            </w:tcBorders>
            <w:vAlign w:val="center"/>
          </w:tcPr>
          <w:p w14:paraId="18F8DE3C">
            <w:pPr>
              <w:adjustRightInd w:val="0"/>
              <w:snapToGrid w:val="0"/>
              <w:spacing w:line="300" w:lineRule="exact"/>
              <w:jc w:val="center"/>
              <w:rPr>
                <w:rFonts w:hint="eastAsia" w:ascii="宋体" w:hAnsi="宋体"/>
                <w:spacing w:val="4"/>
                <w:szCs w:val="21"/>
              </w:rPr>
            </w:pPr>
            <w:r>
              <w:rPr>
                <w:rFonts w:ascii="宋体" w:hAnsi="宋体"/>
                <w:spacing w:val="4"/>
                <w:szCs w:val="21"/>
              </w:rPr>
              <w:t>（2）管理体系建设及清洁生产审核</w:t>
            </w:r>
          </w:p>
        </w:tc>
        <w:tc>
          <w:tcPr>
            <w:tcW w:w="410" w:type="pct"/>
            <w:vMerge w:val="restart"/>
            <w:tcBorders>
              <w:top w:val="single" w:color="auto" w:sz="4" w:space="0"/>
              <w:left w:val="single" w:color="auto" w:sz="4" w:space="0"/>
              <w:bottom w:val="single" w:color="auto" w:sz="4" w:space="0"/>
              <w:right w:val="single" w:color="auto" w:sz="4" w:space="0"/>
            </w:tcBorders>
            <w:vAlign w:val="center"/>
          </w:tcPr>
          <w:p w14:paraId="1E727279">
            <w:pPr>
              <w:adjustRightInd w:val="0"/>
              <w:snapToGrid w:val="0"/>
              <w:spacing w:line="300" w:lineRule="exact"/>
              <w:jc w:val="center"/>
              <w:rPr>
                <w:rFonts w:hint="eastAsia" w:ascii="宋体" w:hAnsi="宋体"/>
                <w:spacing w:val="4"/>
                <w:szCs w:val="21"/>
              </w:rPr>
            </w:pPr>
            <w:r>
              <w:rPr>
                <w:rFonts w:ascii="宋体" w:hAnsi="宋体"/>
                <w:spacing w:val="4"/>
                <w:szCs w:val="21"/>
              </w:rPr>
              <w:t>40</w:t>
            </w:r>
          </w:p>
        </w:tc>
        <w:tc>
          <w:tcPr>
            <w:tcW w:w="2395" w:type="pct"/>
            <w:gridSpan w:val="5"/>
            <w:tcBorders>
              <w:top w:val="single" w:color="auto" w:sz="4" w:space="0"/>
              <w:left w:val="single" w:color="auto" w:sz="4" w:space="0"/>
              <w:bottom w:val="single" w:color="auto" w:sz="4" w:space="0"/>
              <w:right w:val="single" w:color="auto" w:sz="4" w:space="0"/>
            </w:tcBorders>
            <w:vAlign w:val="center"/>
          </w:tcPr>
          <w:p w14:paraId="279E5B28">
            <w:pPr>
              <w:adjustRightInd w:val="0"/>
              <w:snapToGrid w:val="0"/>
              <w:spacing w:line="300" w:lineRule="exact"/>
              <w:jc w:val="center"/>
              <w:rPr>
                <w:rFonts w:hint="eastAsia" w:ascii="宋体" w:hAnsi="宋体"/>
                <w:spacing w:val="4"/>
                <w:szCs w:val="21"/>
              </w:rPr>
            </w:pPr>
            <w:r>
              <w:rPr>
                <w:rFonts w:ascii="宋体" w:hAnsi="宋体"/>
                <w:spacing w:val="4"/>
                <w:szCs w:val="21"/>
              </w:rPr>
              <w:t>建立HSE管理体系并通过验证</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011BE726">
            <w:pPr>
              <w:adjustRightInd w:val="0"/>
              <w:snapToGrid w:val="0"/>
              <w:spacing w:line="300" w:lineRule="exact"/>
              <w:jc w:val="center"/>
              <w:rPr>
                <w:rFonts w:hint="eastAsia" w:ascii="宋体" w:hAnsi="宋体"/>
                <w:spacing w:val="4"/>
                <w:szCs w:val="21"/>
              </w:rPr>
            </w:pPr>
            <w:r>
              <w:rPr>
                <w:rFonts w:ascii="宋体" w:hAnsi="宋体"/>
                <w:spacing w:val="4"/>
                <w:szCs w:val="21"/>
              </w:rPr>
              <w:t>15</w:t>
            </w:r>
          </w:p>
        </w:tc>
        <w:tc>
          <w:tcPr>
            <w:tcW w:w="462" w:type="pct"/>
            <w:gridSpan w:val="2"/>
            <w:tcBorders>
              <w:top w:val="single" w:color="auto" w:sz="4" w:space="0"/>
              <w:left w:val="single" w:color="auto" w:sz="4" w:space="0"/>
              <w:bottom w:val="single" w:color="auto" w:sz="4" w:space="0"/>
            </w:tcBorders>
            <w:vAlign w:val="center"/>
          </w:tcPr>
          <w:p w14:paraId="267F5993">
            <w:pPr>
              <w:adjustRightInd w:val="0"/>
              <w:snapToGrid w:val="0"/>
              <w:spacing w:line="300" w:lineRule="exact"/>
              <w:jc w:val="center"/>
              <w:rPr>
                <w:rFonts w:hint="eastAsia" w:ascii="宋体" w:hAnsi="宋体"/>
                <w:spacing w:val="4"/>
                <w:szCs w:val="21"/>
              </w:rPr>
            </w:pPr>
            <w:r>
              <w:rPr>
                <w:rFonts w:ascii="宋体" w:hAnsi="宋体"/>
                <w:spacing w:val="4"/>
                <w:szCs w:val="21"/>
              </w:rPr>
              <w:t>15</w:t>
            </w:r>
          </w:p>
        </w:tc>
      </w:tr>
      <w:tr w14:paraId="47021EF8">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45E31359">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336A2269">
            <w:pPr>
              <w:widowControl/>
              <w:jc w:val="left"/>
              <w:rPr>
                <w:rFonts w:hint="eastAsia" w:ascii="宋体" w:hAnsi="宋体"/>
                <w:spacing w:val="4"/>
                <w:szCs w:val="21"/>
              </w:rPr>
            </w:pPr>
          </w:p>
        </w:tc>
        <w:tc>
          <w:tcPr>
            <w:tcW w:w="2395" w:type="pct"/>
            <w:gridSpan w:val="5"/>
            <w:tcBorders>
              <w:top w:val="single" w:color="auto" w:sz="4" w:space="0"/>
              <w:left w:val="single" w:color="auto" w:sz="4" w:space="0"/>
              <w:bottom w:val="single" w:color="auto" w:sz="4" w:space="0"/>
              <w:right w:val="single" w:color="auto" w:sz="4" w:space="0"/>
            </w:tcBorders>
            <w:vAlign w:val="center"/>
          </w:tcPr>
          <w:p w14:paraId="09B6F143">
            <w:pPr>
              <w:adjustRightInd w:val="0"/>
              <w:snapToGrid w:val="0"/>
              <w:spacing w:line="300" w:lineRule="exact"/>
              <w:jc w:val="center"/>
              <w:rPr>
                <w:rFonts w:hint="eastAsia" w:ascii="宋体" w:hAnsi="宋体"/>
                <w:spacing w:val="4"/>
                <w:szCs w:val="21"/>
              </w:rPr>
            </w:pPr>
            <w:r>
              <w:rPr>
                <w:rFonts w:ascii="宋体" w:hAnsi="宋体"/>
                <w:spacing w:val="4"/>
                <w:szCs w:val="21"/>
              </w:rPr>
              <w:t>开展清洁生产审核</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4A524605">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462" w:type="pct"/>
            <w:gridSpan w:val="2"/>
            <w:tcBorders>
              <w:top w:val="single" w:color="auto" w:sz="4" w:space="0"/>
              <w:left w:val="single" w:color="auto" w:sz="4" w:space="0"/>
              <w:bottom w:val="single" w:color="auto" w:sz="4" w:space="0"/>
            </w:tcBorders>
            <w:vAlign w:val="center"/>
          </w:tcPr>
          <w:p w14:paraId="51550DE0">
            <w:pPr>
              <w:adjustRightInd w:val="0"/>
              <w:snapToGrid w:val="0"/>
              <w:spacing w:line="300" w:lineRule="exact"/>
              <w:jc w:val="center"/>
              <w:rPr>
                <w:rFonts w:hint="eastAsia" w:ascii="宋体" w:hAnsi="宋体"/>
                <w:spacing w:val="4"/>
                <w:szCs w:val="21"/>
              </w:rPr>
            </w:pPr>
            <w:r>
              <w:rPr>
                <w:rFonts w:hint="eastAsia" w:ascii="宋体" w:hAnsi="宋体"/>
                <w:spacing w:val="4"/>
                <w:szCs w:val="21"/>
              </w:rPr>
              <w:t>20</w:t>
            </w:r>
          </w:p>
        </w:tc>
      </w:tr>
      <w:tr w14:paraId="555E96C0">
        <w:tblPrEx>
          <w:tblCellMar>
            <w:top w:w="0" w:type="dxa"/>
            <w:left w:w="108" w:type="dxa"/>
            <w:bottom w:w="0" w:type="dxa"/>
            <w:right w:w="108" w:type="dxa"/>
          </w:tblCellMar>
        </w:tblPrEx>
        <w:trPr>
          <w:trHeight w:val="284" w:hRule="atLeast"/>
        </w:trPr>
        <w:tc>
          <w:tcPr>
            <w:tcW w:w="1333" w:type="pct"/>
            <w:gridSpan w:val="3"/>
            <w:vMerge w:val="continue"/>
            <w:tcBorders>
              <w:top w:val="single" w:color="auto" w:sz="4" w:space="0"/>
              <w:bottom w:val="single" w:color="auto" w:sz="4" w:space="0"/>
              <w:right w:val="single" w:color="auto" w:sz="4" w:space="0"/>
            </w:tcBorders>
            <w:vAlign w:val="center"/>
          </w:tcPr>
          <w:p w14:paraId="376AECB5">
            <w:pPr>
              <w:widowControl/>
              <w:jc w:val="left"/>
              <w:rPr>
                <w:rFonts w:hint="eastAsia" w:ascii="宋体" w:hAnsi="宋体"/>
                <w:spacing w:val="4"/>
                <w:szCs w:val="21"/>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14:paraId="1C07A2B7">
            <w:pPr>
              <w:widowControl/>
              <w:jc w:val="left"/>
              <w:rPr>
                <w:rFonts w:hint="eastAsia" w:ascii="宋体" w:hAnsi="宋体"/>
                <w:spacing w:val="4"/>
                <w:szCs w:val="21"/>
              </w:rPr>
            </w:pPr>
          </w:p>
        </w:tc>
        <w:tc>
          <w:tcPr>
            <w:tcW w:w="2395" w:type="pct"/>
            <w:gridSpan w:val="5"/>
            <w:tcBorders>
              <w:top w:val="single" w:color="auto" w:sz="4" w:space="0"/>
              <w:left w:val="single" w:color="auto" w:sz="4" w:space="0"/>
              <w:bottom w:val="single" w:color="auto" w:sz="4" w:space="0"/>
              <w:right w:val="single" w:color="auto" w:sz="4" w:space="0"/>
            </w:tcBorders>
            <w:vAlign w:val="center"/>
          </w:tcPr>
          <w:p w14:paraId="6BF9FA7A">
            <w:pPr>
              <w:adjustRightInd w:val="0"/>
              <w:snapToGrid w:val="0"/>
              <w:spacing w:line="300" w:lineRule="exact"/>
              <w:jc w:val="center"/>
              <w:rPr>
                <w:rFonts w:hint="eastAsia" w:ascii="宋体" w:hAnsi="宋体"/>
                <w:spacing w:val="4"/>
                <w:szCs w:val="21"/>
              </w:rPr>
            </w:pPr>
            <w:r>
              <w:rPr>
                <w:rFonts w:ascii="宋体" w:hAnsi="宋体"/>
                <w:spacing w:val="4"/>
                <w:szCs w:val="21"/>
              </w:rPr>
              <w:t>制定节能减排工作计划</w:t>
            </w:r>
          </w:p>
        </w:tc>
        <w:tc>
          <w:tcPr>
            <w:tcW w:w="400" w:type="pct"/>
            <w:gridSpan w:val="2"/>
            <w:tcBorders>
              <w:top w:val="single" w:color="auto" w:sz="4" w:space="0"/>
              <w:left w:val="single" w:color="auto" w:sz="4" w:space="0"/>
              <w:bottom w:val="single" w:color="auto" w:sz="4" w:space="0"/>
              <w:right w:val="single" w:color="auto" w:sz="4" w:space="0"/>
            </w:tcBorders>
            <w:vAlign w:val="center"/>
          </w:tcPr>
          <w:p w14:paraId="700B1CC5">
            <w:pPr>
              <w:adjustRightInd w:val="0"/>
              <w:snapToGrid w:val="0"/>
              <w:spacing w:line="300" w:lineRule="exact"/>
              <w:jc w:val="center"/>
              <w:rPr>
                <w:rFonts w:hint="eastAsia" w:ascii="宋体" w:hAnsi="宋体"/>
                <w:spacing w:val="4"/>
                <w:szCs w:val="21"/>
              </w:rPr>
            </w:pPr>
            <w:r>
              <w:rPr>
                <w:rFonts w:ascii="宋体" w:hAnsi="宋体"/>
                <w:spacing w:val="4"/>
                <w:szCs w:val="21"/>
              </w:rPr>
              <w:t>5</w:t>
            </w:r>
          </w:p>
        </w:tc>
        <w:tc>
          <w:tcPr>
            <w:tcW w:w="462" w:type="pct"/>
            <w:gridSpan w:val="2"/>
            <w:tcBorders>
              <w:top w:val="single" w:color="auto" w:sz="4" w:space="0"/>
              <w:left w:val="single" w:color="auto" w:sz="4" w:space="0"/>
              <w:bottom w:val="single" w:color="auto" w:sz="4" w:space="0"/>
            </w:tcBorders>
            <w:vAlign w:val="center"/>
          </w:tcPr>
          <w:p w14:paraId="755B948B">
            <w:pPr>
              <w:adjustRightInd w:val="0"/>
              <w:snapToGrid w:val="0"/>
              <w:spacing w:line="300" w:lineRule="exact"/>
              <w:jc w:val="center"/>
              <w:rPr>
                <w:rFonts w:hint="eastAsia" w:ascii="宋体" w:hAnsi="宋体"/>
                <w:spacing w:val="4"/>
                <w:szCs w:val="21"/>
              </w:rPr>
            </w:pPr>
            <w:r>
              <w:rPr>
                <w:rFonts w:ascii="宋体" w:hAnsi="宋体"/>
                <w:spacing w:val="4"/>
                <w:szCs w:val="21"/>
              </w:rPr>
              <w:t>5</w:t>
            </w:r>
          </w:p>
        </w:tc>
      </w:tr>
      <w:tr w14:paraId="0DB18AA9">
        <w:tblPrEx>
          <w:tblCellMar>
            <w:top w:w="0" w:type="dxa"/>
            <w:left w:w="108" w:type="dxa"/>
            <w:bottom w:w="0" w:type="dxa"/>
            <w:right w:w="108" w:type="dxa"/>
          </w:tblCellMar>
        </w:tblPrEx>
        <w:trPr>
          <w:trHeight w:val="284" w:hRule="atLeast"/>
        </w:trPr>
        <w:tc>
          <w:tcPr>
            <w:tcW w:w="1333" w:type="pct"/>
            <w:gridSpan w:val="3"/>
            <w:tcBorders>
              <w:top w:val="single" w:color="auto" w:sz="4" w:space="0"/>
              <w:bottom w:val="single" w:color="auto" w:sz="12" w:space="0"/>
              <w:right w:val="single" w:color="auto" w:sz="4" w:space="0"/>
            </w:tcBorders>
            <w:vAlign w:val="center"/>
          </w:tcPr>
          <w:p w14:paraId="28CA2023">
            <w:pPr>
              <w:adjustRightInd w:val="0"/>
              <w:snapToGrid w:val="0"/>
              <w:spacing w:line="300" w:lineRule="exact"/>
              <w:jc w:val="center"/>
              <w:rPr>
                <w:rFonts w:hint="eastAsia" w:ascii="宋体" w:hAnsi="宋体"/>
                <w:spacing w:val="4"/>
                <w:szCs w:val="21"/>
              </w:rPr>
            </w:pPr>
            <w:r>
              <w:rPr>
                <w:rFonts w:ascii="宋体" w:hAnsi="宋体"/>
                <w:spacing w:val="4"/>
                <w:szCs w:val="21"/>
              </w:rPr>
              <w:t>（</w:t>
            </w:r>
            <w:r>
              <w:rPr>
                <w:rFonts w:hint="eastAsia" w:ascii="宋体" w:hAnsi="宋体"/>
                <w:spacing w:val="4"/>
                <w:szCs w:val="21"/>
              </w:rPr>
              <w:t>3</w:t>
            </w:r>
            <w:r>
              <w:rPr>
                <w:rFonts w:ascii="宋体" w:hAnsi="宋体"/>
                <w:spacing w:val="4"/>
                <w:szCs w:val="21"/>
              </w:rPr>
              <w:t>）贯彻执行环境保护法规的符合性</w:t>
            </w:r>
          </w:p>
        </w:tc>
        <w:tc>
          <w:tcPr>
            <w:tcW w:w="410" w:type="pct"/>
            <w:tcBorders>
              <w:top w:val="single" w:color="auto" w:sz="4" w:space="0"/>
              <w:left w:val="single" w:color="auto" w:sz="4" w:space="0"/>
              <w:bottom w:val="single" w:color="auto" w:sz="12" w:space="0"/>
              <w:right w:val="single" w:color="auto" w:sz="4" w:space="0"/>
            </w:tcBorders>
            <w:vAlign w:val="center"/>
          </w:tcPr>
          <w:p w14:paraId="6D3FB721">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2395" w:type="pct"/>
            <w:gridSpan w:val="5"/>
            <w:tcBorders>
              <w:top w:val="single" w:color="auto" w:sz="4" w:space="0"/>
              <w:left w:val="single" w:color="auto" w:sz="4" w:space="0"/>
              <w:bottom w:val="single" w:color="auto" w:sz="12" w:space="0"/>
              <w:right w:val="single" w:color="auto" w:sz="4" w:space="0"/>
            </w:tcBorders>
            <w:vAlign w:val="center"/>
          </w:tcPr>
          <w:p w14:paraId="406153B7">
            <w:pPr>
              <w:adjustRightInd w:val="0"/>
              <w:snapToGrid w:val="0"/>
              <w:spacing w:line="300" w:lineRule="exact"/>
              <w:jc w:val="center"/>
              <w:rPr>
                <w:rFonts w:hint="eastAsia" w:ascii="宋体" w:hAnsi="宋体"/>
                <w:spacing w:val="4"/>
                <w:szCs w:val="21"/>
              </w:rPr>
            </w:pPr>
            <w:r>
              <w:rPr>
                <w:rFonts w:ascii="宋体" w:hAnsi="宋体"/>
                <w:spacing w:val="4"/>
                <w:szCs w:val="21"/>
              </w:rPr>
              <w:t>满足其他法律法规要求</w:t>
            </w:r>
          </w:p>
        </w:tc>
        <w:tc>
          <w:tcPr>
            <w:tcW w:w="400" w:type="pct"/>
            <w:gridSpan w:val="2"/>
            <w:tcBorders>
              <w:top w:val="single" w:color="auto" w:sz="4" w:space="0"/>
              <w:left w:val="single" w:color="auto" w:sz="4" w:space="0"/>
              <w:bottom w:val="single" w:color="auto" w:sz="12" w:space="0"/>
              <w:right w:val="single" w:color="auto" w:sz="4" w:space="0"/>
            </w:tcBorders>
            <w:vAlign w:val="center"/>
          </w:tcPr>
          <w:p w14:paraId="70D56E84">
            <w:pPr>
              <w:adjustRightInd w:val="0"/>
              <w:snapToGrid w:val="0"/>
              <w:spacing w:line="300" w:lineRule="exact"/>
              <w:jc w:val="center"/>
              <w:rPr>
                <w:rFonts w:hint="eastAsia" w:ascii="宋体" w:hAnsi="宋体"/>
                <w:spacing w:val="4"/>
                <w:szCs w:val="21"/>
              </w:rPr>
            </w:pPr>
            <w:r>
              <w:rPr>
                <w:rFonts w:ascii="宋体" w:hAnsi="宋体"/>
                <w:spacing w:val="4"/>
                <w:szCs w:val="21"/>
              </w:rPr>
              <w:t>20</w:t>
            </w:r>
          </w:p>
        </w:tc>
        <w:tc>
          <w:tcPr>
            <w:tcW w:w="462" w:type="pct"/>
            <w:gridSpan w:val="2"/>
            <w:tcBorders>
              <w:top w:val="single" w:color="auto" w:sz="4" w:space="0"/>
              <w:left w:val="single" w:color="auto" w:sz="4" w:space="0"/>
              <w:bottom w:val="single" w:color="auto" w:sz="12" w:space="0"/>
            </w:tcBorders>
            <w:vAlign w:val="center"/>
          </w:tcPr>
          <w:p w14:paraId="46FDB264">
            <w:pPr>
              <w:adjustRightInd w:val="0"/>
              <w:snapToGrid w:val="0"/>
              <w:spacing w:line="300" w:lineRule="exact"/>
              <w:jc w:val="center"/>
              <w:rPr>
                <w:rFonts w:hint="eastAsia" w:ascii="宋体" w:hAnsi="宋体"/>
                <w:spacing w:val="4"/>
                <w:szCs w:val="21"/>
              </w:rPr>
            </w:pPr>
            <w:r>
              <w:rPr>
                <w:rFonts w:ascii="宋体" w:hAnsi="宋体"/>
                <w:spacing w:val="4"/>
                <w:szCs w:val="21"/>
              </w:rPr>
              <w:t>20</w:t>
            </w:r>
          </w:p>
        </w:tc>
      </w:tr>
    </w:tbl>
    <w:p w14:paraId="6F21312F">
      <w:pPr>
        <w:pStyle w:val="15"/>
        <w:rPr>
          <w:rFonts w:hint="eastAsia"/>
        </w:rPr>
      </w:pPr>
      <w:r>
        <w:rPr>
          <w:rFonts w:hint="eastAsia"/>
        </w:rPr>
        <w:t>表3.</w:t>
      </w:r>
      <w:r>
        <w:t>5</w:t>
      </w:r>
      <w:r>
        <w:rPr>
          <w:rFonts w:hint="eastAsia"/>
        </w:rPr>
        <w:t>-3</w:t>
      </w:r>
      <w:r>
        <w:t xml:space="preserve">  采</w:t>
      </w:r>
      <w:r>
        <w:rPr>
          <w:rFonts w:hint="eastAsia"/>
        </w:rPr>
        <w:t>油</w:t>
      </w:r>
      <w:r>
        <w:t>定量和定性评价指标项目、权重及基准值</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14"/>
        <w:gridCol w:w="1118"/>
        <w:gridCol w:w="243"/>
        <w:gridCol w:w="572"/>
        <w:gridCol w:w="1654"/>
        <w:gridCol w:w="1293"/>
        <w:gridCol w:w="991"/>
        <w:gridCol w:w="430"/>
        <w:gridCol w:w="2787"/>
        <w:gridCol w:w="688"/>
        <w:gridCol w:w="414"/>
        <w:gridCol w:w="550"/>
        <w:gridCol w:w="824"/>
      </w:tblGrid>
      <w:tr w14:paraId="7BA7E6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355" w:type="pct"/>
            <w:gridSpan w:val="10"/>
            <w:vAlign w:val="center"/>
          </w:tcPr>
          <w:p w14:paraId="6768D654">
            <w:pPr>
              <w:adjustRightInd w:val="0"/>
              <w:snapToGrid w:val="0"/>
              <w:spacing w:line="240" w:lineRule="exact"/>
              <w:jc w:val="left"/>
              <w:rPr>
                <w:rFonts w:hint="eastAsia" w:ascii="宋体" w:hAnsi="宋体"/>
                <w:spacing w:val="4"/>
                <w:szCs w:val="21"/>
              </w:rPr>
            </w:pPr>
            <w:r>
              <w:rPr>
                <w:rFonts w:ascii="宋体" w:hAnsi="宋体"/>
                <w:spacing w:val="4"/>
                <w:szCs w:val="21"/>
              </w:rPr>
              <w:t>定量指标</w:t>
            </w:r>
          </w:p>
        </w:tc>
        <w:tc>
          <w:tcPr>
            <w:tcW w:w="645" w:type="pct"/>
            <w:gridSpan w:val="3"/>
            <w:vAlign w:val="center"/>
          </w:tcPr>
          <w:p w14:paraId="3BF330E7">
            <w:pPr>
              <w:adjustRightInd w:val="0"/>
              <w:snapToGrid w:val="0"/>
              <w:spacing w:line="240" w:lineRule="exact"/>
              <w:jc w:val="center"/>
              <w:rPr>
                <w:rFonts w:hint="eastAsia" w:ascii="宋体" w:hAnsi="宋体"/>
                <w:spacing w:val="4"/>
                <w:szCs w:val="21"/>
              </w:rPr>
            </w:pPr>
            <w:r>
              <w:rPr>
                <w:rFonts w:ascii="宋体" w:hAnsi="宋体"/>
                <w:spacing w:val="4"/>
                <w:szCs w:val="21"/>
              </w:rPr>
              <w:t>本项目</w:t>
            </w:r>
          </w:p>
        </w:tc>
      </w:tr>
      <w:tr w14:paraId="565FEE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Align w:val="center"/>
          </w:tcPr>
          <w:p w14:paraId="733C319A">
            <w:pPr>
              <w:adjustRightInd w:val="0"/>
              <w:snapToGrid w:val="0"/>
              <w:spacing w:line="240" w:lineRule="exact"/>
              <w:jc w:val="center"/>
              <w:rPr>
                <w:rFonts w:hint="eastAsia" w:ascii="宋体" w:hAnsi="宋体"/>
                <w:spacing w:val="4"/>
                <w:szCs w:val="21"/>
              </w:rPr>
            </w:pPr>
            <w:r>
              <w:rPr>
                <w:rFonts w:ascii="宋体" w:hAnsi="宋体"/>
                <w:spacing w:val="4"/>
                <w:szCs w:val="21"/>
              </w:rPr>
              <w:t>一级指标</w:t>
            </w:r>
          </w:p>
        </w:tc>
        <w:tc>
          <w:tcPr>
            <w:tcW w:w="403" w:type="pct"/>
            <w:vAlign w:val="center"/>
          </w:tcPr>
          <w:p w14:paraId="6747E258">
            <w:pPr>
              <w:adjustRightInd w:val="0"/>
              <w:snapToGrid w:val="0"/>
              <w:spacing w:line="240" w:lineRule="exact"/>
              <w:jc w:val="center"/>
              <w:rPr>
                <w:rFonts w:hint="eastAsia" w:ascii="宋体" w:hAnsi="宋体"/>
                <w:spacing w:val="4"/>
                <w:szCs w:val="21"/>
              </w:rPr>
            </w:pPr>
            <w:r>
              <w:rPr>
                <w:rFonts w:ascii="宋体" w:hAnsi="宋体"/>
                <w:spacing w:val="4"/>
                <w:szCs w:val="21"/>
              </w:rPr>
              <w:t>权重值</w:t>
            </w:r>
          </w:p>
        </w:tc>
        <w:tc>
          <w:tcPr>
            <w:tcW w:w="890" w:type="pct"/>
            <w:gridSpan w:val="3"/>
            <w:vAlign w:val="center"/>
          </w:tcPr>
          <w:p w14:paraId="4BC33E7B">
            <w:pPr>
              <w:adjustRightInd w:val="0"/>
              <w:snapToGrid w:val="0"/>
              <w:spacing w:line="240" w:lineRule="exact"/>
              <w:jc w:val="center"/>
              <w:rPr>
                <w:rFonts w:hint="eastAsia" w:ascii="宋体" w:hAnsi="宋体"/>
                <w:spacing w:val="4"/>
                <w:szCs w:val="21"/>
              </w:rPr>
            </w:pPr>
            <w:r>
              <w:rPr>
                <w:rFonts w:ascii="宋体" w:hAnsi="宋体"/>
                <w:spacing w:val="4"/>
                <w:szCs w:val="21"/>
              </w:rPr>
              <w:t>二级指标</w:t>
            </w:r>
          </w:p>
        </w:tc>
        <w:tc>
          <w:tcPr>
            <w:tcW w:w="466" w:type="pct"/>
            <w:vAlign w:val="center"/>
          </w:tcPr>
          <w:p w14:paraId="1C40DFD5">
            <w:pPr>
              <w:adjustRightInd w:val="0"/>
              <w:snapToGrid w:val="0"/>
              <w:spacing w:line="240" w:lineRule="exact"/>
              <w:jc w:val="center"/>
              <w:rPr>
                <w:rFonts w:hint="eastAsia" w:ascii="宋体" w:hAnsi="宋体"/>
                <w:spacing w:val="4"/>
                <w:szCs w:val="21"/>
              </w:rPr>
            </w:pPr>
            <w:r>
              <w:rPr>
                <w:rFonts w:ascii="宋体" w:hAnsi="宋体"/>
                <w:spacing w:val="4"/>
                <w:szCs w:val="21"/>
              </w:rPr>
              <w:t>单位</w:t>
            </w:r>
          </w:p>
        </w:tc>
        <w:tc>
          <w:tcPr>
            <w:tcW w:w="511" w:type="pct"/>
            <w:gridSpan w:val="2"/>
            <w:vAlign w:val="center"/>
          </w:tcPr>
          <w:p w14:paraId="7FD7BE79">
            <w:pPr>
              <w:adjustRightInd w:val="0"/>
              <w:snapToGrid w:val="0"/>
              <w:spacing w:line="240" w:lineRule="exact"/>
              <w:jc w:val="center"/>
              <w:rPr>
                <w:rFonts w:hint="eastAsia" w:ascii="宋体" w:hAnsi="宋体"/>
                <w:spacing w:val="4"/>
                <w:szCs w:val="21"/>
              </w:rPr>
            </w:pPr>
            <w:r>
              <w:rPr>
                <w:rFonts w:ascii="宋体" w:hAnsi="宋体"/>
                <w:spacing w:val="4"/>
                <w:szCs w:val="21"/>
              </w:rPr>
              <w:t>权重分值</w:t>
            </w:r>
          </w:p>
        </w:tc>
        <w:tc>
          <w:tcPr>
            <w:tcW w:w="1252" w:type="pct"/>
            <w:gridSpan w:val="2"/>
            <w:vAlign w:val="center"/>
          </w:tcPr>
          <w:p w14:paraId="12B32ED5">
            <w:pPr>
              <w:adjustRightInd w:val="0"/>
              <w:snapToGrid w:val="0"/>
              <w:spacing w:line="240" w:lineRule="exact"/>
              <w:jc w:val="center"/>
              <w:rPr>
                <w:rFonts w:hint="eastAsia" w:ascii="宋体" w:hAnsi="宋体"/>
                <w:spacing w:val="4"/>
                <w:szCs w:val="21"/>
              </w:rPr>
            </w:pPr>
            <w:r>
              <w:rPr>
                <w:rFonts w:ascii="宋体" w:hAnsi="宋体"/>
                <w:spacing w:val="4"/>
                <w:szCs w:val="21"/>
              </w:rPr>
              <w:t>评价基准值</w:t>
            </w:r>
          </w:p>
        </w:tc>
        <w:tc>
          <w:tcPr>
            <w:tcW w:w="347" w:type="pct"/>
            <w:gridSpan w:val="2"/>
            <w:vAlign w:val="center"/>
          </w:tcPr>
          <w:p w14:paraId="7F18530E">
            <w:pPr>
              <w:adjustRightInd w:val="0"/>
              <w:snapToGrid w:val="0"/>
              <w:spacing w:line="240" w:lineRule="exact"/>
              <w:jc w:val="center"/>
              <w:rPr>
                <w:rFonts w:hint="eastAsia" w:ascii="宋体" w:hAnsi="宋体"/>
                <w:spacing w:val="4"/>
                <w:szCs w:val="21"/>
              </w:rPr>
            </w:pPr>
            <w:r>
              <w:rPr>
                <w:rFonts w:ascii="宋体" w:hAnsi="宋体"/>
                <w:spacing w:val="4"/>
                <w:szCs w:val="21"/>
              </w:rPr>
              <w:t>估算值</w:t>
            </w:r>
          </w:p>
        </w:tc>
        <w:tc>
          <w:tcPr>
            <w:tcW w:w="298" w:type="pct"/>
            <w:vAlign w:val="center"/>
          </w:tcPr>
          <w:p w14:paraId="63372A55">
            <w:pPr>
              <w:adjustRightInd w:val="0"/>
              <w:snapToGrid w:val="0"/>
              <w:spacing w:line="240" w:lineRule="exact"/>
              <w:jc w:val="center"/>
              <w:rPr>
                <w:rFonts w:hint="eastAsia" w:ascii="宋体" w:hAnsi="宋体"/>
                <w:spacing w:val="4"/>
                <w:szCs w:val="21"/>
              </w:rPr>
            </w:pPr>
            <w:r>
              <w:rPr>
                <w:rFonts w:ascii="宋体" w:hAnsi="宋体"/>
                <w:spacing w:val="4"/>
                <w:szCs w:val="21"/>
              </w:rPr>
              <w:t>评分</w:t>
            </w:r>
          </w:p>
        </w:tc>
      </w:tr>
      <w:tr w14:paraId="3DBFEA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Align w:val="center"/>
          </w:tcPr>
          <w:p w14:paraId="395136C1">
            <w:pPr>
              <w:adjustRightInd w:val="0"/>
              <w:snapToGrid w:val="0"/>
              <w:spacing w:line="240" w:lineRule="exact"/>
              <w:jc w:val="center"/>
              <w:rPr>
                <w:rFonts w:hint="eastAsia" w:ascii="宋体" w:hAnsi="宋体"/>
                <w:spacing w:val="4"/>
                <w:szCs w:val="21"/>
              </w:rPr>
            </w:pPr>
            <w:r>
              <w:rPr>
                <w:rFonts w:ascii="宋体" w:hAnsi="宋体"/>
                <w:spacing w:val="4"/>
                <w:szCs w:val="21"/>
              </w:rPr>
              <w:t>（1）资源和能源消耗指标</w:t>
            </w:r>
          </w:p>
        </w:tc>
        <w:tc>
          <w:tcPr>
            <w:tcW w:w="403" w:type="pct"/>
            <w:vAlign w:val="center"/>
          </w:tcPr>
          <w:p w14:paraId="7BAE556A">
            <w:pPr>
              <w:adjustRightInd w:val="0"/>
              <w:snapToGrid w:val="0"/>
              <w:spacing w:line="240" w:lineRule="exact"/>
              <w:jc w:val="center"/>
              <w:rPr>
                <w:rFonts w:hint="eastAsia" w:ascii="宋体" w:hAnsi="宋体"/>
                <w:spacing w:val="4"/>
                <w:szCs w:val="21"/>
              </w:rPr>
            </w:pPr>
            <w:r>
              <w:rPr>
                <w:rFonts w:ascii="宋体" w:hAnsi="宋体"/>
                <w:spacing w:val="4"/>
                <w:szCs w:val="21"/>
              </w:rPr>
              <w:t>30</w:t>
            </w:r>
          </w:p>
        </w:tc>
        <w:tc>
          <w:tcPr>
            <w:tcW w:w="890" w:type="pct"/>
            <w:gridSpan w:val="3"/>
            <w:vAlign w:val="center"/>
          </w:tcPr>
          <w:p w14:paraId="6A0FB266">
            <w:pPr>
              <w:adjustRightInd w:val="0"/>
              <w:snapToGrid w:val="0"/>
              <w:spacing w:line="240" w:lineRule="exact"/>
              <w:jc w:val="center"/>
              <w:rPr>
                <w:rFonts w:hint="eastAsia" w:ascii="宋体" w:hAnsi="宋体"/>
                <w:spacing w:val="4"/>
                <w:szCs w:val="21"/>
              </w:rPr>
            </w:pPr>
            <w:r>
              <w:rPr>
                <w:rFonts w:ascii="宋体" w:hAnsi="宋体"/>
                <w:spacing w:val="4"/>
                <w:szCs w:val="21"/>
              </w:rPr>
              <w:t>综合能耗</w:t>
            </w:r>
          </w:p>
        </w:tc>
        <w:tc>
          <w:tcPr>
            <w:tcW w:w="466" w:type="pct"/>
            <w:vAlign w:val="center"/>
          </w:tcPr>
          <w:p w14:paraId="773BECA9">
            <w:pPr>
              <w:adjustRightInd w:val="0"/>
              <w:snapToGrid w:val="0"/>
              <w:spacing w:line="240" w:lineRule="exact"/>
              <w:jc w:val="center"/>
              <w:rPr>
                <w:rFonts w:hint="eastAsia" w:ascii="宋体" w:hAnsi="宋体"/>
                <w:spacing w:val="4"/>
                <w:szCs w:val="21"/>
              </w:rPr>
            </w:pPr>
            <w:r>
              <w:rPr>
                <w:rFonts w:ascii="宋体" w:hAnsi="宋体"/>
                <w:spacing w:val="4"/>
                <w:szCs w:val="21"/>
              </w:rPr>
              <w:t>kg标煤/t</w:t>
            </w:r>
            <w:r>
              <w:rPr>
                <w:rFonts w:hint="eastAsia" w:ascii="宋体" w:hAnsi="宋体"/>
                <w:spacing w:val="4"/>
                <w:szCs w:val="21"/>
              </w:rPr>
              <w:t>采出液</w:t>
            </w:r>
          </w:p>
        </w:tc>
        <w:tc>
          <w:tcPr>
            <w:tcW w:w="511" w:type="pct"/>
            <w:gridSpan w:val="2"/>
            <w:vAlign w:val="center"/>
          </w:tcPr>
          <w:p w14:paraId="50F30807">
            <w:pPr>
              <w:adjustRightInd w:val="0"/>
              <w:snapToGrid w:val="0"/>
              <w:spacing w:line="240" w:lineRule="exact"/>
              <w:jc w:val="center"/>
              <w:rPr>
                <w:rFonts w:hint="eastAsia" w:ascii="宋体" w:hAnsi="宋体"/>
                <w:spacing w:val="4"/>
                <w:szCs w:val="21"/>
              </w:rPr>
            </w:pPr>
            <w:r>
              <w:rPr>
                <w:rFonts w:ascii="宋体" w:hAnsi="宋体"/>
                <w:spacing w:val="4"/>
                <w:szCs w:val="21"/>
              </w:rPr>
              <w:t>30</w:t>
            </w:r>
          </w:p>
        </w:tc>
        <w:tc>
          <w:tcPr>
            <w:tcW w:w="1252" w:type="pct"/>
            <w:gridSpan w:val="2"/>
            <w:vAlign w:val="center"/>
          </w:tcPr>
          <w:p w14:paraId="1687DF78">
            <w:pPr>
              <w:adjustRightInd w:val="0"/>
              <w:snapToGrid w:val="0"/>
              <w:spacing w:line="240" w:lineRule="exact"/>
              <w:jc w:val="center"/>
              <w:rPr>
                <w:rFonts w:hint="eastAsia" w:ascii="宋体" w:hAnsi="宋体"/>
                <w:spacing w:val="4"/>
                <w:szCs w:val="21"/>
              </w:rPr>
            </w:pPr>
            <w:r>
              <w:rPr>
                <w:rFonts w:ascii="宋体" w:hAnsi="宋体"/>
                <w:spacing w:val="4"/>
                <w:szCs w:val="21"/>
              </w:rPr>
              <w:t>稀油：≤65</w:t>
            </w:r>
            <w:r>
              <w:rPr>
                <w:rFonts w:hint="eastAsia" w:ascii="宋体" w:hAnsi="宋体"/>
                <w:spacing w:val="4"/>
                <w:szCs w:val="21"/>
              </w:rPr>
              <w:t xml:space="preserve">  </w:t>
            </w:r>
            <w:r>
              <w:rPr>
                <w:rFonts w:ascii="宋体" w:hAnsi="宋体"/>
                <w:spacing w:val="4"/>
                <w:szCs w:val="21"/>
              </w:rPr>
              <w:t>稠油：≤160</w:t>
            </w:r>
          </w:p>
          <w:p w14:paraId="7594B9C9">
            <w:pPr>
              <w:adjustRightInd w:val="0"/>
              <w:snapToGrid w:val="0"/>
              <w:spacing w:line="240" w:lineRule="exact"/>
              <w:jc w:val="center"/>
              <w:rPr>
                <w:rFonts w:hint="eastAsia" w:ascii="宋体" w:hAnsi="宋体"/>
                <w:spacing w:val="4"/>
                <w:szCs w:val="21"/>
              </w:rPr>
            </w:pPr>
            <w:r>
              <w:rPr>
                <w:rFonts w:ascii="宋体" w:hAnsi="宋体"/>
                <w:spacing w:val="4"/>
                <w:szCs w:val="21"/>
              </w:rPr>
              <w:t>天然气：≤50</w:t>
            </w:r>
          </w:p>
        </w:tc>
        <w:tc>
          <w:tcPr>
            <w:tcW w:w="347" w:type="pct"/>
            <w:gridSpan w:val="2"/>
            <w:vAlign w:val="center"/>
          </w:tcPr>
          <w:p w14:paraId="65A840E3">
            <w:pPr>
              <w:adjustRightInd w:val="0"/>
              <w:snapToGrid w:val="0"/>
              <w:spacing w:line="240" w:lineRule="exact"/>
              <w:jc w:val="center"/>
              <w:rPr>
                <w:rFonts w:hint="eastAsia" w:ascii="宋体" w:hAnsi="宋体"/>
                <w:spacing w:val="4"/>
                <w:szCs w:val="21"/>
              </w:rPr>
            </w:pPr>
            <w:r>
              <w:rPr>
                <w:rFonts w:hint="eastAsia" w:ascii="宋体" w:hAnsi="宋体"/>
                <w:spacing w:val="4"/>
                <w:szCs w:val="21"/>
              </w:rPr>
              <w:t>＜6</w:t>
            </w:r>
            <w:r>
              <w:rPr>
                <w:rFonts w:ascii="宋体" w:hAnsi="宋体"/>
                <w:spacing w:val="4"/>
                <w:szCs w:val="21"/>
              </w:rPr>
              <w:t>5</w:t>
            </w:r>
          </w:p>
        </w:tc>
        <w:tc>
          <w:tcPr>
            <w:tcW w:w="298" w:type="pct"/>
            <w:vAlign w:val="center"/>
          </w:tcPr>
          <w:p w14:paraId="02CE41D3">
            <w:pPr>
              <w:adjustRightInd w:val="0"/>
              <w:snapToGrid w:val="0"/>
              <w:spacing w:line="240" w:lineRule="exact"/>
              <w:jc w:val="center"/>
              <w:rPr>
                <w:rFonts w:hint="eastAsia" w:ascii="宋体" w:hAnsi="宋体"/>
                <w:spacing w:val="4"/>
                <w:szCs w:val="21"/>
              </w:rPr>
            </w:pPr>
            <w:r>
              <w:rPr>
                <w:rFonts w:hint="eastAsia" w:ascii="宋体" w:hAnsi="宋体"/>
                <w:spacing w:val="4"/>
                <w:szCs w:val="21"/>
              </w:rPr>
              <w:t>30</w:t>
            </w:r>
          </w:p>
        </w:tc>
      </w:tr>
      <w:tr w14:paraId="0320EF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restart"/>
            <w:vAlign w:val="center"/>
          </w:tcPr>
          <w:p w14:paraId="069BFE4C">
            <w:pPr>
              <w:adjustRightInd w:val="0"/>
              <w:snapToGrid w:val="0"/>
              <w:spacing w:line="240" w:lineRule="exact"/>
              <w:jc w:val="center"/>
              <w:rPr>
                <w:rFonts w:hint="eastAsia" w:ascii="宋体" w:hAnsi="宋体"/>
                <w:spacing w:val="4"/>
                <w:szCs w:val="21"/>
              </w:rPr>
            </w:pPr>
            <w:r>
              <w:rPr>
                <w:rFonts w:ascii="宋体" w:hAnsi="宋体"/>
                <w:spacing w:val="4"/>
                <w:szCs w:val="21"/>
              </w:rPr>
              <w:t>（2）资源综合利用指标</w:t>
            </w:r>
          </w:p>
        </w:tc>
        <w:tc>
          <w:tcPr>
            <w:tcW w:w="403" w:type="pct"/>
            <w:vMerge w:val="restart"/>
            <w:vAlign w:val="center"/>
          </w:tcPr>
          <w:p w14:paraId="29775A3D">
            <w:pPr>
              <w:adjustRightInd w:val="0"/>
              <w:snapToGrid w:val="0"/>
              <w:spacing w:line="240" w:lineRule="exact"/>
              <w:jc w:val="center"/>
              <w:rPr>
                <w:rFonts w:hint="eastAsia" w:ascii="宋体" w:hAnsi="宋体"/>
                <w:spacing w:val="4"/>
                <w:szCs w:val="21"/>
              </w:rPr>
            </w:pPr>
            <w:r>
              <w:rPr>
                <w:rFonts w:ascii="宋体" w:hAnsi="宋体"/>
                <w:spacing w:val="4"/>
                <w:szCs w:val="21"/>
              </w:rPr>
              <w:t>30</w:t>
            </w:r>
          </w:p>
        </w:tc>
        <w:tc>
          <w:tcPr>
            <w:tcW w:w="890" w:type="pct"/>
            <w:gridSpan w:val="3"/>
            <w:vAlign w:val="center"/>
          </w:tcPr>
          <w:p w14:paraId="62CDAB94">
            <w:pPr>
              <w:adjustRightInd w:val="0"/>
              <w:snapToGrid w:val="0"/>
              <w:spacing w:line="240" w:lineRule="exact"/>
              <w:jc w:val="center"/>
              <w:rPr>
                <w:rFonts w:hint="eastAsia" w:ascii="宋体" w:hAnsi="宋体"/>
                <w:spacing w:val="4"/>
                <w:szCs w:val="21"/>
              </w:rPr>
            </w:pPr>
            <w:r>
              <w:rPr>
                <w:rFonts w:ascii="宋体" w:hAnsi="宋体"/>
                <w:spacing w:val="4"/>
                <w:szCs w:val="21"/>
              </w:rPr>
              <w:t>余热利用率</w:t>
            </w:r>
          </w:p>
        </w:tc>
        <w:tc>
          <w:tcPr>
            <w:tcW w:w="466" w:type="pct"/>
            <w:vAlign w:val="center"/>
          </w:tcPr>
          <w:p w14:paraId="073C294E">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2A095554">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431B2FA3">
            <w:pPr>
              <w:adjustRightInd w:val="0"/>
              <w:snapToGrid w:val="0"/>
              <w:spacing w:line="240" w:lineRule="exact"/>
              <w:jc w:val="center"/>
              <w:rPr>
                <w:rFonts w:hint="eastAsia" w:ascii="宋体" w:hAnsi="宋体"/>
                <w:spacing w:val="4"/>
                <w:szCs w:val="21"/>
              </w:rPr>
            </w:pPr>
            <w:r>
              <w:rPr>
                <w:rFonts w:ascii="宋体" w:hAnsi="宋体"/>
                <w:spacing w:val="4"/>
                <w:szCs w:val="21"/>
              </w:rPr>
              <w:t>≥60</w:t>
            </w:r>
          </w:p>
        </w:tc>
        <w:tc>
          <w:tcPr>
            <w:tcW w:w="347" w:type="pct"/>
            <w:gridSpan w:val="2"/>
            <w:vAlign w:val="center"/>
          </w:tcPr>
          <w:p w14:paraId="04FF5BEE">
            <w:pPr>
              <w:adjustRightInd w:val="0"/>
              <w:snapToGrid w:val="0"/>
              <w:spacing w:line="240" w:lineRule="exact"/>
              <w:jc w:val="center"/>
              <w:rPr>
                <w:rFonts w:hint="eastAsia" w:ascii="宋体" w:hAnsi="宋体"/>
                <w:spacing w:val="4"/>
                <w:szCs w:val="21"/>
              </w:rPr>
            </w:pPr>
            <w:r>
              <w:rPr>
                <w:rFonts w:ascii="宋体" w:hAnsi="宋体"/>
                <w:spacing w:val="4"/>
                <w:szCs w:val="21"/>
              </w:rPr>
              <w:t>100</w:t>
            </w:r>
          </w:p>
        </w:tc>
        <w:tc>
          <w:tcPr>
            <w:tcW w:w="298" w:type="pct"/>
            <w:vAlign w:val="center"/>
          </w:tcPr>
          <w:p w14:paraId="53767986">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13B2A1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2182C2F2">
            <w:pPr>
              <w:widowControl/>
              <w:spacing w:line="240" w:lineRule="exact"/>
              <w:jc w:val="left"/>
              <w:rPr>
                <w:rFonts w:hint="eastAsia" w:ascii="宋体" w:hAnsi="宋体"/>
                <w:spacing w:val="4"/>
                <w:szCs w:val="21"/>
              </w:rPr>
            </w:pPr>
          </w:p>
        </w:tc>
        <w:tc>
          <w:tcPr>
            <w:tcW w:w="403" w:type="pct"/>
            <w:vMerge w:val="continue"/>
            <w:vAlign w:val="center"/>
          </w:tcPr>
          <w:p w14:paraId="307D7E5B">
            <w:pPr>
              <w:widowControl/>
              <w:spacing w:line="240" w:lineRule="exact"/>
              <w:jc w:val="left"/>
              <w:rPr>
                <w:rFonts w:hint="eastAsia" w:ascii="宋体" w:hAnsi="宋体"/>
                <w:spacing w:val="4"/>
                <w:szCs w:val="21"/>
              </w:rPr>
            </w:pPr>
          </w:p>
        </w:tc>
        <w:tc>
          <w:tcPr>
            <w:tcW w:w="890" w:type="pct"/>
            <w:gridSpan w:val="3"/>
            <w:vAlign w:val="center"/>
          </w:tcPr>
          <w:p w14:paraId="59653BA1">
            <w:pPr>
              <w:adjustRightInd w:val="0"/>
              <w:snapToGrid w:val="0"/>
              <w:spacing w:line="240" w:lineRule="exact"/>
              <w:jc w:val="center"/>
              <w:rPr>
                <w:rFonts w:hint="eastAsia" w:ascii="宋体" w:hAnsi="宋体"/>
                <w:spacing w:val="4"/>
                <w:szCs w:val="21"/>
              </w:rPr>
            </w:pPr>
            <w:r>
              <w:rPr>
                <w:rFonts w:ascii="宋体" w:hAnsi="宋体"/>
                <w:spacing w:val="4"/>
                <w:szCs w:val="21"/>
              </w:rPr>
              <w:t>油井伴生气回收利用率</w:t>
            </w:r>
          </w:p>
        </w:tc>
        <w:tc>
          <w:tcPr>
            <w:tcW w:w="466" w:type="pct"/>
            <w:vAlign w:val="center"/>
          </w:tcPr>
          <w:p w14:paraId="1BAD6FC6">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67A5C210">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5D12D66C">
            <w:pPr>
              <w:adjustRightInd w:val="0"/>
              <w:snapToGrid w:val="0"/>
              <w:spacing w:line="240" w:lineRule="exact"/>
              <w:jc w:val="center"/>
              <w:rPr>
                <w:rFonts w:hint="eastAsia" w:ascii="宋体" w:hAnsi="宋体"/>
                <w:spacing w:val="4"/>
                <w:szCs w:val="21"/>
              </w:rPr>
            </w:pPr>
            <w:r>
              <w:rPr>
                <w:rFonts w:ascii="宋体" w:hAnsi="宋体"/>
                <w:spacing w:val="4"/>
                <w:szCs w:val="21"/>
              </w:rPr>
              <w:t>≥80</w:t>
            </w:r>
          </w:p>
        </w:tc>
        <w:tc>
          <w:tcPr>
            <w:tcW w:w="347" w:type="pct"/>
            <w:gridSpan w:val="2"/>
            <w:vAlign w:val="center"/>
          </w:tcPr>
          <w:p w14:paraId="36B8DBAE">
            <w:pPr>
              <w:adjustRightInd w:val="0"/>
              <w:snapToGrid w:val="0"/>
              <w:spacing w:line="240" w:lineRule="exact"/>
              <w:jc w:val="center"/>
              <w:rPr>
                <w:rFonts w:hint="eastAsia" w:ascii="宋体" w:hAnsi="宋体"/>
                <w:spacing w:val="4"/>
                <w:szCs w:val="21"/>
              </w:rPr>
            </w:pPr>
            <w:r>
              <w:rPr>
                <w:rFonts w:hint="eastAsia" w:ascii="宋体" w:hAnsi="宋体"/>
                <w:spacing w:val="4"/>
                <w:szCs w:val="21"/>
              </w:rPr>
              <w:t>100</w:t>
            </w:r>
          </w:p>
        </w:tc>
        <w:tc>
          <w:tcPr>
            <w:tcW w:w="298" w:type="pct"/>
            <w:vAlign w:val="center"/>
          </w:tcPr>
          <w:p w14:paraId="6CD07202">
            <w:pPr>
              <w:adjustRightInd w:val="0"/>
              <w:snapToGrid w:val="0"/>
              <w:spacing w:line="240" w:lineRule="exact"/>
              <w:jc w:val="center"/>
              <w:rPr>
                <w:rFonts w:hint="eastAsia" w:ascii="宋体" w:hAnsi="宋体"/>
                <w:spacing w:val="4"/>
                <w:szCs w:val="21"/>
              </w:rPr>
            </w:pPr>
            <w:r>
              <w:rPr>
                <w:rFonts w:hint="eastAsia" w:ascii="宋体" w:hAnsi="宋体"/>
                <w:spacing w:val="4"/>
                <w:szCs w:val="21"/>
              </w:rPr>
              <w:t>10</w:t>
            </w:r>
          </w:p>
        </w:tc>
      </w:tr>
      <w:tr w14:paraId="1A242F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46F31EBB">
            <w:pPr>
              <w:widowControl/>
              <w:spacing w:line="240" w:lineRule="exact"/>
              <w:jc w:val="left"/>
              <w:rPr>
                <w:rFonts w:hint="eastAsia" w:ascii="宋体" w:hAnsi="宋体"/>
                <w:spacing w:val="4"/>
                <w:szCs w:val="21"/>
              </w:rPr>
            </w:pPr>
          </w:p>
        </w:tc>
        <w:tc>
          <w:tcPr>
            <w:tcW w:w="403" w:type="pct"/>
            <w:vMerge w:val="continue"/>
            <w:vAlign w:val="center"/>
          </w:tcPr>
          <w:p w14:paraId="77EED4AE">
            <w:pPr>
              <w:widowControl/>
              <w:spacing w:line="240" w:lineRule="exact"/>
              <w:jc w:val="left"/>
              <w:rPr>
                <w:rFonts w:hint="eastAsia" w:ascii="宋体" w:hAnsi="宋体"/>
                <w:spacing w:val="4"/>
                <w:szCs w:val="21"/>
              </w:rPr>
            </w:pPr>
          </w:p>
        </w:tc>
        <w:tc>
          <w:tcPr>
            <w:tcW w:w="890" w:type="pct"/>
            <w:gridSpan w:val="3"/>
            <w:vAlign w:val="center"/>
          </w:tcPr>
          <w:p w14:paraId="206214DE">
            <w:pPr>
              <w:adjustRightInd w:val="0"/>
              <w:snapToGrid w:val="0"/>
              <w:spacing w:line="240" w:lineRule="exact"/>
              <w:jc w:val="center"/>
              <w:rPr>
                <w:rFonts w:hint="eastAsia" w:ascii="宋体" w:hAnsi="宋体"/>
                <w:spacing w:val="4"/>
                <w:szCs w:val="21"/>
              </w:rPr>
            </w:pPr>
            <w:r>
              <w:rPr>
                <w:rFonts w:ascii="宋体" w:hAnsi="宋体"/>
                <w:spacing w:val="4"/>
                <w:szCs w:val="21"/>
              </w:rPr>
              <w:t>含油污泥资源化利用率</w:t>
            </w:r>
          </w:p>
        </w:tc>
        <w:tc>
          <w:tcPr>
            <w:tcW w:w="466" w:type="pct"/>
            <w:vAlign w:val="center"/>
          </w:tcPr>
          <w:p w14:paraId="6DC753A6">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12E100B1">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5CE443AA">
            <w:pPr>
              <w:adjustRightInd w:val="0"/>
              <w:snapToGrid w:val="0"/>
              <w:spacing w:line="240" w:lineRule="exact"/>
              <w:jc w:val="center"/>
              <w:rPr>
                <w:rFonts w:hint="eastAsia" w:ascii="宋体" w:hAnsi="宋体"/>
                <w:spacing w:val="4"/>
                <w:szCs w:val="21"/>
              </w:rPr>
            </w:pPr>
            <w:r>
              <w:rPr>
                <w:rFonts w:ascii="宋体" w:hAnsi="宋体"/>
                <w:spacing w:val="4"/>
                <w:szCs w:val="21"/>
              </w:rPr>
              <w:t>≥90</w:t>
            </w:r>
          </w:p>
        </w:tc>
        <w:tc>
          <w:tcPr>
            <w:tcW w:w="347" w:type="pct"/>
            <w:gridSpan w:val="2"/>
            <w:vAlign w:val="center"/>
          </w:tcPr>
          <w:p w14:paraId="3C04C7E5">
            <w:pPr>
              <w:adjustRightInd w:val="0"/>
              <w:snapToGrid w:val="0"/>
              <w:spacing w:line="240" w:lineRule="exact"/>
              <w:jc w:val="center"/>
              <w:rPr>
                <w:rFonts w:hint="eastAsia" w:ascii="宋体" w:hAnsi="宋体"/>
                <w:spacing w:val="4"/>
                <w:szCs w:val="21"/>
              </w:rPr>
            </w:pPr>
            <w:r>
              <w:rPr>
                <w:rFonts w:ascii="宋体" w:hAnsi="宋体"/>
                <w:spacing w:val="4"/>
                <w:szCs w:val="21"/>
              </w:rPr>
              <w:t>100</w:t>
            </w:r>
          </w:p>
        </w:tc>
        <w:tc>
          <w:tcPr>
            <w:tcW w:w="298" w:type="pct"/>
            <w:vAlign w:val="center"/>
          </w:tcPr>
          <w:p w14:paraId="1E756EB1">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1B1BB9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restart"/>
            <w:vAlign w:val="center"/>
          </w:tcPr>
          <w:p w14:paraId="793597DE">
            <w:pPr>
              <w:adjustRightInd w:val="0"/>
              <w:snapToGrid w:val="0"/>
              <w:spacing w:line="240" w:lineRule="exact"/>
              <w:jc w:val="center"/>
              <w:rPr>
                <w:rFonts w:hint="eastAsia" w:ascii="宋体" w:hAnsi="宋体"/>
                <w:spacing w:val="4"/>
                <w:szCs w:val="21"/>
              </w:rPr>
            </w:pPr>
            <w:r>
              <w:rPr>
                <w:rFonts w:ascii="宋体" w:hAnsi="宋体"/>
                <w:spacing w:val="4"/>
                <w:szCs w:val="21"/>
              </w:rPr>
              <w:t>（3）污染物产生指标</w:t>
            </w:r>
          </w:p>
        </w:tc>
        <w:tc>
          <w:tcPr>
            <w:tcW w:w="403" w:type="pct"/>
            <w:vMerge w:val="restart"/>
            <w:vAlign w:val="center"/>
          </w:tcPr>
          <w:p w14:paraId="181015E3">
            <w:pPr>
              <w:adjustRightInd w:val="0"/>
              <w:snapToGrid w:val="0"/>
              <w:spacing w:line="240" w:lineRule="exact"/>
              <w:jc w:val="center"/>
              <w:rPr>
                <w:rFonts w:hint="eastAsia" w:ascii="宋体" w:hAnsi="宋体"/>
                <w:spacing w:val="4"/>
                <w:szCs w:val="21"/>
              </w:rPr>
            </w:pPr>
            <w:r>
              <w:rPr>
                <w:rFonts w:ascii="宋体" w:hAnsi="宋体"/>
                <w:spacing w:val="4"/>
                <w:szCs w:val="21"/>
              </w:rPr>
              <w:t>40</w:t>
            </w:r>
          </w:p>
        </w:tc>
        <w:tc>
          <w:tcPr>
            <w:tcW w:w="890" w:type="pct"/>
            <w:gridSpan w:val="3"/>
            <w:vAlign w:val="center"/>
          </w:tcPr>
          <w:p w14:paraId="3C247138">
            <w:pPr>
              <w:adjustRightInd w:val="0"/>
              <w:snapToGrid w:val="0"/>
              <w:spacing w:line="240" w:lineRule="exact"/>
              <w:jc w:val="center"/>
              <w:rPr>
                <w:rFonts w:hint="eastAsia" w:ascii="宋体" w:hAnsi="宋体"/>
                <w:spacing w:val="4"/>
                <w:szCs w:val="21"/>
              </w:rPr>
            </w:pPr>
            <w:r>
              <w:rPr>
                <w:rFonts w:ascii="宋体" w:hAnsi="宋体"/>
                <w:spacing w:val="4"/>
                <w:szCs w:val="21"/>
              </w:rPr>
              <w:t>石油类</w:t>
            </w:r>
          </w:p>
        </w:tc>
        <w:tc>
          <w:tcPr>
            <w:tcW w:w="466" w:type="pct"/>
            <w:vAlign w:val="center"/>
          </w:tcPr>
          <w:p w14:paraId="5D183D52">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05F553AD">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1252" w:type="pct"/>
            <w:gridSpan w:val="2"/>
            <w:vAlign w:val="center"/>
          </w:tcPr>
          <w:p w14:paraId="2F97C201">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347" w:type="pct"/>
            <w:gridSpan w:val="2"/>
            <w:vAlign w:val="center"/>
          </w:tcPr>
          <w:p w14:paraId="6BFA7601">
            <w:pPr>
              <w:adjustRightInd w:val="0"/>
              <w:snapToGrid w:val="0"/>
              <w:spacing w:line="240" w:lineRule="exact"/>
              <w:jc w:val="center"/>
              <w:rPr>
                <w:rFonts w:hint="eastAsia" w:ascii="宋体" w:hAnsi="宋体"/>
                <w:spacing w:val="4"/>
                <w:szCs w:val="21"/>
              </w:rPr>
            </w:pPr>
            <w:r>
              <w:rPr>
                <w:rFonts w:ascii="宋体" w:hAnsi="宋体"/>
                <w:spacing w:val="4"/>
                <w:szCs w:val="21"/>
              </w:rPr>
              <w:t>0</w:t>
            </w:r>
          </w:p>
        </w:tc>
        <w:tc>
          <w:tcPr>
            <w:tcW w:w="298" w:type="pct"/>
            <w:vAlign w:val="center"/>
          </w:tcPr>
          <w:p w14:paraId="028DF5CF">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355147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11BA7302">
            <w:pPr>
              <w:widowControl/>
              <w:spacing w:line="240" w:lineRule="exact"/>
              <w:jc w:val="left"/>
              <w:rPr>
                <w:rFonts w:hint="eastAsia" w:ascii="宋体" w:hAnsi="宋体"/>
                <w:spacing w:val="4"/>
                <w:szCs w:val="21"/>
              </w:rPr>
            </w:pPr>
          </w:p>
        </w:tc>
        <w:tc>
          <w:tcPr>
            <w:tcW w:w="403" w:type="pct"/>
            <w:vMerge w:val="continue"/>
            <w:vAlign w:val="center"/>
          </w:tcPr>
          <w:p w14:paraId="38DACD46">
            <w:pPr>
              <w:widowControl/>
              <w:spacing w:line="240" w:lineRule="exact"/>
              <w:jc w:val="left"/>
              <w:rPr>
                <w:rFonts w:hint="eastAsia" w:ascii="宋体" w:hAnsi="宋体"/>
                <w:spacing w:val="4"/>
                <w:szCs w:val="21"/>
              </w:rPr>
            </w:pPr>
          </w:p>
        </w:tc>
        <w:tc>
          <w:tcPr>
            <w:tcW w:w="890" w:type="pct"/>
            <w:gridSpan w:val="3"/>
            <w:vAlign w:val="center"/>
          </w:tcPr>
          <w:p w14:paraId="3D01BD16">
            <w:pPr>
              <w:adjustRightInd w:val="0"/>
              <w:snapToGrid w:val="0"/>
              <w:spacing w:line="240" w:lineRule="exact"/>
              <w:jc w:val="center"/>
              <w:rPr>
                <w:rFonts w:hint="eastAsia" w:ascii="宋体" w:hAnsi="宋体"/>
                <w:spacing w:val="4"/>
                <w:szCs w:val="21"/>
              </w:rPr>
            </w:pPr>
            <w:r>
              <w:rPr>
                <w:rFonts w:ascii="宋体" w:hAnsi="宋体"/>
                <w:spacing w:val="4"/>
                <w:szCs w:val="21"/>
              </w:rPr>
              <w:t>COD</w:t>
            </w:r>
          </w:p>
        </w:tc>
        <w:tc>
          <w:tcPr>
            <w:tcW w:w="466" w:type="pct"/>
            <w:vAlign w:val="center"/>
          </w:tcPr>
          <w:p w14:paraId="06BFD9D9">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0915200B">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1252" w:type="pct"/>
            <w:gridSpan w:val="2"/>
            <w:vAlign w:val="center"/>
          </w:tcPr>
          <w:p w14:paraId="0A7B010B">
            <w:pPr>
              <w:adjustRightInd w:val="0"/>
              <w:snapToGrid w:val="0"/>
              <w:spacing w:line="240" w:lineRule="exact"/>
              <w:jc w:val="center"/>
              <w:rPr>
                <w:rFonts w:hint="eastAsia" w:ascii="宋体" w:hAnsi="宋体"/>
                <w:spacing w:val="4"/>
                <w:szCs w:val="21"/>
              </w:rPr>
            </w:pPr>
            <w:r>
              <w:rPr>
                <w:rFonts w:ascii="宋体" w:hAnsi="宋体"/>
                <w:spacing w:val="4"/>
                <w:szCs w:val="21"/>
              </w:rPr>
              <w:t>甲类区：≤100；乙类区：≤150</w:t>
            </w:r>
          </w:p>
        </w:tc>
        <w:tc>
          <w:tcPr>
            <w:tcW w:w="347" w:type="pct"/>
            <w:gridSpan w:val="2"/>
            <w:vAlign w:val="center"/>
          </w:tcPr>
          <w:p w14:paraId="2BE3BB92">
            <w:pPr>
              <w:adjustRightInd w:val="0"/>
              <w:snapToGrid w:val="0"/>
              <w:spacing w:line="240" w:lineRule="exact"/>
              <w:jc w:val="center"/>
              <w:rPr>
                <w:rFonts w:hint="eastAsia" w:ascii="宋体" w:hAnsi="宋体"/>
                <w:spacing w:val="4"/>
                <w:szCs w:val="21"/>
              </w:rPr>
            </w:pPr>
            <w:r>
              <w:rPr>
                <w:rFonts w:ascii="宋体" w:hAnsi="宋体"/>
                <w:spacing w:val="4"/>
                <w:szCs w:val="21"/>
              </w:rPr>
              <w:t>0</w:t>
            </w:r>
          </w:p>
        </w:tc>
        <w:tc>
          <w:tcPr>
            <w:tcW w:w="298" w:type="pct"/>
            <w:vAlign w:val="center"/>
          </w:tcPr>
          <w:p w14:paraId="5A9F88D5">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438437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0A2EA1C1">
            <w:pPr>
              <w:widowControl/>
              <w:spacing w:line="240" w:lineRule="exact"/>
              <w:jc w:val="left"/>
              <w:rPr>
                <w:rFonts w:hint="eastAsia" w:ascii="宋体" w:hAnsi="宋体"/>
                <w:spacing w:val="4"/>
                <w:szCs w:val="21"/>
              </w:rPr>
            </w:pPr>
          </w:p>
        </w:tc>
        <w:tc>
          <w:tcPr>
            <w:tcW w:w="403" w:type="pct"/>
            <w:vMerge w:val="continue"/>
            <w:vAlign w:val="center"/>
          </w:tcPr>
          <w:p w14:paraId="3A002B93">
            <w:pPr>
              <w:widowControl/>
              <w:spacing w:line="240" w:lineRule="exact"/>
              <w:jc w:val="left"/>
              <w:rPr>
                <w:rFonts w:hint="eastAsia" w:ascii="宋体" w:hAnsi="宋体"/>
                <w:spacing w:val="4"/>
                <w:szCs w:val="21"/>
              </w:rPr>
            </w:pPr>
          </w:p>
        </w:tc>
        <w:tc>
          <w:tcPr>
            <w:tcW w:w="890" w:type="pct"/>
            <w:gridSpan w:val="3"/>
            <w:vAlign w:val="center"/>
          </w:tcPr>
          <w:p w14:paraId="339484AA">
            <w:pPr>
              <w:adjustRightInd w:val="0"/>
              <w:snapToGrid w:val="0"/>
              <w:spacing w:line="240" w:lineRule="exact"/>
              <w:jc w:val="center"/>
              <w:rPr>
                <w:rFonts w:hint="eastAsia" w:ascii="宋体" w:hAnsi="宋体"/>
                <w:spacing w:val="4"/>
                <w:szCs w:val="21"/>
              </w:rPr>
            </w:pPr>
            <w:r>
              <w:rPr>
                <w:rFonts w:ascii="宋体" w:hAnsi="宋体"/>
                <w:spacing w:val="4"/>
                <w:szCs w:val="21"/>
              </w:rPr>
              <w:t>落地原油回收利用率</w:t>
            </w:r>
          </w:p>
        </w:tc>
        <w:tc>
          <w:tcPr>
            <w:tcW w:w="466" w:type="pct"/>
            <w:vAlign w:val="center"/>
          </w:tcPr>
          <w:p w14:paraId="63B23490">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46976B1A">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39F4A8C6">
            <w:pPr>
              <w:adjustRightInd w:val="0"/>
              <w:snapToGrid w:val="0"/>
              <w:spacing w:line="240" w:lineRule="exact"/>
              <w:jc w:val="center"/>
              <w:rPr>
                <w:rFonts w:hint="eastAsia" w:ascii="宋体" w:hAnsi="宋体"/>
                <w:spacing w:val="4"/>
                <w:szCs w:val="21"/>
              </w:rPr>
            </w:pPr>
            <w:r>
              <w:rPr>
                <w:rFonts w:ascii="宋体" w:hAnsi="宋体"/>
                <w:spacing w:val="4"/>
                <w:szCs w:val="21"/>
              </w:rPr>
              <w:t>100</w:t>
            </w:r>
          </w:p>
        </w:tc>
        <w:tc>
          <w:tcPr>
            <w:tcW w:w="347" w:type="pct"/>
            <w:gridSpan w:val="2"/>
            <w:vAlign w:val="center"/>
          </w:tcPr>
          <w:p w14:paraId="79FB9615">
            <w:pPr>
              <w:adjustRightInd w:val="0"/>
              <w:snapToGrid w:val="0"/>
              <w:spacing w:line="240" w:lineRule="exact"/>
              <w:jc w:val="center"/>
              <w:rPr>
                <w:rFonts w:hint="eastAsia" w:ascii="宋体" w:hAnsi="宋体"/>
                <w:spacing w:val="4"/>
                <w:szCs w:val="21"/>
              </w:rPr>
            </w:pPr>
            <w:r>
              <w:rPr>
                <w:rFonts w:ascii="宋体" w:hAnsi="宋体"/>
                <w:spacing w:val="4"/>
                <w:szCs w:val="21"/>
              </w:rPr>
              <w:t>100</w:t>
            </w:r>
          </w:p>
        </w:tc>
        <w:tc>
          <w:tcPr>
            <w:tcW w:w="298" w:type="pct"/>
            <w:vAlign w:val="center"/>
          </w:tcPr>
          <w:p w14:paraId="43B9A1E2">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747CB7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42518ED3">
            <w:pPr>
              <w:widowControl/>
              <w:spacing w:line="240" w:lineRule="exact"/>
              <w:jc w:val="left"/>
              <w:rPr>
                <w:rFonts w:hint="eastAsia" w:ascii="宋体" w:hAnsi="宋体"/>
                <w:spacing w:val="4"/>
                <w:szCs w:val="21"/>
              </w:rPr>
            </w:pPr>
          </w:p>
        </w:tc>
        <w:tc>
          <w:tcPr>
            <w:tcW w:w="403" w:type="pct"/>
            <w:vMerge w:val="continue"/>
            <w:vAlign w:val="center"/>
          </w:tcPr>
          <w:p w14:paraId="4DE11B61">
            <w:pPr>
              <w:widowControl/>
              <w:spacing w:line="240" w:lineRule="exact"/>
              <w:jc w:val="left"/>
              <w:rPr>
                <w:rFonts w:hint="eastAsia" w:ascii="宋体" w:hAnsi="宋体"/>
                <w:spacing w:val="4"/>
                <w:szCs w:val="21"/>
              </w:rPr>
            </w:pPr>
          </w:p>
        </w:tc>
        <w:tc>
          <w:tcPr>
            <w:tcW w:w="890" w:type="pct"/>
            <w:gridSpan w:val="3"/>
            <w:vAlign w:val="center"/>
          </w:tcPr>
          <w:p w14:paraId="4FE43333">
            <w:pPr>
              <w:adjustRightInd w:val="0"/>
              <w:snapToGrid w:val="0"/>
              <w:spacing w:line="240" w:lineRule="exact"/>
              <w:jc w:val="center"/>
              <w:rPr>
                <w:rFonts w:hint="eastAsia" w:ascii="宋体" w:hAnsi="宋体"/>
                <w:spacing w:val="4"/>
                <w:szCs w:val="21"/>
              </w:rPr>
            </w:pPr>
            <w:r>
              <w:rPr>
                <w:rFonts w:ascii="宋体" w:hAnsi="宋体"/>
                <w:spacing w:val="4"/>
                <w:szCs w:val="21"/>
              </w:rPr>
              <w:t>采油废水回用率</w:t>
            </w:r>
          </w:p>
        </w:tc>
        <w:tc>
          <w:tcPr>
            <w:tcW w:w="466" w:type="pct"/>
            <w:vAlign w:val="center"/>
          </w:tcPr>
          <w:p w14:paraId="008D1900">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4004D6F0">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14B68909">
            <w:pPr>
              <w:adjustRightInd w:val="0"/>
              <w:snapToGrid w:val="0"/>
              <w:spacing w:line="240" w:lineRule="exact"/>
              <w:jc w:val="center"/>
              <w:rPr>
                <w:rFonts w:hint="eastAsia" w:ascii="宋体" w:hAnsi="宋体"/>
                <w:spacing w:val="4"/>
                <w:szCs w:val="21"/>
              </w:rPr>
            </w:pPr>
            <w:r>
              <w:rPr>
                <w:rFonts w:ascii="宋体" w:hAnsi="宋体"/>
                <w:spacing w:val="4"/>
                <w:szCs w:val="21"/>
              </w:rPr>
              <w:t>≥60</w:t>
            </w:r>
          </w:p>
        </w:tc>
        <w:tc>
          <w:tcPr>
            <w:tcW w:w="347" w:type="pct"/>
            <w:gridSpan w:val="2"/>
            <w:vAlign w:val="center"/>
          </w:tcPr>
          <w:p w14:paraId="39B3E707">
            <w:pPr>
              <w:adjustRightInd w:val="0"/>
              <w:snapToGrid w:val="0"/>
              <w:spacing w:line="240" w:lineRule="exact"/>
              <w:jc w:val="center"/>
              <w:rPr>
                <w:rFonts w:hint="eastAsia" w:ascii="宋体" w:hAnsi="宋体"/>
                <w:spacing w:val="4"/>
                <w:szCs w:val="21"/>
              </w:rPr>
            </w:pPr>
            <w:r>
              <w:rPr>
                <w:rFonts w:ascii="宋体" w:hAnsi="宋体"/>
                <w:spacing w:val="4"/>
                <w:szCs w:val="21"/>
              </w:rPr>
              <w:t>100</w:t>
            </w:r>
          </w:p>
        </w:tc>
        <w:tc>
          <w:tcPr>
            <w:tcW w:w="298" w:type="pct"/>
            <w:vAlign w:val="center"/>
          </w:tcPr>
          <w:p w14:paraId="45B2B954">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2C039A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6FA385EA">
            <w:pPr>
              <w:widowControl/>
              <w:spacing w:line="240" w:lineRule="exact"/>
              <w:jc w:val="left"/>
              <w:rPr>
                <w:rFonts w:hint="eastAsia" w:ascii="宋体" w:hAnsi="宋体"/>
                <w:spacing w:val="4"/>
                <w:szCs w:val="21"/>
              </w:rPr>
            </w:pPr>
          </w:p>
        </w:tc>
        <w:tc>
          <w:tcPr>
            <w:tcW w:w="403" w:type="pct"/>
            <w:vMerge w:val="continue"/>
            <w:vAlign w:val="center"/>
          </w:tcPr>
          <w:p w14:paraId="6F55516C">
            <w:pPr>
              <w:widowControl/>
              <w:spacing w:line="240" w:lineRule="exact"/>
              <w:jc w:val="left"/>
              <w:rPr>
                <w:rFonts w:hint="eastAsia" w:ascii="宋体" w:hAnsi="宋体"/>
                <w:spacing w:val="4"/>
                <w:szCs w:val="21"/>
              </w:rPr>
            </w:pPr>
          </w:p>
        </w:tc>
        <w:tc>
          <w:tcPr>
            <w:tcW w:w="890" w:type="pct"/>
            <w:gridSpan w:val="3"/>
            <w:vAlign w:val="center"/>
          </w:tcPr>
          <w:p w14:paraId="3721A055">
            <w:pPr>
              <w:adjustRightInd w:val="0"/>
              <w:snapToGrid w:val="0"/>
              <w:spacing w:line="240" w:lineRule="exact"/>
              <w:jc w:val="center"/>
              <w:rPr>
                <w:rFonts w:hint="eastAsia" w:ascii="宋体" w:hAnsi="宋体"/>
                <w:spacing w:val="4"/>
                <w:szCs w:val="21"/>
              </w:rPr>
            </w:pPr>
            <w:r>
              <w:rPr>
                <w:rFonts w:ascii="宋体" w:hAnsi="宋体"/>
                <w:spacing w:val="4"/>
                <w:szCs w:val="21"/>
              </w:rPr>
              <w:t>油井伴生气外排率</w:t>
            </w:r>
          </w:p>
        </w:tc>
        <w:tc>
          <w:tcPr>
            <w:tcW w:w="466" w:type="pct"/>
            <w:vAlign w:val="center"/>
          </w:tcPr>
          <w:p w14:paraId="2010BFB6">
            <w:pPr>
              <w:adjustRightInd w:val="0"/>
              <w:snapToGrid w:val="0"/>
              <w:spacing w:line="240" w:lineRule="exact"/>
              <w:jc w:val="center"/>
              <w:rPr>
                <w:rFonts w:hint="eastAsia" w:ascii="宋体" w:hAnsi="宋体"/>
                <w:spacing w:val="4"/>
                <w:szCs w:val="21"/>
              </w:rPr>
            </w:pPr>
            <w:r>
              <w:rPr>
                <w:rFonts w:ascii="宋体" w:hAnsi="宋体"/>
                <w:spacing w:val="4"/>
                <w:szCs w:val="21"/>
              </w:rPr>
              <w:t>%</w:t>
            </w:r>
          </w:p>
        </w:tc>
        <w:tc>
          <w:tcPr>
            <w:tcW w:w="511" w:type="pct"/>
            <w:gridSpan w:val="2"/>
            <w:vAlign w:val="center"/>
          </w:tcPr>
          <w:p w14:paraId="3D9772FF">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252" w:type="pct"/>
            <w:gridSpan w:val="2"/>
            <w:vAlign w:val="center"/>
          </w:tcPr>
          <w:p w14:paraId="76237E38">
            <w:pPr>
              <w:adjustRightInd w:val="0"/>
              <w:snapToGrid w:val="0"/>
              <w:spacing w:line="240" w:lineRule="exact"/>
              <w:jc w:val="center"/>
              <w:rPr>
                <w:rFonts w:hint="eastAsia" w:ascii="宋体" w:hAnsi="宋体"/>
                <w:spacing w:val="4"/>
                <w:szCs w:val="21"/>
              </w:rPr>
            </w:pPr>
            <w:r>
              <w:rPr>
                <w:rFonts w:ascii="宋体" w:hAnsi="宋体"/>
                <w:spacing w:val="4"/>
                <w:szCs w:val="21"/>
              </w:rPr>
              <w:t>≤20</w:t>
            </w:r>
          </w:p>
        </w:tc>
        <w:tc>
          <w:tcPr>
            <w:tcW w:w="347" w:type="pct"/>
            <w:gridSpan w:val="2"/>
            <w:vAlign w:val="center"/>
          </w:tcPr>
          <w:p w14:paraId="4AAE2587">
            <w:pPr>
              <w:adjustRightInd w:val="0"/>
              <w:snapToGrid w:val="0"/>
              <w:spacing w:line="240" w:lineRule="exact"/>
              <w:jc w:val="center"/>
              <w:rPr>
                <w:rFonts w:hint="eastAsia" w:ascii="宋体" w:hAnsi="宋体"/>
                <w:spacing w:val="4"/>
                <w:szCs w:val="21"/>
              </w:rPr>
            </w:pPr>
            <w:r>
              <w:rPr>
                <w:rFonts w:hint="eastAsia" w:ascii="宋体" w:hAnsi="宋体"/>
                <w:spacing w:val="4"/>
                <w:szCs w:val="21"/>
              </w:rPr>
              <w:t>0</w:t>
            </w:r>
          </w:p>
        </w:tc>
        <w:tc>
          <w:tcPr>
            <w:tcW w:w="298" w:type="pct"/>
            <w:vAlign w:val="center"/>
          </w:tcPr>
          <w:p w14:paraId="15E27733">
            <w:pPr>
              <w:adjustRightInd w:val="0"/>
              <w:snapToGrid w:val="0"/>
              <w:spacing w:line="240" w:lineRule="exact"/>
              <w:jc w:val="center"/>
              <w:rPr>
                <w:rFonts w:hint="eastAsia" w:ascii="宋体" w:hAnsi="宋体"/>
                <w:spacing w:val="4"/>
                <w:szCs w:val="21"/>
              </w:rPr>
            </w:pPr>
            <w:r>
              <w:rPr>
                <w:rFonts w:hint="eastAsia" w:ascii="宋体" w:hAnsi="宋体"/>
                <w:spacing w:val="4"/>
                <w:szCs w:val="21"/>
              </w:rPr>
              <w:t>1</w:t>
            </w:r>
            <w:r>
              <w:rPr>
                <w:rFonts w:ascii="宋体" w:hAnsi="宋体"/>
                <w:spacing w:val="4"/>
                <w:szCs w:val="21"/>
              </w:rPr>
              <w:t>0</w:t>
            </w:r>
          </w:p>
        </w:tc>
      </w:tr>
      <w:tr w14:paraId="270B01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000" w:type="pct"/>
            <w:gridSpan w:val="13"/>
            <w:vAlign w:val="center"/>
          </w:tcPr>
          <w:p w14:paraId="213C72C0">
            <w:pPr>
              <w:adjustRightInd w:val="0"/>
              <w:snapToGrid w:val="0"/>
              <w:spacing w:line="240" w:lineRule="exact"/>
              <w:jc w:val="left"/>
              <w:rPr>
                <w:rFonts w:hint="eastAsia" w:ascii="宋体" w:hAnsi="宋体"/>
                <w:spacing w:val="4"/>
                <w:szCs w:val="21"/>
              </w:rPr>
            </w:pPr>
            <w:r>
              <w:rPr>
                <w:rFonts w:ascii="宋体" w:hAnsi="宋体"/>
                <w:spacing w:val="4"/>
                <w:szCs w:val="21"/>
              </w:rPr>
              <w:t>定性指标</w:t>
            </w:r>
          </w:p>
        </w:tc>
      </w:tr>
      <w:tr w14:paraId="5A0461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Align w:val="center"/>
          </w:tcPr>
          <w:p w14:paraId="6C3CA5E1">
            <w:pPr>
              <w:adjustRightInd w:val="0"/>
              <w:snapToGrid w:val="0"/>
              <w:spacing w:line="240" w:lineRule="exact"/>
              <w:jc w:val="center"/>
              <w:rPr>
                <w:rFonts w:hint="eastAsia" w:ascii="宋体" w:hAnsi="宋体"/>
                <w:spacing w:val="4"/>
                <w:szCs w:val="21"/>
              </w:rPr>
            </w:pPr>
            <w:r>
              <w:rPr>
                <w:rFonts w:ascii="宋体" w:hAnsi="宋体"/>
                <w:spacing w:val="4"/>
                <w:szCs w:val="21"/>
              </w:rPr>
              <w:t>一级指标</w:t>
            </w:r>
          </w:p>
        </w:tc>
        <w:tc>
          <w:tcPr>
            <w:tcW w:w="491" w:type="pct"/>
            <w:gridSpan w:val="2"/>
            <w:vAlign w:val="center"/>
          </w:tcPr>
          <w:p w14:paraId="6DB4A591">
            <w:pPr>
              <w:adjustRightInd w:val="0"/>
              <w:snapToGrid w:val="0"/>
              <w:spacing w:line="240" w:lineRule="exact"/>
              <w:jc w:val="center"/>
              <w:rPr>
                <w:rFonts w:hint="eastAsia" w:ascii="宋体" w:hAnsi="宋体"/>
                <w:spacing w:val="4"/>
                <w:szCs w:val="21"/>
              </w:rPr>
            </w:pPr>
            <w:r>
              <w:rPr>
                <w:rFonts w:ascii="宋体" w:hAnsi="宋体"/>
                <w:spacing w:val="4"/>
                <w:szCs w:val="21"/>
              </w:rPr>
              <w:t>指标分值</w:t>
            </w:r>
          </w:p>
        </w:tc>
        <w:tc>
          <w:tcPr>
            <w:tcW w:w="2781" w:type="pct"/>
            <w:gridSpan w:val="6"/>
            <w:vAlign w:val="center"/>
          </w:tcPr>
          <w:p w14:paraId="46409D31">
            <w:pPr>
              <w:adjustRightInd w:val="0"/>
              <w:snapToGrid w:val="0"/>
              <w:spacing w:line="240" w:lineRule="exact"/>
              <w:jc w:val="center"/>
              <w:rPr>
                <w:rFonts w:hint="eastAsia" w:ascii="宋体" w:hAnsi="宋体"/>
                <w:spacing w:val="4"/>
                <w:szCs w:val="21"/>
              </w:rPr>
            </w:pPr>
            <w:r>
              <w:rPr>
                <w:rFonts w:ascii="宋体" w:hAnsi="宋体"/>
                <w:spacing w:val="4"/>
                <w:szCs w:val="21"/>
              </w:rPr>
              <w:t>二级指标</w:t>
            </w:r>
          </w:p>
        </w:tc>
        <w:tc>
          <w:tcPr>
            <w:tcW w:w="397" w:type="pct"/>
            <w:gridSpan w:val="2"/>
            <w:vAlign w:val="center"/>
          </w:tcPr>
          <w:p w14:paraId="37DB41D5">
            <w:pPr>
              <w:adjustRightInd w:val="0"/>
              <w:snapToGrid w:val="0"/>
              <w:spacing w:line="240" w:lineRule="exact"/>
              <w:jc w:val="center"/>
              <w:rPr>
                <w:rFonts w:hint="eastAsia" w:ascii="宋体" w:hAnsi="宋体"/>
                <w:spacing w:val="4"/>
                <w:szCs w:val="21"/>
              </w:rPr>
            </w:pPr>
            <w:r>
              <w:rPr>
                <w:rFonts w:ascii="宋体" w:hAnsi="宋体"/>
                <w:spacing w:val="4"/>
                <w:szCs w:val="21"/>
              </w:rPr>
              <w:t>指标分值</w:t>
            </w:r>
          </w:p>
        </w:tc>
        <w:tc>
          <w:tcPr>
            <w:tcW w:w="496" w:type="pct"/>
            <w:gridSpan w:val="2"/>
            <w:vAlign w:val="center"/>
          </w:tcPr>
          <w:p w14:paraId="71796AD5">
            <w:pPr>
              <w:adjustRightInd w:val="0"/>
              <w:snapToGrid w:val="0"/>
              <w:spacing w:line="240" w:lineRule="exact"/>
              <w:jc w:val="center"/>
              <w:rPr>
                <w:rFonts w:hint="eastAsia" w:ascii="宋体" w:hAnsi="宋体"/>
                <w:spacing w:val="4"/>
                <w:szCs w:val="21"/>
              </w:rPr>
            </w:pPr>
            <w:r>
              <w:rPr>
                <w:rFonts w:ascii="宋体" w:hAnsi="宋体"/>
                <w:spacing w:val="4"/>
                <w:szCs w:val="21"/>
              </w:rPr>
              <w:t>本项目评分</w:t>
            </w:r>
          </w:p>
        </w:tc>
      </w:tr>
      <w:tr w14:paraId="13D51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restart"/>
            <w:vAlign w:val="center"/>
          </w:tcPr>
          <w:p w14:paraId="750F9457">
            <w:pPr>
              <w:adjustRightInd w:val="0"/>
              <w:snapToGrid w:val="0"/>
              <w:spacing w:line="240" w:lineRule="exact"/>
              <w:jc w:val="center"/>
              <w:rPr>
                <w:rFonts w:hint="eastAsia" w:ascii="宋体" w:hAnsi="宋体"/>
                <w:spacing w:val="4"/>
                <w:szCs w:val="21"/>
              </w:rPr>
            </w:pPr>
            <w:r>
              <w:rPr>
                <w:rFonts w:ascii="宋体" w:hAnsi="宋体"/>
                <w:spacing w:val="4"/>
                <w:szCs w:val="21"/>
              </w:rPr>
              <w:t>（1）生产工艺及设备要求</w:t>
            </w:r>
          </w:p>
        </w:tc>
        <w:tc>
          <w:tcPr>
            <w:tcW w:w="491" w:type="pct"/>
            <w:gridSpan w:val="2"/>
            <w:vMerge w:val="restart"/>
            <w:vAlign w:val="center"/>
          </w:tcPr>
          <w:p w14:paraId="71BACDE1">
            <w:pPr>
              <w:adjustRightInd w:val="0"/>
              <w:snapToGrid w:val="0"/>
              <w:spacing w:line="240" w:lineRule="exact"/>
              <w:jc w:val="center"/>
              <w:rPr>
                <w:rFonts w:hint="eastAsia" w:ascii="宋体" w:hAnsi="宋体"/>
                <w:spacing w:val="4"/>
                <w:szCs w:val="21"/>
              </w:rPr>
            </w:pPr>
            <w:r>
              <w:rPr>
                <w:rFonts w:ascii="宋体" w:hAnsi="宋体"/>
                <w:spacing w:val="4"/>
                <w:szCs w:val="21"/>
              </w:rPr>
              <w:t>45</w:t>
            </w:r>
          </w:p>
        </w:tc>
        <w:tc>
          <w:tcPr>
            <w:tcW w:w="1777" w:type="pct"/>
            <w:gridSpan w:val="5"/>
            <w:vAlign w:val="center"/>
          </w:tcPr>
          <w:p w14:paraId="26792FBE">
            <w:pPr>
              <w:adjustRightInd w:val="0"/>
              <w:snapToGrid w:val="0"/>
              <w:spacing w:line="240" w:lineRule="exact"/>
              <w:jc w:val="center"/>
              <w:rPr>
                <w:rFonts w:hint="eastAsia" w:ascii="宋体" w:hAnsi="宋体"/>
                <w:spacing w:val="4"/>
                <w:szCs w:val="21"/>
              </w:rPr>
            </w:pPr>
            <w:r>
              <w:rPr>
                <w:rFonts w:ascii="宋体" w:hAnsi="宋体"/>
                <w:spacing w:val="4"/>
                <w:szCs w:val="21"/>
              </w:rPr>
              <w:t>井筒质量</w:t>
            </w:r>
          </w:p>
        </w:tc>
        <w:tc>
          <w:tcPr>
            <w:tcW w:w="1004" w:type="pct"/>
            <w:vAlign w:val="center"/>
          </w:tcPr>
          <w:p w14:paraId="1229615F">
            <w:pPr>
              <w:adjustRightInd w:val="0"/>
              <w:snapToGrid w:val="0"/>
              <w:spacing w:line="240" w:lineRule="exact"/>
              <w:jc w:val="center"/>
              <w:rPr>
                <w:rFonts w:hint="eastAsia" w:ascii="宋体" w:hAnsi="宋体"/>
                <w:spacing w:val="4"/>
                <w:szCs w:val="21"/>
              </w:rPr>
            </w:pPr>
            <w:r>
              <w:rPr>
                <w:rFonts w:ascii="宋体" w:hAnsi="宋体"/>
                <w:spacing w:val="4"/>
                <w:szCs w:val="21"/>
              </w:rPr>
              <w:t>井筒设施完好</w:t>
            </w:r>
          </w:p>
        </w:tc>
        <w:tc>
          <w:tcPr>
            <w:tcW w:w="397" w:type="pct"/>
            <w:gridSpan w:val="2"/>
            <w:vAlign w:val="center"/>
          </w:tcPr>
          <w:p w14:paraId="588928B7">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20EBDEF5">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3F5999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7089E8FB">
            <w:pPr>
              <w:widowControl/>
              <w:spacing w:line="240" w:lineRule="exact"/>
              <w:jc w:val="left"/>
              <w:rPr>
                <w:rFonts w:hint="eastAsia" w:ascii="宋体" w:hAnsi="宋体"/>
                <w:spacing w:val="4"/>
                <w:szCs w:val="21"/>
              </w:rPr>
            </w:pPr>
          </w:p>
        </w:tc>
        <w:tc>
          <w:tcPr>
            <w:tcW w:w="491" w:type="pct"/>
            <w:gridSpan w:val="2"/>
            <w:vMerge w:val="continue"/>
            <w:vAlign w:val="center"/>
          </w:tcPr>
          <w:p w14:paraId="75BBE037">
            <w:pPr>
              <w:widowControl/>
              <w:spacing w:line="240" w:lineRule="exact"/>
              <w:jc w:val="left"/>
              <w:rPr>
                <w:rFonts w:hint="eastAsia" w:ascii="宋体" w:hAnsi="宋体"/>
                <w:spacing w:val="4"/>
                <w:szCs w:val="21"/>
              </w:rPr>
            </w:pPr>
          </w:p>
        </w:tc>
        <w:tc>
          <w:tcPr>
            <w:tcW w:w="206" w:type="pct"/>
            <w:vMerge w:val="restart"/>
            <w:vAlign w:val="center"/>
          </w:tcPr>
          <w:p w14:paraId="439581B6">
            <w:pPr>
              <w:adjustRightInd w:val="0"/>
              <w:snapToGrid w:val="0"/>
              <w:spacing w:line="240" w:lineRule="exact"/>
              <w:jc w:val="center"/>
              <w:rPr>
                <w:rFonts w:hint="eastAsia" w:ascii="宋体" w:hAnsi="宋体"/>
                <w:spacing w:val="4"/>
                <w:szCs w:val="21"/>
              </w:rPr>
            </w:pPr>
            <w:r>
              <w:rPr>
                <w:rFonts w:ascii="宋体" w:hAnsi="宋体"/>
                <w:spacing w:val="4"/>
                <w:szCs w:val="21"/>
              </w:rPr>
              <w:t>采气</w:t>
            </w:r>
          </w:p>
        </w:tc>
        <w:tc>
          <w:tcPr>
            <w:tcW w:w="1060" w:type="pct"/>
            <w:gridSpan w:val="2"/>
            <w:vAlign w:val="center"/>
          </w:tcPr>
          <w:p w14:paraId="599DF3F7">
            <w:pPr>
              <w:adjustRightInd w:val="0"/>
              <w:snapToGrid w:val="0"/>
              <w:spacing w:line="240" w:lineRule="exact"/>
              <w:jc w:val="center"/>
              <w:rPr>
                <w:rFonts w:hint="eastAsia" w:ascii="宋体" w:hAnsi="宋体"/>
                <w:spacing w:val="4"/>
                <w:szCs w:val="21"/>
              </w:rPr>
            </w:pPr>
            <w:r>
              <w:rPr>
                <w:rFonts w:hint="eastAsia" w:ascii="宋体" w:hAnsi="宋体"/>
                <w:spacing w:val="4"/>
                <w:szCs w:val="21"/>
              </w:rPr>
              <w:t>/</w:t>
            </w:r>
          </w:p>
        </w:tc>
        <w:tc>
          <w:tcPr>
            <w:tcW w:w="357" w:type="pct"/>
            <w:vAlign w:val="center"/>
          </w:tcPr>
          <w:p w14:paraId="1BA52433">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153" w:type="pct"/>
            <w:vMerge w:val="restart"/>
            <w:vAlign w:val="center"/>
          </w:tcPr>
          <w:p w14:paraId="296A675C">
            <w:pPr>
              <w:adjustRightInd w:val="0"/>
              <w:snapToGrid w:val="0"/>
              <w:spacing w:line="240" w:lineRule="exact"/>
              <w:jc w:val="center"/>
              <w:rPr>
                <w:rFonts w:hint="eastAsia" w:ascii="宋体" w:hAnsi="宋体"/>
                <w:spacing w:val="4"/>
                <w:szCs w:val="21"/>
              </w:rPr>
            </w:pPr>
            <w:r>
              <w:rPr>
                <w:rFonts w:hint="eastAsia" w:ascii="宋体" w:hAnsi="宋体"/>
                <w:spacing w:val="4"/>
                <w:szCs w:val="21"/>
              </w:rPr>
              <w:t>采油</w:t>
            </w:r>
          </w:p>
        </w:tc>
        <w:tc>
          <w:tcPr>
            <w:tcW w:w="1004" w:type="pct"/>
            <w:vAlign w:val="center"/>
          </w:tcPr>
          <w:p w14:paraId="720BFC0D">
            <w:pPr>
              <w:adjustRightInd w:val="0"/>
              <w:snapToGrid w:val="0"/>
              <w:spacing w:line="240" w:lineRule="exact"/>
              <w:jc w:val="center"/>
              <w:rPr>
                <w:rFonts w:hint="eastAsia" w:ascii="宋体" w:hAnsi="宋体"/>
                <w:spacing w:val="4"/>
                <w:szCs w:val="21"/>
              </w:rPr>
            </w:pPr>
            <w:r>
              <w:rPr>
                <w:rFonts w:hint="eastAsia" w:ascii="宋体" w:hAnsi="宋体"/>
                <w:spacing w:val="4"/>
                <w:szCs w:val="21"/>
              </w:rPr>
              <w:t>套管气回收装置</w:t>
            </w:r>
          </w:p>
        </w:tc>
        <w:tc>
          <w:tcPr>
            <w:tcW w:w="397" w:type="pct"/>
            <w:gridSpan w:val="2"/>
            <w:vAlign w:val="center"/>
          </w:tcPr>
          <w:p w14:paraId="50D17170">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496" w:type="pct"/>
            <w:gridSpan w:val="2"/>
            <w:vAlign w:val="center"/>
          </w:tcPr>
          <w:p w14:paraId="0DF9B320">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347B7E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6B62E39F">
            <w:pPr>
              <w:widowControl/>
              <w:spacing w:line="240" w:lineRule="exact"/>
              <w:jc w:val="left"/>
              <w:rPr>
                <w:rFonts w:hint="eastAsia" w:ascii="宋体" w:hAnsi="宋体"/>
                <w:spacing w:val="4"/>
                <w:szCs w:val="21"/>
              </w:rPr>
            </w:pPr>
          </w:p>
        </w:tc>
        <w:tc>
          <w:tcPr>
            <w:tcW w:w="491" w:type="pct"/>
            <w:gridSpan w:val="2"/>
            <w:vMerge w:val="continue"/>
            <w:vAlign w:val="center"/>
          </w:tcPr>
          <w:p w14:paraId="4BC32AF8">
            <w:pPr>
              <w:widowControl/>
              <w:spacing w:line="240" w:lineRule="exact"/>
              <w:jc w:val="left"/>
              <w:rPr>
                <w:rFonts w:hint="eastAsia" w:ascii="宋体" w:hAnsi="宋体"/>
                <w:spacing w:val="4"/>
                <w:szCs w:val="21"/>
              </w:rPr>
            </w:pPr>
          </w:p>
        </w:tc>
        <w:tc>
          <w:tcPr>
            <w:tcW w:w="206" w:type="pct"/>
            <w:vMerge w:val="continue"/>
            <w:vAlign w:val="center"/>
          </w:tcPr>
          <w:p w14:paraId="19544EA1">
            <w:pPr>
              <w:widowControl/>
              <w:spacing w:line="240" w:lineRule="exact"/>
              <w:jc w:val="left"/>
              <w:rPr>
                <w:rFonts w:hint="eastAsia" w:ascii="宋体" w:hAnsi="宋体"/>
                <w:spacing w:val="4"/>
                <w:szCs w:val="21"/>
              </w:rPr>
            </w:pPr>
          </w:p>
        </w:tc>
        <w:tc>
          <w:tcPr>
            <w:tcW w:w="1060" w:type="pct"/>
            <w:gridSpan w:val="2"/>
            <w:vAlign w:val="center"/>
          </w:tcPr>
          <w:p w14:paraId="5259247E">
            <w:pPr>
              <w:adjustRightInd w:val="0"/>
              <w:snapToGrid w:val="0"/>
              <w:spacing w:line="240" w:lineRule="exact"/>
              <w:jc w:val="center"/>
              <w:rPr>
                <w:rFonts w:hint="eastAsia" w:ascii="宋体" w:hAnsi="宋体"/>
                <w:spacing w:val="4"/>
                <w:szCs w:val="21"/>
              </w:rPr>
            </w:pPr>
            <w:r>
              <w:rPr>
                <w:rFonts w:hint="eastAsia" w:ascii="宋体" w:hAnsi="宋体"/>
                <w:spacing w:val="4"/>
                <w:szCs w:val="21"/>
              </w:rPr>
              <w:t>/</w:t>
            </w:r>
          </w:p>
        </w:tc>
        <w:tc>
          <w:tcPr>
            <w:tcW w:w="357" w:type="pct"/>
            <w:vAlign w:val="center"/>
          </w:tcPr>
          <w:p w14:paraId="40D9E3D8">
            <w:pPr>
              <w:adjustRightInd w:val="0"/>
              <w:snapToGrid w:val="0"/>
              <w:spacing w:line="240" w:lineRule="exact"/>
              <w:jc w:val="center"/>
              <w:rPr>
                <w:rFonts w:hint="eastAsia" w:ascii="宋体" w:hAnsi="宋体"/>
                <w:spacing w:val="4"/>
                <w:szCs w:val="21"/>
              </w:rPr>
            </w:pPr>
            <w:r>
              <w:rPr>
                <w:rFonts w:ascii="宋体" w:hAnsi="宋体"/>
                <w:spacing w:val="4"/>
                <w:szCs w:val="21"/>
              </w:rPr>
              <w:t>20</w:t>
            </w:r>
          </w:p>
        </w:tc>
        <w:tc>
          <w:tcPr>
            <w:tcW w:w="153" w:type="pct"/>
            <w:vMerge w:val="continue"/>
            <w:vAlign w:val="center"/>
          </w:tcPr>
          <w:p w14:paraId="0206A8CB">
            <w:pPr>
              <w:widowControl/>
              <w:spacing w:line="240" w:lineRule="exact"/>
              <w:jc w:val="left"/>
              <w:rPr>
                <w:rFonts w:hint="eastAsia" w:ascii="宋体" w:hAnsi="宋体"/>
                <w:spacing w:val="4"/>
                <w:szCs w:val="21"/>
              </w:rPr>
            </w:pPr>
          </w:p>
        </w:tc>
        <w:tc>
          <w:tcPr>
            <w:tcW w:w="1004" w:type="pct"/>
            <w:vAlign w:val="center"/>
          </w:tcPr>
          <w:p w14:paraId="5486269F">
            <w:pPr>
              <w:adjustRightInd w:val="0"/>
              <w:snapToGrid w:val="0"/>
              <w:spacing w:line="240" w:lineRule="exact"/>
              <w:jc w:val="center"/>
              <w:rPr>
                <w:rFonts w:hint="eastAsia" w:ascii="宋体" w:hAnsi="宋体"/>
                <w:spacing w:val="4"/>
                <w:szCs w:val="21"/>
              </w:rPr>
            </w:pPr>
            <w:r>
              <w:rPr>
                <w:rFonts w:hint="eastAsia" w:ascii="宋体" w:hAnsi="宋体"/>
                <w:spacing w:val="4"/>
                <w:szCs w:val="21"/>
              </w:rPr>
              <w:t>防止落地原油产生措施</w:t>
            </w:r>
          </w:p>
        </w:tc>
        <w:tc>
          <w:tcPr>
            <w:tcW w:w="397" w:type="pct"/>
            <w:gridSpan w:val="2"/>
            <w:vAlign w:val="center"/>
          </w:tcPr>
          <w:p w14:paraId="3984886B">
            <w:pPr>
              <w:adjustRightInd w:val="0"/>
              <w:snapToGrid w:val="0"/>
              <w:spacing w:line="240" w:lineRule="exact"/>
              <w:jc w:val="center"/>
              <w:rPr>
                <w:rFonts w:hint="eastAsia" w:ascii="宋体" w:hAnsi="宋体"/>
                <w:spacing w:val="4"/>
                <w:szCs w:val="21"/>
              </w:rPr>
            </w:pPr>
            <w:r>
              <w:rPr>
                <w:rFonts w:ascii="宋体" w:hAnsi="宋体"/>
                <w:spacing w:val="4"/>
                <w:szCs w:val="21"/>
              </w:rPr>
              <w:t>20</w:t>
            </w:r>
          </w:p>
        </w:tc>
        <w:tc>
          <w:tcPr>
            <w:tcW w:w="496" w:type="pct"/>
            <w:gridSpan w:val="2"/>
            <w:vAlign w:val="center"/>
          </w:tcPr>
          <w:p w14:paraId="2C723582">
            <w:pPr>
              <w:adjustRightInd w:val="0"/>
              <w:snapToGrid w:val="0"/>
              <w:spacing w:line="240" w:lineRule="exact"/>
              <w:jc w:val="center"/>
              <w:rPr>
                <w:rFonts w:hint="eastAsia" w:ascii="宋体" w:hAnsi="宋体"/>
                <w:spacing w:val="4"/>
                <w:szCs w:val="21"/>
              </w:rPr>
            </w:pPr>
            <w:r>
              <w:rPr>
                <w:rFonts w:ascii="宋体" w:hAnsi="宋体"/>
                <w:spacing w:val="4"/>
                <w:szCs w:val="21"/>
              </w:rPr>
              <w:t>20</w:t>
            </w:r>
          </w:p>
        </w:tc>
      </w:tr>
      <w:tr w14:paraId="617187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00AC84B8">
            <w:pPr>
              <w:widowControl/>
              <w:spacing w:line="240" w:lineRule="exact"/>
              <w:jc w:val="left"/>
              <w:rPr>
                <w:rFonts w:hint="eastAsia" w:ascii="宋体" w:hAnsi="宋体"/>
                <w:spacing w:val="4"/>
                <w:szCs w:val="21"/>
              </w:rPr>
            </w:pPr>
          </w:p>
        </w:tc>
        <w:tc>
          <w:tcPr>
            <w:tcW w:w="491" w:type="pct"/>
            <w:gridSpan w:val="2"/>
            <w:vMerge w:val="continue"/>
            <w:vAlign w:val="center"/>
          </w:tcPr>
          <w:p w14:paraId="756C37C5">
            <w:pPr>
              <w:widowControl/>
              <w:spacing w:line="240" w:lineRule="exact"/>
              <w:jc w:val="left"/>
              <w:rPr>
                <w:rFonts w:hint="eastAsia" w:ascii="宋体" w:hAnsi="宋体"/>
                <w:spacing w:val="4"/>
                <w:szCs w:val="21"/>
              </w:rPr>
            </w:pPr>
          </w:p>
        </w:tc>
        <w:tc>
          <w:tcPr>
            <w:tcW w:w="1777" w:type="pct"/>
            <w:gridSpan w:val="5"/>
            <w:vAlign w:val="center"/>
          </w:tcPr>
          <w:p w14:paraId="53A471DC">
            <w:pPr>
              <w:widowControl/>
              <w:spacing w:line="240" w:lineRule="exact"/>
              <w:jc w:val="center"/>
              <w:rPr>
                <w:rFonts w:hint="eastAsia" w:ascii="宋体" w:hAnsi="宋体"/>
                <w:spacing w:val="4"/>
                <w:szCs w:val="21"/>
              </w:rPr>
            </w:pPr>
            <w:r>
              <w:rPr>
                <w:rFonts w:hint="eastAsia" w:ascii="宋体" w:hAnsi="宋体"/>
                <w:spacing w:val="4"/>
                <w:szCs w:val="21"/>
              </w:rPr>
              <w:t>采油方式</w:t>
            </w:r>
          </w:p>
        </w:tc>
        <w:tc>
          <w:tcPr>
            <w:tcW w:w="1004" w:type="pct"/>
            <w:vAlign w:val="center"/>
          </w:tcPr>
          <w:p w14:paraId="66B0DC83">
            <w:pPr>
              <w:adjustRightInd w:val="0"/>
              <w:snapToGrid w:val="0"/>
              <w:spacing w:line="240" w:lineRule="exact"/>
              <w:jc w:val="center"/>
              <w:rPr>
                <w:rFonts w:hint="eastAsia" w:ascii="宋体" w:hAnsi="宋体"/>
                <w:spacing w:val="4"/>
                <w:szCs w:val="21"/>
              </w:rPr>
            </w:pPr>
            <w:r>
              <w:rPr>
                <w:rFonts w:hint="eastAsia" w:ascii="宋体" w:hAnsi="宋体"/>
                <w:spacing w:val="4"/>
                <w:szCs w:val="21"/>
              </w:rPr>
              <w:t>采油方式经过综合评价确定</w:t>
            </w:r>
          </w:p>
        </w:tc>
        <w:tc>
          <w:tcPr>
            <w:tcW w:w="397" w:type="pct"/>
            <w:gridSpan w:val="2"/>
            <w:vAlign w:val="center"/>
          </w:tcPr>
          <w:p w14:paraId="2A087465">
            <w:pPr>
              <w:adjustRightInd w:val="0"/>
              <w:snapToGrid w:val="0"/>
              <w:spacing w:line="240" w:lineRule="exact"/>
              <w:jc w:val="center"/>
              <w:rPr>
                <w:rFonts w:hint="eastAsia" w:ascii="宋体" w:hAnsi="宋体"/>
                <w:spacing w:val="4"/>
                <w:szCs w:val="21"/>
              </w:rPr>
            </w:pPr>
            <w:r>
              <w:rPr>
                <w:rFonts w:hint="eastAsia" w:ascii="宋体" w:hAnsi="宋体"/>
                <w:spacing w:val="4"/>
                <w:szCs w:val="21"/>
              </w:rPr>
              <w:t>1</w:t>
            </w:r>
            <w:r>
              <w:rPr>
                <w:rFonts w:ascii="宋体" w:hAnsi="宋体"/>
                <w:spacing w:val="4"/>
                <w:szCs w:val="21"/>
              </w:rPr>
              <w:t>0</w:t>
            </w:r>
          </w:p>
        </w:tc>
        <w:tc>
          <w:tcPr>
            <w:tcW w:w="496" w:type="pct"/>
            <w:gridSpan w:val="2"/>
            <w:vAlign w:val="center"/>
          </w:tcPr>
          <w:p w14:paraId="21660243">
            <w:pPr>
              <w:adjustRightInd w:val="0"/>
              <w:snapToGrid w:val="0"/>
              <w:spacing w:line="240" w:lineRule="exact"/>
              <w:jc w:val="center"/>
              <w:rPr>
                <w:rFonts w:hint="eastAsia" w:ascii="宋体" w:hAnsi="宋体"/>
                <w:spacing w:val="4"/>
                <w:szCs w:val="21"/>
              </w:rPr>
            </w:pPr>
            <w:r>
              <w:rPr>
                <w:rFonts w:hint="eastAsia" w:ascii="宋体" w:hAnsi="宋体"/>
                <w:spacing w:val="4"/>
                <w:szCs w:val="21"/>
              </w:rPr>
              <w:t>1</w:t>
            </w:r>
            <w:r>
              <w:rPr>
                <w:rFonts w:ascii="宋体" w:hAnsi="宋体"/>
                <w:spacing w:val="4"/>
                <w:szCs w:val="21"/>
              </w:rPr>
              <w:t>0</w:t>
            </w:r>
          </w:p>
        </w:tc>
      </w:tr>
      <w:tr w14:paraId="6F6553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5B6163D3">
            <w:pPr>
              <w:widowControl/>
              <w:spacing w:line="240" w:lineRule="exact"/>
              <w:jc w:val="left"/>
              <w:rPr>
                <w:rFonts w:hint="eastAsia" w:ascii="宋体" w:hAnsi="宋体"/>
                <w:spacing w:val="4"/>
                <w:szCs w:val="21"/>
              </w:rPr>
            </w:pPr>
          </w:p>
        </w:tc>
        <w:tc>
          <w:tcPr>
            <w:tcW w:w="491" w:type="pct"/>
            <w:gridSpan w:val="2"/>
            <w:vMerge w:val="continue"/>
            <w:vAlign w:val="center"/>
          </w:tcPr>
          <w:p w14:paraId="423F8C57">
            <w:pPr>
              <w:widowControl/>
              <w:spacing w:line="240" w:lineRule="exact"/>
              <w:jc w:val="left"/>
              <w:rPr>
                <w:rFonts w:hint="eastAsia" w:ascii="宋体" w:hAnsi="宋体"/>
                <w:spacing w:val="4"/>
                <w:szCs w:val="21"/>
              </w:rPr>
            </w:pPr>
          </w:p>
        </w:tc>
        <w:tc>
          <w:tcPr>
            <w:tcW w:w="1777" w:type="pct"/>
            <w:gridSpan w:val="5"/>
            <w:vAlign w:val="center"/>
          </w:tcPr>
          <w:p w14:paraId="1AF7B4A8">
            <w:pPr>
              <w:adjustRightInd w:val="0"/>
              <w:snapToGrid w:val="0"/>
              <w:spacing w:line="240" w:lineRule="exact"/>
              <w:jc w:val="center"/>
              <w:rPr>
                <w:rFonts w:hint="eastAsia" w:ascii="宋体" w:hAnsi="宋体"/>
                <w:spacing w:val="4"/>
                <w:szCs w:val="21"/>
              </w:rPr>
            </w:pPr>
            <w:r>
              <w:rPr>
                <w:rFonts w:ascii="宋体" w:hAnsi="宋体"/>
                <w:spacing w:val="4"/>
                <w:szCs w:val="21"/>
              </w:rPr>
              <w:t>集输流程</w:t>
            </w:r>
          </w:p>
        </w:tc>
        <w:tc>
          <w:tcPr>
            <w:tcW w:w="1004" w:type="pct"/>
            <w:vAlign w:val="center"/>
          </w:tcPr>
          <w:p w14:paraId="2BDA5CB6">
            <w:pPr>
              <w:adjustRightInd w:val="0"/>
              <w:snapToGrid w:val="0"/>
              <w:spacing w:line="240" w:lineRule="exact"/>
              <w:jc w:val="center"/>
              <w:rPr>
                <w:rFonts w:hint="eastAsia" w:ascii="宋体" w:hAnsi="宋体"/>
                <w:spacing w:val="4"/>
                <w:szCs w:val="21"/>
              </w:rPr>
            </w:pPr>
            <w:r>
              <w:rPr>
                <w:rFonts w:ascii="宋体" w:hAnsi="宋体"/>
                <w:spacing w:val="4"/>
                <w:szCs w:val="21"/>
              </w:rPr>
              <w:t>全密闭流程</w:t>
            </w:r>
          </w:p>
        </w:tc>
        <w:tc>
          <w:tcPr>
            <w:tcW w:w="397" w:type="pct"/>
            <w:gridSpan w:val="2"/>
            <w:vAlign w:val="center"/>
          </w:tcPr>
          <w:p w14:paraId="73237720">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496" w:type="pct"/>
            <w:gridSpan w:val="2"/>
            <w:vAlign w:val="center"/>
          </w:tcPr>
          <w:p w14:paraId="329DEBA1">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29F69D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restart"/>
            <w:vAlign w:val="center"/>
          </w:tcPr>
          <w:p w14:paraId="1D464705">
            <w:pPr>
              <w:adjustRightInd w:val="0"/>
              <w:snapToGrid w:val="0"/>
              <w:spacing w:line="240" w:lineRule="exact"/>
              <w:jc w:val="center"/>
              <w:rPr>
                <w:rFonts w:hint="eastAsia" w:ascii="宋体" w:hAnsi="宋体"/>
                <w:spacing w:val="4"/>
                <w:szCs w:val="21"/>
              </w:rPr>
            </w:pPr>
            <w:r>
              <w:rPr>
                <w:rFonts w:ascii="宋体" w:hAnsi="宋体"/>
                <w:spacing w:val="4"/>
                <w:szCs w:val="21"/>
              </w:rPr>
              <w:t>（2）管理体系建设及</w:t>
            </w:r>
          </w:p>
          <w:p w14:paraId="2C1F444A">
            <w:pPr>
              <w:adjustRightInd w:val="0"/>
              <w:snapToGrid w:val="0"/>
              <w:spacing w:line="240" w:lineRule="exact"/>
              <w:jc w:val="center"/>
              <w:rPr>
                <w:rFonts w:hint="eastAsia" w:ascii="宋体" w:hAnsi="宋体"/>
                <w:spacing w:val="4"/>
                <w:szCs w:val="21"/>
              </w:rPr>
            </w:pPr>
            <w:r>
              <w:rPr>
                <w:rFonts w:ascii="宋体" w:hAnsi="宋体"/>
                <w:spacing w:val="4"/>
                <w:szCs w:val="21"/>
              </w:rPr>
              <w:t>清洁生产审核</w:t>
            </w:r>
          </w:p>
        </w:tc>
        <w:tc>
          <w:tcPr>
            <w:tcW w:w="491" w:type="pct"/>
            <w:gridSpan w:val="2"/>
            <w:vMerge w:val="restart"/>
            <w:vAlign w:val="center"/>
          </w:tcPr>
          <w:p w14:paraId="468B8A92">
            <w:pPr>
              <w:adjustRightInd w:val="0"/>
              <w:snapToGrid w:val="0"/>
              <w:spacing w:line="240" w:lineRule="exact"/>
              <w:jc w:val="center"/>
              <w:rPr>
                <w:rFonts w:hint="eastAsia" w:ascii="宋体" w:hAnsi="宋体"/>
                <w:spacing w:val="4"/>
                <w:szCs w:val="21"/>
              </w:rPr>
            </w:pPr>
            <w:r>
              <w:rPr>
                <w:rFonts w:ascii="宋体" w:hAnsi="宋体"/>
                <w:spacing w:val="4"/>
                <w:szCs w:val="21"/>
              </w:rPr>
              <w:t>35</w:t>
            </w:r>
          </w:p>
        </w:tc>
        <w:tc>
          <w:tcPr>
            <w:tcW w:w="2781" w:type="pct"/>
            <w:gridSpan w:val="6"/>
            <w:vAlign w:val="center"/>
          </w:tcPr>
          <w:p w14:paraId="724FEC03">
            <w:pPr>
              <w:adjustRightInd w:val="0"/>
              <w:snapToGrid w:val="0"/>
              <w:spacing w:line="240" w:lineRule="exact"/>
              <w:jc w:val="center"/>
              <w:rPr>
                <w:rFonts w:hint="eastAsia" w:ascii="宋体" w:hAnsi="宋体"/>
                <w:spacing w:val="4"/>
                <w:szCs w:val="21"/>
              </w:rPr>
            </w:pPr>
            <w:r>
              <w:rPr>
                <w:rFonts w:ascii="宋体" w:hAnsi="宋体"/>
                <w:spacing w:val="4"/>
                <w:szCs w:val="21"/>
              </w:rPr>
              <w:t>建立HSE管理体系并通过验证</w:t>
            </w:r>
          </w:p>
        </w:tc>
        <w:tc>
          <w:tcPr>
            <w:tcW w:w="397" w:type="pct"/>
            <w:gridSpan w:val="2"/>
            <w:vAlign w:val="center"/>
          </w:tcPr>
          <w:p w14:paraId="7F1E1B48">
            <w:pPr>
              <w:adjustRightInd w:val="0"/>
              <w:snapToGrid w:val="0"/>
              <w:spacing w:line="240" w:lineRule="exact"/>
              <w:jc w:val="center"/>
              <w:rPr>
                <w:rFonts w:hint="eastAsia" w:ascii="宋体" w:hAnsi="宋体"/>
                <w:spacing w:val="4"/>
                <w:szCs w:val="21"/>
              </w:rPr>
            </w:pPr>
            <w:r>
              <w:rPr>
                <w:rFonts w:ascii="宋体" w:hAnsi="宋体"/>
                <w:spacing w:val="4"/>
                <w:szCs w:val="21"/>
              </w:rPr>
              <w:t>10</w:t>
            </w:r>
          </w:p>
        </w:tc>
        <w:tc>
          <w:tcPr>
            <w:tcW w:w="496" w:type="pct"/>
            <w:gridSpan w:val="2"/>
            <w:vAlign w:val="center"/>
          </w:tcPr>
          <w:p w14:paraId="4109A473">
            <w:pPr>
              <w:adjustRightInd w:val="0"/>
              <w:snapToGrid w:val="0"/>
              <w:spacing w:line="240" w:lineRule="exact"/>
              <w:jc w:val="center"/>
              <w:rPr>
                <w:rFonts w:hint="eastAsia" w:ascii="宋体" w:hAnsi="宋体"/>
                <w:spacing w:val="4"/>
                <w:szCs w:val="21"/>
              </w:rPr>
            </w:pPr>
            <w:r>
              <w:rPr>
                <w:rFonts w:ascii="宋体" w:hAnsi="宋体"/>
                <w:spacing w:val="4"/>
                <w:szCs w:val="21"/>
              </w:rPr>
              <w:t>10</w:t>
            </w:r>
          </w:p>
        </w:tc>
      </w:tr>
      <w:tr w14:paraId="737E2E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74F2F9CB">
            <w:pPr>
              <w:widowControl/>
              <w:spacing w:line="240" w:lineRule="exact"/>
              <w:jc w:val="left"/>
              <w:rPr>
                <w:rFonts w:hint="eastAsia" w:ascii="宋体" w:hAnsi="宋体"/>
                <w:spacing w:val="4"/>
                <w:szCs w:val="21"/>
              </w:rPr>
            </w:pPr>
          </w:p>
        </w:tc>
        <w:tc>
          <w:tcPr>
            <w:tcW w:w="491" w:type="pct"/>
            <w:gridSpan w:val="2"/>
            <w:vMerge w:val="continue"/>
            <w:vAlign w:val="center"/>
          </w:tcPr>
          <w:p w14:paraId="2865E24D">
            <w:pPr>
              <w:widowControl/>
              <w:spacing w:line="240" w:lineRule="exact"/>
              <w:jc w:val="left"/>
              <w:rPr>
                <w:rFonts w:hint="eastAsia" w:ascii="宋体" w:hAnsi="宋体"/>
                <w:spacing w:val="4"/>
                <w:szCs w:val="21"/>
              </w:rPr>
            </w:pPr>
          </w:p>
        </w:tc>
        <w:tc>
          <w:tcPr>
            <w:tcW w:w="2781" w:type="pct"/>
            <w:gridSpan w:val="6"/>
            <w:vAlign w:val="center"/>
          </w:tcPr>
          <w:p w14:paraId="67A759B2">
            <w:pPr>
              <w:adjustRightInd w:val="0"/>
              <w:snapToGrid w:val="0"/>
              <w:spacing w:line="240" w:lineRule="exact"/>
              <w:jc w:val="center"/>
              <w:rPr>
                <w:rFonts w:hint="eastAsia" w:ascii="宋体" w:hAnsi="宋体"/>
                <w:spacing w:val="4"/>
                <w:szCs w:val="21"/>
              </w:rPr>
            </w:pPr>
            <w:r>
              <w:rPr>
                <w:rFonts w:ascii="宋体" w:hAnsi="宋体"/>
                <w:spacing w:val="4"/>
                <w:szCs w:val="21"/>
              </w:rPr>
              <w:t>开展清洁生产审核</w:t>
            </w:r>
          </w:p>
        </w:tc>
        <w:tc>
          <w:tcPr>
            <w:tcW w:w="397" w:type="pct"/>
            <w:gridSpan w:val="2"/>
            <w:vAlign w:val="center"/>
          </w:tcPr>
          <w:p w14:paraId="1A28E492">
            <w:pPr>
              <w:adjustRightInd w:val="0"/>
              <w:snapToGrid w:val="0"/>
              <w:spacing w:line="240" w:lineRule="exact"/>
              <w:jc w:val="center"/>
              <w:rPr>
                <w:rFonts w:hint="eastAsia" w:ascii="宋体" w:hAnsi="宋体"/>
                <w:spacing w:val="4"/>
                <w:szCs w:val="21"/>
              </w:rPr>
            </w:pPr>
            <w:r>
              <w:rPr>
                <w:rFonts w:ascii="宋体" w:hAnsi="宋体"/>
                <w:spacing w:val="4"/>
                <w:szCs w:val="21"/>
              </w:rPr>
              <w:t>20</w:t>
            </w:r>
          </w:p>
        </w:tc>
        <w:tc>
          <w:tcPr>
            <w:tcW w:w="496" w:type="pct"/>
            <w:gridSpan w:val="2"/>
            <w:vAlign w:val="center"/>
          </w:tcPr>
          <w:p w14:paraId="2DD585E3">
            <w:pPr>
              <w:adjustRightInd w:val="0"/>
              <w:snapToGrid w:val="0"/>
              <w:spacing w:line="240" w:lineRule="exact"/>
              <w:jc w:val="center"/>
              <w:rPr>
                <w:rFonts w:hint="eastAsia" w:ascii="宋体" w:hAnsi="宋体"/>
                <w:spacing w:val="4"/>
                <w:szCs w:val="21"/>
              </w:rPr>
            </w:pPr>
            <w:r>
              <w:rPr>
                <w:rFonts w:hint="eastAsia" w:ascii="宋体" w:hAnsi="宋体"/>
                <w:spacing w:val="4"/>
                <w:szCs w:val="21"/>
              </w:rPr>
              <w:t>20</w:t>
            </w:r>
          </w:p>
        </w:tc>
      </w:tr>
      <w:tr w14:paraId="54541D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4ADB35A7">
            <w:pPr>
              <w:widowControl/>
              <w:spacing w:line="240" w:lineRule="exact"/>
              <w:jc w:val="left"/>
              <w:rPr>
                <w:rFonts w:hint="eastAsia" w:ascii="宋体" w:hAnsi="宋体"/>
                <w:spacing w:val="4"/>
                <w:szCs w:val="21"/>
              </w:rPr>
            </w:pPr>
          </w:p>
        </w:tc>
        <w:tc>
          <w:tcPr>
            <w:tcW w:w="491" w:type="pct"/>
            <w:gridSpan w:val="2"/>
            <w:vMerge w:val="continue"/>
            <w:vAlign w:val="center"/>
          </w:tcPr>
          <w:p w14:paraId="56A635BD">
            <w:pPr>
              <w:widowControl/>
              <w:spacing w:line="240" w:lineRule="exact"/>
              <w:jc w:val="left"/>
              <w:rPr>
                <w:rFonts w:hint="eastAsia" w:ascii="宋体" w:hAnsi="宋体"/>
                <w:spacing w:val="4"/>
                <w:szCs w:val="21"/>
              </w:rPr>
            </w:pPr>
          </w:p>
        </w:tc>
        <w:tc>
          <w:tcPr>
            <w:tcW w:w="2781" w:type="pct"/>
            <w:gridSpan w:val="6"/>
            <w:vAlign w:val="center"/>
          </w:tcPr>
          <w:p w14:paraId="416866FB">
            <w:pPr>
              <w:adjustRightInd w:val="0"/>
              <w:snapToGrid w:val="0"/>
              <w:spacing w:line="240" w:lineRule="exact"/>
              <w:jc w:val="center"/>
              <w:rPr>
                <w:rFonts w:hint="eastAsia" w:ascii="宋体" w:hAnsi="宋体"/>
                <w:spacing w:val="4"/>
                <w:szCs w:val="21"/>
              </w:rPr>
            </w:pPr>
            <w:r>
              <w:rPr>
                <w:rFonts w:ascii="宋体" w:hAnsi="宋体"/>
                <w:spacing w:val="4"/>
                <w:szCs w:val="21"/>
              </w:rPr>
              <w:t>制定节能减排工作计划</w:t>
            </w:r>
          </w:p>
        </w:tc>
        <w:tc>
          <w:tcPr>
            <w:tcW w:w="397" w:type="pct"/>
            <w:gridSpan w:val="2"/>
            <w:vAlign w:val="center"/>
          </w:tcPr>
          <w:p w14:paraId="5D43846C">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023C09E4">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2518DE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restart"/>
            <w:vAlign w:val="center"/>
          </w:tcPr>
          <w:p w14:paraId="39FB0319">
            <w:pPr>
              <w:adjustRightInd w:val="0"/>
              <w:snapToGrid w:val="0"/>
              <w:spacing w:line="240" w:lineRule="exact"/>
              <w:jc w:val="center"/>
              <w:rPr>
                <w:rFonts w:hint="eastAsia" w:ascii="宋体" w:hAnsi="宋体"/>
                <w:spacing w:val="4"/>
                <w:szCs w:val="21"/>
              </w:rPr>
            </w:pPr>
            <w:r>
              <w:rPr>
                <w:rFonts w:ascii="宋体" w:hAnsi="宋体"/>
                <w:spacing w:val="4"/>
                <w:szCs w:val="21"/>
              </w:rPr>
              <w:t>（3）环保政策法规执行情况</w:t>
            </w:r>
          </w:p>
        </w:tc>
        <w:tc>
          <w:tcPr>
            <w:tcW w:w="491" w:type="pct"/>
            <w:gridSpan w:val="2"/>
            <w:vMerge w:val="restart"/>
            <w:vAlign w:val="center"/>
          </w:tcPr>
          <w:p w14:paraId="6DB2AEA5">
            <w:pPr>
              <w:adjustRightInd w:val="0"/>
              <w:snapToGrid w:val="0"/>
              <w:spacing w:line="240" w:lineRule="exact"/>
              <w:jc w:val="center"/>
              <w:rPr>
                <w:rFonts w:hint="eastAsia" w:ascii="宋体" w:hAnsi="宋体"/>
                <w:spacing w:val="4"/>
                <w:szCs w:val="21"/>
              </w:rPr>
            </w:pPr>
            <w:r>
              <w:rPr>
                <w:rFonts w:ascii="宋体" w:hAnsi="宋体"/>
                <w:spacing w:val="4"/>
                <w:szCs w:val="21"/>
              </w:rPr>
              <w:t>20</w:t>
            </w:r>
          </w:p>
        </w:tc>
        <w:tc>
          <w:tcPr>
            <w:tcW w:w="2781" w:type="pct"/>
            <w:gridSpan w:val="6"/>
            <w:vAlign w:val="center"/>
          </w:tcPr>
          <w:p w14:paraId="7AE2E49A">
            <w:pPr>
              <w:adjustRightInd w:val="0"/>
              <w:snapToGrid w:val="0"/>
              <w:spacing w:line="240" w:lineRule="exact"/>
              <w:jc w:val="center"/>
              <w:rPr>
                <w:rFonts w:hint="eastAsia" w:ascii="宋体" w:hAnsi="宋体"/>
                <w:spacing w:val="4"/>
                <w:szCs w:val="21"/>
              </w:rPr>
            </w:pPr>
            <w:r>
              <w:rPr>
                <w:rFonts w:ascii="宋体" w:hAnsi="宋体"/>
                <w:spacing w:val="4"/>
                <w:szCs w:val="21"/>
              </w:rPr>
              <w:t>建设项</w:t>
            </w:r>
            <w:r>
              <w:rPr>
                <w:rFonts w:hint="eastAsia" w:ascii="宋体" w:hAnsi="宋体"/>
                <w:spacing w:val="4"/>
                <w:szCs w:val="21"/>
              </w:rPr>
              <w:t>目“三同时”执行情况</w:t>
            </w:r>
          </w:p>
        </w:tc>
        <w:tc>
          <w:tcPr>
            <w:tcW w:w="397" w:type="pct"/>
            <w:gridSpan w:val="2"/>
            <w:vAlign w:val="center"/>
          </w:tcPr>
          <w:p w14:paraId="6D68E11A">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6B9097B5">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2C892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462D4B1E">
            <w:pPr>
              <w:widowControl/>
              <w:spacing w:line="240" w:lineRule="exact"/>
              <w:jc w:val="left"/>
              <w:rPr>
                <w:rFonts w:hint="eastAsia" w:ascii="宋体" w:hAnsi="宋体"/>
                <w:spacing w:val="4"/>
                <w:szCs w:val="21"/>
              </w:rPr>
            </w:pPr>
          </w:p>
        </w:tc>
        <w:tc>
          <w:tcPr>
            <w:tcW w:w="491" w:type="pct"/>
            <w:gridSpan w:val="2"/>
            <w:vMerge w:val="continue"/>
            <w:vAlign w:val="center"/>
          </w:tcPr>
          <w:p w14:paraId="52A7A500">
            <w:pPr>
              <w:widowControl/>
              <w:spacing w:line="240" w:lineRule="exact"/>
              <w:jc w:val="left"/>
              <w:rPr>
                <w:rFonts w:hint="eastAsia" w:ascii="宋体" w:hAnsi="宋体"/>
                <w:spacing w:val="4"/>
                <w:szCs w:val="21"/>
              </w:rPr>
            </w:pPr>
          </w:p>
        </w:tc>
        <w:tc>
          <w:tcPr>
            <w:tcW w:w="2781" w:type="pct"/>
            <w:gridSpan w:val="6"/>
            <w:vAlign w:val="center"/>
          </w:tcPr>
          <w:p w14:paraId="0471C872">
            <w:pPr>
              <w:adjustRightInd w:val="0"/>
              <w:snapToGrid w:val="0"/>
              <w:spacing w:line="240" w:lineRule="exact"/>
              <w:jc w:val="center"/>
              <w:rPr>
                <w:rFonts w:hint="eastAsia" w:ascii="宋体" w:hAnsi="宋体"/>
                <w:spacing w:val="4"/>
                <w:szCs w:val="21"/>
              </w:rPr>
            </w:pPr>
            <w:r>
              <w:rPr>
                <w:rFonts w:ascii="宋体" w:hAnsi="宋体"/>
                <w:spacing w:val="4"/>
                <w:szCs w:val="21"/>
              </w:rPr>
              <w:t>建设项目环境影响评价制度执行情况</w:t>
            </w:r>
          </w:p>
        </w:tc>
        <w:tc>
          <w:tcPr>
            <w:tcW w:w="397" w:type="pct"/>
            <w:gridSpan w:val="2"/>
            <w:vAlign w:val="center"/>
          </w:tcPr>
          <w:p w14:paraId="1C236FEB">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16894E2F">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1467E2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241C7D6B">
            <w:pPr>
              <w:widowControl/>
              <w:spacing w:line="240" w:lineRule="exact"/>
              <w:jc w:val="left"/>
              <w:rPr>
                <w:rFonts w:hint="eastAsia" w:ascii="宋体" w:hAnsi="宋体"/>
                <w:spacing w:val="4"/>
                <w:szCs w:val="21"/>
              </w:rPr>
            </w:pPr>
          </w:p>
        </w:tc>
        <w:tc>
          <w:tcPr>
            <w:tcW w:w="491" w:type="pct"/>
            <w:gridSpan w:val="2"/>
            <w:vMerge w:val="continue"/>
            <w:vAlign w:val="center"/>
          </w:tcPr>
          <w:p w14:paraId="7404450A">
            <w:pPr>
              <w:widowControl/>
              <w:spacing w:line="240" w:lineRule="exact"/>
              <w:jc w:val="left"/>
              <w:rPr>
                <w:rFonts w:hint="eastAsia" w:ascii="宋体" w:hAnsi="宋体"/>
                <w:spacing w:val="4"/>
                <w:szCs w:val="21"/>
              </w:rPr>
            </w:pPr>
          </w:p>
        </w:tc>
        <w:tc>
          <w:tcPr>
            <w:tcW w:w="2781" w:type="pct"/>
            <w:gridSpan w:val="6"/>
            <w:vAlign w:val="center"/>
          </w:tcPr>
          <w:p w14:paraId="62D9824C">
            <w:pPr>
              <w:adjustRightInd w:val="0"/>
              <w:snapToGrid w:val="0"/>
              <w:spacing w:line="240" w:lineRule="exact"/>
              <w:jc w:val="center"/>
              <w:rPr>
                <w:rFonts w:hint="eastAsia" w:ascii="宋体" w:hAnsi="宋体"/>
                <w:spacing w:val="4"/>
                <w:szCs w:val="21"/>
              </w:rPr>
            </w:pPr>
            <w:r>
              <w:rPr>
                <w:rFonts w:ascii="宋体" w:hAnsi="宋体"/>
                <w:spacing w:val="4"/>
                <w:szCs w:val="21"/>
              </w:rPr>
              <w:t>污染物排放总量控制与减排措施情况</w:t>
            </w:r>
          </w:p>
        </w:tc>
        <w:tc>
          <w:tcPr>
            <w:tcW w:w="397" w:type="pct"/>
            <w:gridSpan w:val="2"/>
            <w:vAlign w:val="center"/>
          </w:tcPr>
          <w:p w14:paraId="4D688C94">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3EE5E3FB">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r w14:paraId="0F235E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34" w:type="pct"/>
            <w:vMerge w:val="continue"/>
            <w:vAlign w:val="center"/>
          </w:tcPr>
          <w:p w14:paraId="7062C206">
            <w:pPr>
              <w:widowControl/>
              <w:spacing w:line="240" w:lineRule="exact"/>
              <w:jc w:val="left"/>
              <w:rPr>
                <w:rFonts w:hint="eastAsia" w:ascii="宋体" w:hAnsi="宋体"/>
                <w:spacing w:val="4"/>
                <w:szCs w:val="21"/>
              </w:rPr>
            </w:pPr>
          </w:p>
        </w:tc>
        <w:tc>
          <w:tcPr>
            <w:tcW w:w="491" w:type="pct"/>
            <w:gridSpan w:val="2"/>
            <w:vMerge w:val="continue"/>
            <w:vAlign w:val="center"/>
          </w:tcPr>
          <w:p w14:paraId="17BA56A5">
            <w:pPr>
              <w:widowControl/>
              <w:spacing w:line="240" w:lineRule="exact"/>
              <w:jc w:val="left"/>
              <w:rPr>
                <w:rFonts w:hint="eastAsia" w:ascii="宋体" w:hAnsi="宋体"/>
                <w:spacing w:val="4"/>
                <w:szCs w:val="21"/>
              </w:rPr>
            </w:pPr>
          </w:p>
        </w:tc>
        <w:tc>
          <w:tcPr>
            <w:tcW w:w="2781" w:type="pct"/>
            <w:gridSpan w:val="6"/>
            <w:vAlign w:val="center"/>
          </w:tcPr>
          <w:p w14:paraId="629AB229">
            <w:pPr>
              <w:adjustRightInd w:val="0"/>
              <w:snapToGrid w:val="0"/>
              <w:spacing w:line="240" w:lineRule="exact"/>
              <w:jc w:val="center"/>
              <w:rPr>
                <w:rFonts w:hint="eastAsia" w:ascii="宋体" w:hAnsi="宋体"/>
                <w:spacing w:val="4"/>
                <w:szCs w:val="21"/>
              </w:rPr>
            </w:pPr>
            <w:r>
              <w:rPr>
                <w:rFonts w:ascii="宋体" w:hAnsi="宋体"/>
                <w:spacing w:val="4"/>
                <w:szCs w:val="21"/>
              </w:rPr>
              <w:t>老污染源限期治理项目完成情况</w:t>
            </w:r>
          </w:p>
        </w:tc>
        <w:tc>
          <w:tcPr>
            <w:tcW w:w="397" w:type="pct"/>
            <w:gridSpan w:val="2"/>
            <w:vAlign w:val="center"/>
          </w:tcPr>
          <w:p w14:paraId="63B1ADE7">
            <w:pPr>
              <w:adjustRightInd w:val="0"/>
              <w:snapToGrid w:val="0"/>
              <w:spacing w:line="240" w:lineRule="exact"/>
              <w:jc w:val="center"/>
              <w:rPr>
                <w:rFonts w:hint="eastAsia" w:ascii="宋体" w:hAnsi="宋体"/>
                <w:spacing w:val="4"/>
                <w:szCs w:val="21"/>
              </w:rPr>
            </w:pPr>
            <w:r>
              <w:rPr>
                <w:rFonts w:ascii="宋体" w:hAnsi="宋体"/>
                <w:spacing w:val="4"/>
                <w:szCs w:val="21"/>
              </w:rPr>
              <w:t>5</w:t>
            </w:r>
          </w:p>
        </w:tc>
        <w:tc>
          <w:tcPr>
            <w:tcW w:w="496" w:type="pct"/>
            <w:gridSpan w:val="2"/>
            <w:vAlign w:val="center"/>
          </w:tcPr>
          <w:p w14:paraId="32695D0C">
            <w:pPr>
              <w:adjustRightInd w:val="0"/>
              <w:snapToGrid w:val="0"/>
              <w:spacing w:line="240" w:lineRule="exact"/>
              <w:jc w:val="center"/>
              <w:rPr>
                <w:rFonts w:hint="eastAsia" w:ascii="宋体" w:hAnsi="宋体"/>
                <w:spacing w:val="4"/>
                <w:szCs w:val="21"/>
              </w:rPr>
            </w:pPr>
            <w:r>
              <w:rPr>
                <w:rFonts w:ascii="宋体" w:hAnsi="宋体"/>
                <w:spacing w:val="4"/>
                <w:szCs w:val="21"/>
              </w:rPr>
              <w:t>5</w:t>
            </w:r>
          </w:p>
        </w:tc>
      </w:tr>
    </w:tbl>
    <w:p w14:paraId="5BC832B8">
      <w:pPr>
        <w:spacing w:line="520" w:lineRule="exact"/>
        <w:ind w:firstLine="480" w:firstLineChars="200"/>
        <w:rPr>
          <w:rFonts w:hint="eastAsia" w:ascii="宋体" w:hAnsi="宋体"/>
          <w:sz w:val="24"/>
          <w:szCs w:val="24"/>
        </w:rPr>
        <w:sectPr>
          <w:pgSz w:w="16838" w:h="11906" w:orient="landscape"/>
          <w:pgMar w:top="1418" w:right="1588" w:bottom="1418" w:left="1588" w:header="1020" w:footer="1020" w:gutter="0"/>
          <w:cols w:space="720" w:num="1"/>
          <w:docGrid w:type="lines" w:linePitch="317" w:charSpace="0"/>
        </w:sectPr>
      </w:pPr>
    </w:p>
    <w:p w14:paraId="767C0A42">
      <w:pPr>
        <w:pStyle w:val="191"/>
        <w:adjustRightInd w:val="0"/>
        <w:snapToGrid w:val="0"/>
        <w:spacing w:line="480" w:lineRule="exact"/>
        <w:ind w:firstLine="480"/>
        <w:rPr>
          <w:rFonts w:hint="eastAsia"/>
        </w:rPr>
      </w:pPr>
      <w:bookmarkStart w:id="364" w:name="_Toc160381880"/>
      <w:r>
        <w:rPr>
          <w:rFonts w:hint="eastAsia"/>
        </w:rPr>
        <w:t>——钻井</w:t>
      </w:r>
      <w:r>
        <w:t>作业：定量指标10</w:t>
      </w:r>
      <w:r>
        <w:rPr>
          <w:rFonts w:hint="eastAsia"/>
        </w:rPr>
        <w:t>0</w:t>
      </w:r>
      <w:r>
        <w:t>分，定性指标</w:t>
      </w:r>
      <w:r>
        <w:rPr>
          <w:rFonts w:hint="eastAsia"/>
        </w:rPr>
        <w:t>100</w:t>
      </w:r>
      <w:r>
        <w:t>分，综合评价</w:t>
      </w:r>
      <w:r>
        <w:rPr>
          <w:rFonts w:hint="eastAsia"/>
        </w:rPr>
        <w:t>100</w:t>
      </w:r>
      <w:r>
        <w:t>分。</w:t>
      </w:r>
    </w:p>
    <w:p w14:paraId="0FA2831C">
      <w:pPr>
        <w:pStyle w:val="191"/>
        <w:adjustRightInd w:val="0"/>
        <w:snapToGrid w:val="0"/>
        <w:spacing w:line="480" w:lineRule="exact"/>
        <w:ind w:firstLine="480"/>
        <w:rPr>
          <w:rFonts w:hint="eastAsia"/>
        </w:rPr>
      </w:pPr>
      <w:r>
        <w:rPr>
          <w:rFonts w:hint="eastAsia"/>
        </w:rPr>
        <w:t>——</w:t>
      </w:r>
      <w:r>
        <w:t>井下作业：定量指标9</w:t>
      </w:r>
      <w:r>
        <w:rPr>
          <w:rFonts w:hint="eastAsia"/>
        </w:rPr>
        <w:t>0</w:t>
      </w:r>
      <w:r>
        <w:t>分，定性指标</w:t>
      </w:r>
      <w:r>
        <w:rPr>
          <w:rFonts w:hint="eastAsia"/>
        </w:rPr>
        <w:t>100</w:t>
      </w:r>
      <w:r>
        <w:t>分，综合评价94分。</w:t>
      </w:r>
    </w:p>
    <w:p w14:paraId="688C89D5">
      <w:pPr>
        <w:pStyle w:val="191"/>
        <w:adjustRightInd w:val="0"/>
        <w:snapToGrid w:val="0"/>
        <w:spacing w:line="480" w:lineRule="exact"/>
        <w:ind w:firstLine="480"/>
        <w:rPr>
          <w:rFonts w:hint="eastAsia"/>
        </w:rPr>
      </w:pPr>
      <w:r>
        <w:rPr>
          <w:rFonts w:hint="eastAsia"/>
        </w:rPr>
        <w:t>——</w:t>
      </w:r>
      <w:r>
        <w:t>采</w:t>
      </w:r>
      <w:r>
        <w:rPr>
          <w:rFonts w:hint="eastAsia"/>
        </w:rPr>
        <w:t>油</w:t>
      </w:r>
      <w:r>
        <w:t>和集输：定量指标</w:t>
      </w:r>
      <w:r>
        <w:rPr>
          <w:rFonts w:hint="eastAsia"/>
        </w:rPr>
        <w:t>100</w:t>
      </w:r>
      <w:r>
        <w:t>分，定性指标100分，综合评价</w:t>
      </w:r>
      <w:r>
        <w:rPr>
          <w:rFonts w:hint="eastAsia"/>
        </w:rPr>
        <w:t>100</w:t>
      </w:r>
      <w:r>
        <w:t>分。</w:t>
      </w:r>
    </w:p>
    <w:p w14:paraId="27F1D8F2">
      <w:pPr>
        <w:pStyle w:val="191"/>
        <w:ind w:firstLine="480"/>
        <w:rPr>
          <w:rFonts w:hint="eastAsia"/>
        </w:rPr>
      </w:pPr>
      <w:r>
        <w:t>根据综合评价指数得分判定，</w:t>
      </w:r>
      <w:r>
        <w:rPr>
          <w:rFonts w:hint="eastAsia"/>
        </w:rPr>
        <w:t>本项目</w:t>
      </w:r>
      <w:r>
        <w:t>清洁生产企业等级为：清洁生产</w:t>
      </w:r>
      <w:r>
        <w:rPr>
          <w:rFonts w:hint="eastAsia"/>
        </w:rPr>
        <w:t>先进</w:t>
      </w:r>
      <w:r>
        <w:t>企业</w:t>
      </w:r>
      <w:r>
        <w:rPr>
          <w:rFonts w:hint="eastAsia"/>
        </w:rPr>
        <w:t>。</w:t>
      </w:r>
      <w:r>
        <w:t>本工程</w:t>
      </w:r>
      <w:r>
        <w:rPr>
          <w:rFonts w:hint="eastAsia"/>
        </w:rPr>
        <w:t>采用的清洁生产技术遵循“减量化、再利用、资源化”的原则。针对施工期、运营期和退役期均采取了避免和减缓不利环境影响的措施，高效利用并节约使用各类能源、资源（水、土地等）；制定合理有效的废物管理方案，采用源削减技术，减少井下作业、油气开采过程中固体废物、废水、废气等污染物的产生量，从源头上减少了污染物的排放。</w:t>
      </w:r>
    </w:p>
    <w:p w14:paraId="23229D39">
      <w:pPr>
        <w:pStyle w:val="117"/>
        <w:ind w:firstLine="480"/>
        <w:rPr>
          <w:rFonts w:hint="eastAsia"/>
        </w:rPr>
        <w:sectPr>
          <w:footerReference r:id="rId7" w:type="default"/>
          <w:pgSz w:w="11906" w:h="16838"/>
          <w:pgMar w:top="1418" w:right="1588" w:bottom="1418" w:left="1588" w:header="1020" w:footer="1020" w:gutter="0"/>
          <w:cols w:space="720" w:num="1"/>
          <w:docGrid w:type="lines" w:linePitch="312" w:charSpace="0"/>
        </w:sectPr>
      </w:pPr>
    </w:p>
    <w:p w14:paraId="7C7668A6">
      <w:pPr>
        <w:pStyle w:val="3"/>
        <w:rPr>
          <w:rFonts w:hint="eastAsia"/>
        </w:rPr>
      </w:pPr>
      <w:r>
        <w:rPr>
          <w:rFonts w:hint="eastAsia"/>
        </w:rPr>
        <w:t>环境质量现状调查与评价</w:t>
      </w:r>
      <w:bookmarkEnd w:id="364"/>
    </w:p>
    <w:p w14:paraId="6599B1A5">
      <w:pPr>
        <w:pStyle w:val="2"/>
        <w:rPr>
          <w:rFonts w:hint="eastAsia"/>
        </w:rPr>
      </w:pPr>
      <w:bookmarkStart w:id="365" w:name="_Toc160381881"/>
      <w:r>
        <w:rPr>
          <w:rFonts w:hint="eastAsia"/>
        </w:rPr>
        <w:t>自然环境现状调查与评价</w:t>
      </w:r>
      <w:bookmarkEnd w:id="365"/>
    </w:p>
    <w:p w14:paraId="54410532">
      <w:pPr>
        <w:pStyle w:val="4"/>
        <w:rPr>
          <w:rFonts w:hint="eastAsia"/>
        </w:rPr>
      </w:pPr>
      <w:r>
        <w:rPr>
          <w:rFonts w:hint="eastAsia"/>
        </w:rPr>
        <w:t>地理位置</w:t>
      </w:r>
    </w:p>
    <w:p w14:paraId="575535F2">
      <w:pPr>
        <w:pStyle w:val="117"/>
        <w:ind w:firstLine="480"/>
        <w:rPr>
          <w:rFonts w:hint="eastAsia"/>
        </w:rPr>
      </w:pPr>
      <w:r>
        <w:rPr>
          <w:rFonts w:hint="eastAsia"/>
        </w:rPr>
        <w:t>本项目行政隶属于新疆生产建设兵团第六师红旗农场，红旗农场位于五家渠市东北190km，吉木萨尔县北30km，总面积约664km</w:t>
      </w:r>
      <w:r>
        <w:rPr>
          <w:rFonts w:hint="eastAsia"/>
          <w:vertAlign w:val="superscript"/>
        </w:rPr>
        <w:t>2</w:t>
      </w:r>
      <w:r>
        <w:rPr>
          <w:rFonts w:hint="eastAsia"/>
        </w:rPr>
        <w:t>。地理位置见图</w:t>
      </w:r>
      <w:r>
        <w:t>4.1</w:t>
      </w:r>
      <w:r>
        <w:rPr>
          <w:rFonts w:hint="eastAsia"/>
        </w:rPr>
        <w:t>-</w:t>
      </w:r>
      <w:r>
        <w:t>1</w:t>
      </w:r>
      <w:r>
        <w:rPr>
          <w:rFonts w:hint="eastAsia"/>
        </w:rPr>
        <w:t>。</w:t>
      </w:r>
    </w:p>
    <w:p w14:paraId="0513AF9E">
      <w:pPr>
        <w:pStyle w:val="117"/>
        <w:spacing w:line="360" w:lineRule="auto"/>
        <w:ind w:firstLine="0" w:firstLineChars="0"/>
        <w:jc w:val="center"/>
        <w:rPr>
          <w:rFonts w:hint="eastAsia"/>
        </w:rPr>
      </w:pPr>
      <w:bookmarkStart w:id="366" w:name="OLE_LINK34"/>
      <w:r>
        <w:drawing>
          <wp:inline distT="0" distB="0" distL="0" distR="0">
            <wp:extent cx="5394960" cy="42183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94960" cy="4218432"/>
                    </a:xfrm>
                    <a:prstGeom prst="rect">
                      <a:avLst/>
                    </a:prstGeom>
                  </pic:spPr>
                </pic:pic>
              </a:graphicData>
            </a:graphic>
          </wp:inline>
        </w:drawing>
      </w:r>
    </w:p>
    <w:p w14:paraId="74665D5F">
      <w:pPr>
        <w:pStyle w:val="117"/>
        <w:spacing w:line="240" w:lineRule="auto"/>
        <w:ind w:firstLine="0" w:firstLineChars="0"/>
        <w:jc w:val="center"/>
        <w:rPr>
          <w:rFonts w:hint="eastAsia" w:ascii="黑体" w:hAnsi="黑体" w:eastAsia="黑体"/>
          <w:sz w:val="21"/>
          <w:szCs w:val="21"/>
        </w:rPr>
      </w:pPr>
      <w:r>
        <w:rPr>
          <w:rFonts w:hint="eastAsia" w:ascii="黑体" w:hAnsi="黑体" w:eastAsia="黑体"/>
          <w:sz w:val="21"/>
          <w:szCs w:val="21"/>
        </w:rPr>
        <w:t>图4</w:t>
      </w:r>
      <w:r>
        <w:rPr>
          <w:rFonts w:ascii="黑体" w:hAnsi="黑体" w:eastAsia="黑体"/>
          <w:sz w:val="21"/>
          <w:szCs w:val="21"/>
        </w:rPr>
        <w:t>.1</w:t>
      </w:r>
      <w:r>
        <w:rPr>
          <w:rFonts w:hint="eastAsia" w:ascii="黑体" w:hAnsi="黑体" w:eastAsia="黑体"/>
          <w:sz w:val="21"/>
          <w:szCs w:val="21"/>
        </w:rPr>
        <w:t>-</w:t>
      </w:r>
      <w:r>
        <w:rPr>
          <w:rFonts w:ascii="黑体" w:hAnsi="黑体" w:eastAsia="黑体"/>
          <w:sz w:val="21"/>
          <w:szCs w:val="21"/>
        </w:rPr>
        <w:t xml:space="preserve">1  </w:t>
      </w:r>
      <w:r>
        <w:rPr>
          <w:rFonts w:hint="eastAsia" w:ascii="黑体" w:hAnsi="黑体" w:eastAsia="黑体"/>
          <w:sz w:val="21"/>
          <w:szCs w:val="21"/>
        </w:rPr>
        <w:t>地理位置示意图</w:t>
      </w:r>
    </w:p>
    <w:bookmarkEnd w:id="366"/>
    <w:p w14:paraId="599DB8C4">
      <w:pPr>
        <w:pStyle w:val="4"/>
        <w:rPr>
          <w:rFonts w:hint="eastAsia"/>
        </w:rPr>
      </w:pPr>
      <w:r>
        <w:rPr>
          <w:rFonts w:hint="eastAsia"/>
        </w:rPr>
        <w:t>地形地貌</w:t>
      </w:r>
    </w:p>
    <w:p w14:paraId="5EE89AAD">
      <w:pPr>
        <w:pStyle w:val="117"/>
        <w:ind w:firstLine="480"/>
        <w:rPr>
          <w:rFonts w:hint="eastAsia"/>
        </w:rPr>
      </w:pPr>
      <w:r>
        <w:rPr>
          <w:rFonts w:hint="eastAsia"/>
        </w:rPr>
        <w:t>红旗农场由东南向北呈锐角三角形状，东西平均长约50km，南北平均长约25km。地形南高北低，由东南向西北倾斜，东西略有起伏。海拔高度550m～665m之间，相对高差约115m，平均自然坡降3.33%。</w:t>
      </w:r>
    </w:p>
    <w:p w14:paraId="1C82CC8C">
      <w:pPr>
        <w:pStyle w:val="117"/>
        <w:ind w:firstLine="480"/>
        <w:rPr>
          <w:rFonts w:hint="eastAsia"/>
        </w:rPr>
      </w:pPr>
      <w:r>
        <w:rPr>
          <w:rFonts w:hint="eastAsia"/>
        </w:rPr>
        <w:t>红旗农场地貌由南而北为山地、冲积平原、沙漠，各地貌类型所占面积比例为：山地32.1%、冲积平原49.9%、沙漠18.9%。是棉花、粮食、甜菜、西瓜、哈密瓜、油料、玉米和水产、禽蛋、肉类的主产地。东部的奇台农场为山前冲积洪积扇戈壁平原，地势南高北低，由东南向北倾斜，坡降1‰～3‰，局部地区坡降较大，土层0.3～1.5m，中下部是主要农田，适种小麦、甜菜、大麦、油菜等；吉木萨尔北部的红旗农场海拔560～1220m，土壤含盐量较大，部分地区有泉水溢出，是小麦、红花的主产地。北塔山北段和东北的山地，海拔1031～3290m。山体小，无终年积雪，四周被戈壁围绕，辐射强，干旱缺水，草场多为于荒漠，级低等劣，以畜牧业为主。</w:t>
      </w:r>
    </w:p>
    <w:p w14:paraId="5615274F">
      <w:pPr>
        <w:pStyle w:val="4"/>
        <w:rPr>
          <w:rFonts w:hint="eastAsia"/>
        </w:rPr>
      </w:pPr>
      <w:r>
        <w:rPr>
          <w:rFonts w:hint="eastAsia"/>
        </w:rPr>
        <w:t>水文地质</w:t>
      </w:r>
    </w:p>
    <w:p w14:paraId="45423FD8">
      <w:pPr>
        <w:pStyle w:val="191"/>
        <w:ind w:firstLine="480"/>
        <w:rPr>
          <w:rFonts w:hint="eastAsia"/>
        </w:rPr>
      </w:pPr>
      <w:bookmarkStart w:id="367" w:name="_Hlk511370685"/>
      <w:bookmarkStart w:id="368" w:name="_Hlk35856236"/>
      <w:r>
        <w:rPr>
          <w:rFonts w:hint="eastAsia"/>
        </w:rPr>
        <w:t>（1）地表水</w:t>
      </w:r>
    </w:p>
    <w:p w14:paraId="19981DDC">
      <w:pPr>
        <w:pStyle w:val="191"/>
        <w:ind w:firstLine="480"/>
        <w:rPr>
          <w:rFonts w:hint="eastAsia"/>
        </w:rPr>
      </w:pPr>
      <w:r>
        <w:rPr>
          <w:rFonts w:hint="eastAsia"/>
        </w:rPr>
        <w:t>吉木萨尔县境内主要有河流10条及一个后堡子泉水系，河流由西而东依次是二工河、西大龙口河、大东沟河、新地沟河、渭户沟河、东大龙口河、牛圈子沟、吾塘沟、小东沟、白杨河。河流均发源于天山北坡，流域独立。</w:t>
      </w:r>
    </w:p>
    <w:p w14:paraId="7BBE32F8">
      <w:pPr>
        <w:pStyle w:val="191"/>
        <w:ind w:firstLine="480"/>
        <w:rPr>
          <w:rFonts w:hint="eastAsia"/>
        </w:rPr>
      </w:pPr>
      <w:r>
        <w:rPr>
          <w:rFonts w:hint="eastAsia"/>
        </w:rPr>
        <w:t>河流流向由南向北与山脉走向大体垂直，源头高程一般在3000m以上，出山口高程在1100m以下，河流长一般不超过50km，各河最终汇入平原绿洲为人类所利用。河流源头多接冰川，以山区降水量为主要补给源，河流径流具有明显的季节性变化。</w:t>
      </w:r>
    </w:p>
    <w:p w14:paraId="4AB6612F">
      <w:pPr>
        <w:pStyle w:val="191"/>
        <w:ind w:firstLine="480"/>
        <w:rPr>
          <w:rFonts w:hint="eastAsia"/>
        </w:rPr>
      </w:pPr>
      <w:r>
        <w:rPr>
          <w:rFonts w:hint="eastAsia"/>
        </w:rPr>
        <w:t>（2）地下水</w:t>
      </w:r>
    </w:p>
    <w:p w14:paraId="51BB231D">
      <w:pPr>
        <w:pStyle w:val="191"/>
        <w:ind w:firstLine="480"/>
        <w:rPr>
          <w:rFonts w:hint="eastAsia"/>
        </w:rPr>
      </w:pPr>
      <w:r>
        <w:rPr>
          <w:rFonts w:hint="eastAsia"/>
        </w:rPr>
        <w:t>吉木萨尔县东大龙口河流域，从南部山区—中部平原—北部沙漠，构成一个完整的流域体系。</w:t>
      </w:r>
    </w:p>
    <w:p w14:paraId="133EDD9D">
      <w:pPr>
        <w:pStyle w:val="191"/>
        <w:ind w:firstLine="480"/>
        <w:rPr>
          <w:rFonts w:hint="eastAsia"/>
        </w:rPr>
      </w:pPr>
      <w:r>
        <w:rPr>
          <w:rFonts w:hint="eastAsia"/>
        </w:rPr>
        <w:t>（1）南部山区</w:t>
      </w:r>
    </w:p>
    <w:p w14:paraId="6DC88DD9">
      <w:pPr>
        <w:pStyle w:val="191"/>
        <w:ind w:firstLine="480"/>
        <w:rPr>
          <w:rFonts w:hint="eastAsia"/>
        </w:rPr>
      </w:pPr>
      <w:r>
        <w:rPr>
          <w:rFonts w:hint="eastAsia"/>
        </w:rPr>
        <w:t>南部山区主要由全新世至上新世的砂、页岩、泥岩、灰色变质碎屑岩及火成岩组成，岩相变化大，厚度从几十米到几千米不等；由于强烈的构造运动，使山区基岩裂隙发育，大气降水入渗后，以裂隙水形式大量出露补给河流和平原区的地下水。在低山带分布有较厚的第三系地层，由于第三系一般比较松软，易遭受暴雨的冲刷，从而增大了河流的含沙量。</w:t>
      </w:r>
    </w:p>
    <w:p w14:paraId="41F6B86A">
      <w:pPr>
        <w:pStyle w:val="191"/>
        <w:ind w:firstLine="480"/>
        <w:rPr>
          <w:rFonts w:hint="eastAsia"/>
        </w:rPr>
      </w:pPr>
      <w:r>
        <w:rPr>
          <w:rFonts w:hint="eastAsia"/>
        </w:rPr>
        <w:t>（2）中部平原</w:t>
      </w:r>
    </w:p>
    <w:p w14:paraId="310D9AA4">
      <w:pPr>
        <w:pStyle w:val="191"/>
        <w:ind w:firstLine="472"/>
        <w:rPr>
          <w:rFonts w:hint="eastAsia"/>
          <w:spacing w:val="-4"/>
        </w:rPr>
      </w:pPr>
      <w:r>
        <w:rPr>
          <w:rFonts w:hint="eastAsia"/>
          <w:spacing w:val="-4"/>
        </w:rPr>
        <w:t>在山前坳陷区，由于受山前深大断裂的影响，坳陷带内沉积了较厚的第四系松散沉积物，给地下水的赋存创造了巨大的空间，也是河水散失的主要去向。坳陷带内第四系沉积物厚度，一般为400～600m。按水文地质分带，由南向北依次为山前冲洪积扇-扇缘潜水溢出带-细土平原，含水层颗粒也依次由卵砾石-砂砾石-中粗砂-中细砂-粉细砂-亚砂土、亚粘土，平原区地下水主要以潜水和承压水形式广泛分布。</w:t>
      </w:r>
    </w:p>
    <w:p w14:paraId="71F26123">
      <w:pPr>
        <w:pStyle w:val="191"/>
        <w:ind w:firstLine="480"/>
        <w:rPr>
          <w:rFonts w:hint="eastAsia"/>
        </w:rPr>
      </w:pPr>
      <w:r>
        <w:rPr>
          <w:rFonts w:hint="eastAsia"/>
        </w:rPr>
        <w:t>本项目区域位于中部平原区。</w:t>
      </w:r>
    </w:p>
    <w:p w14:paraId="7A857A91">
      <w:pPr>
        <w:pStyle w:val="191"/>
        <w:ind w:firstLine="480"/>
        <w:rPr>
          <w:rFonts w:hint="eastAsia"/>
        </w:rPr>
      </w:pPr>
      <w:r>
        <w:rPr>
          <w:rFonts w:hint="eastAsia"/>
        </w:rPr>
        <w:t>①地下水赋存条件及分布规律</w:t>
      </w:r>
    </w:p>
    <w:p w14:paraId="6DBBFA71">
      <w:pPr>
        <w:pStyle w:val="191"/>
        <w:ind w:firstLine="480"/>
        <w:rPr>
          <w:rFonts w:hint="eastAsia"/>
        </w:rPr>
      </w:pPr>
      <w:r>
        <w:rPr>
          <w:rFonts w:hint="eastAsia"/>
        </w:rPr>
        <w:t>该项目分析范围内地层岩性为第四系更新世-全新世的冲洪积相砾石、砂砾石、砂层和冲洪积-湖相和沼泽相粘质砂土、粘性土层。区内第四纪松散堆积物厚度超过400m，为地下水的赋存、运移提供了良好空间，由于第四纪成因类型的多样性，使得含水层的岩性、粒度和组成结构复杂化。</w:t>
      </w:r>
    </w:p>
    <w:p w14:paraId="5F83C54C">
      <w:pPr>
        <w:pStyle w:val="191"/>
        <w:ind w:firstLine="480"/>
        <w:rPr>
          <w:rFonts w:hint="eastAsia"/>
        </w:rPr>
      </w:pPr>
      <w:r>
        <w:rPr>
          <w:rFonts w:hint="eastAsia"/>
        </w:rPr>
        <w:t>――单一结构潜水含水层</w:t>
      </w:r>
    </w:p>
    <w:p w14:paraId="5D34E560">
      <w:pPr>
        <w:pStyle w:val="191"/>
        <w:ind w:firstLine="480"/>
        <w:rPr>
          <w:rFonts w:hint="eastAsia"/>
        </w:rPr>
      </w:pPr>
      <w:r>
        <w:rPr>
          <w:rFonts w:hint="eastAsia"/>
        </w:rPr>
        <w:t>主要分布在河流出山口至老台-三台-吉木萨尔县城一线，该带第四纪堆积物巨厚，含水层岩性以卵砾石、砂砾石为主，并由南向北颗粒逐渐变细，潜水位埋深由南向北逐渐变浅。南部潜水位埋深＞150m，乌奇公路沿线潜水位埋深在90m左右，单井涌水量2000</w:t>
      </w:r>
      <w:r>
        <w:rPr>
          <w:rFonts w:hint="eastAsia"/>
          <w:spacing w:val="-4"/>
        </w:rPr>
        <w:t>～</w:t>
      </w:r>
      <w:r>
        <w:rPr>
          <w:rFonts w:hint="eastAsia"/>
        </w:rPr>
        <w:t>3000m</w:t>
      </w:r>
      <w:r>
        <w:rPr>
          <w:rFonts w:hint="eastAsia"/>
          <w:vertAlign w:val="superscript"/>
        </w:rPr>
        <w:t>3</w:t>
      </w:r>
      <w:r>
        <w:rPr>
          <w:rFonts w:hint="eastAsia"/>
        </w:rPr>
        <w:t>/d，饱水带厚度＞100m，属地下水强富水带。</w:t>
      </w:r>
    </w:p>
    <w:p w14:paraId="51507BE0">
      <w:pPr>
        <w:pStyle w:val="191"/>
        <w:ind w:firstLine="480"/>
        <w:rPr>
          <w:rFonts w:hint="eastAsia"/>
        </w:rPr>
      </w:pPr>
      <w:r>
        <w:rPr>
          <w:rFonts w:hint="eastAsia"/>
        </w:rPr>
        <w:t>――多层结构潜水-承压含水层</w:t>
      </w:r>
    </w:p>
    <w:p w14:paraId="17AD1EB6">
      <w:pPr>
        <w:pStyle w:val="191"/>
        <w:ind w:firstLine="480"/>
        <w:rPr>
          <w:rFonts w:hint="eastAsia"/>
        </w:rPr>
      </w:pPr>
      <w:r>
        <w:rPr>
          <w:rFonts w:hint="eastAsia"/>
        </w:rPr>
        <w:t>主要分布在老台-三台-吉木萨</w:t>
      </w:r>
      <w:r>
        <w:rPr>
          <w:rFonts w:hint="eastAsia"/>
          <w:lang w:val="en-US" w:eastAsia="zh-CN"/>
        </w:rPr>
        <w:t>尔</w:t>
      </w:r>
      <w:r>
        <w:rPr>
          <w:rFonts w:hint="eastAsia"/>
        </w:rPr>
        <w:t>县城一线以北的广大平原区。上部为潜水含水层，岩性为砂砾石、中粗砂、中细砂，并由南向北颗粒逐渐变细，富水性逐渐变弱，南部富水带单井涌水量500</w:t>
      </w:r>
      <w:r>
        <w:rPr>
          <w:rFonts w:hint="eastAsia"/>
          <w:spacing w:val="-4"/>
        </w:rPr>
        <w:t>～</w:t>
      </w:r>
      <w:r>
        <w:rPr>
          <w:rFonts w:hint="eastAsia"/>
        </w:rPr>
        <w:t>1000m</w:t>
      </w:r>
      <w:r>
        <w:rPr>
          <w:rFonts w:hint="eastAsia"/>
          <w:vertAlign w:val="superscript"/>
        </w:rPr>
        <w:t>3</w:t>
      </w:r>
      <w:r>
        <w:rPr>
          <w:rFonts w:hint="eastAsia"/>
        </w:rPr>
        <w:t>/d；北部贫水带单井涌水量100</w:t>
      </w:r>
      <w:r>
        <w:rPr>
          <w:rFonts w:hint="eastAsia"/>
          <w:spacing w:val="-4"/>
        </w:rPr>
        <w:t>～</w:t>
      </w:r>
      <w:r>
        <w:rPr>
          <w:rFonts w:hint="eastAsia"/>
        </w:rPr>
        <w:t>500m</w:t>
      </w:r>
      <w:r>
        <w:rPr>
          <w:rFonts w:hint="eastAsia"/>
          <w:vertAlign w:val="superscript"/>
        </w:rPr>
        <w:t>3</w:t>
      </w:r>
      <w:r>
        <w:rPr>
          <w:rFonts w:hint="eastAsia"/>
        </w:rPr>
        <w:t>/d。潜水含水层底板埋深50</w:t>
      </w:r>
      <w:r>
        <w:rPr>
          <w:rFonts w:hint="eastAsia"/>
          <w:spacing w:val="-4"/>
        </w:rPr>
        <w:t>～</w:t>
      </w:r>
      <w:r>
        <w:rPr>
          <w:rFonts w:hint="eastAsia"/>
        </w:rPr>
        <w:t>100m，渗透系数2</w:t>
      </w:r>
      <w:r>
        <w:rPr>
          <w:rFonts w:hint="eastAsia"/>
          <w:spacing w:val="-4"/>
        </w:rPr>
        <w:t>～</w:t>
      </w:r>
      <w:r>
        <w:rPr>
          <w:rFonts w:hint="eastAsia"/>
        </w:rPr>
        <w:t>5m/d。下部为承压含水层，岩性主要为砂砾石、砾石、中细砂，单井涌水量1000</w:t>
      </w:r>
      <w:r>
        <w:rPr>
          <w:rFonts w:hint="eastAsia"/>
          <w:spacing w:val="-4"/>
        </w:rPr>
        <w:t>～</w:t>
      </w:r>
      <w:r>
        <w:rPr>
          <w:rFonts w:hint="eastAsia"/>
        </w:rPr>
        <w:t>3000m</w:t>
      </w:r>
      <w:r>
        <w:rPr>
          <w:rFonts w:hint="eastAsia"/>
          <w:vertAlign w:val="superscript"/>
        </w:rPr>
        <w:t>3</w:t>
      </w:r>
      <w:r>
        <w:rPr>
          <w:rFonts w:hint="eastAsia"/>
        </w:rPr>
        <w:t>/d，渗透系数5</w:t>
      </w:r>
      <w:r>
        <w:rPr>
          <w:rFonts w:hint="eastAsia"/>
          <w:spacing w:val="-4"/>
        </w:rPr>
        <w:t>～</w:t>
      </w:r>
      <w:r>
        <w:rPr>
          <w:rFonts w:hint="eastAsia"/>
        </w:rPr>
        <w:t>13m/d。在300m以内分布有三个承压含水层组：第一承压含水层组顶板埋深50</w:t>
      </w:r>
      <w:r>
        <w:rPr>
          <w:rFonts w:hint="eastAsia"/>
          <w:spacing w:val="-4"/>
        </w:rPr>
        <w:t>～</w:t>
      </w:r>
      <w:r>
        <w:rPr>
          <w:rFonts w:hint="eastAsia"/>
        </w:rPr>
        <w:t>100m，第二承压含水层组顶板埋深70</w:t>
      </w:r>
      <w:r>
        <w:rPr>
          <w:rFonts w:hint="eastAsia"/>
          <w:spacing w:val="-4"/>
        </w:rPr>
        <w:t>～</w:t>
      </w:r>
      <w:r>
        <w:rPr>
          <w:rFonts w:hint="eastAsia"/>
        </w:rPr>
        <w:t>140m，第三承压含水层组顶板埋深110</w:t>
      </w:r>
      <w:r>
        <w:rPr>
          <w:rFonts w:hint="eastAsia"/>
          <w:spacing w:val="-4"/>
        </w:rPr>
        <w:t>～</w:t>
      </w:r>
      <w:r>
        <w:rPr>
          <w:rFonts w:hint="eastAsia"/>
        </w:rPr>
        <w:t>220m。</w:t>
      </w:r>
    </w:p>
    <w:p w14:paraId="677FF9E4">
      <w:pPr>
        <w:pStyle w:val="191"/>
        <w:ind w:firstLine="480"/>
        <w:rPr>
          <w:rFonts w:hint="eastAsia"/>
        </w:rPr>
      </w:pPr>
      <w:r>
        <w:rPr>
          <w:rFonts w:hint="eastAsia"/>
        </w:rPr>
        <w:t>项目区含水层类型为多层结构潜水-承压含水层，含水层岩性为砂砾石、中粗砂、中细砂，属地下水强富水带。</w:t>
      </w:r>
    </w:p>
    <w:p w14:paraId="33A28E80">
      <w:pPr>
        <w:pStyle w:val="191"/>
        <w:ind w:firstLine="480"/>
        <w:rPr>
          <w:rFonts w:hint="eastAsia"/>
        </w:rPr>
      </w:pPr>
      <w:r>
        <w:rPr>
          <w:rFonts w:hint="eastAsia"/>
        </w:rPr>
        <w:t>②地下水的补给、径流及排泄条件</w:t>
      </w:r>
    </w:p>
    <w:p w14:paraId="7E4182D6">
      <w:pPr>
        <w:pStyle w:val="191"/>
        <w:ind w:firstLine="480"/>
        <w:rPr>
          <w:rFonts w:hint="eastAsia"/>
        </w:rPr>
      </w:pPr>
      <w:r>
        <w:rPr>
          <w:rFonts w:hint="eastAsia"/>
        </w:rPr>
        <w:t>――地下水的补给</w:t>
      </w:r>
    </w:p>
    <w:p w14:paraId="324550BE">
      <w:pPr>
        <w:pStyle w:val="191"/>
        <w:ind w:firstLine="480"/>
        <w:rPr>
          <w:rFonts w:hint="eastAsia"/>
        </w:rPr>
      </w:pPr>
      <w:r>
        <w:rPr>
          <w:rFonts w:hint="eastAsia"/>
        </w:rPr>
        <w:t>分析范围内地下水的补给来源主要有南部山区冰雪融水、降水一部分形成地表径流，一部分沿基岩裂隙、断裂破碎带及冰水沉积物孔隙垂直入渗，以潜流形式补给山前平原潜水和深层承压水。河流在出山口后，有相当一部分水渗漏于山前砾石带，补给平原区潜水和深层承压水。平原灌区渠系入渗，库（塘）入渗，雨、洪入渗等直接补给平原区潜水。</w:t>
      </w:r>
    </w:p>
    <w:p w14:paraId="28374C63">
      <w:pPr>
        <w:pStyle w:val="191"/>
        <w:ind w:firstLine="480"/>
        <w:rPr>
          <w:rFonts w:hint="eastAsia"/>
        </w:rPr>
      </w:pPr>
      <w:r>
        <w:rPr>
          <w:rFonts w:hint="eastAsia"/>
        </w:rPr>
        <w:t>――地下水的径流</w:t>
      </w:r>
    </w:p>
    <w:p w14:paraId="6C7A30C1">
      <w:pPr>
        <w:pStyle w:val="191"/>
        <w:ind w:firstLine="480"/>
        <w:rPr>
          <w:rFonts w:hint="eastAsia"/>
        </w:rPr>
      </w:pPr>
      <w:r>
        <w:rPr>
          <w:rFonts w:hint="eastAsia"/>
        </w:rPr>
        <w:t>项目区冲洪积松散层厚度大、粒径粗、坡度大、孔隙大、径流条件好，潜水埋藏深、开采难度大。大部分地下水通过径流区流入下游细土平原区。</w:t>
      </w:r>
    </w:p>
    <w:p w14:paraId="26AD3E32">
      <w:pPr>
        <w:pStyle w:val="191"/>
        <w:ind w:firstLine="480"/>
        <w:rPr>
          <w:rFonts w:hint="eastAsia"/>
        </w:rPr>
      </w:pPr>
      <w:r>
        <w:rPr>
          <w:rFonts w:hint="eastAsia"/>
        </w:rPr>
        <w:t>――地下水的排泄</w:t>
      </w:r>
    </w:p>
    <w:p w14:paraId="5F37D529">
      <w:pPr>
        <w:pStyle w:val="191"/>
        <w:ind w:firstLine="480"/>
        <w:rPr>
          <w:rFonts w:hint="eastAsia"/>
        </w:rPr>
      </w:pPr>
      <w:r>
        <w:rPr>
          <w:rFonts w:hint="eastAsia"/>
        </w:rPr>
        <w:t>项目区域内地下水的排泄途径主要有人为开采，在细土平原水位浅埋地区，潜水可通过蒸发垂直排泄，延径流方向以潜流方式排出区外，入北部沙漠。</w:t>
      </w:r>
    </w:p>
    <w:bookmarkEnd w:id="367"/>
    <w:bookmarkEnd w:id="368"/>
    <w:p w14:paraId="4665241A">
      <w:pPr>
        <w:pStyle w:val="4"/>
        <w:rPr>
          <w:rFonts w:hint="eastAsia"/>
        </w:rPr>
      </w:pPr>
      <w:r>
        <w:rPr>
          <w:rFonts w:hint="eastAsia"/>
        </w:rPr>
        <w:t>气候气象</w:t>
      </w:r>
    </w:p>
    <w:p w14:paraId="0984FA01">
      <w:pPr>
        <w:pStyle w:val="117"/>
        <w:ind w:firstLine="480"/>
        <w:rPr>
          <w:rFonts w:hint="eastAsia"/>
        </w:rPr>
      </w:pPr>
      <w:bookmarkStart w:id="369" w:name="_Toc24528"/>
      <w:bookmarkStart w:id="370" w:name="_Toc160381882"/>
      <w:bookmarkStart w:id="371" w:name="_Toc474416132"/>
      <w:bookmarkStart w:id="372" w:name="_Toc474793581"/>
      <w:bookmarkStart w:id="373" w:name="_Toc475624476"/>
      <w:bookmarkStart w:id="374" w:name="_Hlk495686351"/>
      <w:r>
        <w:rPr>
          <w:rFonts w:hint="eastAsia"/>
        </w:rPr>
        <w:t>第六师属中温带大陆性气候，深居亚欧大陆腹地，干旱、低温，光照时数多，昼夜温差大，气温变化剧烈。春秋季节不明显，冬寒夏热，具有显著的大陆性特征。垦区大致可分为3个气候区。即南部山区、北部沙漠和中部平原。山区特点是温凉多雨，差异分明；平原区地域辽阔，夏季炎热，冬季寒冷，降水量少，蒸发强烈，光照充足，热量丰富，春秋季气温变化剧烈，温习大，完霜期较长，冬季有稳定的积雪；沙漠区气候干旱，降水量少，冬季严寒，夏季酷热，昼夜温差大，多风沙，差异明显；中部平原区年均气温6℃～7℃，最高气温40℃～42℃，最低气温-38℃～-43℃，年均降水量200mm，年蒸发量2000m</w:t>
      </w:r>
      <w:r>
        <w:t>m</w:t>
      </w:r>
      <w:r>
        <w:rPr>
          <w:rFonts w:hint="eastAsia"/>
        </w:rPr>
        <w:t>，无霜期155天，日照2600～3200小时/年</w:t>
      </w:r>
      <w:r>
        <w:t>。</w:t>
      </w:r>
    </w:p>
    <w:p w14:paraId="30033FD0">
      <w:pPr>
        <w:pStyle w:val="2"/>
        <w:spacing w:line="440" w:lineRule="exact"/>
        <w:rPr>
          <w:rFonts w:hint="eastAsia"/>
        </w:rPr>
      </w:pPr>
      <w:r>
        <w:rPr>
          <w:rFonts w:hint="eastAsia"/>
        </w:rPr>
        <w:t>环境保护目标调查</w:t>
      </w:r>
      <w:bookmarkEnd w:id="369"/>
      <w:bookmarkEnd w:id="370"/>
    </w:p>
    <w:p w14:paraId="606EA151">
      <w:pPr>
        <w:pStyle w:val="117"/>
        <w:ind w:firstLine="480"/>
        <w:rPr>
          <w:rFonts w:hint="eastAsia"/>
        </w:rPr>
      </w:pPr>
      <w:r>
        <w:rPr>
          <w:rFonts w:hint="eastAsia"/>
        </w:rPr>
        <w:t>评价范围内无自然保护区、风景名胜区、饮用水水源保护、自然公园等环境敏感区、医院、学校等环境敏感目标。项目区位于水土流失重点治理区——准噶尔盆地南缘兵团级水土流失重点治理区，</w:t>
      </w:r>
      <w:r>
        <w:rPr>
          <w:rFonts w:hint="eastAsia"/>
          <w:lang w:val="zh-CN"/>
        </w:rPr>
        <w:t>生态环境保护目标为评价范围内的水土流失重点治理区和国家公益林，大气环境保护目标为居民区，土壤环境保护目标为一般耕地和天然牧草地。</w:t>
      </w:r>
    </w:p>
    <w:p w14:paraId="62F0BEE1">
      <w:pPr>
        <w:pStyle w:val="117"/>
        <w:ind w:firstLine="480"/>
        <w:rPr>
          <w:rFonts w:hint="eastAsia"/>
        </w:rPr>
      </w:pPr>
      <w:r>
        <w:rPr>
          <w:rFonts w:hint="eastAsia"/>
        </w:rPr>
        <w:t>（1）水土流失重点治理区</w:t>
      </w:r>
    </w:p>
    <w:p w14:paraId="5437DA66">
      <w:pPr>
        <w:pStyle w:val="117"/>
        <w:ind w:firstLine="480"/>
        <w:rPr>
          <w:rFonts w:hint="eastAsia"/>
        </w:rPr>
      </w:pPr>
      <w:r>
        <w:rPr>
          <w:rFonts w:hint="eastAsia"/>
        </w:rPr>
        <w:t>根据《新疆生产建设兵团水土保持规划》（</w:t>
      </w:r>
      <w:r>
        <w:t>2015-2030</w:t>
      </w:r>
      <w:r>
        <w:rPr>
          <w:rFonts w:hint="eastAsia"/>
        </w:rPr>
        <w:t>年）第六师红旗农场位于准噶尔盆地南缘人居环境农田防护区，属于准噶尔盆地南缘兵团级水土流失重点治理区。结合项目区地理位置、地形地貌和气候环境特点，确定项目区水土流失类型主要为风力侵蚀。</w:t>
      </w:r>
    </w:p>
    <w:p w14:paraId="785B58FE">
      <w:pPr>
        <w:pStyle w:val="117"/>
        <w:ind w:firstLine="480"/>
        <w:rPr>
          <w:rFonts w:hint="eastAsia"/>
        </w:rPr>
      </w:pPr>
      <w:r>
        <w:rPr>
          <w:rFonts w:hint="eastAsia"/>
        </w:rPr>
        <w:t>（2）公益林</w:t>
      </w:r>
    </w:p>
    <w:p w14:paraId="7DC2B86F">
      <w:pPr>
        <w:pStyle w:val="117"/>
        <w:ind w:firstLine="480"/>
        <w:rPr>
          <w:rFonts w:hint="eastAsia"/>
        </w:rPr>
      </w:pPr>
      <w:r>
        <w:rPr>
          <w:rFonts w:hint="eastAsia"/>
        </w:rPr>
        <w:t>项目占用的公益林为国家级二级公益林，地貌为荒漠戈壁区，地势平坦，生长荒漠植被，项目区分布的灌木树种主要为梭梭、柽柳等。</w:t>
      </w:r>
    </w:p>
    <w:p w14:paraId="785B100C">
      <w:pPr>
        <w:pStyle w:val="117"/>
        <w:ind w:firstLine="480"/>
        <w:rPr>
          <w:rFonts w:hint="eastAsia"/>
        </w:rPr>
      </w:pPr>
      <w:r>
        <w:rPr>
          <w:rFonts w:hint="eastAsia"/>
        </w:rPr>
        <w:t>（3）居民区</w:t>
      </w:r>
    </w:p>
    <w:p w14:paraId="09E683BF">
      <w:pPr>
        <w:pStyle w:val="117"/>
        <w:ind w:firstLine="480"/>
        <w:rPr>
          <w:rFonts w:hint="eastAsia"/>
        </w:rPr>
      </w:pPr>
      <w:r>
        <w:rPr>
          <w:rFonts w:hint="eastAsia"/>
        </w:rPr>
        <w:t>大气评价范围内的环境保护目标主要为四厂湖和农一连，最近距离分别为1.7km和2.6km，人口分别为165人、207人。</w:t>
      </w:r>
    </w:p>
    <w:p w14:paraId="4B2DAAAF">
      <w:pPr>
        <w:pStyle w:val="117"/>
        <w:ind w:firstLine="480"/>
        <w:rPr>
          <w:rFonts w:hint="eastAsia"/>
        </w:rPr>
      </w:pPr>
      <w:r>
        <w:rPr>
          <w:rFonts w:hint="eastAsia"/>
        </w:rPr>
        <w:t>（4）耕地</w:t>
      </w:r>
    </w:p>
    <w:p w14:paraId="62031E96">
      <w:pPr>
        <w:pStyle w:val="117"/>
        <w:ind w:firstLine="480"/>
        <w:rPr>
          <w:rFonts w:hint="eastAsia"/>
        </w:rPr>
      </w:pPr>
      <w:r>
        <w:rPr>
          <w:rFonts w:hint="eastAsia"/>
        </w:rPr>
        <w:t>本项目不占用耕地，但土壤评价范围内存在耕地，最近距离为75m，耕地为一般耕地，不属于永久基本农田，种植农作物主要为小麦和瓜地。</w:t>
      </w:r>
    </w:p>
    <w:p w14:paraId="01854089">
      <w:pPr>
        <w:pStyle w:val="2"/>
        <w:spacing w:line="440" w:lineRule="exact"/>
        <w:rPr>
          <w:rFonts w:hint="eastAsia"/>
        </w:rPr>
      </w:pPr>
      <w:bookmarkStart w:id="375" w:name="_Toc160381883"/>
      <w:r>
        <w:rPr>
          <w:rFonts w:hint="eastAsia"/>
        </w:rPr>
        <w:t>环境</w:t>
      </w:r>
      <w:r>
        <w:t>质量现状调查与评价</w:t>
      </w:r>
      <w:bookmarkEnd w:id="371"/>
      <w:bookmarkEnd w:id="372"/>
      <w:bookmarkEnd w:id="373"/>
      <w:bookmarkEnd w:id="375"/>
    </w:p>
    <w:bookmarkEnd w:id="374"/>
    <w:p w14:paraId="70096EF4">
      <w:pPr>
        <w:pStyle w:val="4"/>
        <w:rPr>
          <w:rFonts w:hint="eastAsia"/>
        </w:rPr>
      </w:pPr>
      <w:bookmarkStart w:id="376" w:name="_Toc474416133"/>
      <w:r>
        <w:rPr>
          <w:rFonts w:hint="eastAsia"/>
        </w:rPr>
        <w:t>大气</w:t>
      </w:r>
      <w:r>
        <w:t>环境质量现状调查与评价</w:t>
      </w:r>
      <w:bookmarkEnd w:id="376"/>
    </w:p>
    <w:p w14:paraId="34F286C5">
      <w:pPr>
        <w:pStyle w:val="117"/>
        <w:spacing w:line="480" w:lineRule="exact"/>
        <w:ind w:firstLine="480"/>
        <w:rPr>
          <w:rFonts w:hint="eastAsia"/>
          <w:kern w:val="0"/>
        </w:rPr>
      </w:pPr>
      <w:r>
        <w:rPr>
          <w:rFonts w:hint="eastAsia"/>
        </w:rPr>
        <w:t>（1）区域大气环境质量达标判定</w:t>
      </w:r>
    </w:p>
    <w:p w14:paraId="528E8636">
      <w:pPr>
        <w:pStyle w:val="117"/>
        <w:spacing w:line="480" w:lineRule="exact"/>
        <w:ind w:firstLine="480"/>
        <w:rPr>
          <w:rFonts w:hint="eastAsia"/>
        </w:rPr>
      </w:pPr>
      <w:r>
        <w:rPr>
          <w:rFonts w:hint="eastAsia"/>
        </w:rPr>
        <w:t>项目区位于第六师五家渠市红旗农场，评价范围内无环境空气质量监测网数据或公开发布的环境空气质量现状数据。本次评价选择距离项目区较近、气候、地形条件相似的吉木萨尔县环境监测站的六项基本污染物的监测数据来说明区域环境空气质量达标情况。</w:t>
      </w:r>
    </w:p>
    <w:p w14:paraId="40BFAD65">
      <w:pPr>
        <w:pStyle w:val="117"/>
        <w:spacing w:line="480" w:lineRule="exact"/>
        <w:ind w:firstLine="480"/>
        <w:rPr>
          <w:rFonts w:hint="eastAsia"/>
        </w:rPr>
      </w:pPr>
      <w:r>
        <w:rPr>
          <w:rFonts w:hint="eastAsia"/>
        </w:rPr>
        <w:t>根据吉木萨尔县环境监测站2022年的监测数据，六项基本污染物中</w:t>
      </w:r>
      <w:bookmarkStart w:id="377" w:name="_Hlk173752814"/>
      <w:r>
        <w:rPr>
          <w:rFonts w:hint="eastAsia"/>
        </w:rPr>
        <w:t>SO</w:t>
      </w:r>
      <w:r>
        <w:rPr>
          <w:rFonts w:hint="eastAsia"/>
          <w:vertAlign w:val="subscript"/>
        </w:rPr>
        <w:t>2</w:t>
      </w:r>
      <w:r>
        <w:rPr>
          <w:rFonts w:hint="eastAsia"/>
        </w:rPr>
        <w:t>、NO</w:t>
      </w:r>
      <w:r>
        <w:rPr>
          <w:rFonts w:hint="eastAsia"/>
          <w:vertAlign w:val="subscript"/>
        </w:rPr>
        <w:t>2</w:t>
      </w:r>
      <w:r>
        <w:rPr>
          <w:rFonts w:hint="eastAsia"/>
        </w:rPr>
        <w:t>、CO、O</w:t>
      </w:r>
      <w:r>
        <w:rPr>
          <w:rFonts w:hint="eastAsia"/>
          <w:vertAlign w:val="subscript"/>
        </w:rPr>
        <w:t>3</w:t>
      </w:r>
      <w:r>
        <w:rPr>
          <w:rFonts w:hint="eastAsia"/>
        </w:rPr>
        <w:t>的现状浓度均符合《环境空气质量标准》（GB3095-2012）二级标准，PM</w:t>
      </w:r>
      <w:r>
        <w:rPr>
          <w:rFonts w:hint="eastAsia"/>
          <w:vertAlign w:val="subscript"/>
        </w:rPr>
        <w:t>10</w:t>
      </w:r>
      <w:r>
        <w:rPr>
          <w:rFonts w:hint="eastAsia"/>
        </w:rPr>
        <w:t>、PM</w:t>
      </w:r>
      <w:r>
        <w:rPr>
          <w:rFonts w:hint="eastAsia"/>
          <w:vertAlign w:val="subscript"/>
        </w:rPr>
        <w:t>2.5</w:t>
      </w:r>
      <w:r>
        <w:rPr>
          <w:rFonts w:hint="eastAsia"/>
        </w:rPr>
        <w:t>的现状浓度超标，属于环境空气质量不达标区，超标原因主要与当地风沙季有一定的原因。</w:t>
      </w:r>
      <w:bookmarkEnd w:id="377"/>
      <w:r>
        <w:rPr>
          <w:rFonts w:hint="eastAsia"/>
        </w:rPr>
        <w:t>具体数据见表4.3-1。</w:t>
      </w:r>
    </w:p>
    <w:p w14:paraId="146BC520">
      <w:pPr>
        <w:pStyle w:val="109"/>
        <w:rPr>
          <w:rFonts w:hint="eastAsia"/>
        </w:rPr>
      </w:pPr>
      <w:r>
        <w:rPr>
          <w:rFonts w:hint="eastAsia"/>
        </w:rPr>
        <w:t>表4.3-1</w:t>
      </w:r>
      <w:r>
        <w:t xml:space="preserve">  </w:t>
      </w:r>
      <w:r>
        <w:rPr>
          <w:rFonts w:hint="eastAsia"/>
        </w:rPr>
        <w:t>大气环境质量现状监测及评价结果一览表</w:t>
      </w:r>
    </w:p>
    <w:tbl>
      <w:tblPr>
        <w:tblStyle w:val="53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559"/>
        <w:gridCol w:w="1395"/>
        <w:gridCol w:w="1214"/>
        <w:gridCol w:w="1055"/>
        <w:gridCol w:w="1129"/>
      </w:tblGrid>
      <w:tr w14:paraId="2344BB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985" w:type="dxa"/>
            <w:shd w:val="clear" w:color="auto" w:fill="auto"/>
            <w:vAlign w:val="center"/>
          </w:tcPr>
          <w:p w14:paraId="05761068">
            <w:pPr>
              <w:jc w:val="center"/>
              <w:rPr>
                <w:rFonts w:hint="eastAsia" w:ascii="宋体" w:hAnsi="宋体" w:eastAsia="宋体"/>
                <w:szCs w:val="21"/>
              </w:rPr>
            </w:pPr>
            <w:r>
              <w:rPr>
                <w:rFonts w:ascii="宋体" w:hAnsi="宋体" w:eastAsia="宋体"/>
                <w:szCs w:val="21"/>
              </w:rPr>
              <w:t>污染物</w:t>
            </w:r>
          </w:p>
        </w:tc>
        <w:tc>
          <w:tcPr>
            <w:tcW w:w="2559" w:type="dxa"/>
            <w:shd w:val="clear" w:color="auto" w:fill="auto"/>
            <w:vAlign w:val="center"/>
          </w:tcPr>
          <w:p w14:paraId="1D60069A">
            <w:pPr>
              <w:jc w:val="center"/>
              <w:rPr>
                <w:rFonts w:hint="eastAsia" w:ascii="宋体" w:hAnsi="宋体" w:eastAsia="宋体"/>
                <w:szCs w:val="21"/>
              </w:rPr>
            </w:pPr>
            <w:r>
              <w:rPr>
                <w:rFonts w:ascii="宋体" w:hAnsi="宋体" w:eastAsia="宋体"/>
                <w:szCs w:val="21"/>
              </w:rPr>
              <w:t>年评价指标</w:t>
            </w:r>
          </w:p>
        </w:tc>
        <w:tc>
          <w:tcPr>
            <w:tcW w:w="1395" w:type="dxa"/>
            <w:shd w:val="clear" w:color="auto" w:fill="auto"/>
            <w:vAlign w:val="center"/>
          </w:tcPr>
          <w:p w14:paraId="07EA0ADB">
            <w:pPr>
              <w:jc w:val="center"/>
              <w:rPr>
                <w:rFonts w:hint="eastAsia" w:ascii="宋体" w:hAnsi="宋体" w:eastAsia="宋体"/>
                <w:szCs w:val="21"/>
              </w:rPr>
            </w:pPr>
            <w:r>
              <w:rPr>
                <w:rFonts w:ascii="宋体" w:hAnsi="宋体" w:eastAsia="宋体"/>
                <w:szCs w:val="21"/>
              </w:rPr>
              <w:t>现状浓度</w:t>
            </w:r>
            <w:r>
              <w:rPr>
                <w:rFonts w:hint="eastAsia" w:ascii="宋体" w:hAnsi="宋体" w:eastAsia="宋体"/>
                <w:szCs w:val="21"/>
              </w:rPr>
              <w:t>（</w:t>
            </w:r>
            <w:r>
              <w:rPr>
                <w:rFonts w:ascii="宋体" w:hAnsi="宋体" w:eastAsia="宋体"/>
                <w:szCs w:val="21"/>
              </w:rPr>
              <w:t>μg/m</w:t>
            </w:r>
            <w:r>
              <w:rPr>
                <w:rFonts w:ascii="宋体" w:hAnsi="宋体" w:eastAsia="宋体"/>
                <w:szCs w:val="21"/>
                <w:vertAlign w:val="superscript"/>
              </w:rPr>
              <w:t>3</w:t>
            </w:r>
            <w:r>
              <w:rPr>
                <w:rFonts w:hint="eastAsia" w:ascii="宋体" w:hAnsi="宋体" w:eastAsia="宋体"/>
                <w:szCs w:val="21"/>
              </w:rPr>
              <w:t>）</w:t>
            </w:r>
          </w:p>
        </w:tc>
        <w:tc>
          <w:tcPr>
            <w:tcW w:w="1167" w:type="dxa"/>
            <w:shd w:val="clear" w:color="auto" w:fill="auto"/>
            <w:vAlign w:val="center"/>
          </w:tcPr>
          <w:p w14:paraId="38AF1CEB">
            <w:pPr>
              <w:jc w:val="center"/>
              <w:rPr>
                <w:rFonts w:hint="eastAsia" w:ascii="宋体" w:hAnsi="宋体" w:eastAsia="宋体"/>
                <w:szCs w:val="21"/>
              </w:rPr>
            </w:pPr>
            <w:r>
              <w:rPr>
                <w:rFonts w:ascii="宋体" w:hAnsi="宋体" w:eastAsia="宋体"/>
                <w:szCs w:val="21"/>
              </w:rPr>
              <w:t>标准值</w:t>
            </w:r>
            <w:r>
              <w:rPr>
                <w:rFonts w:hint="eastAsia" w:ascii="宋体" w:hAnsi="宋体" w:eastAsia="宋体"/>
                <w:szCs w:val="21"/>
              </w:rPr>
              <w:t>（</w:t>
            </w:r>
            <w:r>
              <w:rPr>
                <w:rFonts w:ascii="宋体" w:hAnsi="宋体" w:eastAsia="宋体"/>
                <w:szCs w:val="21"/>
              </w:rPr>
              <w:t>μg/m</w:t>
            </w:r>
            <w:r>
              <w:rPr>
                <w:rFonts w:ascii="宋体" w:hAnsi="宋体" w:eastAsia="宋体"/>
                <w:szCs w:val="21"/>
                <w:vertAlign w:val="superscript"/>
              </w:rPr>
              <w:t>3</w:t>
            </w:r>
            <w:r>
              <w:rPr>
                <w:rFonts w:hint="eastAsia" w:ascii="宋体" w:hAnsi="宋体" w:eastAsia="宋体"/>
                <w:szCs w:val="21"/>
              </w:rPr>
              <w:t>）</w:t>
            </w:r>
          </w:p>
        </w:tc>
        <w:tc>
          <w:tcPr>
            <w:tcW w:w="1055" w:type="dxa"/>
            <w:shd w:val="clear" w:color="auto" w:fill="auto"/>
            <w:vAlign w:val="center"/>
          </w:tcPr>
          <w:p w14:paraId="30F54767">
            <w:pPr>
              <w:jc w:val="center"/>
              <w:rPr>
                <w:rFonts w:hint="eastAsia" w:ascii="宋体" w:hAnsi="宋体" w:eastAsia="宋体"/>
                <w:szCs w:val="21"/>
              </w:rPr>
            </w:pPr>
            <w:r>
              <w:rPr>
                <w:rFonts w:ascii="宋体" w:hAnsi="宋体" w:eastAsia="宋体"/>
                <w:szCs w:val="21"/>
              </w:rPr>
              <w:t>占标率</w:t>
            </w:r>
            <w:r>
              <w:rPr>
                <w:rFonts w:hint="eastAsia" w:ascii="宋体" w:hAnsi="宋体" w:eastAsia="宋体"/>
                <w:szCs w:val="21"/>
              </w:rPr>
              <w:t>（</w:t>
            </w:r>
            <w:r>
              <w:rPr>
                <w:rFonts w:ascii="宋体" w:hAnsi="宋体" w:eastAsia="宋体"/>
                <w:szCs w:val="21"/>
              </w:rPr>
              <w:t>%</w:t>
            </w:r>
            <w:r>
              <w:rPr>
                <w:rFonts w:hint="eastAsia" w:ascii="宋体" w:hAnsi="宋体" w:eastAsia="宋体"/>
                <w:szCs w:val="21"/>
              </w:rPr>
              <w:t>）</w:t>
            </w:r>
          </w:p>
        </w:tc>
        <w:tc>
          <w:tcPr>
            <w:tcW w:w="1129" w:type="dxa"/>
            <w:shd w:val="clear" w:color="auto" w:fill="auto"/>
            <w:vAlign w:val="center"/>
          </w:tcPr>
          <w:p w14:paraId="4CC100B3">
            <w:pPr>
              <w:jc w:val="center"/>
              <w:rPr>
                <w:rFonts w:hint="eastAsia" w:ascii="宋体" w:hAnsi="宋体" w:eastAsia="宋体"/>
                <w:szCs w:val="21"/>
              </w:rPr>
            </w:pPr>
            <w:r>
              <w:rPr>
                <w:rFonts w:ascii="宋体" w:hAnsi="宋体" w:eastAsia="宋体"/>
                <w:szCs w:val="21"/>
              </w:rPr>
              <w:t>达标情况</w:t>
            </w:r>
          </w:p>
        </w:tc>
      </w:tr>
      <w:tr w14:paraId="4ECBE8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restart"/>
            <w:shd w:val="clear" w:color="auto" w:fill="auto"/>
            <w:vAlign w:val="center"/>
          </w:tcPr>
          <w:p w14:paraId="1ED6393C">
            <w:pPr>
              <w:jc w:val="center"/>
              <w:rPr>
                <w:rFonts w:hint="eastAsia" w:ascii="宋体" w:hAnsi="宋体" w:eastAsia="宋体"/>
                <w:szCs w:val="21"/>
              </w:rPr>
            </w:pPr>
            <w:r>
              <w:rPr>
                <w:rFonts w:ascii="宋体" w:hAnsi="宋体" w:eastAsia="宋体"/>
                <w:szCs w:val="21"/>
              </w:rPr>
              <w:t>SO</w:t>
            </w:r>
            <w:r>
              <w:rPr>
                <w:rFonts w:ascii="宋体" w:hAnsi="宋体" w:eastAsia="宋体"/>
                <w:szCs w:val="21"/>
                <w:vertAlign w:val="subscript"/>
              </w:rPr>
              <w:t>2</w:t>
            </w:r>
          </w:p>
        </w:tc>
        <w:tc>
          <w:tcPr>
            <w:tcW w:w="2559" w:type="dxa"/>
            <w:shd w:val="clear" w:color="auto" w:fill="auto"/>
            <w:vAlign w:val="center"/>
          </w:tcPr>
          <w:p w14:paraId="1B5E6BF8">
            <w:pPr>
              <w:jc w:val="center"/>
              <w:rPr>
                <w:rFonts w:hint="eastAsia" w:ascii="宋体" w:hAnsi="宋体" w:eastAsia="宋体"/>
                <w:szCs w:val="21"/>
              </w:rPr>
            </w:pPr>
            <w:r>
              <w:rPr>
                <w:rFonts w:ascii="宋体" w:hAnsi="宋体" w:eastAsia="宋体"/>
                <w:szCs w:val="21"/>
              </w:rPr>
              <w:t>年平均</w:t>
            </w:r>
          </w:p>
        </w:tc>
        <w:tc>
          <w:tcPr>
            <w:tcW w:w="1395" w:type="dxa"/>
            <w:shd w:val="clear" w:color="auto" w:fill="auto"/>
            <w:vAlign w:val="center"/>
          </w:tcPr>
          <w:p w14:paraId="1060D347">
            <w:pPr>
              <w:jc w:val="center"/>
              <w:rPr>
                <w:rFonts w:hint="eastAsia" w:ascii="宋体" w:hAnsi="宋体" w:eastAsia="宋体"/>
                <w:szCs w:val="21"/>
              </w:rPr>
            </w:pPr>
            <w:r>
              <w:rPr>
                <w:rFonts w:hint="eastAsia" w:ascii="宋体" w:hAnsi="宋体" w:eastAsia="宋体"/>
                <w:szCs w:val="21"/>
              </w:rPr>
              <w:t>8</w:t>
            </w:r>
          </w:p>
        </w:tc>
        <w:tc>
          <w:tcPr>
            <w:tcW w:w="1167" w:type="dxa"/>
            <w:shd w:val="clear" w:color="auto" w:fill="auto"/>
            <w:vAlign w:val="center"/>
          </w:tcPr>
          <w:p w14:paraId="6D95F786">
            <w:pPr>
              <w:jc w:val="center"/>
              <w:rPr>
                <w:rFonts w:hint="eastAsia" w:ascii="宋体" w:hAnsi="宋体" w:eastAsia="宋体"/>
                <w:szCs w:val="21"/>
              </w:rPr>
            </w:pPr>
            <w:r>
              <w:rPr>
                <w:rFonts w:hint="eastAsia" w:ascii="宋体" w:hAnsi="宋体" w:eastAsia="宋体"/>
                <w:szCs w:val="21"/>
              </w:rPr>
              <w:t>6</w:t>
            </w:r>
            <w:r>
              <w:rPr>
                <w:rFonts w:ascii="宋体" w:hAnsi="宋体" w:eastAsia="宋体"/>
                <w:szCs w:val="21"/>
              </w:rPr>
              <w:t>0</w:t>
            </w:r>
          </w:p>
        </w:tc>
        <w:tc>
          <w:tcPr>
            <w:tcW w:w="1055" w:type="dxa"/>
            <w:shd w:val="clear" w:color="auto" w:fill="auto"/>
            <w:vAlign w:val="center"/>
          </w:tcPr>
          <w:p w14:paraId="2D45BA61">
            <w:pPr>
              <w:jc w:val="center"/>
              <w:rPr>
                <w:rFonts w:hint="eastAsia" w:ascii="宋体" w:hAnsi="宋体" w:eastAsia="宋体"/>
                <w:szCs w:val="21"/>
              </w:rPr>
            </w:pPr>
            <w:r>
              <w:rPr>
                <w:rFonts w:hint="eastAsia" w:ascii="宋体" w:hAnsi="宋体" w:eastAsia="宋体"/>
                <w:szCs w:val="21"/>
              </w:rPr>
              <w:t>13.33</w:t>
            </w:r>
          </w:p>
        </w:tc>
        <w:tc>
          <w:tcPr>
            <w:tcW w:w="1129" w:type="dxa"/>
            <w:shd w:val="clear" w:color="auto" w:fill="auto"/>
            <w:vAlign w:val="center"/>
          </w:tcPr>
          <w:p w14:paraId="670BE7E3">
            <w:pPr>
              <w:jc w:val="center"/>
              <w:rPr>
                <w:rFonts w:hint="eastAsia" w:ascii="宋体" w:hAnsi="宋体" w:eastAsia="宋体"/>
                <w:szCs w:val="21"/>
              </w:rPr>
            </w:pPr>
            <w:r>
              <w:rPr>
                <w:rFonts w:ascii="宋体" w:hAnsi="宋体" w:eastAsia="宋体"/>
                <w:szCs w:val="21"/>
              </w:rPr>
              <w:t>达标</w:t>
            </w:r>
          </w:p>
        </w:tc>
      </w:tr>
      <w:tr w14:paraId="3371A9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continue"/>
            <w:shd w:val="clear" w:color="auto" w:fill="auto"/>
            <w:vAlign w:val="center"/>
          </w:tcPr>
          <w:p w14:paraId="7FAAF0D1">
            <w:pPr>
              <w:jc w:val="center"/>
              <w:rPr>
                <w:rFonts w:hint="eastAsia" w:ascii="宋体" w:hAnsi="宋体" w:eastAsia="宋体"/>
                <w:szCs w:val="21"/>
              </w:rPr>
            </w:pPr>
          </w:p>
        </w:tc>
        <w:tc>
          <w:tcPr>
            <w:tcW w:w="2559" w:type="dxa"/>
            <w:shd w:val="clear" w:color="auto" w:fill="auto"/>
            <w:vAlign w:val="center"/>
          </w:tcPr>
          <w:p w14:paraId="5BE5814D">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h平均第9</w:t>
            </w:r>
            <w:r>
              <w:rPr>
                <w:rFonts w:ascii="宋体" w:hAnsi="宋体" w:eastAsia="宋体"/>
                <w:szCs w:val="21"/>
              </w:rPr>
              <w:t>8</w:t>
            </w:r>
            <w:r>
              <w:rPr>
                <w:rFonts w:hint="eastAsia" w:ascii="宋体" w:hAnsi="宋体" w:eastAsia="宋体"/>
                <w:szCs w:val="21"/>
              </w:rPr>
              <w:t>百分位数</w:t>
            </w:r>
          </w:p>
        </w:tc>
        <w:tc>
          <w:tcPr>
            <w:tcW w:w="1395" w:type="dxa"/>
            <w:shd w:val="clear" w:color="auto" w:fill="auto"/>
            <w:vAlign w:val="center"/>
          </w:tcPr>
          <w:p w14:paraId="0E9E5F16">
            <w:pPr>
              <w:jc w:val="center"/>
              <w:rPr>
                <w:rFonts w:hint="eastAsia" w:ascii="宋体" w:hAnsi="宋体" w:eastAsia="宋体"/>
                <w:szCs w:val="21"/>
              </w:rPr>
            </w:pPr>
            <w:r>
              <w:rPr>
                <w:rFonts w:hint="eastAsia" w:ascii="宋体" w:hAnsi="宋体" w:eastAsia="宋体"/>
                <w:szCs w:val="21"/>
              </w:rPr>
              <w:t>16.72</w:t>
            </w:r>
          </w:p>
        </w:tc>
        <w:tc>
          <w:tcPr>
            <w:tcW w:w="1167" w:type="dxa"/>
            <w:shd w:val="clear" w:color="auto" w:fill="auto"/>
            <w:vAlign w:val="center"/>
          </w:tcPr>
          <w:p w14:paraId="6CB288FC">
            <w:pPr>
              <w:jc w:val="center"/>
              <w:rPr>
                <w:rFonts w:hint="eastAsia" w:ascii="宋体" w:hAnsi="宋体" w:eastAsia="宋体"/>
                <w:szCs w:val="21"/>
              </w:rPr>
            </w:pPr>
            <w:r>
              <w:rPr>
                <w:rFonts w:hint="eastAsia" w:ascii="宋体" w:hAnsi="宋体" w:eastAsia="宋体"/>
                <w:szCs w:val="21"/>
              </w:rPr>
              <w:t>1</w:t>
            </w:r>
            <w:r>
              <w:rPr>
                <w:rFonts w:ascii="宋体" w:hAnsi="宋体" w:eastAsia="宋体"/>
                <w:szCs w:val="21"/>
              </w:rPr>
              <w:t>50</w:t>
            </w:r>
          </w:p>
        </w:tc>
        <w:tc>
          <w:tcPr>
            <w:tcW w:w="1055" w:type="dxa"/>
            <w:shd w:val="clear" w:color="auto" w:fill="auto"/>
            <w:vAlign w:val="center"/>
          </w:tcPr>
          <w:p w14:paraId="183E1C04">
            <w:pPr>
              <w:jc w:val="center"/>
              <w:rPr>
                <w:rFonts w:hint="eastAsia" w:ascii="宋体" w:hAnsi="宋体" w:eastAsia="宋体"/>
                <w:szCs w:val="21"/>
              </w:rPr>
            </w:pPr>
            <w:r>
              <w:rPr>
                <w:rFonts w:hint="eastAsia" w:ascii="宋体" w:hAnsi="宋体" w:eastAsia="宋体"/>
                <w:szCs w:val="21"/>
              </w:rPr>
              <w:t>11.15</w:t>
            </w:r>
          </w:p>
        </w:tc>
        <w:tc>
          <w:tcPr>
            <w:tcW w:w="1129" w:type="dxa"/>
            <w:shd w:val="clear" w:color="auto" w:fill="auto"/>
            <w:vAlign w:val="center"/>
          </w:tcPr>
          <w:p w14:paraId="21C591A8">
            <w:pPr>
              <w:jc w:val="center"/>
              <w:rPr>
                <w:rFonts w:hint="eastAsia" w:ascii="宋体" w:hAnsi="宋体" w:eastAsia="宋体"/>
                <w:szCs w:val="21"/>
              </w:rPr>
            </w:pPr>
            <w:r>
              <w:rPr>
                <w:rFonts w:ascii="宋体" w:hAnsi="宋体" w:eastAsia="宋体"/>
                <w:szCs w:val="21"/>
              </w:rPr>
              <w:t>达标</w:t>
            </w:r>
          </w:p>
        </w:tc>
      </w:tr>
      <w:tr w14:paraId="0DC2DB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restart"/>
            <w:shd w:val="clear" w:color="auto" w:fill="auto"/>
            <w:vAlign w:val="center"/>
          </w:tcPr>
          <w:p w14:paraId="2A7EB5A9">
            <w:pPr>
              <w:jc w:val="center"/>
              <w:rPr>
                <w:rFonts w:hint="eastAsia" w:ascii="宋体" w:hAnsi="宋体" w:eastAsia="宋体"/>
                <w:szCs w:val="21"/>
              </w:rPr>
            </w:pPr>
            <w:r>
              <w:rPr>
                <w:rFonts w:ascii="宋体" w:hAnsi="宋体" w:eastAsia="宋体"/>
                <w:szCs w:val="21"/>
              </w:rPr>
              <w:t>NO</w:t>
            </w:r>
            <w:r>
              <w:rPr>
                <w:rFonts w:ascii="宋体" w:hAnsi="宋体" w:eastAsia="宋体"/>
                <w:szCs w:val="21"/>
                <w:vertAlign w:val="subscript"/>
              </w:rPr>
              <w:t>2</w:t>
            </w:r>
          </w:p>
        </w:tc>
        <w:tc>
          <w:tcPr>
            <w:tcW w:w="2559" w:type="dxa"/>
            <w:shd w:val="clear" w:color="auto" w:fill="auto"/>
            <w:vAlign w:val="center"/>
          </w:tcPr>
          <w:p w14:paraId="5A0BEB29">
            <w:pPr>
              <w:jc w:val="center"/>
              <w:rPr>
                <w:rFonts w:hint="eastAsia" w:ascii="宋体" w:hAnsi="宋体" w:eastAsia="宋体"/>
                <w:szCs w:val="21"/>
              </w:rPr>
            </w:pPr>
            <w:r>
              <w:rPr>
                <w:rFonts w:ascii="宋体" w:hAnsi="宋体" w:eastAsia="宋体"/>
                <w:szCs w:val="21"/>
              </w:rPr>
              <w:t>年平均</w:t>
            </w:r>
          </w:p>
        </w:tc>
        <w:tc>
          <w:tcPr>
            <w:tcW w:w="1395" w:type="dxa"/>
            <w:shd w:val="clear" w:color="auto" w:fill="auto"/>
            <w:vAlign w:val="center"/>
          </w:tcPr>
          <w:p w14:paraId="16496AC6">
            <w:pPr>
              <w:jc w:val="center"/>
              <w:rPr>
                <w:rFonts w:hint="eastAsia" w:ascii="宋体" w:hAnsi="宋体" w:eastAsia="宋体"/>
                <w:szCs w:val="21"/>
              </w:rPr>
            </w:pPr>
            <w:r>
              <w:rPr>
                <w:rFonts w:hint="eastAsia" w:ascii="宋体" w:hAnsi="宋体" w:eastAsia="宋体"/>
                <w:szCs w:val="21"/>
              </w:rPr>
              <w:t>20</w:t>
            </w:r>
          </w:p>
        </w:tc>
        <w:tc>
          <w:tcPr>
            <w:tcW w:w="1167" w:type="dxa"/>
            <w:shd w:val="clear" w:color="auto" w:fill="auto"/>
            <w:vAlign w:val="center"/>
          </w:tcPr>
          <w:p w14:paraId="1991F078">
            <w:pPr>
              <w:jc w:val="center"/>
              <w:rPr>
                <w:rFonts w:hint="eastAsia" w:ascii="宋体" w:hAnsi="宋体" w:eastAsia="宋体"/>
                <w:szCs w:val="21"/>
              </w:rPr>
            </w:pPr>
            <w:r>
              <w:rPr>
                <w:rFonts w:hint="eastAsia" w:ascii="宋体" w:hAnsi="宋体" w:eastAsia="宋体"/>
                <w:szCs w:val="21"/>
              </w:rPr>
              <w:t>4</w:t>
            </w:r>
            <w:r>
              <w:rPr>
                <w:rFonts w:ascii="宋体" w:hAnsi="宋体" w:eastAsia="宋体"/>
                <w:szCs w:val="21"/>
              </w:rPr>
              <w:t>0</w:t>
            </w:r>
          </w:p>
        </w:tc>
        <w:tc>
          <w:tcPr>
            <w:tcW w:w="1055" w:type="dxa"/>
            <w:shd w:val="clear" w:color="auto" w:fill="auto"/>
            <w:vAlign w:val="center"/>
          </w:tcPr>
          <w:p w14:paraId="0EC2EA76">
            <w:pPr>
              <w:jc w:val="center"/>
              <w:rPr>
                <w:rFonts w:hint="eastAsia" w:ascii="宋体" w:hAnsi="宋体" w:eastAsia="宋体"/>
                <w:szCs w:val="21"/>
              </w:rPr>
            </w:pPr>
            <w:r>
              <w:rPr>
                <w:rFonts w:hint="eastAsia" w:ascii="宋体" w:hAnsi="宋体" w:eastAsia="宋体"/>
                <w:szCs w:val="21"/>
              </w:rPr>
              <w:t>50</w:t>
            </w:r>
          </w:p>
        </w:tc>
        <w:tc>
          <w:tcPr>
            <w:tcW w:w="1129" w:type="dxa"/>
            <w:shd w:val="clear" w:color="auto" w:fill="auto"/>
            <w:vAlign w:val="center"/>
          </w:tcPr>
          <w:p w14:paraId="66A9738D">
            <w:pPr>
              <w:jc w:val="center"/>
              <w:rPr>
                <w:rFonts w:hint="eastAsia" w:ascii="宋体" w:hAnsi="宋体" w:eastAsia="宋体"/>
                <w:szCs w:val="21"/>
              </w:rPr>
            </w:pPr>
            <w:r>
              <w:rPr>
                <w:rFonts w:ascii="宋体" w:hAnsi="宋体" w:eastAsia="宋体"/>
                <w:szCs w:val="21"/>
              </w:rPr>
              <w:t>达标</w:t>
            </w:r>
          </w:p>
        </w:tc>
      </w:tr>
      <w:tr w14:paraId="477F5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continue"/>
            <w:shd w:val="clear" w:color="auto" w:fill="auto"/>
            <w:vAlign w:val="center"/>
          </w:tcPr>
          <w:p w14:paraId="076745C7">
            <w:pPr>
              <w:jc w:val="center"/>
              <w:rPr>
                <w:rFonts w:hint="eastAsia" w:ascii="宋体" w:hAnsi="宋体" w:eastAsia="宋体"/>
                <w:szCs w:val="21"/>
              </w:rPr>
            </w:pPr>
          </w:p>
        </w:tc>
        <w:tc>
          <w:tcPr>
            <w:tcW w:w="2559" w:type="dxa"/>
            <w:shd w:val="clear" w:color="auto" w:fill="auto"/>
            <w:vAlign w:val="center"/>
          </w:tcPr>
          <w:p w14:paraId="1FEC8A7C">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h平均第9</w:t>
            </w:r>
            <w:r>
              <w:rPr>
                <w:rFonts w:ascii="宋体" w:hAnsi="宋体" w:eastAsia="宋体"/>
                <w:szCs w:val="21"/>
              </w:rPr>
              <w:t>8</w:t>
            </w:r>
            <w:r>
              <w:rPr>
                <w:rFonts w:hint="eastAsia" w:ascii="宋体" w:hAnsi="宋体" w:eastAsia="宋体"/>
                <w:szCs w:val="21"/>
              </w:rPr>
              <w:t>百分位数</w:t>
            </w:r>
          </w:p>
        </w:tc>
        <w:tc>
          <w:tcPr>
            <w:tcW w:w="1395" w:type="dxa"/>
            <w:shd w:val="clear" w:color="auto" w:fill="auto"/>
            <w:vAlign w:val="center"/>
          </w:tcPr>
          <w:p w14:paraId="50896A72">
            <w:pPr>
              <w:jc w:val="center"/>
              <w:rPr>
                <w:rFonts w:hint="eastAsia" w:ascii="宋体" w:hAnsi="宋体" w:eastAsia="宋体"/>
                <w:szCs w:val="21"/>
              </w:rPr>
            </w:pPr>
            <w:r>
              <w:rPr>
                <w:rFonts w:hint="eastAsia" w:ascii="宋体" w:hAnsi="宋体" w:eastAsia="宋体"/>
                <w:szCs w:val="21"/>
              </w:rPr>
              <w:t>59</w:t>
            </w:r>
          </w:p>
        </w:tc>
        <w:tc>
          <w:tcPr>
            <w:tcW w:w="1167" w:type="dxa"/>
            <w:shd w:val="clear" w:color="auto" w:fill="auto"/>
            <w:vAlign w:val="center"/>
          </w:tcPr>
          <w:p w14:paraId="42C5887B">
            <w:pPr>
              <w:jc w:val="center"/>
              <w:rPr>
                <w:rFonts w:hint="eastAsia" w:ascii="宋体" w:hAnsi="宋体" w:eastAsia="宋体"/>
                <w:szCs w:val="21"/>
              </w:rPr>
            </w:pPr>
            <w:r>
              <w:rPr>
                <w:rFonts w:hint="eastAsia" w:ascii="宋体" w:hAnsi="宋体" w:eastAsia="宋体"/>
                <w:szCs w:val="21"/>
              </w:rPr>
              <w:t>8</w:t>
            </w:r>
            <w:r>
              <w:rPr>
                <w:rFonts w:ascii="宋体" w:hAnsi="宋体" w:eastAsia="宋体"/>
                <w:szCs w:val="21"/>
              </w:rPr>
              <w:t>0</w:t>
            </w:r>
          </w:p>
        </w:tc>
        <w:tc>
          <w:tcPr>
            <w:tcW w:w="1055" w:type="dxa"/>
            <w:shd w:val="clear" w:color="auto" w:fill="auto"/>
            <w:vAlign w:val="center"/>
          </w:tcPr>
          <w:p w14:paraId="2F11B432">
            <w:pPr>
              <w:jc w:val="center"/>
              <w:rPr>
                <w:rFonts w:hint="eastAsia" w:ascii="宋体" w:hAnsi="宋体" w:eastAsia="宋体"/>
                <w:szCs w:val="21"/>
              </w:rPr>
            </w:pPr>
            <w:r>
              <w:rPr>
                <w:rFonts w:hint="eastAsia" w:ascii="宋体" w:hAnsi="宋体" w:eastAsia="宋体"/>
                <w:szCs w:val="21"/>
              </w:rPr>
              <w:t>73.72</w:t>
            </w:r>
          </w:p>
        </w:tc>
        <w:tc>
          <w:tcPr>
            <w:tcW w:w="1129" w:type="dxa"/>
            <w:shd w:val="clear" w:color="auto" w:fill="auto"/>
            <w:vAlign w:val="center"/>
          </w:tcPr>
          <w:p w14:paraId="553AB003">
            <w:pPr>
              <w:jc w:val="center"/>
              <w:rPr>
                <w:rFonts w:hint="eastAsia" w:ascii="宋体" w:hAnsi="宋体" w:eastAsia="宋体"/>
                <w:szCs w:val="21"/>
              </w:rPr>
            </w:pPr>
            <w:r>
              <w:rPr>
                <w:rFonts w:ascii="宋体" w:hAnsi="宋体" w:eastAsia="宋体"/>
                <w:szCs w:val="21"/>
              </w:rPr>
              <w:t>达标</w:t>
            </w:r>
          </w:p>
        </w:tc>
      </w:tr>
      <w:tr w14:paraId="57E539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restart"/>
            <w:shd w:val="clear" w:color="auto" w:fill="auto"/>
            <w:vAlign w:val="center"/>
          </w:tcPr>
          <w:p w14:paraId="7B7BB826">
            <w:pPr>
              <w:jc w:val="center"/>
              <w:rPr>
                <w:rFonts w:hint="eastAsia" w:ascii="宋体" w:hAnsi="宋体" w:eastAsia="宋体"/>
                <w:szCs w:val="21"/>
              </w:rPr>
            </w:pPr>
            <w:r>
              <w:rPr>
                <w:rFonts w:ascii="宋体" w:hAnsi="宋体" w:eastAsia="宋体"/>
                <w:szCs w:val="21"/>
              </w:rPr>
              <w:t>PM</w:t>
            </w:r>
            <w:r>
              <w:rPr>
                <w:rFonts w:ascii="宋体" w:hAnsi="宋体" w:eastAsia="宋体"/>
                <w:szCs w:val="21"/>
                <w:vertAlign w:val="subscript"/>
              </w:rPr>
              <w:t>10</w:t>
            </w:r>
          </w:p>
        </w:tc>
        <w:tc>
          <w:tcPr>
            <w:tcW w:w="2559" w:type="dxa"/>
            <w:shd w:val="clear" w:color="auto" w:fill="auto"/>
            <w:vAlign w:val="center"/>
          </w:tcPr>
          <w:p w14:paraId="54548F2D">
            <w:pPr>
              <w:jc w:val="center"/>
              <w:rPr>
                <w:rFonts w:hint="eastAsia" w:ascii="宋体" w:hAnsi="宋体" w:eastAsia="宋体"/>
                <w:szCs w:val="21"/>
              </w:rPr>
            </w:pPr>
            <w:r>
              <w:rPr>
                <w:rFonts w:ascii="宋体" w:hAnsi="宋体" w:eastAsia="宋体"/>
                <w:szCs w:val="21"/>
              </w:rPr>
              <w:t>年平均</w:t>
            </w:r>
          </w:p>
        </w:tc>
        <w:tc>
          <w:tcPr>
            <w:tcW w:w="1395" w:type="dxa"/>
            <w:shd w:val="clear" w:color="auto" w:fill="auto"/>
            <w:vAlign w:val="center"/>
          </w:tcPr>
          <w:p w14:paraId="4B059779">
            <w:pPr>
              <w:jc w:val="center"/>
              <w:rPr>
                <w:rFonts w:hint="eastAsia" w:ascii="宋体" w:hAnsi="宋体" w:eastAsia="宋体"/>
                <w:szCs w:val="21"/>
              </w:rPr>
            </w:pPr>
            <w:r>
              <w:rPr>
                <w:rFonts w:hint="eastAsia" w:ascii="宋体" w:hAnsi="宋体" w:eastAsia="宋体"/>
                <w:szCs w:val="21"/>
              </w:rPr>
              <w:t>73</w:t>
            </w:r>
          </w:p>
        </w:tc>
        <w:tc>
          <w:tcPr>
            <w:tcW w:w="1167" w:type="dxa"/>
            <w:shd w:val="clear" w:color="auto" w:fill="auto"/>
            <w:vAlign w:val="center"/>
          </w:tcPr>
          <w:p w14:paraId="3090ECE7">
            <w:pPr>
              <w:jc w:val="center"/>
              <w:rPr>
                <w:rFonts w:hint="eastAsia" w:ascii="宋体" w:hAnsi="宋体" w:eastAsia="宋体"/>
                <w:szCs w:val="21"/>
              </w:rPr>
            </w:pPr>
            <w:r>
              <w:rPr>
                <w:rFonts w:hint="eastAsia" w:ascii="宋体" w:hAnsi="宋体" w:eastAsia="宋体"/>
                <w:szCs w:val="21"/>
              </w:rPr>
              <w:t>70</w:t>
            </w:r>
          </w:p>
        </w:tc>
        <w:tc>
          <w:tcPr>
            <w:tcW w:w="1055" w:type="dxa"/>
            <w:shd w:val="clear" w:color="auto" w:fill="auto"/>
            <w:vAlign w:val="center"/>
          </w:tcPr>
          <w:p w14:paraId="42DD1BA1">
            <w:pPr>
              <w:jc w:val="center"/>
              <w:rPr>
                <w:rFonts w:hint="eastAsia" w:ascii="宋体" w:hAnsi="宋体" w:eastAsia="宋体"/>
                <w:szCs w:val="21"/>
              </w:rPr>
            </w:pPr>
            <w:r>
              <w:rPr>
                <w:rFonts w:hint="eastAsia" w:ascii="宋体" w:hAnsi="宋体" w:eastAsia="宋体"/>
                <w:szCs w:val="21"/>
              </w:rPr>
              <w:t>104．29</w:t>
            </w:r>
          </w:p>
        </w:tc>
        <w:tc>
          <w:tcPr>
            <w:tcW w:w="1129" w:type="dxa"/>
            <w:shd w:val="clear" w:color="auto" w:fill="auto"/>
            <w:vAlign w:val="center"/>
          </w:tcPr>
          <w:p w14:paraId="3779D4CB">
            <w:pPr>
              <w:jc w:val="center"/>
              <w:rPr>
                <w:rFonts w:hint="eastAsia" w:ascii="宋体" w:hAnsi="宋体" w:eastAsia="宋体"/>
                <w:szCs w:val="21"/>
              </w:rPr>
            </w:pPr>
            <w:r>
              <w:rPr>
                <w:rFonts w:ascii="宋体" w:hAnsi="宋体" w:eastAsia="宋体"/>
                <w:szCs w:val="21"/>
              </w:rPr>
              <w:t>超标</w:t>
            </w:r>
          </w:p>
        </w:tc>
      </w:tr>
      <w:tr w14:paraId="4D3A99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continue"/>
            <w:shd w:val="clear" w:color="auto" w:fill="auto"/>
            <w:vAlign w:val="center"/>
          </w:tcPr>
          <w:p w14:paraId="0FD7ED1A">
            <w:pPr>
              <w:jc w:val="center"/>
              <w:rPr>
                <w:rFonts w:hint="eastAsia" w:ascii="宋体" w:hAnsi="宋体" w:eastAsia="宋体"/>
                <w:szCs w:val="21"/>
              </w:rPr>
            </w:pPr>
          </w:p>
        </w:tc>
        <w:tc>
          <w:tcPr>
            <w:tcW w:w="2559" w:type="dxa"/>
            <w:shd w:val="clear" w:color="auto" w:fill="auto"/>
            <w:vAlign w:val="center"/>
          </w:tcPr>
          <w:p w14:paraId="69AFB943">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h平均第95百分位数</w:t>
            </w:r>
          </w:p>
        </w:tc>
        <w:tc>
          <w:tcPr>
            <w:tcW w:w="1395" w:type="dxa"/>
            <w:shd w:val="clear" w:color="auto" w:fill="auto"/>
            <w:vAlign w:val="center"/>
          </w:tcPr>
          <w:p w14:paraId="15632FBC">
            <w:pPr>
              <w:jc w:val="center"/>
              <w:rPr>
                <w:rFonts w:hint="eastAsia" w:ascii="宋体" w:hAnsi="宋体" w:eastAsia="宋体"/>
                <w:szCs w:val="21"/>
              </w:rPr>
            </w:pPr>
            <w:r>
              <w:rPr>
                <w:rFonts w:hint="eastAsia" w:ascii="宋体" w:hAnsi="宋体" w:eastAsia="宋体"/>
                <w:szCs w:val="21"/>
              </w:rPr>
              <w:t>224.3</w:t>
            </w:r>
          </w:p>
        </w:tc>
        <w:tc>
          <w:tcPr>
            <w:tcW w:w="1167" w:type="dxa"/>
            <w:shd w:val="clear" w:color="auto" w:fill="auto"/>
            <w:vAlign w:val="center"/>
          </w:tcPr>
          <w:p w14:paraId="192B0475">
            <w:pPr>
              <w:jc w:val="center"/>
              <w:rPr>
                <w:rFonts w:hint="eastAsia" w:ascii="宋体" w:hAnsi="宋体" w:eastAsia="宋体"/>
                <w:szCs w:val="21"/>
              </w:rPr>
            </w:pPr>
            <w:r>
              <w:rPr>
                <w:rFonts w:hint="eastAsia" w:ascii="宋体" w:hAnsi="宋体" w:eastAsia="宋体"/>
                <w:szCs w:val="21"/>
              </w:rPr>
              <w:t>150</w:t>
            </w:r>
          </w:p>
        </w:tc>
        <w:tc>
          <w:tcPr>
            <w:tcW w:w="1055" w:type="dxa"/>
            <w:shd w:val="clear" w:color="auto" w:fill="auto"/>
            <w:vAlign w:val="center"/>
          </w:tcPr>
          <w:p w14:paraId="2256C915">
            <w:pPr>
              <w:jc w:val="center"/>
              <w:rPr>
                <w:rFonts w:hint="eastAsia" w:ascii="宋体" w:hAnsi="宋体" w:eastAsia="宋体"/>
                <w:szCs w:val="21"/>
              </w:rPr>
            </w:pPr>
            <w:r>
              <w:rPr>
                <w:rFonts w:hint="eastAsia" w:ascii="宋体" w:hAnsi="宋体" w:eastAsia="宋体"/>
                <w:szCs w:val="21"/>
              </w:rPr>
              <w:t>149.53</w:t>
            </w:r>
          </w:p>
        </w:tc>
        <w:tc>
          <w:tcPr>
            <w:tcW w:w="1129" w:type="dxa"/>
            <w:shd w:val="clear" w:color="auto" w:fill="auto"/>
            <w:vAlign w:val="center"/>
          </w:tcPr>
          <w:p w14:paraId="766CF687">
            <w:pPr>
              <w:jc w:val="center"/>
              <w:rPr>
                <w:rFonts w:hint="eastAsia" w:ascii="宋体" w:hAnsi="宋体" w:eastAsia="宋体"/>
                <w:szCs w:val="21"/>
              </w:rPr>
            </w:pPr>
            <w:r>
              <w:rPr>
                <w:rFonts w:ascii="宋体" w:hAnsi="宋体" w:eastAsia="宋体"/>
                <w:szCs w:val="21"/>
              </w:rPr>
              <w:t>超标</w:t>
            </w:r>
          </w:p>
        </w:tc>
      </w:tr>
      <w:tr w14:paraId="469BBD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restart"/>
            <w:shd w:val="clear" w:color="auto" w:fill="auto"/>
            <w:vAlign w:val="center"/>
          </w:tcPr>
          <w:p w14:paraId="5C18B76E">
            <w:pPr>
              <w:jc w:val="center"/>
              <w:rPr>
                <w:rFonts w:hint="eastAsia" w:ascii="宋体" w:hAnsi="宋体" w:eastAsia="宋体"/>
                <w:szCs w:val="21"/>
              </w:rPr>
            </w:pPr>
            <w:r>
              <w:rPr>
                <w:rFonts w:ascii="宋体" w:hAnsi="宋体" w:eastAsia="宋体"/>
                <w:szCs w:val="21"/>
              </w:rPr>
              <w:t>PM</w:t>
            </w:r>
            <w:r>
              <w:rPr>
                <w:rFonts w:ascii="宋体" w:hAnsi="宋体" w:eastAsia="宋体"/>
                <w:szCs w:val="21"/>
                <w:vertAlign w:val="subscript"/>
              </w:rPr>
              <w:t>2.5</w:t>
            </w:r>
          </w:p>
        </w:tc>
        <w:tc>
          <w:tcPr>
            <w:tcW w:w="2559" w:type="dxa"/>
            <w:shd w:val="clear" w:color="auto" w:fill="auto"/>
            <w:vAlign w:val="center"/>
          </w:tcPr>
          <w:p w14:paraId="3B41CC3B">
            <w:pPr>
              <w:jc w:val="center"/>
              <w:rPr>
                <w:rFonts w:hint="eastAsia" w:ascii="宋体" w:hAnsi="宋体" w:eastAsia="宋体"/>
                <w:szCs w:val="21"/>
              </w:rPr>
            </w:pPr>
            <w:r>
              <w:rPr>
                <w:rFonts w:ascii="宋体" w:hAnsi="宋体" w:eastAsia="宋体"/>
                <w:szCs w:val="21"/>
              </w:rPr>
              <w:t>年平均</w:t>
            </w:r>
          </w:p>
        </w:tc>
        <w:tc>
          <w:tcPr>
            <w:tcW w:w="1395" w:type="dxa"/>
            <w:shd w:val="clear" w:color="auto" w:fill="auto"/>
            <w:vAlign w:val="center"/>
          </w:tcPr>
          <w:p w14:paraId="6644C208">
            <w:pPr>
              <w:jc w:val="center"/>
              <w:rPr>
                <w:rFonts w:hint="eastAsia" w:ascii="宋体" w:hAnsi="宋体" w:eastAsia="宋体"/>
                <w:szCs w:val="21"/>
              </w:rPr>
            </w:pPr>
            <w:r>
              <w:rPr>
                <w:rFonts w:hint="eastAsia" w:ascii="宋体" w:hAnsi="宋体" w:eastAsia="宋体"/>
                <w:szCs w:val="21"/>
              </w:rPr>
              <w:t>37</w:t>
            </w:r>
          </w:p>
        </w:tc>
        <w:tc>
          <w:tcPr>
            <w:tcW w:w="1167" w:type="dxa"/>
            <w:shd w:val="clear" w:color="auto" w:fill="auto"/>
            <w:vAlign w:val="center"/>
          </w:tcPr>
          <w:p w14:paraId="76D49B7F">
            <w:pPr>
              <w:jc w:val="center"/>
              <w:rPr>
                <w:rFonts w:hint="eastAsia" w:ascii="宋体" w:hAnsi="宋体" w:eastAsia="宋体"/>
                <w:szCs w:val="21"/>
              </w:rPr>
            </w:pPr>
            <w:r>
              <w:rPr>
                <w:rFonts w:hint="eastAsia" w:ascii="宋体" w:hAnsi="宋体" w:eastAsia="宋体"/>
                <w:szCs w:val="21"/>
              </w:rPr>
              <w:t>35</w:t>
            </w:r>
          </w:p>
        </w:tc>
        <w:tc>
          <w:tcPr>
            <w:tcW w:w="1055" w:type="dxa"/>
            <w:shd w:val="clear" w:color="auto" w:fill="auto"/>
            <w:vAlign w:val="center"/>
          </w:tcPr>
          <w:p w14:paraId="555E5B3C">
            <w:pPr>
              <w:jc w:val="center"/>
              <w:rPr>
                <w:rFonts w:hint="eastAsia" w:ascii="宋体" w:hAnsi="宋体" w:eastAsia="宋体"/>
                <w:szCs w:val="21"/>
              </w:rPr>
            </w:pPr>
            <w:r>
              <w:rPr>
                <w:rFonts w:hint="eastAsia" w:ascii="宋体" w:hAnsi="宋体" w:eastAsia="宋体"/>
                <w:szCs w:val="21"/>
              </w:rPr>
              <w:t>105.71</w:t>
            </w:r>
          </w:p>
        </w:tc>
        <w:tc>
          <w:tcPr>
            <w:tcW w:w="1129" w:type="dxa"/>
            <w:shd w:val="clear" w:color="auto" w:fill="auto"/>
            <w:vAlign w:val="center"/>
          </w:tcPr>
          <w:p w14:paraId="1FDEEFA1">
            <w:pPr>
              <w:jc w:val="center"/>
              <w:rPr>
                <w:rFonts w:hint="eastAsia" w:ascii="宋体" w:hAnsi="宋体" w:eastAsia="宋体"/>
                <w:szCs w:val="21"/>
              </w:rPr>
            </w:pPr>
            <w:r>
              <w:rPr>
                <w:rFonts w:hint="eastAsia" w:ascii="宋体" w:hAnsi="宋体" w:eastAsia="宋体"/>
                <w:szCs w:val="21"/>
              </w:rPr>
              <w:t>超标</w:t>
            </w:r>
          </w:p>
        </w:tc>
      </w:tr>
      <w:tr w14:paraId="630A10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vMerge w:val="continue"/>
            <w:shd w:val="clear" w:color="auto" w:fill="auto"/>
            <w:vAlign w:val="center"/>
          </w:tcPr>
          <w:p w14:paraId="5FBC9CBB">
            <w:pPr>
              <w:jc w:val="center"/>
              <w:rPr>
                <w:rFonts w:hint="eastAsia" w:ascii="宋体" w:hAnsi="宋体" w:eastAsia="宋体"/>
                <w:szCs w:val="21"/>
              </w:rPr>
            </w:pPr>
          </w:p>
        </w:tc>
        <w:tc>
          <w:tcPr>
            <w:tcW w:w="2559" w:type="dxa"/>
            <w:shd w:val="clear" w:color="auto" w:fill="auto"/>
            <w:vAlign w:val="center"/>
          </w:tcPr>
          <w:p w14:paraId="61D5AD1D">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h平均第95百分位数</w:t>
            </w:r>
          </w:p>
        </w:tc>
        <w:tc>
          <w:tcPr>
            <w:tcW w:w="1395" w:type="dxa"/>
            <w:shd w:val="clear" w:color="auto" w:fill="auto"/>
            <w:vAlign w:val="center"/>
          </w:tcPr>
          <w:p w14:paraId="5D5F230D">
            <w:pPr>
              <w:jc w:val="center"/>
              <w:rPr>
                <w:rFonts w:hint="eastAsia" w:ascii="宋体" w:hAnsi="宋体" w:eastAsia="宋体"/>
                <w:szCs w:val="21"/>
              </w:rPr>
            </w:pPr>
            <w:r>
              <w:rPr>
                <w:rFonts w:hint="eastAsia" w:ascii="宋体" w:hAnsi="宋体" w:eastAsia="宋体"/>
                <w:szCs w:val="21"/>
              </w:rPr>
              <w:t>133.8</w:t>
            </w:r>
          </w:p>
        </w:tc>
        <w:tc>
          <w:tcPr>
            <w:tcW w:w="1167" w:type="dxa"/>
            <w:shd w:val="clear" w:color="auto" w:fill="auto"/>
            <w:vAlign w:val="center"/>
          </w:tcPr>
          <w:p w14:paraId="25D08AAF">
            <w:pPr>
              <w:jc w:val="center"/>
              <w:rPr>
                <w:rFonts w:hint="eastAsia" w:ascii="宋体" w:hAnsi="宋体" w:eastAsia="宋体"/>
                <w:szCs w:val="21"/>
              </w:rPr>
            </w:pPr>
            <w:r>
              <w:rPr>
                <w:rFonts w:hint="eastAsia" w:ascii="宋体" w:hAnsi="宋体" w:eastAsia="宋体"/>
                <w:szCs w:val="21"/>
              </w:rPr>
              <w:t>75</w:t>
            </w:r>
          </w:p>
        </w:tc>
        <w:tc>
          <w:tcPr>
            <w:tcW w:w="1055" w:type="dxa"/>
            <w:shd w:val="clear" w:color="auto" w:fill="auto"/>
            <w:vAlign w:val="center"/>
          </w:tcPr>
          <w:p w14:paraId="4C6510B3">
            <w:pPr>
              <w:jc w:val="center"/>
              <w:rPr>
                <w:rFonts w:hint="eastAsia" w:ascii="宋体" w:hAnsi="宋体" w:eastAsia="宋体"/>
                <w:szCs w:val="21"/>
              </w:rPr>
            </w:pPr>
            <w:r>
              <w:rPr>
                <w:rFonts w:hint="eastAsia" w:ascii="宋体" w:hAnsi="宋体" w:eastAsia="宋体"/>
                <w:szCs w:val="21"/>
              </w:rPr>
              <w:t>178.40</w:t>
            </w:r>
          </w:p>
        </w:tc>
        <w:tc>
          <w:tcPr>
            <w:tcW w:w="1129" w:type="dxa"/>
            <w:shd w:val="clear" w:color="auto" w:fill="auto"/>
            <w:vAlign w:val="center"/>
          </w:tcPr>
          <w:p w14:paraId="5C3E748C">
            <w:pPr>
              <w:jc w:val="center"/>
              <w:rPr>
                <w:rFonts w:hint="eastAsia" w:ascii="宋体" w:hAnsi="宋体" w:eastAsia="宋体"/>
                <w:szCs w:val="21"/>
              </w:rPr>
            </w:pPr>
            <w:r>
              <w:rPr>
                <w:rFonts w:ascii="宋体" w:hAnsi="宋体" w:eastAsia="宋体"/>
                <w:szCs w:val="21"/>
              </w:rPr>
              <w:t>超标</w:t>
            </w:r>
          </w:p>
        </w:tc>
      </w:tr>
      <w:tr w14:paraId="659EB8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shd w:val="clear" w:color="auto" w:fill="auto"/>
            <w:vAlign w:val="center"/>
          </w:tcPr>
          <w:p w14:paraId="142E9351">
            <w:pPr>
              <w:jc w:val="center"/>
              <w:rPr>
                <w:rFonts w:hint="eastAsia" w:ascii="宋体" w:hAnsi="宋体" w:eastAsia="宋体"/>
                <w:szCs w:val="21"/>
              </w:rPr>
            </w:pPr>
            <w:r>
              <w:rPr>
                <w:rFonts w:ascii="宋体" w:hAnsi="宋体" w:eastAsia="宋体"/>
                <w:szCs w:val="21"/>
              </w:rPr>
              <w:t>CO</w:t>
            </w:r>
          </w:p>
        </w:tc>
        <w:tc>
          <w:tcPr>
            <w:tcW w:w="2559" w:type="dxa"/>
            <w:shd w:val="clear" w:color="auto" w:fill="auto"/>
            <w:vAlign w:val="center"/>
          </w:tcPr>
          <w:p w14:paraId="59D6556E">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h平均</w:t>
            </w:r>
            <w:r>
              <w:rPr>
                <w:rFonts w:ascii="宋体" w:hAnsi="宋体" w:eastAsia="宋体"/>
                <w:szCs w:val="21"/>
              </w:rPr>
              <w:t>第95百分位数</w:t>
            </w:r>
          </w:p>
        </w:tc>
        <w:tc>
          <w:tcPr>
            <w:tcW w:w="1395" w:type="dxa"/>
            <w:shd w:val="clear" w:color="auto" w:fill="auto"/>
            <w:vAlign w:val="center"/>
          </w:tcPr>
          <w:p w14:paraId="0E982FFC">
            <w:pPr>
              <w:jc w:val="center"/>
              <w:rPr>
                <w:rFonts w:hint="eastAsia" w:ascii="宋体" w:hAnsi="宋体" w:eastAsia="宋体"/>
                <w:szCs w:val="21"/>
              </w:rPr>
            </w:pPr>
            <w:r>
              <w:rPr>
                <w:rFonts w:hint="eastAsia" w:ascii="宋体" w:hAnsi="宋体" w:eastAsia="宋体"/>
                <w:szCs w:val="21"/>
              </w:rPr>
              <w:t>1600</w:t>
            </w:r>
          </w:p>
        </w:tc>
        <w:tc>
          <w:tcPr>
            <w:tcW w:w="1167" w:type="dxa"/>
            <w:shd w:val="clear" w:color="auto" w:fill="auto"/>
            <w:vAlign w:val="center"/>
          </w:tcPr>
          <w:p w14:paraId="7F7593E9">
            <w:pPr>
              <w:jc w:val="center"/>
              <w:rPr>
                <w:rFonts w:hint="eastAsia" w:ascii="宋体" w:hAnsi="宋体" w:eastAsia="宋体"/>
                <w:szCs w:val="21"/>
              </w:rPr>
            </w:pPr>
            <w:r>
              <w:rPr>
                <w:rFonts w:hint="eastAsia" w:ascii="宋体" w:hAnsi="宋体" w:eastAsia="宋体"/>
                <w:szCs w:val="21"/>
              </w:rPr>
              <w:t>4</w:t>
            </w:r>
            <w:r>
              <w:rPr>
                <w:rFonts w:ascii="宋体" w:hAnsi="宋体" w:eastAsia="宋体"/>
                <w:szCs w:val="21"/>
              </w:rPr>
              <w:t>000</w:t>
            </w:r>
          </w:p>
        </w:tc>
        <w:tc>
          <w:tcPr>
            <w:tcW w:w="1055" w:type="dxa"/>
            <w:shd w:val="clear" w:color="auto" w:fill="auto"/>
            <w:vAlign w:val="center"/>
          </w:tcPr>
          <w:p w14:paraId="5CB848C7">
            <w:pPr>
              <w:jc w:val="center"/>
              <w:rPr>
                <w:rFonts w:hint="eastAsia" w:ascii="宋体" w:hAnsi="宋体" w:eastAsia="宋体"/>
                <w:szCs w:val="21"/>
              </w:rPr>
            </w:pPr>
            <w:r>
              <w:rPr>
                <w:rFonts w:hint="eastAsia" w:ascii="宋体" w:hAnsi="宋体" w:eastAsia="宋体"/>
                <w:szCs w:val="21"/>
              </w:rPr>
              <w:t>40</w:t>
            </w:r>
          </w:p>
        </w:tc>
        <w:tc>
          <w:tcPr>
            <w:tcW w:w="1129" w:type="dxa"/>
            <w:shd w:val="clear" w:color="auto" w:fill="auto"/>
            <w:vAlign w:val="center"/>
          </w:tcPr>
          <w:p w14:paraId="24CCF34E">
            <w:pPr>
              <w:jc w:val="center"/>
              <w:rPr>
                <w:rFonts w:hint="eastAsia" w:ascii="宋体" w:hAnsi="宋体" w:eastAsia="宋体"/>
                <w:szCs w:val="21"/>
              </w:rPr>
            </w:pPr>
            <w:r>
              <w:rPr>
                <w:rFonts w:ascii="宋体" w:hAnsi="宋体" w:eastAsia="宋体"/>
                <w:szCs w:val="21"/>
              </w:rPr>
              <w:t>达标</w:t>
            </w:r>
          </w:p>
        </w:tc>
      </w:tr>
      <w:tr w14:paraId="5AA049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5" w:type="dxa"/>
            <w:shd w:val="clear" w:color="auto" w:fill="auto"/>
            <w:vAlign w:val="center"/>
          </w:tcPr>
          <w:p w14:paraId="150E4817">
            <w:pPr>
              <w:jc w:val="center"/>
              <w:rPr>
                <w:rFonts w:hint="eastAsia" w:ascii="宋体" w:hAnsi="宋体" w:eastAsia="宋体"/>
                <w:szCs w:val="21"/>
              </w:rPr>
            </w:pPr>
            <w:r>
              <w:rPr>
                <w:rFonts w:ascii="宋体" w:hAnsi="宋体" w:eastAsia="宋体"/>
                <w:szCs w:val="21"/>
              </w:rPr>
              <w:t>O</w:t>
            </w:r>
            <w:r>
              <w:rPr>
                <w:rFonts w:ascii="宋体" w:hAnsi="宋体" w:eastAsia="宋体"/>
                <w:szCs w:val="21"/>
                <w:vertAlign w:val="subscript"/>
              </w:rPr>
              <w:t>3</w:t>
            </w:r>
          </w:p>
        </w:tc>
        <w:tc>
          <w:tcPr>
            <w:tcW w:w="2559" w:type="dxa"/>
            <w:shd w:val="clear" w:color="auto" w:fill="auto"/>
            <w:vAlign w:val="center"/>
          </w:tcPr>
          <w:p w14:paraId="5FF0449D">
            <w:pPr>
              <w:jc w:val="center"/>
              <w:rPr>
                <w:rFonts w:hint="eastAsia" w:ascii="宋体" w:hAnsi="宋体" w:eastAsia="宋体"/>
                <w:szCs w:val="21"/>
              </w:rPr>
            </w:pPr>
            <w:r>
              <w:rPr>
                <w:rFonts w:hint="eastAsia" w:ascii="宋体" w:hAnsi="宋体" w:eastAsia="宋体"/>
                <w:szCs w:val="21"/>
              </w:rPr>
              <w:t>2</w:t>
            </w:r>
            <w:r>
              <w:rPr>
                <w:rFonts w:ascii="宋体" w:hAnsi="宋体" w:eastAsia="宋体"/>
                <w:szCs w:val="21"/>
              </w:rPr>
              <w:t>4</w:t>
            </w:r>
            <w:r>
              <w:rPr>
                <w:rFonts w:hint="eastAsia" w:ascii="宋体" w:hAnsi="宋体" w:eastAsia="宋体"/>
                <w:szCs w:val="21"/>
              </w:rPr>
              <w:t>h最大8</w:t>
            </w:r>
            <w:r>
              <w:rPr>
                <w:rFonts w:ascii="宋体" w:hAnsi="宋体" w:eastAsia="宋体"/>
                <w:szCs w:val="21"/>
              </w:rPr>
              <w:t>h</w:t>
            </w:r>
            <w:r>
              <w:rPr>
                <w:rFonts w:hint="eastAsia" w:ascii="宋体" w:hAnsi="宋体" w:eastAsia="宋体"/>
                <w:szCs w:val="21"/>
              </w:rPr>
              <w:t>滑动平均值的</w:t>
            </w:r>
            <w:r>
              <w:rPr>
                <w:rFonts w:ascii="宋体" w:hAnsi="宋体" w:eastAsia="宋体"/>
                <w:szCs w:val="21"/>
              </w:rPr>
              <w:t>第90百分位数</w:t>
            </w:r>
          </w:p>
        </w:tc>
        <w:tc>
          <w:tcPr>
            <w:tcW w:w="1395" w:type="dxa"/>
            <w:shd w:val="clear" w:color="auto" w:fill="auto"/>
            <w:vAlign w:val="center"/>
          </w:tcPr>
          <w:p w14:paraId="1F8525F6">
            <w:pPr>
              <w:jc w:val="center"/>
              <w:rPr>
                <w:rFonts w:hint="eastAsia" w:ascii="宋体" w:hAnsi="宋体" w:eastAsia="宋体"/>
                <w:szCs w:val="21"/>
              </w:rPr>
            </w:pPr>
            <w:r>
              <w:rPr>
                <w:rFonts w:hint="eastAsia" w:ascii="宋体" w:hAnsi="宋体" w:eastAsia="宋体"/>
                <w:szCs w:val="21"/>
              </w:rPr>
              <w:t>120</w:t>
            </w:r>
          </w:p>
        </w:tc>
        <w:tc>
          <w:tcPr>
            <w:tcW w:w="1167" w:type="dxa"/>
            <w:shd w:val="clear" w:color="auto" w:fill="auto"/>
            <w:vAlign w:val="center"/>
          </w:tcPr>
          <w:p w14:paraId="520E098F">
            <w:pPr>
              <w:jc w:val="center"/>
              <w:rPr>
                <w:rFonts w:hint="eastAsia" w:ascii="宋体" w:hAnsi="宋体" w:eastAsia="宋体"/>
                <w:szCs w:val="21"/>
              </w:rPr>
            </w:pPr>
            <w:r>
              <w:rPr>
                <w:rFonts w:hint="eastAsia" w:ascii="宋体" w:hAnsi="宋体" w:eastAsia="宋体"/>
                <w:szCs w:val="21"/>
              </w:rPr>
              <w:t>1</w:t>
            </w:r>
            <w:r>
              <w:rPr>
                <w:rFonts w:ascii="宋体" w:hAnsi="宋体" w:eastAsia="宋体"/>
                <w:szCs w:val="21"/>
              </w:rPr>
              <w:t>60</w:t>
            </w:r>
          </w:p>
        </w:tc>
        <w:tc>
          <w:tcPr>
            <w:tcW w:w="1055" w:type="dxa"/>
            <w:shd w:val="clear" w:color="auto" w:fill="auto"/>
            <w:vAlign w:val="center"/>
          </w:tcPr>
          <w:p w14:paraId="7F919FD1">
            <w:pPr>
              <w:jc w:val="center"/>
              <w:rPr>
                <w:rFonts w:hint="eastAsia" w:ascii="宋体" w:hAnsi="宋体" w:eastAsia="宋体"/>
                <w:szCs w:val="21"/>
              </w:rPr>
            </w:pPr>
            <w:r>
              <w:rPr>
                <w:rFonts w:hint="eastAsia" w:ascii="宋体" w:hAnsi="宋体" w:eastAsia="宋体"/>
                <w:szCs w:val="21"/>
              </w:rPr>
              <w:t>75</w:t>
            </w:r>
          </w:p>
        </w:tc>
        <w:tc>
          <w:tcPr>
            <w:tcW w:w="1129" w:type="dxa"/>
            <w:shd w:val="clear" w:color="auto" w:fill="auto"/>
            <w:vAlign w:val="center"/>
          </w:tcPr>
          <w:p w14:paraId="10AD1236">
            <w:pPr>
              <w:jc w:val="center"/>
              <w:rPr>
                <w:rFonts w:hint="eastAsia" w:ascii="宋体" w:hAnsi="宋体" w:eastAsia="宋体"/>
                <w:szCs w:val="21"/>
              </w:rPr>
            </w:pPr>
            <w:r>
              <w:rPr>
                <w:rFonts w:ascii="宋体" w:hAnsi="宋体" w:eastAsia="宋体"/>
                <w:szCs w:val="21"/>
              </w:rPr>
              <w:t>达标</w:t>
            </w:r>
          </w:p>
        </w:tc>
      </w:tr>
    </w:tbl>
    <w:p w14:paraId="47840A37">
      <w:pPr>
        <w:pStyle w:val="117"/>
        <w:spacing w:line="480" w:lineRule="exact"/>
        <w:ind w:firstLine="480"/>
        <w:rPr>
          <w:rFonts w:hint="eastAsia"/>
        </w:rPr>
      </w:pPr>
      <w:r>
        <w:rPr>
          <w:rFonts w:hint="eastAsia"/>
        </w:rPr>
        <w:t>（2）特征污染因子环境质量现状评价</w:t>
      </w:r>
    </w:p>
    <w:p w14:paraId="2F88B9D2">
      <w:pPr>
        <w:pStyle w:val="117"/>
        <w:spacing w:line="480" w:lineRule="exact"/>
        <w:ind w:firstLine="480"/>
        <w:rPr>
          <w:rFonts w:hint="eastAsia"/>
        </w:rPr>
      </w:pPr>
      <w:r>
        <w:rPr>
          <w:rFonts w:hint="eastAsia"/>
        </w:rPr>
        <w:t>①监测因子及监测点位</w:t>
      </w:r>
    </w:p>
    <w:p w14:paraId="30092CC4">
      <w:pPr>
        <w:pStyle w:val="117"/>
        <w:spacing w:line="480" w:lineRule="exact"/>
        <w:ind w:firstLine="480"/>
        <w:rPr>
          <w:rFonts w:hint="eastAsia"/>
        </w:rPr>
      </w:pPr>
      <w:r>
        <w:rPr>
          <w:rFonts w:hint="eastAsia"/>
        </w:rPr>
        <w:t>监测因子：非甲烷总烃、硫化氢。</w:t>
      </w:r>
    </w:p>
    <w:p w14:paraId="570C7CC1">
      <w:pPr>
        <w:pStyle w:val="117"/>
        <w:spacing w:line="480" w:lineRule="exact"/>
        <w:ind w:firstLine="480"/>
        <w:rPr>
          <w:rFonts w:hint="eastAsia"/>
        </w:rPr>
      </w:pPr>
      <w:r>
        <w:rPr>
          <w:rFonts w:hint="eastAsia"/>
        </w:rPr>
        <w:t>监测点位：本次在评价范围内布设2个大气环境监测点，监测点坐标见表4.3-2和图4.3-1。</w:t>
      </w:r>
    </w:p>
    <w:p w14:paraId="686E8343">
      <w:pPr>
        <w:spacing w:line="500" w:lineRule="exact"/>
        <w:jc w:val="center"/>
        <w:rPr>
          <w:rFonts w:hint="eastAsia" w:ascii="黑体" w:hAnsi="黑体" w:eastAsia="黑体"/>
          <w:bCs/>
          <w:szCs w:val="21"/>
        </w:rPr>
      </w:pPr>
      <w:r>
        <w:rPr>
          <w:rFonts w:hint="eastAsia" w:ascii="黑体" w:hAnsi="黑体" w:eastAsia="黑体"/>
          <w:bCs/>
          <w:szCs w:val="21"/>
        </w:rPr>
        <w:t>表</w:t>
      </w:r>
      <w:r>
        <w:rPr>
          <w:rFonts w:ascii="黑体" w:hAnsi="黑体" w:eastAsia="黑体"/>
          <w:bCs/>
          <w:szCs w:val="21"/>
        </w:rPr>
        <w:t xml:space="preserve">4.3-2  </w:t>
      </w:r>
      <w:r>
        <w:rPr>
          <w:rFonts w:hint="eastAsia" w:ascii="黑体" w:hAnsi="黑体" w:eastAsia="黑体"/>
          <w:bCs/>
          <w:szCs w:val="21"/>
        </w:rPr>
        <w:t>大气监测点坐标一览表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66"/>
        <w:gridCol w:w="3968"/>
        <w:gridCol w:w="2136"/>
        <w:gridCol w:w="2076"/>
      </w:tblGrid>
      <w:tr w14:paraId="4AA48E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28" w:type="pct"/>
            <w:vMerge w:val="restart"/>
            <w:vAlign w:val="center"/>
          </w:tcPr>
          <w:p w14:paraId="72AE8AFC">
            <w:pPr>
              <w:pStyle w:val="286"/>
              <w:adjustRightInd w:val="0"/>
              <w:snapToGrid w:val="0"/>
              <w:spacing w:line="300" w:lineRule="exact"/>
              <w:rPr>
                <w:rFonts w:hint="eastAsia"/>
                <w:sz w:val="21"/>
              </w:rPr>
            </w:pPr>
            <w:r>
              <w:rPr>
                <w:rFonts w:hint="eastAsia"/>
                <w:sz w:val="21"/>
              </w:rPr>
              <w:t>序号</w:t>
            </w:r>
          </w:p>
        </w:tc>
        <w:tc>
          <w:tcPr>
            <w:tcW w:w="2218" w:type="pct"/>
            <w:vMerge w:val="restart"/>
            <w:vAlign w:val="center"/>
          </w:tcPr>
          <w:p w14:paraId="2D16EA19">
            <w:pPr>
              <w:pStyle w:val="286"/>
              <w:adjustRightInd w:val="0"/>
              <w:snapToGrid w:val="0"/>
              <w:spacing w:line="300" w:lineRule="exact"/>
              <w:rPr>
                <w:rFonts w:hint="eastAsia"/>
                <w:sz w:val="21"/>
              </w:rPr>
            </w:pPr>
            <w:r>
              <w:rPr>
                <w:rFonts w:hint="eastAsia"/>
                <w:sz w:val="21"/>
              </w:rPr>
              <w:t>监测点描述</w:t>
            </w:r>
          </w:p>
        </w:tc>
        <w:tc>
          <w:tcPr>
            <w:tcW w:w="2354" w:type="pct"/>
            <w:gridSpan w:val="2"/>
            <w:vAlign w:val="center"/>
          </w:tcPr>
          <w:p w14:paraId="631F80FE">
            <w:pPr>
              <w:pStyle w:val="286"/>
              <w:adjustRightInd w:val="0"/>
              <w:snapToGrid w:val="0"/>
              <w:spacing w:line="300" w:lineRule="exact"/>
              <w:rPr>
                <w:rFonts w:hint="eastAsia" w:cs="宋体"/>
                <w:sz w:val="21"/>
              </w:rPr>
            </w:pPr>
            <w:r>
              <w:rPr>
                <w:rFonts w:hint="eastAsia" w:cs="宋体"/>
                <w:sz w:val="21"/>
              </w:rPr>
              <w:t>井位坐标</w:t>
            </w:r>
          </w:p>
        </w:tc>
      </w:tr>
      <w:tr w14:paraId="3A5933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28" w:type="pct"/>
            <w:vMerge w:val="continue"/>
            <w:vAlign w:val="center"/>
          </w:tcPr>
          <w:p w14:paraId="25EE4E01">
            <w:pPr>
              <w:pStyle w:val="286"/>
              <w:adjustRightInd w:val="0"/>
              <w:snapToGrid w:val="0"/>
              <w:spacing w:line="300" w:lineRule="exact"/>
              <w:rPr>
                <w:rFonts w:hint="eastAsia"/>
                <w:sz w:val="21"/>
              </w:rPr>
            </w:pPr>
          </w:p>
        </w:tc>
        <w:tc>
          <w:tcPr>
            <w:tcW w:w="2218" w:type="pct"/>
            <w:vMerge w:val="continue"/>
            <w:vAlign w:val="center"/>
          </w:tcPr>
          <w:p w14:paraId="42333C0D">
            <w:pPr>
              <w:pStyle w:val="286"/>
              <w:adjustRightInd w:val="0"/>
              <w:snapToGrid w:val="0"/>
              <w:spacing w:line="300" w:lineRule="exact"/>
              <w:rPr>
                <w:rFonts w:hint="eastAsia"/>
                <w:sz w:val="21"/>
              </w:rPr>
            </w:pPr>
          </w:p>
        </w:tc>
        <w:tc>
          <w:tcPr>
            <w:tcW w:w="1194" w:type="pct"/>
            <w:vAlign w:val="center"/>
          </w:tcPr>
          <w:p w14:paraId="4293A7B3">
            <w:pPr>
              <w:pStyle w:val="286"/>
              <w:adjustRightInd w:val="0"/>
              <w:snapToGrid w:val="0"/>
              <w:spacing w:line="300" w:lineRule="exact"/>
              <w:rPr>
                <w:rFonts w:hint="eastAsia" w:cs="宋体"/>
                <w:sz w:val="21"/>
              </w:rPr>
            </w:pPr>
            <w:r>
              <w:rPr>
                <w:rFonts w:hint="eastAsia" w:cs="宋体"/>
                <w:sz w:val="21"/>
              </w:rPr>
              <w:t>N</w:t>
            </w:r>
          </w:p>
        </w:tc>
        <w:tc>
          <w:tcPr>
            <w:tcW w:w="1160" w:type="pct"/>
            <w:vAlign w:val="center"/>
          </w:tcPr>
          <w:p w14:paraId="359543DD">
            <w:pPr>
              <w:pStyle w:val="286"/>
              <w:adjustRightInd w:val="0"/>
              <w:snapToGrid w:val="0"/>
              <w:spacing w:line="300" w:lineRule="exact"/>
              <w:rPr>
                <w:rFonts w:hint="eastAsia" w:cs="宋体"/>
                <w:sz w:val="21"/>
              </w:rPr>
            </w:pPr>
            <w:r>
              <w:rPr>
                <w:rFonts w:hint="eastAsia" w:cs="宋体"/>
                <w:sz w:val="21"/>
              </w:rPr>
              <w:t>E</w:t>
            </w:r>
          </w:p>
        </w:tc>
      </w:tr>
      <w:tr w14:paraId="6E7E93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28" w:type="pct"/>
            <w:vAlign w:val="center"/>
          </w:tcPr>
          <w:p w14:paraId="0B26FF60">
            <w:pPr>
              <w:pStyle w:val="286"/>
              <w:adjustRightInd w:val="0"/>
              <w:snapToGrid w:val="0"/>
              <w:spacing w:line="300" w:lineRule="exact"/>
              <w:rPr>
                <w:rFonts w:hint="eastAsia"/>
                <w:sz w:val="21"/>
              </w:rPr>
            </w:pPr>
            <w:r>
              <w:rPr>
                <w:rFonts w:hint="eastAsia"/>
                <w:sz w:val="21"/>
              </w:rPr>
              <w:t>G</w:t>
            </w:r>
            <w:r>
              <w:rPr>
                <w:sz w:val="21"/>
              </w:rPr>
              <w:t>1</w:t>
            </w:r>
          </w:p>
        </w:tc>
        <w:tc>
          <w:tcPr>
            <w:tcW w:w="2218" w:type="pct"/>
            <w:vAlign w:val="center"/>
          </w:tcPr>
          <w:p w14:paraId="721FBCCB">
            <w:pPr>
              <w:pStyle w:val="286"/>
              <w:adjustRightInd w:val="0"/>
              <w:snapToGrid w:val="0"/>
              <w:spacing w:line="300" w:lineRule="exact"/>
              <w:rPr>
                <w:rFonts w:hint="eastAsia"/>
                <w:sz w:val="21"/>
              </w:rPr>
            </w:pPr>
            <w:r>
              <w:rPr>
                <w:rFonts w:hint="eastAsia"/>
              </w:rPr>
              <w:t>JHW17-45井场处</w:t>
            </w:r>
          </w:p>
        </w:tc>
        <w:tc>
          <w:tcPr>
            <w:tcW w:w="1194" w:type="pct"/>
            <w:vAlign w:val="center"/>
          </w:tcPr>
          <w:p w14:paraId="469ABD6B">
            <w:pPr>
              <w:pStyle w:val="286"/>
              <w:adjustRightInd w:val="0"/>
              <w:snapToGrid w:val="0"/>
              <w:spacing w:line="300" w:lineRule="exact"/>
              <w:rPr>
                <w:rFonts w:hint="eastAsia" w:cs="宋体"/>
                <w:sz w:val="21"/>
              </w:rPr>
            </w:pPr>
            <w:bookmarkStart w:id="378" w:name="OLE_LINK221"/>
            <w:r>
              <w:rPr>
                <w:rFonts w:hint="eastAsia" w:cs="宋体"/>
              </w:rPr>
              <w:t>44°11'42.56"</w:t>
            </w:r>
            <w:bookmarkEnd w:id="378"/>
          </w:p>
        </w:tc>
        <w:tc>
          <w:tcPr>
            <w:tcW w:w="1160" w:type="pct"/>
            <w:vAlign w:val="center"/>
          </w:tcPr>
          <w:p w14:paraId="39618D82">
            <w:pPr>
              <w:pStyle w:val="286"/>
              <w:adjustRightInd w:val="0"/>
              <w:snapToGrid w:val="0"/>
              <w:spacing w:line="300" w:lineRule="exact"/>
              <w:rPr>
                <w:rFonts w:hint="eastAsia" w:cs="宋体"/>
                <w:sz w:val="21"/>
              </w:rPr>
            </w:pPr>
            <w:bookmarkStart w:id="379" w:name="OLE_LINK222"/>
            <w:r>
              <w:rPr>
                <w:rFonts w:hint="eastAsia" w:cs="宋体"/>
              </w:rPr>
              <w:t>89°9'42.60"</w:t>
            </w:r>
            <w:bookmarkEnd w:id="379"/>
          </w:p>
        </w:tc>
      </w:tr>
      <w:tr w14:paraId="32A9E0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28" w:type="pct"/>
            <w:vAlign w:val="center"/>
          </w:tcPr>
          <w:p w14:paraId="08F48A27">
            <w:pPr>
              <w:pStyle w:val="286"/>
              <w:adjustRightInd w:val="0"/>
              <w:snapToGrid w:val="0"/>
              <w:spacing w:line="300" w:lineRule="exact"/>
              <w:rPr>
                <w:rFonts w:hint="eastAsia"/>
                <w:sz w:val="21"/>
              </w:rPr>
            </w:pPr>
            <w:r>
              <w:rPr>
                <w:rFonts w:hint="eastAsia"/>
                <w:sz w:val="21"/>
              </w:rPr>
              <w:t>G</w:t>
            </w:r>
            <w:r>
              <w:rPr>
                <w:sz w:val="21"/>
              </w:rPr>
              <w:t>2</w:t>
            </w:r>
          </w:p>
        </w:tc>
        <w:tc>
          <w:tcPr>
            <w:tcW w:w="2218" w:type="pct"/>
          </w:tcPr>
          <w:p w14:paraId="2864AB19">
            <w:pPr>
              <w:pStyle w:val="286"/>
              <w:adjustRightInd w:val="0"/>
              <w:snapToGrid w:val="0"/>
              <w:spacing w:line="300" w:lineRule="exact"/>
              <w:rPr>
                <w:rFonts w:hint="eastAsia"/>
                <w:sz w:val="21"/>
              </w:rPr>
            </w:pPr>
            <w:r>
              <w:rPr>
                <w:rFonts w:hint="eastAsia"/>
              </w:rPr>
              <w:t>JHW17-45井场下风向1.0km</w:t>
            </w:r>
          </w:p>
        </w:tc>
        <w:tc>
          <w:tcPr>
            <w:tcW w:w="1194" w:type="pct"/>
            <w:vAlign w:val="center"/>
          </w:tcPr>
          <w:p w14:paraId="3904A903">
            <w:pPr>
              <w:pStyle w:val="286"/>
              <w:adjustRightInd w:val="0"/>
              <w:snapToGrid w:val="0"/>
              <w:spacing w:line="300" w:lineRule="exact"/>
              <w:rPr>
                <w:rFonts w:hint="eastAsia" w:cs="宋体"/>
                <w:sz w:val="21"/>
              </w:rPr>
            </w:pPr>
            <w:bookmarkStart w:id="380" w:name="OLE_LINK223"/>
            <w:r>
              <w:rPr>
                <w:rFonts w:hint="eastAsia" w:cs="宋体"/>
              </w:rPr>
              <w:t>44°11'24.87"</w:t>
            </w:r>
            <w:bookmarkEnd w:id="380"/>
          </w:p>
        </w:tc>
        <w:tc>
          <w:tcPr>
            <w:tcW w:w="1160" w:type="pct"/>
            <w:vAlign w:val="center"/>
          </w:tcPr>
          <w:p w14:paraId="02D4A425">
            <w:pPr>
              <w:pStyle w:val="286"/>
              <w:adjustRightInd w:val="0"/>
              <w:snapToGrid w:val="0"/>
              <w:spacing w:line="300" w:lineRule="exact"/>
              <w:rPr>
                <w:rFonts w:hint="eastAsia" w:cs="宋体"/>
                <w:sz w:val="21"/>
              </w:rPr>
            </w:pPr>
            <w:bookmarkStart w:id="381" w:name="OLE_LINK224"/>
            <w:r>
              <w:rPr>
                <w:rFonts w:hint="eastAsia" w:cs="宋体"/>
              </w:rPr>
              <w:t>89°10'21.82"</w:t>
            </w:r>
            <w:bookmarkEnd w:id="381"/>
          </w:p>
        </w:tc>
      </w:tr>
    </w:tbl>
    <w:p w14:paraId="30A7EDCD">
      <w:pPr>
        <w:pStyle w:val="117"/>
        <w:spacing w:line="480" w:lineRule="exact"/>
        <w:ind w:firstLine="480" w:firstLineChars="0"/>
        <w:rPr>
          <w:rFonts w:hint="eastAsia"/>
        </w:rPr>
      </w:pPr>
      <w:r>
        <w:rPr>
          <w:rFonts w:hint="eastAsia"/>
        </w:rPr>
        <w:t>②监测频次</w:t>
      </w:r>
    </w:p>
    <w:p w14:paraId="355A9582">
      <w:pPr>
        <w:pStyle w:val="117"/>
        <w:spacing w:line="480" w:lineRule="exact"/>
        <w:ind w:firstLine="480" w:firstLineChars="0"/>
        <w:rPr>
          <w:rFonts w:hint="eastAsia"/>
        </w:rPr>
      </w:pPr>
      <w:r>
        <w:rPr>
          <w:rFonts w:hint="eastAsia"/>
        </w:rPr>
        <w:t>非甲烷总烃和硫化氢均连续监测7天，其中非甲烷总烃每天测4次，每次取4次样；硫化氢每天测4次。</w:t>
      </w:r>
    </w:p>
    <w:p w14:paraId="6F26735E">
      <w:pPr>
        <w:pStyle w:val="117"/>
        <w:spacing w:line="480" w:lineRule="exact"/>
        <w:ind w:firstLine="480" w:firstLineChars="0"/>
        <w:rPr>
          <w:rFonts w:hint="eastAsia"/>
        </w:rPr>
      </w:pPr>
      <w:r>
        <w:rPr>
          <w:rFonts w:hint="eastAsia"/>
        </w:rPr>
        <w:t>③监测时间及监测单位</w:t>
      </w:r>
    </w:p>
    <w:p w14:paraId="3124C081">
      <w:pPr>
        <w:pStyle w:val="117"/>
        <w:spacing w:line="480" w:lineRule="exact"/>
        <w:ind w:firstLine="480"/>
        <w:rPr>
          <w:rFonts w:hint="eastAsia"/>
        </w:rPr>
      </w:pPr>
      <w:r>
        <w:rPr>
          <w:rFonts w:hint="eastAsia"/>
        </w:rPr>
        <w:t>采样时间：2024年7月12日～7月18日。</w:t>
      </w:r>
    </w:p>
    <w:p w14:paraId="69F9E94E">
      <w:pPr>
        <w:pStyle w:val="117"/>
        <w:spacing w:line="480" w:lineRule="exact"/>
        <w:ind w:firstLine="480"/>
        <w:rPr>
          <w:rFonts w:hint="eastAsia" w:cs="宋体"/>
          <w:lang w:bidi="ar"/>
        </w:rPr>
      </w:pPr>
      <w:r>
        <w:rPr>
          <w:rFonts w:hint="eastAsia"/>
        </w:rPr>
        <w:t>监测单位：新疆环疆绿源环保科技有限公司。</w:t>
      </w:r>
    </w:p>
    <w:p w14:paraId="48280067">
      <w:pPr>
        <w:pStyle w:val="117"/>
        <w:spacing w:line="480" w:lineRule="exact"/>
        <w:ind w:firstLine="480" w:firstLineChars="0"/>
        <w:rPr>
          <w:rFonts w:hint="eastAsia"/>
        </w:rPr>
      </w:pPr>
      <w:r>
        <w:rPr>
          <w:rFonts w:hint="eastAsia"/>
        </w:rPr>
        <w:t>④评价标准</w:t>
      </w:r>
    </w:p>
    <w:p w14:paraId="41A45C24">
      <w:pPr>
        <w:pStyle w:val="117"/>
        <w:spacing w:line="480" w:lineRule="exact"/>
        <w:ind w:firstLine="480"/>
        <w:rPr>
          <w:rFonts w:hint="eastAsia"/>
        </w:rPr>
      </w:pPr>
      <w:r>
        <w:rPr>
          <w:rFonts w:hint="eastAsia"/>
        </w:rPr>
        <w:t>NMHC参照《〈大气污染物综合排放标准〉详解》中的推荐值2.0mg/m</w:t>
      </w:r>
      <w:r>
        <w:rPr>
          <w:rFonts w:hint="eastAsia"/>
          <w:vertAlign w:val="superscript"/>
        </w:rPr>
        <w:t>3</w:t>
      </w:r>
      <w:r>
        <w:rPr>
          <w:rFonts w:hint="eastAsia"/>
        </w:rPr>
        <w:t>执行，H</w:t>
      </w:r>
      <w:r>
        <w:rPr>
          <w:rFonts w:hint="eastAsia"/>
          <w:vertAlign w:val="subscript"/>
        </w:rPr>
        <w:t>2</w:t>
      </w:r>
      <w:r>
        <w:rPr>
          <w:rFonts w:hint="eastAsia"/>
        </w:rPr>
        <w:t>S执行《环境影响评价技术导则大气环境》（</w:t>
      </w:r>
      <w:r>
        <w:t>HJ2.2-2018）附录D中</w:t>
      </w:r>
      <w:r>
        <w:rPr>
          <w:rFonts w:hint="eastAsia"/>
        </w:rPr>
        <w:t>推荐值。</w:t>
      </w:r>
    </w:p>
    <w:p w14:paraId="5B0A2E88">
      <w:pPr>
        <w:spacing w:line="500" w:lineRule="exact"/>
        <w:jc w:val="center"/>
        <w:rPr>
          <w:rFonts w:hint="eastAsia" w:ascii="黑体" w:hAnsi="黑体" w:eastAsia="黑体"/>
          <w:bCs/>
          <w:szCs w:val="21"/>
        </w:rPr>
      </w:pPr>
    </w:p>
    <w:p w14:paraId="228188C8">
      <w:pPr>
        <w:pStyle w:val="117"/>
        <w:spacing w:line="360" w:lineRule="auto"/>
        <w:ind w:firstLine="0" w:firstLineChars="0"/>
        <w:rPr>
          <w:rFonts w:hint="eastAsia"/>
        </w:rPr>
      </w:pPr>
      <w:r>
        <w:drawing>
          <wp:inline distT="0" distB="0" distL="0" distR="0">
            <wp:extent cx="5543550" cy="381381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543550" cy="3813810"/>
                    </a:xfrm>
                    <a:prstGeom prst="rect">
                      <a:avLst/>
                    </a:prstGeom>
                  </pic:spPr>
                </pic:pic>
              </a:graphicData>
            </a:graphic>
          </wp:inline>
        </w:drawing>
      </w:r>
    </w:p>
    <w:p w14:paraId="36F4E4A7">
      <w:pPr>
        <w:spacing w:line="500" w:lineRule="exact"/>
        <w:jc w:val="center"/>
        <w:rPr>
          <w:rFonts w:hint="eastAsia" w:ascii="黑体" w:hAnsi="黑体" w:eastAsia="黑体"/>
          <w:bCs/>
          <w:szCs w:val="21"/>
        </w:rPr>
      </w:pPr>
      <w:r>
        <w:rPr>
          <w:rFonts w:hint="eastAsia" w:ascii="黑体" w:hAnsi="黑体" w:eastAsia="黑体"/>
          <w:bCs/>
          <w:szCs w:val="21"/>
        </w:rPr>
        <w:t>图4.3-1  环境空气质量监测布点示意图</w:t>
      </w:r>
    </w:p>
    <w:p w14:paraId="16CCB7D8">
      <w:pPr>
        <w:pStyle w:val="117"/>
        <w:spacing w:line="480" w:lineRule="exact"/>
        <w:ind w:firstLine="480"/>
        <w:rPr>
          <w:rFonts w:hint="eastAsia"/>
          <w:kern w:val="0"/>
        </w:rPr>
      </w:pPr>
      <w:r>
        <w:rPr>
          <w:rFonts w:hint="eastAsia"/>
        </w:rPr>
        <w:t>⑤评价方法</w:t>
      </w:r>
    </w:p>
    <w:p w14:paraId="46B58E98">
      <w:pPr>
        <w:pStyle w:val="117"/>
        <w:spacing w:line="480" w:lineRule="exact"/>
        <w:ind w:firstLine="480"/>
        <w:rPr>
          <w:rFonts w:hint="eastAsia"/>
        </w:rPr>
      </w:pPr>
      <w:r>
        <w:rPr>
          <w:rFonts w:hint="eastAsia"/>
        </w:rPr>
        <w:t>采用最大占标率法来评价大气污染物在评价区域内的环境质量现状，计算公式如下：</w:t>
      </w:r>
    </w:p>
    <w:p w14:paraId="3E2C2EBE">
      <w:pPr>
        <w:pStyle w:val="109"/>
        <w:spacing w:line="240" w:lineRule="auto"/>
        <w:rPr>
          <w:rFonts w:hint="eastAsia"/>
        </w:rPr>
      </w:pPr>
      <w:r>
        <w:drawing>
          <wp:inline distT="0" distB="0" distL="0" distR="0">
            <wp:extent cx="972820" cy="446405"/>
            <wp:effectExtent l="0" t="0" r="0" b="0"/>
            <wp:docPr id="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972820" cy="446405"/>
                    </a:xfrm>
                    <a:prstGeom prst="rect">
                      <a:avLst/>
                    </a:prstGeom>
                    <a:noFill/>
                    <a:ln>
                      <a:noFill/>
                    </a:ln>
                  </pic:spPr>
                </pic:pic>
              </a:graphicData>
            </a:graphic>
          </wp:inline>
        </w:drawing>
      </w:r>
    </w:p>
    <w:p w14:paraId="4009FA7A">
      <w:pPr>
        <w:pStyle w:val="117"/>
        <w:spacing w:line="480" w:lineRule="exact"/>
        <w:ind w:firstLine="1274" w:firstLineChars="531"/>
        <w:rPr>
          <w:rFonts w:hint="eastAsia"/>
        </w:rPr>
      </w:pPr>
      <w:r>
        <w:rPr>
          <w:rFonts w:hint="eastAsia"/>
        </w:rPr>
        <w:t>P</w:t>
      </w:r>
      <w:r>
        <w:rPr>
          <w:rFonts w:hint="eastAsia"/>
          <w:vertAlign w:val="subscript"/>
        </w:rPr>
        <w:t>i</w:t>
      </w:r>
      <w:r>
        <w:rPr>
          <w:rFonts w:hint="eastAsia"/>
        </w:rPr>
        <w:t>—第i种污染物的最大地面质量浓度占标率，%；</w:t>
      </w:r>
    </w:p>
    <w:p w14:paraId="59DAF0C9">
      <w:pPr>
        <w:pStyle w:val="117"/>
        <w:spacing w:line="480" w:lineRule="exact"/>
        <w:ind w:firstLine="1200" w:firstLineChars="500"/>
        <w:rPr>
          <w:rFonts w:hint="eastAsia"/>
        </w:rPr>
      </w:pPr>
      <w:r>
        <w:rPr>
          <w:rFonts w:hint="eastAsia"/>
        </w:rPr>
        <w:t>C</w:t>
      </w:r>
      <w:r>
        <w:rPr>
          <w:rFonts w:hint="eastAsia"/>
          <w:vertAlign w:val="subscript"/>
        </w:rPr>
        <w:t>i</w:t>
      </w:r>
      <w:r>
        <w:rPr>
          <w:rFonts w:hint="eastAsia"/>
        </w:rPr>
        <w:t>—</w:t>
      </w:r>
      <w:bookmarkStart w:id="382" w:name="_Hlk511383737"/>
      <w:r>
        <w:rPr>
          <w:rFonts w:hint="eastAsia"/>
        </w:rPr>
        <w:t>污染物i的实测浓度，μg/m</w:t>
      </w:r>
      <w:r>
        <w:rPr>
          <w:rFonts w:hint="eastAsia"/>
          <w:vertAlign w:val="superscript"/>
        </w:rPr>
        <w:t>3</w:t>
      </w:r>
      <w:r>
        <w:rPr>
          <w:rFonts w:hint="eastAsia"/>
        </w:rPr>
        <w:t>；</w:t>
      </w:r>
    </w:p>
    <w:p w14:paraId="3F544063">
      <w:pPr>
        <w:pStyle w:val="117"/>
        <w:spacing w:line="480" w:lineRule="exact"/>
        <w:ind w:firstLine="1159" w:firstLineChars="483"/>
        <w:rPr>
          <w:rFonts w:hint="eastAsia"/>
        </w:rPr>
      </w:pPr>
      <w:r>
        <w:rPr>
          <w:rFonts w:hint="eastAsia"/>
        </w:rPr>
        <w:t>C</w:t>
      </w:r>
      <w:r>
        <w:rPr>
          <w:rFonts w:hint="eastAsia"/>
          <w:vertAlign w:val="subscript"/>
        </w:rPr>
        <w:t>oi</w:t>
      </w:r>
      <w:r>
        <w:rPr>
          <w:rFonts w:hint="eastAsia"/>
        </w:rPr>
        <w:t>—污染物i的环境空气标准浓度，μg/m</w:t>
      </w:r>
      <w:r>
        <w:rPr>
          <w:rFonts w:hint="eastAsia"/>
          <w:vertAlign w:val="superscript"/>
        </w:rPr>
        <w:t>3</w:t>
      </w:r>
      <w:r>
        <w:rPr>
          <w:rFonts w:hint="eastAsia"/>
        </w:rPr>
        <w:t>。</w:t>
      </w:r>
    </w:p>
    <w:p w14:paraId="1E36E8FD">
      <w:pPr>
        <w:pStyle w:val="117"/>
        <w:spacing w:line="480" w:lineRule="exact"/>
        <w:ind w:firstLine="480"/>
        <w:rPr>
          <w:rFonts w:hint="eastAsia"/>
        </w:rPr>
      </w:pPr>
      <w:r>
        <w:rPr>
          <w:rFonts w:hint="eastAsia"/>
        </w:rPr>
        <w:t>⑥评价结果</w:t>
      </w:r>
    </w:p>
    <w:p w14:paraId="3B94EF47">
      <w:pPr>
        <w:pStyle w:val="117"/>
        <w:spacing w:line="480" w:lineRule="exact"/>
        <w:ind w:firstLine="480"/>
        <w:rPr>
          <w:rFonts w:hint="eastAsia"/>
        </w:rPr>
      </w:pPr>
      <w:r>
        <w:rPr>
          <w:rFonts w:hint="eastAsia"/>
        </w:rPr>
        <w:t>监测数据及评价结果详见表</w:t>
      </w:r>
      <w:r>
        <w:t>4</w:t>
      </w:r>
      <w:r>
        <w:rPr>
          <w:rFonts w:hint="eastAsia"/>
        </w:rPr>
        <w:t>.3-</w:t>
      </w:r>
      <w:r>
        <w:t>3</w:t>
      </w:r>
      <w:r>
        <w:rPr>
          <w:rFonts w:hint="eastAsia"/>
        </w:rPr>
        <w:t>。</w:t>
      </w:r>
    </w:p>
    <w:p w14:paraId="5BAC4790">
      <w:pPr>
        <w:pStyle w:val="15"/>
        <w:rPr>
          <w:rFonts w:hint="eastAsia"/>
        </w:rPr>
      </w:pPr>
      <w:r>
        <w:rPr>
          <w:rFonts w:hint="eastAsia"/>
        </w:rPr>
        <w:t>表</w:t>
      </w:r>
      <w:r>
        <w:t>4.3</w:t>
      </w:r>
      <w:r>
        <w:rPr>
          <w:rFonts w:hint="eastAsia"/>
        </w:rPr>
        <w:t>-</w:t>
      </w:r>
      <w:r>
        <w:t>3</w:t>
      </w:r>
      <w:r>
        <w:rPr>
          <w:rFonts w:hint="eastAsia"/>
        </w:rPr>
        <w:t xml:space="preserve">  大气环境质量现状监测及评价结果一览表</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276"/>
        <w:gridCol w:w="1276"/>
        <w:gridCol w:w="1417"/>
        <w:gridCol w:w="1418"/>
        <w:gridCol w:w="1134"/>
        <w:gridCol w:w="988"/>
      </w:tblGrid>
      <w:tr w14:paraId="2CA5E1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Align w:val="center"/>
          </w:tcPr>
          <w:p w14:paraId="7B42582B">
            <w:pPr>
              <w:spacing w:line="300" w:lineRule="exact"/>
              <w:jc w:val="center"/>
              <w:rPr>
                <w:rFonts w:hint="eastAsia" w:ascii="宋体" w:hAnsi="宋体" w:cs="宋体"/>
                <w:szCs w:val="21"/>
              </w:rPr>
            </w:pPr>
            <w:r>
              <w:rPr>
                <w:rFonts w:hint="eastAsia" w:ascii="宋体" w:hAnsi="宋体" w:cs="宋体"/>
                <w:szCs w:val="21"/>
              </w:rPr>
              <w:t>监测点位</w:t>
            </w:r>
          </w:p>
        </w:tc>
        <w:tc>
          <w:tcPr>
            <w:tcW w:w="1276" w:type="dxa"/>
            <w:vAlign w:val="center"/>
          </w:tcPr>
          <w:p w14:paraId="3DFD763B">
            <w:pPr>
              <w:spacing w:line="300" w:lineRule="exact"/>
              <w:jc w:val="center"/>
              <w:rPr>
                <w:rFonts w:hint="eastAsia" w:ascii="宋体" w:hAnsi="宋体" w:cs="宋体"/>
                <w:szCs w:val="21"/>
              </w:rPr>
            </w:pPr>
            <w:r>
              <w:rPr>
                <w:rFonts w:hint="eastAsia" w:ascii="宋体" w:hAnsi="宋体" w:cs="宋体"/>
                <w:szCs w:val="21"/>
              </w:rPr>
              <w:t>监测因子</w:t>
            </w:r>
          </w:p>
        </w:tc>
        <w:tc>
          <w:tcPr>
            <w:tcW w:w="1276" w:type="dxa"/>
            <w:vAlign w:val="center"/>
          </w:tcPr>
          <w:p w14:paraId="7EDFF34C">
            <w:pPr>
              <w:spacing w:line="300" w:lineRule="exact"/>
              <w:jc w:val="center"/>
              <w:rPr>
                <w:rFonts w:hint="eastAsia" w:ascii="宋体" w:hAnsi="宋体" w:cs="宋体"/>
                <w:szCs w:val="21"/>
              </w:rPr>
            </w:pPr>
            <w:r>
              <w:rPr>
                <w:rFonts w:hint="eastAsia" w:ascii="宋体" w:hAnsi="宋体" w:cs="宋体"/>
                <w:szCs w:val="21"/>
              </w:rPr>
              <w:t>评价指标</w:t>
            </w:r>
          </w:p>
        </w:tc>
        <w:tc>
          <w:tcPr>
            <w:tcW w:w="1417" w:type="dxa"/>
            <w:vAlign w:val="center"/>
          </w:tcPr>
          <w:p w14:paraId="5579AD74">
            <w:pPr>
              <w:spacing w:line="300" w:lineRule="exact"/>
              <w:jc w:val="center"/>
              <w:rPr>
                <w:rFonts w:hint="eastAsia" w:ascii="宋体" w:hAnsi="宋体" w:cs="宋体"/>
                <w:szCs w:val="21"/>
              </w:rPr>
            </w:pPr>
            <w:r>
              <w:rPr>
                <w:rFonts w:hint="eastAsia" w:ascii="宋体" w:hAnsi="宋体" w:cs="宋体"/>
                <w:szCs w:val="21"/>
              </w:rPr>
              <w:t>标准值</w:t>
            </w:r>
          </w:p>
          <w:p w14:paraId="548C0D00">
            <w:pPr>
              <w:spacing w:line="300" w:lineRule="exact"/>
              <w:jc w:val="center"/>
              <w:rPr>
                <w:rFonts w:hint="eastAsia" w:ascii="宋体" w:hAnsi="宋体" w:cs="宋体"/>
                <w:szCs w:val="21"/>
              </w:rPr>
            </w:pPr>
            <w:r>
              <w:rPr>
                <w:rFonts w:hint="eastAsia" w:ascii="宋体" w:hAnsi="宋体" w:cs="宋体"/>
                <w:szCs w:val="21"/>
              </w:rPr>
              <w:t>（μg/m</w:t>
            </w:r>
            <w:r>
              <w:rPr>
                <w:rFonts w:hint="eastAsia" w:ascii="宋体" w:hAnsi="宋体" w:cs="宋体"/>
                <w:szCs w:val="21"/>
                <w:vertAlign w:val="superscript"/>
              </w:rPr>
              <w:t>3</w:t>
            </w:r>
            <w:r>
              <w:rPr>
                <w:rFonts w:hint="eastAsia" w:ascii="宋体" w:hAnsi="宋体" w:cs="宋体"/>
                <w:szCs w:val="21"/>
              </w:rPr>
              <w:t>）</w:t>
            </w:r>
          </w:p>
        </w:tc>
        <w:tc>
          <w:tcPr>
            <w:tcW w:w="1418" w:type="dxa"/>
            <w:vAlign w:val="center"/>
          </w:tcPr>
          <w:p w14:paraId="1BDB8CD9">
            <w:pPr>
              <w:spacing w:line="300" w:lineRule="exact"/>
              <w:jc w:val="center"/>
              <w:rPr>
                <w:rFonts w:hint="eastAsia" w:ascii="宋体" w:hAnsi="宋体" w:cs="宋体"/>
                <w:szCs w:val="21"/>
              </w:rPr>
            </w:pPr>
            <w:r>
              <w:rPr>
                <w:rFonts w:hint="eastAsia" w:ascii="宋体" w:hAnsi="宋体" w:cs="宋体"/>
                <w:szCs w:val="21"/>
              </w:rPr>
              <w:t>现状浓度</w:t>
            </w:r>
          </w:p>
          <w:p w14:paraId="50B71E1F">
            <w:pPr>
              <w:spacing w:line="300" w:lineRule="exact"/>
              <w:jc w:val="center"/>
              <w:rPr>
                <w:rFonts w:hint="eastAsia" w:ascii="宋体" w:hAnsi="宋体" w:cs="宋体"/>
                <w:szCs w:val="21"/>
              </w:rPr>
            </w:pPr>
            <w:r>
              <w:rPr>
                <w:rFonts w:hint="eastAsia" w:ascii="宋体" w:hAnsi="宋体" w:cs="宋体"/>
                <w:szCs w:val="21"/>
              </w:rPr>
              <w:t>（μg/m</w:t>
            </w:r>
            <w:r>
              <w:rPr>
                <w:rFonts w:hint="eastAsia" w:ascii="宋体" w:hAnsi="宋体" w:cs="宋体"/>
                <w:szCs w:val="21"/>
                <w:vertAlign w:val="superscript"/>
              </w:rPr>
              <w:t>3</w:t>
            </w:r>
            <w:r>
              <w:rPr>
                <w:rFonts w:hint="eastAsia" w:ascii="宋体" w:hAnsi="宋体" w:cs="宋体"/>
                <w:szCs w:val="21"/>
              </w:rPr>
              <w:t>）</w:t>
            </w:r>
          </w:p>
        </w:tc>
        <w:tc>
          <w:tcPr>
            <w:tcW w:w="1134" w:type="dxa"/>
            <w:vAlign w:val="center"/>
          </w:tcPr>
          <w:p w14:paraId="1C0B7B6F">
            <w:pPr>
              <w:spacing w:line="300" w:lineRule="exact"/>
              <w:jc w:val="center"/>
              <w:rPr>
                <w:rFonts w:hint="eastAsia" w:ascii="宋体" w:hAnsi="宋体" w:cs="宋体"/>
                <w:szCs w:val="21"/>
              </w:rPr>
            </w:pPr>
            <w:r>
              <w:rPr>
                <w:rFonts w:hint="eastAsia" w:ascii="宋体" w:hAnsi="宋体" w:cs="宋体"/>
                <w:szCs w:val="21"/>
              </w:rPr>
              <w:t>最大占标率（%）</w:t>
            </w:r>
          </w:p>
        </w:tc>
        <w:tc>
          <w:tcPr>
            <w:tcW w:w="988" w:type="dxa"/>
            <w:vAlign w:val="center"/>
          </w:tcPr>
          <w:p w14:paraId="7F8B0193">
            <w:pPr>
              <w:spacing w:line="300" w:lineRule="exact"/>
              <w:jc w:val="center"/>
              <w:rPr>
                <w:rFonts w:hint="eastAsia" w:ascii="宋体" w:hAnsi="宋体" w:cs="宋体"/>
                <w:szCs w:val="21"/>
              </w:rPr>
            </w:pPr>
            <w:r>
              <w:rPr>
                <w:rFonts w:hint="eastAsia" w:ascii="宋体" w:hAnsi="宋体" w:cs="宋体"/>
                <w:szCs w:val="21"/>
              </w:rPr>
              <w:t>达标</w:t>
            </w:r>
          </w:p>
          <w:p w14:paraId="12C863B5">
            <w:pPr>
              <w:spacing w:line="300" w:lineRule="exact"/>
              <w:jc w:val="center"/>
              <w:rPr>
                <w:rFonts w:hint="eastAsia" w:ascii="宋体" w:hAnsi="宋体" w:cs="宋体"/>
                <w:szCs w:val="21"/>
              </w:rPr>
            </w:pPr>
            <w:r>
              <w:rPr>
                <w:rFonts w:hint="eastAsia" w:ascii="宋体" w:hAnsi="宋体" w:cs="宋体"/>
                <w:szCs w:val="21"/>
              </w:rPr>
              <w:t>情况</w:t>
            </w:r>
          </w:p>
        </w:tc>
      </w:tr>
      <w:tr w14:paraId="5D4564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vAlign w:val="center"/>
          </w:tcPr>
          <w:p w14:paraId="330B0617">
            <w:pPr>
              <w:spacing w:line="300" w:lineRule="exact"/>
              <w:jc w:val="center"/>
              <w:rPr>
                <w:rFonts w:hint="eastAsia" w:ascii="宋体" w:hAnsi="宋体" w:cs="宋体"/>
                <w:szCs w:val="21"/>
              </w:rPr>
            </w:pPr>
            <w:r>
              <w:rPr>
                <w:rFonts w:hint="eastAsia" w:ascii="宋体" w:hAnsi="宋体" w:cs="宋体"/>
                <w:szCs w:val="21"/>
              </w:rPr>
              <w:t>G1</w:t>
            </w:r>
          </w:p>
        </w:tc>
        <w:tc>
          <w:tcPr>
            <w:tcW w:w="1276" w:type="dxa"/>
            <w:vAlign w:val="center"/>
          </w:tcPr>
          <w:p w14:paraId="48F580DD">
            <w:pPr>
              <w:spacing w:line="300" w:lineRule="exact"/>
              <w:jc w:val="center"/>
              <w:rPr>
                <w:rFonts w:hint="eastAsia" w:ascii="宋体" w:hAnsi="宋体" w:cs="宋体"/>
                <w:szCs w:val="21"/>
              </w:rPr>
            </w:pPr>
            <w:r>
              <w:rPr>
                <w:rFonts w:hint="eastAsia" w:ascii="宋体" w:hAnsi="宋体" w:cs="宋体"/>
                <w:szCs w:val="21"/>
              </w:rPr>
              <w:t>NMHC</w:t>
            </w:r>
          </w:p>
        </w:tc>
        <w:tc>
          <w:tcPr>
            <w:tcW w:w="1276" w:type="dxa"/>
            <w:vAlign w:val="center"/>
          </w:tcPr>
          <w:p w14:paraId="0D5D7654">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55913866">
            <w:pPr>
              <w:spacing w:line="300" w:lineRule="exact"/>
              <w:jc w:val="center"/>
              <w:rPr>
                <w:rFonts w:hint="eastAsia" w:ascii="宋体" w:hAnsi="宋体" w:cs="宋体"/>
                <w:szCs w:val="21"/>
              </w:rPr>
            </w:pPr>
            <w:r>
              <w:rPr>
                <w:rFonts w:hint="eastAsia" w:ascii="宋体" w:hAnsi="宋体" w:cs="宋体"/>
                <w:szCs w:val="21"/>
              </w:rPr>
              <w:t>2000</w:t>
            </w:r>
          </w:p>
        </w:tc>
        <w:tc>
          <w:tcPr>
            <w:tcW w:w="1418" w:type="dxa"/>
            <w:vAlign w:val="center"/>
          </w:tcPr>
          <w:p w14:paraId="3F2D90A0">
            <w:pPr>
              <w:spacing w:line="300" w:lineRule="exact"/>
              <w:jc w:val="center"/>
              <w:rPr>
                <w:rFonts w:hint="eastAsia" w:ascii="宋体" w:hAnsi="宋体" w:cs="宋体"/>
                <w:szCs w:val="21"/>
              </w:rPr>
            </w:pPr>
            <w:r>
              <w:rPr>
                <w:rFonts w:hint="eastAsia" w:ascii="宋体" w:hAnsi="宋体" w:cs="宋体"/>
                <w:szCs w:val="21"/>
              </w:rPr>
              <w:t>840～1320</w:t>
            </w:r>
          </w:p>
        </w:tc>
        <w:tc>
          <w:tcPr>
            <w:tcW w:w="1134" w:type="dxa"/>
            <w:vAlign w:val="center"/>
          </w:tcPr>
          <w:p w14:paraId="52120F5C">
            <w:pPr>
              <w:spacing w:line="300" w:lineRule="exact"/>
              <w:jc w:val="center"/>
              <w:rPr>
                <w:rFonts w:hint="eastAsia" w:ascii="宋体" w:hAnsi="宋体" w:cs="宋体"/>
                <w:szCs w:val="21"/>
              </w:rPr>
            </w:pPr>
            <w:r>
              <w:rPr>
                <w:rFonts w:hint="eastAsia" w:ascii="宋体" w:hAnsi="宋体" w:cs="宋体"/>
                <w:szCs w:val="21"/>
              </w:rPr>
              <w:t>66</w:t>
            </w:r>
          </w:p>
        </w:tc>
        <w:tc>
          <w:tcPr>
            <w:tcW w:w="988" w:type="dxa"/>
            <w:vAlign w:val="center"/>
          </w:tcPr>
          <w:p w14:paraId="19E40FF8">
            <w:pPr>
              <w:spacing w:line="300" w:lineRule="exact"/>
              <w:jc w:val="center"/>
              <w:rPr>
                <w:rFonts w:hint="eastAsia" w:ascii="宋体" w:hAnsi="宋体" w:cs="宋体"/>
                <w:szCs w:val="21"/>
              </w:rPr>
            </w:pPr>
            <w:r>
              <w:rPr>
                <w:rFonts w:hint="eastAsia" w:ascii="宋体" w:hAnsi="宋体" w:cs="宋体"/>
                <w:szCs w:val="21"/>
              </w:rPr>
              <w:t>达标</w:t>
            </w:r>
          </w:p>
        </w:tc>
      </w:tr>
      <w:tr w14:paraId="1457BA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vAlign w:val="center"/>
          </w:tcPr>
          <w:p w14:paraId="4A3BBFAA">
            <w:pPr>
              <w:spacing w:line="300" w:lineRule="exact"/>
              <w:jc w:val="center"/>
              <w:rPr>
                <w:rFonts w:hint="eastAsia" w:ascii="宋体" w:hAnsi="宋体" w:cs="宋体"/>
                <w:szCs w:val="21"/>
              </w:rPr>
            </w:pPr>
          </w:p>
        </w:tc>
        <w:tc>
          <w:tcPr>
            <w:tcW w:w="1276" w:type="dxa"/>
            <w:vAlign w:val="center"/>
          </w:tcPr>
          <w:p w14:paraId="7134B1E0">
            <w:pPr>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1276" w:type="dxa"/>
            <w:vAlign w:val="center"/>
          </w:tcPr>
          <w:p w14:paraId="0D98C568">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38D9D0F7">
            <w:pPr>
              <w:spacing w:line="300" w:lineRule="exact"/>
              <w:jc w:val="center"/>
              <w:rPr>
                <w:rFonts w:hint="eastAsia" w:ascii="宋体" w:hAnsi="宋体" w:cs="宋体"/>
                <w:szCs w:val="21"/>
              </w:rPr>
            </w:pPr>
            <w:r>
              <w:rPr>
                <w:rFonts w:hint="eastAsia" w:ascii="宋体" w:hAnsi="宋体" w:cs="宋体"/>
                <w:szCs w:val="21"/>
              </w:rPr>
              <w:t>10</w:t>
            </w:r>
          </w:p>
        </w:tc>
        <w:tc>
          <w:tcPr>
            <w:tcW w:w="1418" w:type="dxa"/>
            <w:vAlign w:val="center"/>
          </w:tcPr>
          <w:p w14:paraId="173277B0">
            <w:pPr>
              <w:spacing w:line="300" w:lineRule="exact"/>
              <w:jc w:val="center"/>
              <w:rPr>
                <w:rFonts w:hint="eastAsia" w:ascii="宋体" w:hAnsi="宋体" w:cs="宋体"/>
                <w:szCs w:val="21"/>
              </w:rPr>
            </w:pPr>
            <w:r>
              <w:rPr>
                <w:rFonts w:hint="eastAsia" w:ascii="宋体" w:hAnsi="宋体" w:cs="宋体"/>
                <w:szCs w:val="21"/>
              </w:rPr>
              <w:t>1.0×10</w:t>
            </w:r>
            <w:r>
              <w:rPr>
                <w:rFonts w:hint="eastAsia" w:ascii="宋体" w:hAnsi="宋体" w:cs="宋体"/>
                <w:szCs w:val="21"/>
                <w:vertAlign w:val="superscript"/>
              </w:rPr>
              <w:t>-3</w:t>
            </w:r>
            <w:r>
              <w:rPr>
                <w:rFonts w:hint="eastAsia" w:ascii="宋体" w:hAnsi="宋体" w:cs="宋体"/>
                <w:szCs w:val="21"/>
              </w:rPr>
              <w:t>L</w:t>
            </w:r>
          </w:p>
        </w:tc>
        <w:tc>
          <w:tcPr>
            <w:tcW w:w="1134" w:type="dxa"/>
            <w:vAlign w:val="center"/>
          </w:tcPr>
          <w:p w14:paraId="06265A41">
            <w:pPr>
              <w:spacing w:line="300" w:lineRule="exact"/>
              <w:jc w:val="center"/>
              <w:rPr>
                <w:rFonts w:hint="eastAsia" w:ascii="宋体" w:hAnsi="宋体" w:cs="宋体"/>
                <w:szCs w:val="21"/>
              </w:rPr>
            </w:pPr>
            <w:r>
              <w:rPr>
                <w:rFonts w:hint="eastAsia" w:ascii="宋体" w:hAnsi="宋体" w:cs="宋体"/>
                <w:szCs w:val="21"/>
              </w:rPr>
              <w:t>/</w:t>
            </w:r>
          </w:p>
        </w:tc>
        <w:tc>
          <w:tcPr>
            <w:tcW w:w="988" w:type="dxa"/>
            <w:vAlign w:val="center"/>
          </w:tcPr>
          <w:p w14:paraId="086135C0">
            <w:pPr>
              <w:spacing w:line="300" w:lineRule="exact"/>
              <w:jc w:val="center"/>
              <w:rPr>
                <w:rFonts w:hint="eastAsia" w:ascii="宋体" w:hAnsi="宋体" w:cs="宋体"/>
                <w:szCs w:val="21"/>
              </w:rPr>
            </w:pPr>
            <w:r>
              <w:rPr>
                <w:rFonts w:hint="eastAsia" w:ascii="宋体" w:hAnsi="宋体" w:cs="宋体"/>
                <w:szCs w:val="21"/>
              </w:rPr>
              <w:t>达标</w:t>
            </w:r>
          </w:p>
        </w:tc>
      </w:tr>
      <w:tr w14:paraId="3C6E82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vAlign w:val="center"/>
          </w:tcPr>
          <w:p w14:paraId="1591B05C">
            <w:pPr>
              <w:spacing w:line="300" w:lineRule="exact"/>
              <w:jc w:val="center"/>
              <w:rPr>
                <w:rFonts w:hint="eastAsia" w:ascii="宋体" w:hAnsi="宋体" w:cs="宋体"/>
                <w:szCs w:val="21"/>
              </w:rPr>
            </w:pPr>
            <w:r>
              <w:rPr>
                <w:rFonts w:hint="eastAsia" w:ascii="宋体" w:hAnsi="宋体" w:cs="宋体"/>
                <w:szCs w:val="21"/>
              </w:rPr>
              <w:t>G</w:t>
            </w:r>
            <w:r>
              <w:rPr>
                <w:rFonts w:ascii="宋体" w:hAnsi="宋体" w:cs="宋体"/>
                <w:szCs w:val="21"/>
              </w:rPr>
              <w:t>2</w:t>
            </w:r>
          </w:p>
        </w:tc>
        <w:tc>
          <w:tcPr>
            <w:tcW w:w="1276" w:type="dxa"/>
            <w:vAlign w:val="center"/>
          </w:tcPr>
          <w:p w14:paraId="11276901">
            <w:pPr>
              <w:spacing w:line="300" w:lineRule="exact"/>
              <w:jc w:val="center"/>
              <w:rPr>
                <w:rFonts w:hint="eastAsia" w:ascii="宋体" w:hAnsi="宋体" w:cs="宋体"/>
                <w:szCs w:val="21"/>
              </w:rPr>
            </w:pPr>
            <w:r>
              <w:rPr>
                <w:rFonts w:hint="eastAsia" w:ascii="宋体" w:hAnsi="宋体" w:cs="宋体"/>
                <w:szCs w:val="21"/>
              </w:rPr>
              <w:t>NMHC</w:t>
            </w:r>
          </w:p>
        </w:tc>
        <w:tc>
          <w:tcPr>
            <w:tcW w:w="1276" w:type="dxa"/>
            <w:vAlign w:val="center"/>
          </w:tcPr>
          <w:p w14:paraId="2FF40BF4">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407B5925">
            <w:pPr>
              <w:spacing w:line="300" w:lineRule="exact"/>
              <w:jc w:val="center"/>
              <w:rPr>
                <w:rFonts w:hint="eastAsia" w:ascii="宋体" w:hAnsi="宋体" w:cs="宋体"/>
                <w:szCs w:val="21"/>
              </w:rPr>
            </w:pPr>
            <w:r>
              <w:rPr>
                <w:rFonts w:hint="eastAsia" w:ascii="宋体" w:hAnsi="宋体" w:cs="宋体"/>
                <w:szCs w:val="21"/>
              </w:rPr>
              <w:t>2000</w:t>
            </w:r>
          </w:p>
        </w:tc>
        <w:tc>
          <w:tcPr>
            <w:tcW w:w="1418" w:type="dxa"/>
            <w:vAlign w:val="center"/>
          </w:tcPr>
          <w:p w14:paraId="5717C18C">
            <w:pPr>
              <w:spacing w:line="300" w:lineRule="exact"/>
              <w:jc w:val="center"/>
              <w:rPr>
                <w:rFonts w:hint="eastAsia" w:ascii="宋体" w:hAnsi="宋体" w:cs="宋体"/>
                <w:szCs w:val="21"/>
              </w:rPr>
            </w:pPr>
            <w:r>
              <w:rPr>
                <w:rFonts w:hint="eastAsia" w:ascii="宋体" w:hAnsi="宋体" w:cs="宋体"/>
                <w:szCs w:val="21"/>
              </w:rPr>
              <w:t>540～920</w:t>
            </w:r>
          </w:p>
        </w:tc>
        <w:tc>
          <w:tcPr>
            <w:tcW w:w="1134" w:type="dxa"/>
            <w:vAlign w:val="center"/>
          </w:tcPr>
          <w:p w14:paraId="45690149">
            <w:pPr>
              <w:spacing w:line="300" w:lineRule="exact"/>
              <w:jc w:val="center"/>
              <w:rPr>
                <w:rFonts w:hint="eastAsia" w:ascii="宋体" w:hAnsi="宋体" w:cs="宋体"/>
                <w:szCs w:val="21"/>
              </w:rPr>
            </w:pPr>
            <w:r>
              <w:rPr>
                <w:rFonts w:hint="eastAsia" w:ascii="宋体" w:hAnsi="宋体" w:cs="宋体"/>
                <w:szCs w:val="21"/>
              </w:rPr>
              <w:t>46</w:t>
            </w:r>
          </w:p>
        </w:tc>
        <w:tc>
          <w:tcPr>
            <w:tcW w:w="988" w:type="dxa"/>
            <w:vAlign w:val="center"/>
          </w:tcPr>
          <w:p w14:paraId="686316CC">
            <w:pPr>
              <w:spacing w:line="300" w:lineRule="exact"/>
              <w:jc w:val="center"/>
              <w:rPr>
                <w:rFonts w:hint="eastAsia" w:ascii="宋体" w:hAnsi="宋体" w:cs="宋体"/>
                <w:szCs w:val="21"/>
              </w:rPr>
            </w:pPr>
            <w:r>
              <w:rPr>
                <w:rFonts w:hint="eastAsia" w:ascii="宋体" w:hAnsi="宋体" w:cs="宋体"/>
                <w:szCs w:val="21"/>
              </w:rPr>
              <w:t>达标</w:t>
            </w:r>
          </w:p>
        </w:tc>
      </w:tr>
      <w:tr w14:paraId="79C854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vAlign w:val="center"/>
          </w:tcPr>
          <w:p w14:paraId="7697F645">
            <w:pPr>
              <w:spacing w:line="300" w:lineRule="exact"/>
              <w:jc w:val="center"/>
              <w:rPr>
                <w:rFonts w:hint="eastAsia" w:ascii="宋体" w:hAnsi="宋体" w:cs="宋体"/>
                <w:szCs w:val="21"/>
              </w:rPr>
            </w:pPr>
          </w:p>
        </w:tc>
        <w:tc>
          <w:tcPr>
            <w:tcW w:w="1276" w:type="dxa"/>
            <w:vAlign w:val="center"/>
          </w:tcPr>
          <w:p w14:paraId="3ECFA396">
            <w:pPr>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1276" w:type="dxa"/>
            <w:vAlign w:val="center"/>
          </w:tcPr>
          <w:p w14:paraId="3EC38856">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6E5212B9">
            <w:pPr>
              <w:spacing w:line="300" w:lineRule="exact"/>
              <w:jc w:val="center"/>
              <w:rPr>
                <w:rFonts w:hint="eastAsia" w:ascii="宋体" w:hAnsi="宋体" w:cs="宋体"/>
                <w:szCs w:val="21"/>
              </w:rPr>
            </w:pPr>
            <w:r>
              <w:rPr>
                <w:rFonts w:hint="eastAsia" w:ascii="宋体" w:hAnsi="宋体" w:cs="宋体"/>
                <w:szCs w:val="21"/>
              </w:rPr>
              <w:t>10</w:t>
            </w:r>
          </w:p>
        </w:tc>
        <w:tc>
          <w:tcPr>
            <w:tcW w:w="1418" w:type="dxa"/>
            <w:vAlign w:val="center"/>
          </w:tcPr>
          <w:p w14:paraId="5DA527FC">
            <w:pPr>
              <w:spacing w:line="300" w:lineRule="exact"/>
              <w:jc w:val="center"/>
              <w:rPr>
                <w:rFonts w:hint="eastAsia" w:ascii="宋体" w:hAnsi="宋体" w:cs="宋体"/>
                <w:szCs w:val="21"/>
              </w:rPr>
            </w:pPr>
            <w:r>
              <w:rPr>
                <w:rFonts w:hint="eastAsia" w:ascii="宋体" w:hAnsi="宋体" w:cs="宋体"/>
                <w:szCs w:val="21"/>
              </w:rPr>
              <w:t>1.0×10</w:t>
            </w:r>
            <w:r>
              <w:rPr>
                <w:rFonts w:hint="eastAsia" w:ascii="宋体" w:hAnsi="宋体" w:cs="宋体"/>
                <w:szCs w:val="21"/>
                <w:vertAlign w:val="superscript"/>
              </w:rPr>
              <w:t>-3</w:t>
            </w:r>
            <w:r>
              <w:rPr>
                <w:rFonts w:hint="eastAsia" w:ascii="宋体" w:hAnsi="宋体" w:cs="宋体"/>
                <w:szCs w:val="21"/>
              </w:rPr>
              <w:t>L</w:t>
            </w:r>
          </w:p>
        </w:tc>
        <w:tc>
          <w:tcPr>
            <w:tcW w:w="1134" w:type="dxa"/>
            <w:vAlign w:val="center"/>
          </w:tcPr>
          <w:p w14:paraId="23FBD43A">
            <w:pPr>
              <w:spacing w:line="300" w:lineRule="exact"/>
              <w:jc w:val="center"/>
              <w:rPr>
                <w:rFonts w:hint="eastAsia" w:ascii="宋体" w:hAnsi="宋体" w:cs="宋体"/>
                <w:szCs w:val="21"/>
              </w:rPr>
            </w:pPr>
            <w:r>
              <w:rPr>
                <w:rFonts w:hint="eastAsia" w:ascii="宋体" w:hAnsi="宋体" w:cs="宋体"/>
                <w:szCs w:val="21"/>
              </w:rPr>
              <w:t>/</w:t>
            </w:r>
          </w:p>
        </w:tc>
        <w:tc>
          <w:tcPr>
            <w:tcW w:w="988" w:type="dxa"/>
            <w:vAlign w:val="center"/>
          </w:tcPr>
          <w:p w14:paraId="0F097B35">
            <w:pPr>
              <w:spacing w:line="300" w:lineRule="exact"/>
              <w:jc w:val="center"/>
              <w:rPr>
                <w:rFonts w:hint="eastAsia" w:ascii="宋体" w:hAnsi="宋体" w:cs="宋体"/>
                <w:szCs w:val="21"/>
              </w:rPr>
            </w:pPr>
            <w:r>
              <w:rPr>
                <w:rFonts w:hint="eastAsia" w:ascii="宋体" w:hAnsi="宋体" w:cs="宋体"/>
                <w:szCs w:val="21"/>
              </w:rPr>
              <w:t>达标</w:t>
            </w:r>
          </w:p>
        </w:tc>
      </w:tr>
    </w:tbl>
    <w:p w14:paraId="1557FD93">
      <w:pPr>
        <w:pStyle w:val="117"/>
        <w:spacing w:line="480" w:lineRule="exact"/>
        <w:ind w:firstLine="480"/>
        <w:rPr>
          <w:rFonts w:hint="eastAsia"/>
        </w:rPr>
      </w:pPr>
      <w:r>
        <w:rPr>
          <w:rFonts w:hint="eastAsia"/>
        </w:rPr>
        <w:t>由表</w:t>
      </w:r>
      <w:r>
        <w:t>4.3</w:t>
      </w:r>
      <w:r>
        <w:rPr>
          <w:rFonts w:hint="eastAsia"/>
        </w:rPr>
        <w:t>-</w:t>
      </w:r>
      <w:r>
        <w:t>3</w:t>
      </w:r>
      <w:r>
        <w:rPr>
          <w:rFonts w:hint="eastAsia"/>
        </w:rPr>
        <w:t>可知，</w:t>
      </w:r>
      <w:r>
        <w:t>NMHC</w:t>
      </w:r>
      <w:r>
        <w:rPr>
          <w:rFonts w:hint="eastAsia"/>
        </w:rPr>
        <w:t>监测浓度</w:t>
      </w:r>
      <w:r>
        <w:t>满足《&lt;大气污染物综合排放标准&gt;详解》中推荐值2.0mg/m</w:t>
      </w:r>
      <w:r>
        <w:rPr>
          <w:vertAlign w:val="superscript"/>
        </w:rPr>
        <w:t>3</w:t>
      </w:r>
      <w:r>
        <w:t>要求</w:t>
      </w:r>
      <w:bookmarkStart w:id="383" w:name="_Hlk92466348"/>
      <w:r>
        <w:rPr>
          <w:rFonts w:hint="eastAsia"/>
        </w:rPr>
        <w:t>，H</w:t>
      </w:r>
      <w:r>
        <w:rPr>
          <w:rFonts w:hint="eastAsia"/>
          <w:vertAlign w:val="subscript"/>
        </w:rPr>
        <w:t>2</w:t>
      </w:r>
      <w:r>
        <w:rPr>
          <w:rFonts w:hint="eastAsia"/>
        </w:rPr>
        <w:t>S监测浓度满足《环境影响评价技术导则大气环境》（</w:t>
      </w:r>
      <w:r>
        <w:t>HJ2.2-2018）附录D中</w:t>
      </w:r>
      <w:r>
        <w:rPr>
          <w:rFonts w:hint="eastAsia"/>
        </w:rPr>
        <w:t>推荐值要求。</w:t>
      </w:r>
      <w:bookmarkEnd w:id="382"/>
    </w:p>
    <w:p w14:paraId="5CB31BDD">
      <w:pPr>
        <w:pStyle w:val="117"/>
        <w:spacing w:line="480" w:lineRule="exact"/>
        <w:ind w:firstLine="480"/>
        <w:rPr>
          <w:rFonts w:hint="eastAsia"/>
        </w:rPr>
      </w:pPr>
      <w:r>
        <w:rPr>
          <w:rFonts w:hint="eastAsia"/>
        </w:rPr>
        <w:t>（3）内区域特征污染物环境质量现状</w:t>
      </w:r>
    </w:p>
    <w:p w14:paraId="5E40E29F">
      <w:pPr>
        <w:pStyle w:val="117"/>
        <w:spacing w:line="480" w:lineRule="exact"/>
        <w:ind w:firstLine="480"/>
        <w:rPr>
          <w:rFonts w:hint="eastAsia"/>
        </w:rPr>
      </w:pPr>
      <w:r>
        <w:rPr>
          <w:rFonts w:hint="eastAsia"/>
        </w:rPr>
        <w:t>本次收集了2021年、2022年、2024年三年的区域特征污染物非甲烷总烃、硫化氢的监测数据，详见表4.3-4。</w:t>
      </w:r>
    </w:p>
    <w:p w14:paraId="7A42D8D5">
      <w:pPr>
        <w:pStyle w:val="15"/>
        <w:rPr>
          <w:rFonts w:hint="eastAsia"/>
        </w:rPr>
      </w:pPr>
      <w:r>
        <w:rPr>
          <w:rFonts w:hint="eastAsia"/>
        </w:rPr>
        <w:t>表4.3-4  2021年、2022年、2024年基本污染物和特征污染物非甲烷总烃、硫化氢的监测数据</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276"/>
        <w:gridCol w:w="1276"/>
        <w:gridCol w:w="1417"/>
        <w:gridCol w:w="1418"/>
        <w:gridCol w:w="1134"/>
        <w:gridCol w:w="988"/>
      </w:tblGrid>
      <w:tr w14:paraId="686032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Align w:val="center"/>
          </w:tcPr>
          <w:p w14:paraId="718552DF">
            <w:pPr>
              <w:spacing w:line="300" w:lineRule="exact"/>
              <w:jc w:val="center"/>
              <w:rPr>
                <w:rFonts w:hint="eastAsia" w:ascii="宋体" w:hAnsi="宋体" w:cs="宋体"/>
                <w:szCs w:val="21"/>
              </w:rPr>
            </w:pPr>
            <w:r>
              <w:rPr>
                <w:rFonts w:hint="eastAsia" w:ascii="宋体" w:hAnsi="宋体" w:cs="宋体"/>
                <w:szCs w:val="21"/>
              </w:rPr>
              <w:t>监测点位</w:t>
            </w:r>
          </w:p>
        </w:tc>
        <w:tc>
          <w:tcPr>
            <w:tcW w:w="1276" w:type="dxa"/>
            <w:vAlign w:val="center"/>
          </w:tcPr>
          <w:p w14:paraId="22C919A4">
            <w:pPr>
              <w:spacing w:line="300" w:lineRule="exact"/>
              <w:jc w:val="center"/>
              <w:rPr>
                <w:rFonts w:hint="eastAsia" w:ascii="宋体" w:hAnsi="宋体" w:cs="宋体"/>
                <w:szCs w:val="21"/>
              </w:rPr>
            </w:pPr>
            <w:r>
              <w:rPr>
                <w:rFonts w:hint="eastAsia" w:ascii="宋体" w:hAnsi="宋体" w:cs="宋体"/>
                <w:szCs w:val="21"/>
              </w:rPr>
              <w:t>监测因子</w:t>
            </w:r>
          </w:p>
        </w:tc>
        <w:tc>
          <w:tcPr>
            <w:tcW w:w="1276" w:type="dxa"/>
            <w:vAlign w:val="center"/>
          </w:tcPr>
          <w:p w14:paraId="17E98052">
            <w:pPr>
              <w:spacing w:line="300" w:lineRule="exact"/>
              <w:jc w:val="center"/>
              <w:rPr>
                <w:rFonts w:hint="eastAsia" w:ascii="宋体" w:hAnsi="宋体" w:cs="宋体"/>
                <w:szCs w:val="21"/>
              </w:rPr>
            </w:pPr>
            <w:r>
              <w:rPr>
                <w:rFonts w:hint="eastAsia" w:ascii="宋体" w:hAnsi="宋体" w:cs="宋体"/>
                <w:szCs w:val="21"/>
              </w:rPr>
              <w:t>评价指标</w:t>
            </w:r>
          </w:p>
        </w:tc>
        <w:tc>
          <w:tcPr>
            <w:tcW w:w="1417" w:type="dxa"/>
            <w:vAlign w:val="center"/>
          </w:tcPr>
          <w:p w14:paraId="73EC9829">
            <w:pPr>
              <w:spacing w:line="300" w:lineRule="exact"/>
              <w:jc w:val="center"/>
              <w:rPr>
                <w:rFonts w:hint="eastAsia" w:ascii="宋体" w:hAnsi="宋体" w:cs="宋体"/>
                <w:szCs w:val="21"/>
              </w:rPr>
            </w:pPr>
            <w:r>
              <w:rPr>
                <w:rFonts w:hint="eastAsia" w:ascii="宋体" w:hAnsi="宋体" w:cs="宋体"/>
                <w:szCs w:val="21"/>
              </w:rPr>
              <w:t>标准值</w:t>
            </w:r>
          </w:p>
          <w:p w14:paraId="56965CF2">
            <w:pPr>
              <w:spacing w:line="300" w:lineRule="exact"/>
              <w:jc w:val="center"/>
              <w:rPr>
                <w:rFonts w:hint="eastAsia" w:ascii="宋体" w:hAnsi="宋体" w:cs="宋体"/>
                <w:szCs w:val="21"/>
              </w:rPr>
            </w:pPr>
            <w:r>
              <w:rPr>
                <w:rFonts w:hint="eastAsia" w:ascii="宋体" w:hAnsi="宋体" w:cs="宋体"/>
                <w:szCs w:val="21"/>
              </w:rPr>
              <w:t>（μg/m</w:t>
            </w:r>
            <w:r>
              <w:rPr>
                <w:rFonts w:hint="eastAsia" w:ascii="宋体" w:hAnsi="宋体" w:cs="宋体"/>
                <w:szCs w:val="21"/>
                <w:vertAlign w:val="superscript"/>
              </w:rPr>
              <w:t>3</w:t>
            </w:r>
            <w:r>
              <w:rPr>
                <w:rFonts w:hint="eastAsia" w:ascii="宋体" w:hAnsi="宋体" w:cs="宋体"/>
                <w:szCs w:val="21"/>
              </w:rPr>
              <w:t>）</w:t>
            </w:r>
          </w:p>
        </w:tc>
        <w:tc>
          <w:tcPr>
            <w:tcW w:w="1418" w:type="dxa"/>
            <w:vAlign w:val="center"/>
          </w:tcPr>
          <w:p w14:paraId="61789A16">
            <w:pPr>
              <w:spacing w:line="300" w:lineRule="exact"/>
              <w:jc w:val="center"/>
              <w:rPr>
                <w:rFonts w:hint="eastAsia" w:ascii="宋体" w:hAnsi="宋体" w:cs="宋体"/>
                <w:szCs w:val="21"/>
              </w:rPr>
            </w:pPr>
            <w:r>
              <w:rPr>
                <w:rFonts w:hint="eastAsia" w:ascii="宋体" w:hAnsi="宋体" w:cs="宋体"/>
                <w:szCs w:val="21"/>
              </w:rPr>
              <w:t>现状浓度</w:t>
            </w:r>
          </w:p>
          <w:p w14:paraId="6ABC2697">
            <w:pPr>
              <w:spacing w:line="300" w:lineRule="exact"/>
              <w:jc w:val="center"/>
              <w:rPr>
                <w:rFonts w:hint="eastAsia" w:ascii="宋体" w:hAnsi="宋体" w:cs="宋体"/>
                <w:szCs w:val="21"/>
              </w:rPr>
            </w:pPr>
            <w:r>
              <w:rPr>
                <w:rFonts w:hint="eastAsia" w:ascii="宋体" w:hAnsi="宋体" w:cs="宋体"/>
                <w:szCs w:val="21"/>
              </w:rPr>
              <w:t>（μg/m</w:t>
            </w:r>
            <w:r>
              <w:rPr>
                <w:rFonts w:hint="eastAsia" w:ascii="宋体" w:hAnsi="宋体" w:cs="宋体"/>
                <w:szCs w:val="21"/>
                <w:vertAlign w:val="superscript"/>
              </w:rPr>
              <w:t>3</w:t>
            </w:r>
            <w:r>
              <w:rPr>
                <w:rFonts w:hint="eastAsia" w:ascii="宋体" w:hAnsi="宋体" w:cs="宋体"/>
                <w:szCs w:val="21"/>
              </w:rPr>
              <w:t>）</w:t>
            </w:r>
          </w:p>
        </w:tc>
        <w:tc>
          <w:tcPr>
            <w:tcW w:w="1134" w:type="dxa"/>
            <w:vAlign w:val="center"/>
          </w:tcPr>
          <w:p w14:paraId="4F215E93">
            <w:pPr>
              <w:spacing w:line="300" w:lineRule="exact"/>
              <w:jc w:val="center"/>
              <w:rPr>
                <w:rFonts w:hint="eastAsia" w:ascii="宋体" w:hAnsi="宋体" w:cs="宋体"/>
                <w:szCs w:val="21"/>
              </w:rPr>
            </w:pPr>
            <w:r>
              <w:rPr>
                <w:rFonts w:hint="eastAsia" w:ascii="宋体" w:hAnsi="宋体" w:cs="宋体"/>
                <w:szCs w:val="21"/>
              </w:rPr>
              <w:t>最大占标率（%）</w:t>
            </w:r>
          </w:p>
        </w:tc>
        <w:tc>
          <w:tcPr>
            <w:tcW w:w="988" w:type="dxa"/>
            <w:vAlign w:val="center"/>
          </w:tcPr>
          <w:p w14:paraId="4E360092">
            <w:pPr>
              <w:spacing w:line="300" w:lineRule="exact"/>
              <w:jc w:val="center"/>
              <w:rPr>
                <w:rFonts w:hint="eastAsia" w:ascii="宋体" w:hAnsi="宋体" w:cs="宋体"/>
                <w:szCs w:val="21"/>
              </w:rPr>
            </w:pPr>
            <w:r>
              <w:rPr>
                <w:rFonts w:hint="eastAsia" w:ascii="宋体" w:hAnsi="宋体" w:cs="宋体"/>
                <w:szCs w:val="21"/>
              </w:rPr>
              <w:t>达标</w:t>
            </w:r>
          </w:p>
          <w:p w14:paraId="08C0D2B5">
            <w:pPr>
              <w:spacing w:line="300" w:lineRule="exact"/>
              <w:jc w:val="center"/>
              <w:rPr>
                <w:rFonts w:hint="eastAsia" w:ascii="宋体" w:hAnsi="宋体" w:cs="宋体"/>
                <w:szCs w:val="21"/>
              </w:rPr>
            </w:pPr>
            <w:r>
              <w:rPr>
                <w:rFonts w:hint="eastAsia" w:ascii="宋体" w:hAnsi="宋体" w:cs="宋体"/>
                <w:szCs w:val="21"/>
              </w:rPr>
              <w:t>情况</w:t>
            </w:r>
          </w:p>
        </w:tc>
      </w:tr>
      <w:tr w14:paraId="37A22B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vAlign w:val="center"/>
          </w:tcPr>
          <w:p w14:paraId="4D75EDC4">
            <w:pPr>
              <w:spacing w:line="300" w:lineRule="exact"/>
              <w:jc w:val="center"/>
              <w:rPr>
                <w:rFonts w:hint="eastAsia" w:ascii="宋体" w:hAnsi="宋体"/>
                <w:szCs w:val="21"/>
              </w:rPr>
            </w:pPr>
            <w:r>
              <w:rPr>
                <w:rFonts w:hint="eastAsia" w:ascii="宋体" w:hAnsi="宋体"/>
                <w:szCs w:val="21"/>
              </w:rPr>
              <w:t>2021</w:t>
            </w:r>
          </w:p>
        </w:tc>
        <w:tc>
          <w:tcPr>
            <w:tcW w:w="1276" w:type="dxa"/>
            <w:vAlign w:val="center"/>
          </w:tcPr>
          <w:p w14:paraId="402F4A7A">
            <w:pPr>
              <w:spacing w:line="300" w:lineRule="exact"/>
              <w:jc w:val="center"/>
              <w:rPr>
                <w:rFonts w:hint="eastAsia" w:ascii="宋体" w:hAnsi="宋体" w:cs="宋体"/>
                <w:szCs w:val="21"/>
              </w:rPr>
            </w:pPr>
            <w:r>
              <w:rPr>
                <w:rFonts w:hint="eastAsia" w:ascii="宋体" w:hAnsi="宋体" w:cs="宋体"/>
                <w:szCs w:val="21"/>
              </w:rPr>
              <w:t>NMHC</w:t>
            </w:r>
          </w:p>
        </w:tc>
        <w:tc>
          <w:tcPr>
            <w:tcW w:w="1276" w:type="dxa"/>
            <w:vAlign w:val="center"/>
          </w:tcPr>
          <w:p w14:paraId="7148EEBA">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15FB4F8E">
            <w:pPr>
              <w:spacing w:line="300" w:lineRule="exact"/>
              <w:jc w:val="center"/>
              <w:rPr>
                <w:rFonts w:hint="eastAsia" w:ascii="宋体" w:hAnsi="宋体" w:cs="宋体"/>
                <w:szCs w:val="21"/>
              </w:rPr>
            </w:pPr>
            <w:r>
              <w:rPr>
                <w:rFonts w:hint="eastAsia" w:ascii="宋体" w:hAnsi="宋体" w:cs="宋体"/>
                <w:szCs w:val="21"/>
              </w:rPr>
              <w:t>2000</w:t>
            </w:r>
          </w:p>
        </w:tc>
        <w:tc>
          <w:tcPr>
            <w:tcW w:w="1418" w:type="dxa"/>
            <w:vAlign w:val="center"/>
          </w:tcPr>
          <w:p w14:paraId="6527C955">
            <w:pPr>
              <w:spacing w:line="300" w:lineRule="exact"/>
              <w:jc w:val="center"/>
              <w:rPr>
                <w:rFonts w:hint="eastAsia" w:ascii="宋体" w:hAnsi="宋体" w:cs="宋体"/>
                <w:szCs w:val="21"/>
              </w:rPr>
            </w:pPr>
            <w:r>
              <w:rPr>
                <w:rFonts w:hint="eastAsia" w:ascii="宋体" w:hAnsi="宋体" w:cs="宋体"/>
                <w:szCs w:val="21"/>
              </w:rPr>
              <w:t>950～1160</w:t>
            </w:r>
          </w:p>
        </w:tc>
        <w:tc>
          <w:tcPr>
            <w:tcW w:w="1134" w:type="dxa"/>
            <w:vAlign w:val="center"/>
          </w:tcPr>
          <w:p w14:paraId="4263BE69">
            <w:pPr>
              <w:spacing w:line="300" w:lineRule="exact"/>
              <w:jc w:val="center"/>
              <w:rPr>
                <w:rFonts w:hint="eastAsia" w:ascii="宋体" w:hAnsi="宋体" w:cs="宋体"/>
                <w:szCs w:val="21"/>
              </w:rPr>
            </w:pPr>
            <w:r>
              <w:rPr>
                <w:rFonts w:hint="eastAsia" w:ascii="宋体" w:hAnsi="宋体" w:cs="宋体"/>
                <w:szCs w:val="21"/>
              </w:rPr>
              <w:t>58</w:t>
            </w:r>
          </w:p>
        </w:tc>
        <w:tc>
          <w:tcPr>
            <w:tcW w:w="988" w:type="dxa"/>
            <w:vAlign w:val="center"/>
          </w:tcPr>
          <w:p w14:paraId="078C97A4">
            <w:pPr>
              <w:spacing w:line="300" w:lineRule="exact"/>
              <w:jc w:val="center"/>
              <w:rPr>
                <w:rFonts w:hint="eastAsia" w:ascii="宋体" w:hAnsi="宋体" w:cs="宋体"/>
                <w:szCs w:val="21"/>
              </w:rPr>
            </w:pPr>
            <w:r>
              <w:rPr>
                <w:rFonts w:hint="eastAsia" w:ascii="宋体" w:hAnsi="宋体" w:cs="宋体"/>
                <w:szCs w:val="21"/>
              </w:rPr>
              <w:t>达标</w:t>
            </w:r>
          </w:p>
        </w:tc>
      </w:tr>
      <w:tr w14:paraId="1158F2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vAlign w:val="center"/>
          </w:tcPr>
          <w:p w14:paraId="63741413">
            <w:pPr>
              <w:spacing w:line="300" w:lineRule="exact"/>
              <w:jc w:val="center"/>
              <w:rPr>
                <w:rFonts w:hint="eastAsia" w:ascii="宋体" w:hAnsi="宋体" w:cs="宋体"/>
                <w:szCs w:val="21"/>
              </w:rPr>
            </w:pPr>
          </w:p>
        </w:tc>
        <w:tc>
          <w:tcPr>
            <w:tcW w:w="1276" w:type="dxa"/>
            <w:vAlign w:val="center"/>
          </w:tcPr>
          <w:p w14:paraId="7732FBC2">
            <w:pPr>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1276" w:type="dxa"/>
            <w:vAlign w:val="center"/>
          </w:tcPr>
          <w:p w14:paraId="79F14007">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373244CE">
            <w:pPr>
              <w:spacing w:line="300" w:lineRule="exact"/>
              <w:jc w:val="center"/>
              <w:rPr>
                <w:rFonts w:hint="eastAsia" w:ascii="宋体" w:hAnsi="宋体" w:cs="宋体"/>
                <w:szCs w:val="21"/>
              </w:rPr>
            </w:pPr>
            <w:r>
              <w:rPr>
                <w:rFonts w:hint="eastAsia" w:ascii="宋体" w:hAnsi="宋体" w:cs="宋体"/>
                <w:szCs w:val="21"/>
              </w:rPr>
              <w:t>10</w:t>
            </w:r>
          </w:p>
        </w:tc>
        <w:tc>
          <w:tcPr>
            <w:tcW w:w="1418" w:type="dxa"/>
            <w:vAlign w:val="center"/>
          </w:tcPr>
          <w:p w14:paraId="1E865AD8">
            <w:pPr>
              <w:spacing w:line="300" w:lineRule="exact"/>
              <w:jc w:val="center"/>
              <w:rPr>
                <w:rFonts w:hint="eastAsia" w:ascii="宋体" w:hAnsi="宋体" w:cs="宋体"/>
                <w:szCs w:val="21"/>
              </w:rPr>
            </w:pPr>
            <w:r>
              <w:rPr>
                <w:rFonts w:hint="eastAsia" w:ascii="宋体" w:hAnsi="宋体" w:cs="宋体"/>
                <w:szCs w:val="21"/>
              </w:rPr>
              <w:t>ND</w:t>
            </w:r>
          </w:p>
        </w:tc>
        <w:tc>
          <w:tcPr>
            <w:tcW w:w="1134" w:type="dxa"/>
            <w:vAlign w:val="center"/>
          </w:tcPr>
          <w:p w14:paraId="2357D94D">
            <w:pPr>
              <w:spacing w:line="300" w:lineRule="exact"/>
              <w:jc w:val="center"/>
              <w:rPr>
                <w:rFonts w:hint="eastAsia" w:ascii="宋体" w:hAnsi="宋体" w:cs="宋体"/>
                <w:szCs w:val="21"/>
              </w:rPr>
            </w:pPr>
            <w:r>
              <w:rPr>
                <w:rFonts w:hint="eastAsia" w:ascii="宋体" w:hAnsi="宋体" w:cs="宋体"/>
                <w:szCs w:val="21"/>
              </w:rPr>
              <w:t>/</w:t>
            </w:r>
          </w:p>
        </w:tc>
        <w:tc>
          <w:tcPr>
            <w:tcW w:w="988" w:type="dxa"/>
            <w:vAlign w:val="center"/>
          </w:tcPr>
          <w:p w14:paraId="7C3827BA">
            <w:pPr>
              <w:spacing w:line="300" w:lineRule="exact"/>
              <w:jc w:val="center"/>
              <w:rPr>
                <w:rFonts w:hint="eastAsia" w:ascii="宋体" w:hAnsi="宋体" w:cs="宋体"/>
                <w:szCs w:val="21"/>
              </w:rPr>
            </w:pPr>
            <w:r>
              <w:rPr>
                <w:rFonts w:hint="eastAsia" w:ascii="宋体" w:hAnsi="宋体" w:cs="宋体"/>
                <w:szCs w:val="21"/>
              </w:rPr>
              <w:t>达标</w:t>
            </w:r>
          </w:p>
        </w:tc>
      </w:tr>
      <w:tr w14:paraId="3A9ACF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vAlign w:val="center"/>
          </w:tcPr>
          <w:p w14:paraId="1C646944">
            <w:pPr>
              <w:spacing w:line="300" w:lineRule="exact"/>
              <w:jc w:val="center"/>
              <w:rPr>
                <w:rFonts w:hint="eastAsia" w:ascii="宋体" w:hAnsi="宋体" w:cs="宋体"/>
                <w:szCs w:val="21"/>
              </w:rPr>
            </w:pPr>
            <w:r>
              <w:rPr>
                <w:rFonts w:hint="eastAsia" w:ascii="宋体" w:hAnsi="宋体" w:cs="宋体"/>
                <w:szCs w:val="21"/>
              </w:rPr>
              <w:t>2022</w:t>
            </w:r>
          </w:p>
        </w:tc>
        <w:tc>
          <w:tcPr>
            <w:tcW w:w="1276" w:type="dxa"/>
            <w:vAlign w:val="center"/>
          </w:tcPr>
          <w:p w14:paraId="5327292C">
            <w:pPr>
              <w:spacing w:line="300" w:lineRule="exact"/>
              <w:jc w:val="center"/>
              <w:rPr>
                <w:rFonts w:hint="eastAsia" w:ascii="宋体" w:hAnsi="宋体" w:cs="宋体"/>
                <w:szCs w:val="21"/>
              </w:rPr>
            </w:pPr>
            <w:r>
              <w:rPr>
                <w:rFonts w:hint="eastAsia" w:ascii="宋体" w:hAnsi="宋体" w:cs="宋体"/>
                <w:szCs w:val="21"/>
              </w:rPr>
              <w:t>NMHC</w:t>
            </w:r>
          </w:p>
        </w:tc>
        <w:tc>
          <w:tcPr>
            <w:tcW w:w="1276" w:type="dxa"/>
            <w:vAlign w:val="center"/>
          </w:tcPr>
          <w:p w14:paraId="2063642A">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2006574E">
            <w:pPr>
              <w:spacing w:line="300" w:lineRule="exact"/>
              <w:jc w:val="center"/>
              <w:rPr>
                <w:rFonts w:hint="eastAsia" w:ascii="宋体" w:hAnsi="宋体" w:cs="宋体"/>
                <w:szCs w:val="21"/>
              </w:rPr>
            </w:pPr>
            <w:r>
              <w:rPr>
                <w:rFonts w:hint="eastAsia" w:ascii="宋体" w:hAnsi="宋体" w:cs="宋体"/>
                <w:szCs w:val="21"/>
              </w:rPr>
              <w:t>2000</w:t>
            </w:r>
          </w:p>
        </w:tc>
        <w:tc>
          <w:tcPr>
            <w:tcW w:w="1418" w:type="dxa"/>
            <w:vAlign w:val="center"/>
          </w:tcPr>
          <w:p w14:paraId="2E502015">
            <w:pPr>
              <w:spacing w:line="300" w:lineRule="exact"/>
              <w:jc w:val="center"/>
              <w:rPr>
                <w:rFonts w:hint="eastAsia" w:ascii="宋体" w:hAnsi="宋体" w:cs="宋体"/>
                <w:szCs w:val="21"/>
              </w:rPr>
            </w:pPr>
            <w:r>
              <w:rPr>
                <w:rFonts w:hint="eastAsia" w:ascii="宋体" w:hAnsi="宋体" w:cs="宋体"/>
                <w:szCs w:val="21"/>
              </w:rPr>
              <w:t>480～760</w:t>
            </w:r>
          </w:p>
        </w:tc>
        <w:tc>
          <w:tcPr>
            <w:tcW w:w="1134" w:type="dxa"/>
            <w:vAlign w:val="center"/>
          </w:tcPr>
          <w:p w14:paraId="52EB89D0">
            <w:pPr>
              <w:spacing w:line="300" w:lineRule="exact"/>
              <w:jc w:val="center"/>
              <w:rPr>
                <w:rFonts w:hint="eastAsia" w:ascii="宋体" w:hAnsi="宋体" w:cs="宋体"/>
                <w:szCs w:val="21"/>
              </w:rPr>
            </w:pPr>
            <w:r>
              <w:rPr>
                <w:rFonts w:hint="eastAsia" w:ascii="宋体" w:hAnsi="宋体" w:cs="宋体"/>
                <w:szCs w:val="21"/>
              </w:rPr>
              <w:t>38</w:t>
            </w:r>
          </w:p>
        </w:tc>
        <w:tc>
          <w:tcPr>
            <w:tcW w:w="988" w:type="dxa"/>
            <w:vAlign w:val="center"/>
          </w:tcPr>
          <w:p w14:paraId="3112D5A4">
            <w:pPr>
              <w:spacing w:line="300" w:lineRule="exact"/>
              <w:jc w:val="center"/>
              <w:rPr>
                <w:rFonts w:hint="eastAsia" w:ascii="宋体" w:hAnsi="宋体" w:cs="宋体"/>
                <w:szCs w:val="21"/>
              </w:rPr>
            </w:pPr>
            <w:r>
              <w:rPr>
                <w:rFonts w:hint="eastAsia" w:ascii="宋体" w:hAnsi="宋体" w:cs="宋体"/>
                <w:szCs w:val="21"/>
              </w:rPr>
              <w:t>达标</w:t>
            </w:r>
          </w:p>
        </w:tc>
      </w:tr>
      <w:tr w14:paraId="3DEF2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vAlign w:val="center"/>
          </w:tcPr>
          <w:p w14:paraId="601E8E58">
            <w:pPr>
              <w:spacing w:line="300" w:lineRule="exact"/>
              <w:jc w:val="center"/>
              <w:rPr>
                <w:rFonts w:hint="eastAsia" w:ascii="宋体" w:hAnsi="宋体" w:cs="宋体"/>
                <w:szCs w:val="21"/>
              </w:rPr>
            </w:pPr>
          </w:p>
        </w:tc>
        <w:tc>
          <w:tcPr>
            <w:tcW w:w="1276" w:type="dxa"/>
            <w:vAlign w:val="center"/>
          </w:tcPr>
          <w:p w14:paraId="0F47A608">
            <w:pPr>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1276" w:type="dxa"/>
            <w:vAlign w:val="center"/>
          </w:tcPr>
          <w:p w14:paraId="4AB92F23">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3D522E54">
            <w:pPr>
              <w:spacing w:line="300" w:lineRule="exact"/>
              <w:jc w:val="center"/>
              <w:rPr>
                <w:rFonts w:hint="eastAsia" w:ascii="宋体" w:hAnsi="宋体" w:cs="宋体"/>
                <w:szCs w:val="21"/>
              </w:rPr>
            </w:pPr>
            <w:r>
              <w:rPr>
                <w:rFonts w:hint="eastAsia" w:ascii="宋体" w:hAnsi="宋体" w:cs="宋体"/>
                <w:szCs w:val="21"/>
              </w:rPr>
              <w:t>10</w:t>
            </w:r>
          </w:p>
        </w:tc>
        <w:tc>
          <w:tcPr>
            <w:tcW w:w="1418" w:type="dxa"/>
            <w:vAlign w:val="center"/>
          </w:tcPr>
          <w:p w14:paraId="14C8137A">
            <w:pPr>
              <w:spacing w:line="300" w:lineRule="exact"/>
              <w:jc w:val="center"/>
              <w:rPr>
                <w:rFonts w:hint="eastAsia" w:ascii="宋体" w:hAnsi="宋体" w:cs="宋体"/>
                <w:szCs w:val="21"/>
              </w:rPr>
            </w:pPr>
            <w:r>
              <w:rPr>
                <w:rFonts w:hint="eastAsia" w:ascii="宋体" w:hAnsi="宋体" w:cs="宋体"/>
                <w:szCs w:val="21"/>
              </w:rPr>
              <w:t>ND～7</w:t>
            </w:r>
          </w:p>
        </w:tc>
        <w:tc>
          <w:tcPr>
            <w:tcW w:w="1134" w:type="dxa"/>
            <w:vAlign w:val="center"/>
          </w:tcPr>
          <w:p w14:paraId="5A9FE352">
            <w:pPr>
              <w:spacing w:line="300" w:lineRule="exact"/>
              <w:jc w:val="center"/>
              <w:rPr>
                <w:rFonts w:hint="eastAsia" w:ascii="宋体" w:hAnsi="宋体" w:cs="宋体"/>
                <w:szCs w:val="21"/>
              </w:rPr>
            </w:pPr>
            <w:r>
              <w:rPr>
                <w:rFonts w:hint="eastAsia" w:ascii="宋体" w:hAnsi="宋体" w:cs="宋体"/>
                <w:szCs w:val="21"/>
              </w:rPr>
              <w:t>70</w:t>
            </w:r>
          </w:p>
        </w:tc>
        <w:tc>
          <w:tcPr>
            <w:tcW w:w="988" w:type="dxa"/>
            <w:vAlign w:val="center"/>
          </w:tcPr>
          <w:p w14:paraId="42E09CE0">
            <w:pPr>
              <w:spacing w:line="300" w:lineRule="exact"/>
              <w:jc w:val="center"/>
              <w:rPr>
                <w:rFonts w:hint="eastAsia" w:ascii="宋体" w:hAnsi="宋体" w:cs="宋体"/>
                <w:szCs w:val="21"/>
              </w:rPr>
            </w:pPr>
            <w:r>
              <w:rPr>
                <w:rFonts w:hint="eastAsia" w:ascii="宋体" w:hAnsi="宋体" w:cs="宋体"/>
                <w:szCs w:val="21"/>
              </w:rPr>
              <w:t>达标</w:t>
            </w:r>
          </w:p>
        </w:tc>
      </w:tr>
      <w:tr w14:paraId="62A73B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vAlign w:val="center"/>
          </w:tcPr>
          <w:p w14:paraId="19B63B02">
            <w:pPr>
              <w:spacing w:line="300" w:lineRule="exact"/>
              <w:jc w:val="center"/>
              <w:rPr>
                <w:rFonts w:hint="eastAsia" w:ascii="宋体" w:hAnsi="宋体" w:cs="宋体"/>
                <w:szCs w:val="21"/>
              </w:rPr>
            </w:pPr>
            <w:r>
              <w:rPr>
                <w:rFonts w:hint="eastAsia" w:ascii="宋体" w:hAnsi="宋体" w:cs="宋体"/>
                <w:szCs w:val="21"/>
              </w:rPr>
              <w:t>2024</w:t>
            </w:r>
          </w:p>
        </w:tc>
        <w:tc>
          <w:tcPr>
            <w:tcW w:w="1276" w:type="dxa"/>
            <w:vAlign w:val="center"/>
          </w:tcPr>
          <w:p w14:paraId="7F026ED3">
            <w:pPr>
              <w:spacing w:line="300" w:lineRule="exact"/>
              <w:jc w:val="center"/>
              <w:rPr>
                <w:rFonts w:hint="eastAsia" w:ascii="宋体" w:hAnsi="宋体" w:cs="宋体"/>
                <w:szCs w:val="21"/>
              </w:rPr>
            </w:pPr>
            <w:r>
              <w:rPr>
                <w:rFonts w:hint="eastAsia" w:ascii="宋体" w:hAnsi="宋体" w:cs="宋体"/>
                <w:szCs w:val="21"/>
              </w:rPr>
              <w:t>NMHC</w:t>
            </w:r>
          </w:p>
        </w:tc>
        <w:tc>
          <w:tcPr>
            <w:tcW w:w="1276" w:type="dxa"/>
            <w:vAlign w:val="center"/>
          </w:tcPr>
          <w:p w14:paraId="1B629036">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2F432F53">
            <w:pPr>
              <w:spacing w:line="300" w:lineRule="exact"/>
              <w:jc w:val="center"/>
              <w:rPr>
                <w:rFonts w:hint="eastAsia" w:ascii="宋体" w:hAnsi="宋体" w:cs="宋体"/>
                <w:szCs w:val="21"/>
              </w:rPr>
            </w:pPr>
            <w:r>
              <w:rPr>
                <w:rFonts w:hint="eastAsia" w:ascii="宋体" w:hAnsi="宋体" w:cs="宋体"/>
                <w:szCs w:val="21"/>
              </w:rPr>
              <w:t>2000</w:t>
            </w:r>
          </w:p>
        </w:tc>
        <w:tc>
          <w:tcPr>
            <w:tcW w:w="1418" w:type="dxa"/>
            <w:vAlign w:val="center"/>
          </w:tcPr>
          <w:p w14:paraId="3F7B5679">
            <w:pPr>
              <w:spacing w:line="300" w:lineRule="exact"/>
              <w:jc w:val="center"/>
              <w:rPr>
                <w:rFonts w:hint="eastAsia" w:ascii="宋体" w:hAnsi="宋体" w:cs="宋体"/>
                <w:szCs w:val="21"/>
              </w:rPr>
            </w:pPr>
            <w:r>
              <w:rPr>
                <w:rFonts w:hint="eastAsia" w:ascii="宋体" w:hAnsi="宋体" w:cs="宋体"/>
                <w:szCs w:val="21"/>
              </w:rPr>
              <w:t>820～1240</w:t>
            </w:r>
          </w:p>
        </w:tc>
        <w:tc>
          <w:tcPr>
            <w:tcW w:w="1134" w:type="dxa"/>
            <w:vAlign w:val="center"/>
          </w:tcPr>
          <w:p w14:paraId="79B13932">
            <w:pPr>
              <w:spacing w:line="300" w:lineRule="exact"/>
              <w:jc w:val="center"/>
              <w:rPr>
                <w:rFonts w:hint="eastAsia" w:ascii="宋体" w:hAnsi="宋体" w:cs="宋体"/>
                <w:szCs w:val="21"/>
              </w:rPr>
            </w:pPr>
            <w:r>
              <w:rPr>
                <w:rFonts w:hint="eastAsia" w:ascii="宋体" w:hAnsi="宋体" w:cs="宋体"/>
                <w:szCs w:val="21"/>
              </w:rPr>
              <w:t>62</w:t>
            </w:r>
          </w:p>
        </w:tc>
        <w:tc>
          <w:tcPr>
            <w:tcW w:w="988" w:type="dxa"/>
            <w:vAlign w:val="center"/>
          </w:tcPr>
          <w:p w14:paraId="1EEC19D1">
            <w:pPr>
              <w:spacing w:line="300" w:lineRule="exact"/>
              <w:jc w:val="center"/>
              <w:rPr>
                <w:rFonts w:hint="eastAsia" w:ascii="宋体" w:hAnsi="宋体" w:cs="宋体"/>
                <w:szCs w:val="21"/>
              </w:rPr>
            </w:pPr>
            <w:r>
              <w:rPr>
                <w:rFonts w:hint="eastAsia" w:ascii="宋体" w:hAnsi="宋体" w:cs="宋体"/>
                <w:szCs w:val="21"/>
              </w:rPr>
              <w:t>达标</w:t>
            </w:r>
          </w:p>
        </w:tc>
      </w:tr>
      <w:tr w14:paraId="1C6FA7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vAlign w:val="center"/>
          </w:tcPr>
          <w:p w14:paraId="4491FAB4">
            <w:pPr>
              <w:spacing w:line="300" w:lineRule="exact"/>
              <w:jc w:val="center"/>
              <w:rPr>
                <w:rFonts w:hint="eastAsia" w:ascii="宋体" w:hAnsi="宋体" w:cs="宋体"/>
                <w:szCs w:val="21"/>
              </w:rPr>
            </w:pPr>
          </w:p>
        </w:tc>
        <w:tc>
          <w:tcPr>
            <w:tcW w:w="1276" w:type="dxa"/>
            <w:vAlign w:val="center"/>
          </w:tcPr>
          <w:p w14:paraId="2F4BAB13">
            <w:pPr>
              <w:spacing w:line="300" w:lineRule="exact"/>
              <w:jc w:val="center"/>
              <w:rPr>
                <w:rFonts w:hint="eastAsia" w:ascii="宋体" w:hAnsi="宋体" w:cs="宋体"/>
                <w:szCs w:val="21"/>
              </w:rPr>
            </w:pPr>
            <w:r>
              <w:rPr>
                <w:rFonts w:hint="eastAsia" w:ascii="宋体" w:hAnsi="宋体" w:cs="宋体"/>
                <w:szCs w:val="21"/>
              </w:rPr>
              <w:t>H</w:t>
            </w:r>
            <w:r>
              <w:rPr>
                <w:rFonts w:hint="eastAsia" w:ascii="宋体" w:hAnsi="宋体" w:cs="宋体"/>
                <w:szCs w:val="21"/>
                <w:vertAlign w:val="subscript"/>
              </w:rPr>
              <w:t>2</w:t>
            </w:r>
            <w:r>
              <w:rPr>
                <w:rFonts w:hint="eastAsia" w:ascii="宋体" w:hAnsi="宋体" w:cs="宋体"/>
                <w:szCs w:val="21"/>
              </w:rPr>
              <w:t>S</w:t>
            </w:r>
          </w:p>
        </w:tc>
        <w:tc>
          <w:tcPr>
            <w:tcW w:w="1276" w:type="dxa"/>
            <w:vAlign w:val="center"/>
          </w:tcPr>
          <w:p w14:paraId="04EED006">
            <w:pPr>
              <w:spacing w:line="300" w:lineRule="exact"/>
              <w:jc w:val="center"/>
              <w:rPr>
                <w:rFonts w:hint="eastAsia" w:ascii="宋体" w:hAnsi="宋体" w:cs="宋体"/>
                <w:szCs w:val="21"/>
              </w:rPr>
            </w:pPr>
            <w:r>
              <w:rPr>
                <w:rFonts w:hint="eastAsia" w:ascii="宋体" w:hAnsi="宋体" w:cs="宋体"/>
                <w:szCs w:val="21"/>
              </w:rPr>
              <w:t>一次值</w:t>
            </w:r>
          </w:p>
        </w:tc>
        <w:tc>
          <w:tcPr>
            <w:tcW w:w="1417" w:type="dxa"/>
            <w:vAlign w:val="center"/>
          </w:tcPr>
          <w:p w14:paraId="58AF1AAB">
            <w:pPr>
              <w:spacing w:line="300" w:lineRule="exact"/>
              <w:jc w:val="center"/>
              <w:rPr>
                <w:rFonts w:hint="eastAsia" w:ascii="宋体" w:hAnsi="宋体" w:cs="宋体"/>
                <w:szCs w:val="21"/>
              </w:rPr>
            </w:pPr>
            <w:r>
              <w:rPr>
                <w:rFonts w:hint="eastAsia" w:ascii="宋体" w:hAnsi="宋体" w:cs="宋体"/>
                <w:szCs w:val="21"/>
              </w:rPr>
              <w:t>10</w:t>
            </w:r>
          </w:p>
        </w:tc>
        <w:tc>
          <w:tcPr>
            <w:tcW w:w="1418" w:type="dxa"/>
            <w:vAlign w:val="center"/>
          </w:tcPr>
          <w:p w14:paraId="509EFD91">
            <w:pPr>
              <w:spacing w:line="300" w:lineRule="exact"/>
              <w:jc w:val="center"/>
              <w:rPr>
                <w:rFonts w:hint="eastAsia" w:ascii="宋体" w:hAnsi="宋体" w:cs="宋体"/>
                <w:szCs w:val="21"/>
              </w:rPr>
            </w:pPr>
            <w:r>
              <w:rPr>
                <w:rFonts w:hint="eastAsia" w:ascii="宋体" w:hAnsi="宋体" w:cs="宋体"/>
                <w:szCs w:val="21"/>
              </w:rPr>
              <w:t>ND</w:t>
            </w:r>
          </w:p>
        </w:tc>
        <w:tc>
          <w:tcPr>
            <w:tcW w:w="1134" w:type="dxa"/>
            <w:vAlign w:val="center"/>
          </w:tcPr>
          <w:p w14:paraId="7E728FA5">
            <w:pPr>
              <w:spacing w:line="300" w:lineRule="exact"/>
              <w:jc w:val="center"/>
              <w:rPr>
                <w:rFonts w:hint="eastAsia" w:ascii="宋体" w:hAnsi="宋体" w:cs="宋体"/>
                <w:szCs w:val="21"/>
              </w:rPr>
            </w:pPr>
            <w:r>
              <w:rPr>
                <w:rFonts w:hint="eastAsia" w:ascii="宋体" w:hAnsi="宋体" w:cs="宋体"/>
                <w:szCs w:val="21"/>
              </w:rPr>
              <w:t>/</w:t>
            </w:r>
          </w:p>
        </w:tc>
        <w:tc>
          <w:tcPr>
            <w:tcW w:w="988" w:type="dxa"/>
            <w:vAlign w:val="center"/>
          </w:tcPr>
          <w:p w14:paraId="0BFDA355">
            <w:pPr>
              <w:spacing w:line="300" w:lineRule="exact"/>
              <w:jc w:val="center"/>
              <w:rPr>
                <w:rFonts w:hint="eastAsia" w:ascii="宋体" w:hAnsi="宋体" w:cs="宋体"/>
                <w:szCs w:val="21"/>
              </w:rPr>
            </w:pPr>
            <w:r>
              <w:rPr>
                <w:rFonts w:hint="eastAsia" w:ascii="宋体" w:hAnsi="宋体" w:cs="宋体"/>
                <w:szCs w:val="21"/>
              </w:rPr>
              <w:t>达标</w:t>
            </w:r>
          </w:p>
        </w:tc>
      </w:tr>
    </w:tbl>
    <w:p w14:paraId="0268A040">
      <w:pPr>
        <w:pStyle w:val="117"/>
        <w:spacing w:line="480" w:lineRule="exact"/>
        <w:ind w:firstLine="480"/>
        <w:rPr>
          <w:rFonts w:hint="eastAsia"/>
        </w:rPr>
      </w:pPr>
      <w:r>
        <w:rPr>
          <w:rFonts w:hint="eastAsia"/>
        </w:rPr>
        <w:t>由表4.3-4可知，区域硫化氢浓度变化不大，非甲烷总烃浓度稍有增加。</w:t>
      </w:r>
    </w:p>
    <w:bookmarkEnd w:id="383"/>
    <w:p w14:paraId="6BA7A8F9">
      <w:pPr>
        <w:pStyle w:val="4"/>
        <w:rPr>
          <w:rFonts w:hint="eastAsia"/>
        </w:rPr>
      </w:pPr>
      <w:r>
        <w:rPr>
          <w:rFonts w:hint="eastAsia"/>
        </w:rPr>
        <w:t>水环境质量现状调查与评价</w:t>
      </w:r>
    </w:p>
    <w:p w14:paraId="1A0A379E">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项目区西南方向4.7km处有下新湖水库，运营期废水全部送至压裂返排液处理系统处理，处理达标后用于压裂液复配，不外排，与下新湖水库不发生水力联系，根据</w:t>
      </w:r>
      <w:r>
        <w:rPr>
          <w:rFonts w:ascii="宋体" w:hAnsi="宋体" w:cs="宋体"/>
          <w:kern w:val="0"/>
          <w:sz w:val="24"/>
          <w:szCs w:val="20"/>
          <w:lang w:bidi="ar"/>
        </w:rPr>
        <w:t>《环境影响评价技术导则  地表水环境》（HJ2.3-2018）</w:t>
      </w:r>
      <w:r>
        <w:rPr>
          <w:rFonts w:hint="eastAsia" w:ascii="宋体" w:hAnsi="宋体" w:cs="宋体"/>
          <w:kern w:val="0"/>
          <w:sz w:val="24"/>
          <w:szCs w:val="20"/>
          <w:lang w:bidi="ar"/>
        </w:rPr>
        <w:t>中的相关要求，</w:t>
      </w:r>
      <w:r>
        <w:rPr>
          <w:rFonts w:hint="eastAsia" w:ascii="宋体" w:hAnsi="宋体" w:cs="宋体"/>
          <w:sz w:val="24"/>
          <w:szCs w:val="24"/>
          <w:lang w:bidi="ar"/>
        </w:rPr>
        <w:t>地表水评价等级为三级B，</w:t>
      </w:r>
      <w:r>
        <w:rPr>
          <w:rFonts w:hint="eastAsia" w:ascii="宋体" w:hAnsi="宋体" w:cs="宋体"/>
          <w:kern w:val="0"/>
          <w:sz w:val="24"/>
          <w:szCs w:val="20"/>
          <w:lang w:bidi="ar"/>
        </w:rPr>
        <w:t>不</w:t>
      </w:r>
      <w:r>
        <w:rPr>
          <w:rFonts w:hint="eastAsia" w:ascii="宋体" w:hAnsi="宋体" w:cs="宋体"/>
          <w:sz w:val="24"/>
          <w:szCs w:val="24"/>
          <w:lang w:bidi="ar"/>
        </w:rPr>
        <w:t>需对地表水环境质量现状调查，本次仅对地下水环境质量现状进行调查和评价。</w:t>
      </w:r>
    </w:p>
    <w:p w14:paraId="635E8C3D">
      <w:pPr>
        <w:adjustRightInd w:val="0"/>
        <w:snapToGrid w:val="0"/>
        <w:spacing w:line="500" w:lineRule="exact"/>
        <w:ind w:firstLine="480" w:firstLineChars="200"/>
        <w:rPr>
          <w:rFonts w:hint="eastAsia" w:ascii="宋体" w:hAnsi="宋体" w:cs="宋体"/>
          <w:sz w:val="24"/>
          <w:szCs w:val="24"/>
          <w:lang w:bidi="ar"/>
        </w:rPr>
      </w:pPr>
      <w:bookmarkStart w:id="384" w:name="OLE_LINK173"/>
      <w:bookmarkStart w:id="385" w:name="_Hlk160376314"/>
      <w:r>
        <w:rPr>
          <w:rFonts w:hint="eastAsia" w:ascii="宋体" w:hAnsi="宋体" w:cs="宋体"/>
          <w:sz w:val="24"/>
          <w:szCs w:val="24"/>
          <w:lang w:bidi="ar"/>
        </w:rPr>
        <w:t>（1）数据来源</w:t>
      </w:r>
    </w:p>
    <w:p w14:paraId="3D36FC8B">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本次评价采用资料收集的方法来说明区域地下水环境质量现状，引用</w:t>
      </w:r>
      <w:bookmarkStart w:id="386" w:name="OLE_LINK98"/>
      <w:r>
        <w:rPr>
          <w:rFonts w:hint="eastAsia" w:ascii="宋体" w:hAnsi="宋体" w:cs="宋体"/>
          <w:sz w:val="24"/>
          <w:szCs w:val="24"/>
          <w:lang w:bidi="ar"/>
        </w:rPr>
        <w:t>《吉木萨尔凹陷芦草沟组页岩油J10054井区JHW69-11等13口井开发建设工程环境影响报告书》中5口地下水井的水质和水位监测数据，采样时间为2024年3月22日</w:t>
      </w:r>
      <w:bookmarkEnd w:id="386"/>
      <w:r>
        <w:rPr>
          <w:rFonts w:hint="eastAsia" w:ascii="宋体" w:hAnsi="宋体" w:cs="宋体"/>
          <w:sz w:val="24"/>
          <w:szCs w:val="24"/>
          <w:lang w:bidi="ar"/>
        </w:rPr>
        <w:t>；引用《吉康油田奇探1块二叠系芦草沟组夹层型页岩油开发先导试验方案环境影响报告书》中1口地下水井的监测数据，监测时间为2024年6月24日，监测单位为新疆天地鉴职业环境检测评价有限公司；引用《昌吉油田吉28块芦草沟组页岩油开发先导试验方案环境影响报告书》中4口地下水井的水位监测数据，监测时间为2022年1月3日，监测单位为新疆天熙环保科技有限公司。引用监测井位点位分布见图4.3-2</w:t>
      </w:r>
      <w:r>
        <w:rPr>
          <w:rFonts w:ascii="宋体" w:hAnsi="宋体" w:cs="宋体"/>
          <w:sz w:val="24"/>
          <w:szCs w:val="24"/>
          <w:lang w:bidi="ar"/>
        </w:rPr>
        <w:t>，</w:t>
      </w:r>
      <w:r>
        <w:rPr>
          <w:rFonts w:hint="eastAsia" w:ascii="宋体" w:hAnsi="宋体" w:cs="宋体"/>
          <w:sz w:val="24"/>
          <w:szCs w:val="24"/>
          <w:lang w:bidi="ar"/>
        </w:rPr>
        <w:t>各监测点位基本信息见表4.3-5。项目区</w:t>
      </w:r>
      <w:bookmarkStart w:id="387" w:name="OLE_LINK174"/>
      <w:r>
        <w:rPr>
          <w:rFonts w:hint="eastAsia" w:ascii="宋体" w:hAnsi="宋体" w:cs="宋体"/>
          <w:sz w:val="24"/>
          <w:lang w:bidi="ar"/>
        </w:rPr>
        <w:t>地下水流向为从南向北，</w:t>
      </w:r>
      <w:bookmarkEnd w:id="387"/>
      <w:r>
        <w:rPr>
          <w:rFonts w:hint="eastAsia" w:ascii="宋体" w:hAnsi="宋体" w:cs="宋体"/>
          <w:sz w:val="24"/>
          <w:szCs w:val="24"/>
          <w:lang w:bidi="ar"/>
        </w:rPr>
        <w:t>周边地下水监测井较少，本次引用的10口地下水监测井与项目区处于同一水文地质单元，</w:t>
      </w:r>
      <w:r>
        <w:rPr>
          <w:rFonts w:hint="eastAsia" w:ascii="宋体" w:hAnsi="宋体"/>
          <w:kern w:val="0"/>
          <w:sz w:val="24"/>
          <w:szCs w:val="24"/>
        </w:rPr>
        <w:t>地下水流场特征基本相同，项目区周边不存在地下水环境保护目标，监测时间、监测点位均</w:t>
      </w:r>
      <w:r>
        <w:rPr>
          <w:rFonts w:hint="eastAsia" w:ascii="宋体" w:hAnsi="宋体" w:cs="宋体"/>
          <w:sz w:val="24"/>
          <w:szCs w:val="24"/>
          <w:lang w:bidi="ar"/>
        </w:rPr>
        <w:t>可代表区域地下水环境质量现状，引用数据可行。</w:t>
      </w:r>
    </w:p>
    <w:p w14:paraId="0183280F">
      <w:pPr>
        <w:pStyle w:val="191"/>
        <w:ind w:firstLine="0" w:firstLineChars="0"/>
        <w:jc w:val="center"/>
        <w:rPr>
          <w:rFonts w:hint="eastAsia"/>
        </w:rPr>
      </w:pPr>
      <w:r>
        <w:rPr>
          <w:rFonts w:hint="eastAsia" w:ascii="黑体" w:hAnsi="黑体" w:eastAsia="黑体"/>
          <w:sz w:val="21"/>
          <w:szCs w:val="21"/>
        </w:rPr>
        <w:t>表</w:t>
      </w:r>
      <w:r>
        <w:rPr>
          <w:rFonts w:ascii="黑体" w:hAnsi="黑体" w:eastAsia="黑体"/>
          <w:sz w:val="21"/>
          <w:szCs w:val="21"/>
        </w:rPr>
        <w:t>4.3</w:t>
      </w:r>
      <w:r>
        <w:rPr>
          <w:rFonts w:hint="eastAsia" w:ascii="黑体" w:hAnsi="黑体" w:eastAsia="黑体"/>
          <w:sz w:val="21"/>
          <w:szCs w:val="21"/>
        </w:rPr>
        <w:t>-5</w:t>
      </w:r>
      <w:r>
        <w:rPr>
          <w:rFonts w:ascii="黑体" w:hAnsi="黑体" w:eastAsia="黑体"/>
          <w:sz w:val="21"/>
          <w:szCs w:val="21"/>
        </w:rPr>
        <w:t xml:space="preserve">  </w:t>
      </w:r>
      <w:r>
        <w:rPr>
          <w:rFonts w:hint="eastAsia" w:ascii="黑体" w:hAnsi="黑体" w:eastAsia="黑体"/>
          <w:sz w:val="21"/>
          <w:szCs w:val="21"/>
        </w:rPr>
        <w:t>地下水监测坐标一览表</w:t>
      </w:r>
    </w:p>
    <w:tbl>
      <w:tblPr>
        <w:tblStyle w:val="5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790"/>
        <w:gridCol w:w="794"/>
        <w:gridCol w:w="594"/>
        <w:gridCol w:w="1500"/>
        <w:gridCol w:w="1701"/>
        <w:gridCol w:w="992"/>
        <w:gridCol w:w="566"/>
        <w:gridCol w:w="793"/>
      </w:tblGrid>
      <w:tr w14:paraId="56EA57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restart"/>
            <w:vAlign w:val="center"/>
          </w:tcPr>
          <w:p w14:paraId="1FA46679">
            <w:pPr>
              <w:pStyle w:val="278"/>
              <w:autoSpaceDE w:val="0"/>
              <w:autoSpaceDN w:val="0"/>
              <w:rPr>
                <w:rFonts w:hint="eastAsia" w:cs="宋体"/>
              </w:rPr>
            </w:pPr>
            <w:r>
              <w:rPr>
                <w:rFonts w:hint="eastAsia" w:cs="宋体"/>
              </w:rPr>
              <w:t>数据来源</w:t>
            </w:r>
          </w:p>
        </w:tc>
        <w:tc>
          <w:tcPr>
            <w:tcW w:w="455" w:type="pct"/>
            <w:vMerge w:val="restart"/>
            <w:vAlign w:val="center"/>
          </w:tcPr>
          <w:p w14:paraId="00FBEB15">
            <w:pPr>
              <w:pStyle w:val="278"/>
              <w:autoSpaceDE w:val="0"/>
              <w:autoSpaceDN w:val="0"/>
              <w:rPr>
                <w:rFonts w:hint="eastAsia" w:cs="宋体"/>
              </w:rPr>
            </w:pPr>
            <w:r>
              <w:rPr>
                <w:rFonts w:hint="eastAsia" w:cs="宋体"/>
              </w:rPr>
              <w:t>原报告编号</w:t>
            </w:r>
          </w:p>
        </w:tc>
        <w:tc>
          <w:tcPr>
            <w:tcW w:w="340" w:type="pct"/>
            <w:vMerge w:val="restart"/>
            <w:vAlign w:val="center"/>
          </w:tcPr>
          <w:p w14:paraId="5B76294E">
            <w:pPr>
              <w:pStyle w:val="278"/>
              <w:autoSpaceDE w:val="0"/>
              <w:autoSpaceDN w:val="0"/>
              <w:rPr>
                <w:rFonts w:hint="eastAsia" w:cs="宋体"/>
              </w:rPr>
            </w:pPr>
            <w:r>
              <w:rPr>
                <w:rFonts w:hint="eastAsia" w:cs="宋体"/>
              </w:rPr>
              <w:t>编号</w:t>
            </w:r>
          </w:p>
        </w:tc>
        <w:tc>
          <w:tcPr>
            <w:tcW w:w="1833" w:type="pct"/>
            <w:gridSpan w:val="2"/>
            <w:vAlign w:val="center"/>
          </w:tcPr>
          <w:p w14:paraId="5F1B7F06">
            <w:pPr>
              <w:pStyle w:val="278"/>
              <w:autoSpaceDE w:val="0"/>
              <w:autoSpaceDN w:val="0"/>
              <w:rPr>
                <w:rFonts w:hint="eastAsia" w:cs="宋体"/>
              </w:rPr>
            </w:pPr>
            <w:r>
              <w:rPr>
                <w:rFonts w:hint="eastAsia" w:cs="宋体"/>
              </w:rPr>
              <w:t>坐标</w:t>
            </w:r>
          </w:p>
        </w:tc>
        <w:tc>
          <w:tcPr>
            <w:tcW w:w="568" w:type="pct"/>
            <w:vMerge w:val="restart"/>
            <w:vAlign w:val="center"/>
          </w:tcPr>
          <w:p w14:paraId="3CE4E32B">
            <w:pPr>
              <w:pStyle w:val="278"/>
              <w:autoSpaceDE w:val="0"/>
              <w:autoSpaceDN w:val="0"/>
              <w:rPr>
                <w:rFonts w:hint="eastAsia" w:cs="宋体"/>
              </w:rPr>
            </w:pPr>
            <w:r>
              <w:rPr>
                <w:rFonts w:hint="eastAsia" w:cs="宋体"/>
              </w:rPr>
              <w:t>水位（m）</w:t>
            </w:r>
          </w:p>
        </w:tc>
        <w:tc>
          <w:tcPr>
            <w:tcW w:w="324" w:type="pct"/>
            <w:vMerge w:val="restart"/>
            <w:vAlign w:val="center"/>
          </w:tcPr>
          <w:p w14:paraId="33EBC83B">
            <w:pPr>
              <w:pStyle w:val="278"/>
              <w:autoSpaceDE w:val="0"/>
              <w:autoSpaceDN w:val="0"/>
              <w:rPr>
                <w:rFonts w:hint="eastAsia" w:cs="宋体"/>
              </w:rPr>
            </w:pPr>
            <w:r>
              <w:rPr>
                <w:rFonts w:hint="eastAsia" w:cs="宋体"/>
              </w:rPr>
              <w:t>水井功能</w:t>
            </w:r>
          </w:p>
        </w:tc>
        <w:tc>
          <w:tcPr>
            <w:tcW w:w="454" w:type="pct"/>
            <w:vMerge w:val="restart"/>
            <w:vAlign w:val="center"/>
          </w:tcPr>
          <w:p w14:paraId="776D5094">
            <w:pPr>
              <w:pStyle w:val="278"/>
              <w:autoSpaceDE w:val="0"/>
              <w:autoSpaceDN w:val="0"/>
              <w:rPr>
                <w:rFonts w:hint="eastAsia" w:cs="宋体"/>
              </w:rPr>
            </w:pPr>
            <w:r>
              <w:rPr>
                <w:rFonts w:hint="eastAsia" w:cs="宋体"/>
              </w:rPr>
              <w:t>层位</w:t>
            </w:r>
          </w:p>
        </w:tc>
      </w:tr>
      <w:tr w14:paraId="1ED888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7732122F">
            <w:pPr>
              <w:pStyle w:val="278"/>
              <w:autoSpaceDE w:val="0"/>
              <w:autoSpaceDN w:val="0"/>
              <w:rPr>
                <w:rFonts w:hint="eastAsia" w:cs="宋体"/>
              </w:rPr>
            </w:pPr>
          </w:p>
        </w:tc>
        <w:tc>
          <w:tcPr>
            <w:tcW w:w="455" w:type="pct"/>
            <w:vMerge w:val="continue"/>
            <w:vAlign w:val="center"/>
          </w:tcPr>
          <w:p w14:paraId="56F097D3">
            <w:pPr>
              <w:pStyle w:val="278"/>
              <w:autoSpaceDE w:val="0"/>
              <w:autoSpaceDN w:val="0"/>
              <w:rPr>
                <w:rFonts w:hint="eastAsia" w:cs="宋体"/>
              </w:rPr>
            </w:pPr>
          </w:p>
        </w:tc>
        <w:tc>
          <w:tcPr>
            <w:tcW w:w="340" w:type="pct"/>
            <w:vMerge w:val="continue"/>
            <w:vAlign w:val="center"/>
          </w:tcPr>
          <w:p w14:paraId="66FD5224">
            <w:pPr>
              <w:pStyle w:val="278"/>
              <w:autoSpaceDE w:val="0"/>
              <w:autoSpaceDN w:val="0"/>
              <w:rPr>
                <w:rFonts w:hint="eastAsia" w:cs="宋体"/>
              </w:rPr>
            </w:pPr>
          </w:p>
        </w:tc>
        <w:tc>
          <w:tcPr>
            <w:tcW w:w="859" w:type="pct"/>
            <w:vAlign w:val="center"/>
          </w:tcPr>
          <w:p w14:paraId="1F451CC7">
            <w:pPr>
              <w:pStyle w:val="532"/>
              <w:rPr>
                <w:rFonts w:hint="eastAsia" w:ascii="宋体" w:eastAsia="宋体" w:cs="宋体"/>
              </w:rPr>
            </w:pPr>
            <w:r>
              <w:rPr>
                <w:rFonts w:hint="eastAsia" w:ascii="宋体" w:eastAsia="宋体" w:cs="宋体"/>
              </w:rPr>
              <w:t>北纬</w:t>
            </w:r>
          </w:p>
        </w:tc>
        <w:tc>
          <w:tcPr>
            <w:tcW w:w="974" w:type="pct"/>
            <w:vAlign w:val="center"/>
          </w:tcPr>
          <w:p w14:paraId="396DAEC6">
            <w:pPr>
              <w:pStyle w:val="532"/>
              <w:rPr>
                <w:rFonts w:hint="eastAsia" w:ascii="宋体" w:eastAsia="宋体" w:cs="宋体"/>
              </w:rPr>
            </w:pPr>
            <w:r>
              <w:rPr>
                <w:rFonts w:hint="eastAsia" w:ascii="宋体" w:eastAsia="宋体" w:cs="宋体"/>
              </w:rPr>
              <w:t>东经</w:t>
            </w:r>
          </w:p>
        </w:tc>
        <w:tc>
          <w:tcPr>
            <w:tcW w:w="568" w:type="pct"/>
            <w:vMerge w:val="continue"/>
            <w:vAlign w:val="center"/>
          </w:tcPr>
          <w:p w14:paraId="3FD6A969">
            <w:pPr>
              <w:pStyle w:val="278"/>
              <w:autoSpaceDE w:val="0"/>
              <w:autoSpaceDN w:val="0"/>
              <w:rPr>
                <w:rFonts w:hint="eastAsia" w:cs="宋体"/>
              </w:rPr>
            </w:pPr>
          </w:p>
        </w:tc>
        <w:tc>
          <w:tcPr>
            <w:tcW w:w="324" w:type="pct"/>
            <w:vMerge w:val="continue"/>
            <w:vAlign w:val="center"/>
          </w:tcPr>
          <w:p w14:paraId="292E05ED">
            <w:pPr>
              <w:pStyle w:val="278"/>
              <w:autoSpaceDE w:val="0"/>
              <w:autoSpaceDN w:val="0"/>
              <w:rPr>
                <w:rFonts w:hint="eastAsia" w:cs="宋体"/>
              </w:rPr>
            </w:pPr>
          </w:p>
        </w:tc>
        <w:tc>
          <w:tcPr>
            <w:tcW w:w="454" w:type="pct"/>
            <w:vMerge w:val="continue"/>
            <w:vAlign w:val="center"/>
          </w:tcPr>
          <w:p w14:paraId="65A61456">
            <w:pPr>
              <w:pStyle w:val="278"/>
              <w:autoSpaceDE w:val="0"/>
              <w:autoSpaceDN w:val="0"/>
              <w:rPr>
                <w:rFonts w:hint="eastAsia" w:cs="宋体"/>
              </w:rPr>
            </w:pPr>
          </w:p>
        </w:tc>
      </w:tr>
      <w:tr w14:paraId="186858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restart"/>
            <w:vAlign w:val="center"/>
          </w:tcPr>
          <w:p w14:paraId="73FEE167">
            <w:pPr>
              <w:pStyle w:val="532"/>
              <w:rPr>
                <w:rFonts w:hint="eastAsia" w:ascii="宋体" w:eastAsia="宋体" w:cs="宋体"/>
              </w:rPr>
            </w:pPr>
            <w:r>
              <w:rPr>
                <w:rFonts w:hint="eastAsia" w:ascii="宋体" w:eastAsia="宋体" w:cs="宋体"/>
                <w:lang w:bidi="ar"/>
              </w:rPr>
              <w:t>吉木萨尔凹陷芦草沟组页岩油J10054井区JHW69-11等13口井开发建设工程环境影响报告书</w:t>
            </w:r>
          </w:p>
        </w:tc>
        <w:tc>
          <w:tcPr>
            <w:tcW w:w="455" w:type="pct"/>
            <w:vAlign w:val="center"/>
          </w:tcPr>
          <w:p w14:paraId="141A26DB">
            <w:pPr>
              <w:pStyle w:val="532"/>
              <w:rPr>
                <w:rFonts w:hint="eastAsia" w:ascii="宋体" w:eastAsia="宋体" w:cs="宋体"/>
              </w:rPr>
            </w:pPr>
            <w:r>
              <w:rPr>
                <w:rFonts w:hint="eastAsia" w:ascii="宋体" w:eastAsia="宋体" w:cs="宋体"/>
              </w:rPr>
              <w:t>W1</w:t>
            </w:r>
          </w:p>
        </w:tc>
        <w:tc>
          <w:tcPr>
            <w:tcW w:w="340" w:type="pct"/>
            <w:vAlign w:val="center"/>
          </w:tcPr>
          <w:p w14:paraId="4A514B8B">
            <w:pPr>
              <w:pStyle w:val="532"/>
              <w:rPr>
                <w:rFonts w:hint="eastAsia" w:ascii="宋体" w:eastAsia="宋体" w:cs="宋体"/>
              </w:rPr>
            </w:pPr>
            <w:r>
              <w:rPr>
                <w:rFonts w:hint="eastAsia" w:ascii="宋体" w:eastAsia="宋体" w:cs="宋体"/>
              </w:rPr>
              <w:t>W1</w:t>
            </w:r>
          </w:p>
        </w:tc>
        <w:tc>
          <w:tcPr>
            <w:tcW w:w="859" w:type="pct"/>
            <w:vAlign w:val="center"/>
          </w:tcPr>
          <w:p w14:paraId="2BCBDEE0">
            <w:pPr>
              <w:widowControl/>
              <w:jc w:val="center"/>
              <w:rPr>
                <w:rFonts w:hint="eastAsia" w:ascii="宋体" w:hAnsi="宋体" w:cs="宋体"/>
                <w:szCs w:val="21"/>
              </w:rPr>
            </w:pPr>
            <w:r>
              <w:rPr>
                <w:rFonts w:hint="eastAsia" w:ascii="宋体" w:hAnsi="宋体" w:cs="宋体"/>
                <w:kern w:val="0"/>
                <w:szCs w:val="21"/>
                <w:lang w:bidi="ar"/>
              </w:rPr>
              <w:t>44°11'52.49"</w:t>
            </w:r>
          </w:p>
        </w:tc>
        <w:tc>
          <w:tcPr>
            <w:tcW w:w="974" w:type="pct"/>
            <w:vAlign w:val="center"/>
          </w:tcPr>
          <w:p w14:paraId="473206E0">
            <w:pPr>
              <w:widowControl/>
              <w:jc w:val="center"/>
              <w:rPr>
                <w:rFonts w:hint="eastAsia" w:ascii="宋体" w:hAnsi="宋体" w:cs="宋体"/>
                <w:szCs w:val="21"/>
              </w:rPr>
            </w:pPr>
            <w:r>
              <w:rPr>
                <w:rFonts w:hint="eastAsia" w:ascii="宋体" w:hAnsi="宋体" w:cs="宋体"/>
                <w:kern w:val="0"/>
                <w:szCs w:val="21"/>
                <w:lang w:bidi="ar"/>
              </w:rPr>
              <w:t>88</w:t>
            </w:r>
            <w:r>
              <w:rPr>
                <w:rFonts w:ascii="宋体" w:hAnsi="宋体" w:cs="宋体"/>
                <w:kern w:val="0"/>
                <w:szCs w:val="21"/>
                <w:lang w:bidi="ar"/>
              </w:rPr>
              <w:t>°</w:t>
            </w:r>
            <w:r>
              <w:rPr>
                <w:rFonts w:hint="eastAsia" w:ascii="宋体" w:hAnsi="宋体" w:cs="宋体"/>
                <w:kern w:val="0"/>
                <w:szCs w:val="21"/>
                <w:lang w:bidi="ar"/>
              </w:rPr>
              <w:t>57'50.68"</w:t>
            </w:r>
          </w:p>
        </w:tc>
        <w:tc>
          <w:tcPr>
            <w:tcW w:w="568" w:type="pct"/>
            <w:vAlign w:val="center"/>
          </w:tcPr>
          <w:p w14:paraId="653E8E7F">
            <w:pPr>
              <w:pStyle w:val="278"/>
              <w:autoSpaceDE w:val="0"/>
              <w:autoSpaceDN w:val="0"/>
              <w:rPr>
                <w:rFonts w:hint="eastAsia" w:cs="宋体"/>
              </w:rPr>
            </w:pPr>
            <w:r>
              <w:rPr>
                <w:rFonts w:hint="eastAsia" w:cs="宋体"/>
              </w:rPr>
              <w:t>24</w:t>
            </w:r>
          </w:p>
        </w:tc>
        <w:tc>
          <w:tcPr>
            <w:tcW w:w="324" w:type="pct"/>
            <w:vMerge w:val="restart"/>
            <w:vAlign w:val="center"/>
          </w:tcPr>
          <w:p w14:paraId="2BED9726">
            <w:pPr>
              <w:pStyle w:val="278"/>
              <w:autoSpaceDE w:val="0"/>
              <w:autoSpaceDN w:val="0"/>
              <w:rPr>
                <w:rFonts w:hint="eastAsia" w:cs="宋体"/>
              </w:rPr>
            </w:pPr>
            <w:r>
              <w:rPr>
                <w:rFonts w:hint="eastAsia" w:cs="宋体"/>
              </w:rPr>
              <w:t>农田灌溉</w:t>
            </w:r>
          </w:p>
        </w:tc>
        <w:tc>
          <w:tcPr>
            <w:tcW w:w="454" w:type="pct"/>
            <w:vMerge w:val="restart"/>
            <w:vAlign w:val="center"/>
          </w:tcPr>
          <w:p w14:paraId="54CC4DB1">
            <w:pPr>
              <w:pStyle w:val="278"/>
              <w:autoSpaceDE w:val="0"/>
              <w:autoSpaceDN w:val="0"/>
              <w:rPr>
                <w:rFonts w:hint="eastAsia" w:cs="宋体"/>
              </w:rPr>
            </w:pPr>
            <w:r>
              <w:rPr>
                <w:rFonts w:hint="eastAsia" w:cs="宋体"/>
              </w:rPr>
              <w:t>潜水层</w:t>
            </w:r>
          </w:p>
        </w:tc>
      </w:tr>
      <w:tr w14:paraId="282664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76191FE9">
            <w:pPr>
              <w:pStyle w:val="532"/>
              <w:rPr>
                <w:rFonts w:hint="eastAsia" w:ascii="宋体" w:eastAsia="宋体" w:cs="宋体"/>
              </w:rPr>
            </w:pPr>
          </w:p>
        </w:tc>
        <w:tc>
          <w:tcPr>
            <w:tcW w:w="455" w:type="pct"/>
            <w:vAlign w:val="center"/>
          </w:tcPr>
          <w:p w14:paraId="3CEA2AED">
            <w:pPr>
              <w:pStyle w:val="532"/>
              <w:rPr>
                <w:rFonts w:hint="eastAsia" w:ascii="宋体" w:eastAsia="宋体" w:cs="宋体"/>
              </w:rPr>
            </w:pPr>
            <w:r>
              <w:rPr>
                <w:rFonts w:hint="eastAsia" w:ascii="宋体" w:eastAsia="宋体" w:cs="宋体"/>
              </w:rPr>
              <w:t>W2</w:t>
            </w:r>
          </w:p>
        </w:tc>
        <w:tc>
          <w:tcPr>
            <w:tcW w:w="340" w:type="pct"/>
            <w:vAlign w:val="center"/>
          </w:tcPr>
          <w:p w14:paraId="7E7D948B">
            <w:pPr>
              <w:pStyle w:val="532"/>
              <w:rPr>
                <w:rFonts w:hint="eastAsia" w:ascii="宋体" w:eastAsia="宋体" w:cs="宋体"/>
              </w:rPr>
            </w:pPr>
            <w:r>
              <w:rPr>
                <w:rFonts w:hint="eastAsia" w:ascii="宋体" w:eastAsia="宋体" w:cs="宋体"/>
              </w:rPr>
              <w:t>W2</w:t>
            </w:r>
          </w:p>
        </w:tc>
        <w:tc>
          <w:tcPr>
            <w:tcW w:w="859" w:type="pct"/>
            <w:vAlign w:val="center"/>
          </w:tcPr>
          <w:p w14:paraId="32B89F85">
            <w:pPr>
              <w:widowControl/>
              <w:jc w:val="center"/>
              <w:rPr>
                <w:rFonts w:hint="eastAsia" w:ascii="宋体" w:hAnsi="宋体" w:cs="宋体"/>
                <w:szCs w:val="21"/>
              </w:rPr>
            </w:pPr>
            <w:bookmarkStart w:id="388" w:name="OLE_LINK208"/>
            <w:r>
              <w:rPr>
                <w:rFonts w:hint="eastAsia" w:ascii="宋体" w:hAnsi="宋体" w:cs="宋体"/>
                <w:kern w:val="0"/>
                <w:szCs w:val="21"/>
                <w:lang w:bidi="ar"/>
              </w:rPr>
              <w:t>44°11'29.49"</w:t>
            </w:r>
            <w:bookmarkEnd w:id="388"/>
          </w:p>
        </w:tc>
        <w:tc>
          <w:tcPr>
            <w:tcW w:w="974" w:type="pct"/>
            <w:vAlign w:val="center"/>
          </w:tcPr>
          <w:p w14:paraId="6FCC7114">
            <w:pPr>
              <w:widowControl/>
              <w:jc w:val="center"/>
              <w:rPr>
                <w:rFonts w:hint="eastAsia" w:ascii="宋体" w:hAnsi="宋体" w:cs="宋体"/>
                <w:szCs w:val="21"/>
              </w:rPr>
            </w:pPr>
            <w:bookmarkStart w:id="389" w:name="_Hlk173761328"/>
            <w:r>
              <w:rPr>
                <w:rFonts w:hint="eastAsia" w:ascii="宋体" w:hAnsi="宋体" w:cs="宋体"/>
                <w:kern w:val="0"/>
                <w:szCs w:val="21"/>
                <w:lang w:bidi="ar"/>
              </w:rPr>
              <w:t>88</w:t>
            </w:r>
            <w:r>
              <w:rPr>
                <w:rFonts w:ascii="宋体" w:hAnsi="宋体" w:cs="宋体"/>
                <w:kern w:val="0"/>
                <w:szCs w:val="21"/>
                <w:lang w:bidi="ar"/>
              </w:rPr>
              <w:t>°</w:t>
            </w:r>
            <w:r>
              <w:rPr>
                <w:rFonts w:hint="eastAsia" w:ascii="宋体" w:hAnsi="宋体" w:cs="宋体"/>
                <w:kern w:val="0"/>
                <w:szCs w:val="21"/>
                <w:lang w:bidi="ar"/>
              </w:rPr>
              <w:t>58'21.93"</w:t>
            </w:r>
            <w:bookmarkEnd w:id="389"/>
          </w:p>
        </w:tc>
        <w:tc>
          <w:tcPr>
            <w:tcW w:w="568" w:type="pct"/>
            <w:vAlign w:val="center"/>
          </w:tcPr>
          <w:p w14:paraId="111AFC36">
            <w:pPr>
              <w:pStyle w:val="278"/>
              <w:autoSpaceDE w:val="0"/>
              <w:autoSpaceDN w:val="0"/>
              <w:rPr>
                <w:rFonts w:hint="eastAsia" w:cs="宋体"/>
              </w:rPr>
            </w:pPr>
            <w:r>
              <w:rPr>
                <w:rFonts w:hint="eastAsia" w:cs="宋体"/>
              </w:rPr>
              <w:t>27</w:t>
            </w:r>
          </w:p>
        </w:tc>
        <w:tc>
          <w:tcPr>
            <w:tcW w:w="324" w:type="pct"/>
            <w:vMerge w:val="continue"/>
            <w:vAlign w:val="center"/>
          </w:tcPr>
          <w:p w14:paraId="534A657A">
            <w:pPr>
              <w:pStyle w:val="278"/>
              <w:autoSpaceDE w:val="0"/>
              <w:autoSpaceDN w:val="0"/>
              <w:rPr>
                <w:rFonts w:hint="eastAsia" w:cs="宋体"/>
              </w:rPr>
            </w:pPr>
          </w:p>
        </w:tc>
        <w:tc>
          <w:tcPr>
            <w:tcW w:w="454" w:type="pct"/>
            <w:vMerge w:val="continue"/>
            <w:vAlign w:val="center"/>
          </w:tcPr>
          <w:p w14:paraId="6823EC8F">
            <w:pPr>
              <w:pStyle w:val="278"/>
              <w:autoSpaceDE w:val="0"/>
              <w:autoSpaceDN w:val="0"/>
              <w:rPr>
                <w:rFonts w:hint="eastAsia" w:cs="宋体"/>
              </w:rPr>
            </w:pPr>
          </w:p>
        </w:tc>
      </w:tr>
      <w:tr w14:paraId="2A8EA2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63E4071D">
            <w:pPr>
              <w:pStyle w:val="532"/>
              <w:rPr>
                <w:rFonts w:hint="eastAsia" w:ascii="宋体" w:eastAsia="宋体" w:cs="宋体"/>
              </w:rPr>
            </w:pPr>
          </w:p>
        </w:tc>
        <w:tc>
          <w:tcPr>
            <w:tcW w:w="455" w:type="pct"/>
            <w:vAlign w:val="center"/>
          </w:tcPr>
          <w:p w14:paraId="3DF1D580">
            <w:pPr>
              <w:pStyle w:val="532"/>
              <w:rPr>
                <w:rFonts w:hint="eastAsia" w:ascii="宋体" w:eastAsia="宋体" w:cs="宋体"/>
              </w:rPr>
            </w:pPr>
            <w:r>
              <w:rPr>
                <w:rFonts w:hint="eastAsia" w:ascii="宋体" w:eastAsia="宋体" w:cs="宋体"/>
              </w:rPr>
              <w:t>W3</w:t>
            </w:r>
          </w:p>
        </w:tc>
        <w:tc>
          <w:tcPr>
            <w:tcW w:w="340" w:type="pct"/>
            <w:vAlign w:val="center"/>
          </w:tcPr>
          <w:p w14:paraId="019873E8">
            <w:pPr>
              <w:pStyle w:val="532"/>
              <w:rPr>
                <w:rFonts w:hint="eastAsia" w:ascii="宋体" w:eastAsia="宋体" w:cs="宋体"/>
              </w:rPr>
            </w:pPr>
            <w:r>
              <w:rPr>
                <w:rFonts w:hint="eastAsia" w:ascii="宋体" w:eastAsia="宋体" w:cs="宋体"/>
              </w:rPr>
              <w:t>W3</w:t>
            </w:r>
          </w:p>
        </w:tc>
        <w:tc>
          <w:tcPr>
            <w:tcW w:w="859" w:type="pct"/>
            <w:vAlign w:val="center"/>
          </w:tcPr>
          <w:p w14:paraId="50A34E0B">
            <w:pPr>
              <w:widowControl/>
              <w:jc w:val="center"/>
              <w:rPr>
                <w:rFonts w:hint="eastAsia" w:ascii="宋体" w:hAnsi="宋体" w:cs="宋体"/>
                <w:szCs w:val="21"/>
              </w:rPr>
            </w:pPr>
            <w:bookmarkStart w:id="390" w:name="_Hlk173761335"/>
            <w:r>
              <w:rPr>
                <w:rFonts w:hint="eastAsia" w:ascii="宋体" w:hAnsi="宋体" w:cs="宋体"/>
                <w:kern w:val="0"/>
                <w:szCs w:val="21"/>
                <w:lang w:bidi="ar"/>
              </w:rPr>
              <w:t>44°11'46.46"</w:t>
            </w:r>
            <w:bookmarkEnd w:id="390"/>
          </w:p>
        </w:tc>
        <w:tc>
          <w:tcPr>
            <w:tcW w:w="974" w:type="pct"/>
            <w:vAlign w:val="center"/>
          </w:tcPr>
          <w:p w14:paraId="23F5CFC5">
            <w:pPr>
              <w:widowControl/>
              <w:jc w:val="center"/>
              <w:rPr>
                <w:rFonts w:hint="eastAsia" w:ascii="宋体" w:hAnsi="宋体" w:cs="宋体"/>
                <w:szCs w:val="21"/>
              </w:rPr>
            </w:pPr>
            <w:bookmarkStart w:id="391" w:name="_Hlk173761344"/>
            <w:r>
              <w:rPr>
                <w:rFonts w:hint="eastAsia" w:ascii="宋体" w:hAnsi="宋体" w:cs="宋体"/>
                <w:kern w:val="0"/>
                <w:szCs w:val="21"/>
                <w:lang w:bidi="ar"/>
              </w:rPr>
              <w:t>89°7'57.50"</w:t>
            </w:r>
            <w:bookmarkEnd w:id="391"/>
          </w:p>
        </w:tc>
        <w:tc>
          <w:tcPr>
            <w:tcW w:w="568" w:type="pct"/>
            <w:vAlign w:val="center"/>
          </w:tcPr>
          <w:p w14:paraId="28307A5B">
            <w:pPr>
              <w:pStyle w:val="278"/>
              <w:autoSpaceDE w:val="0"/>
              <w:autoSpaceDN w:val="0"/>
              <w:rPr>
                <w:rFonts w:hint="eastAsia" w:cs="宋体"/>
              </w:rPr>
            </w:pPr>
            <w:r>
              <w:rPr>
                <w:rFonts w:hint="eastAsia" w:cs="宋体"/>
              </w:rPr>
              <w:t>25</w:t>
            </w:r>
          </w:p>
        </w:tc>
        <w:tc>
          <w:tcPr>
            <w:tcW w:w="324" w:type="pct"/>
            <w:vMerge w:val="continue"/>
            <w:vAlign w:val="center"/>
          </w:tcPr>
          <w:p w14:paraId="66D2BAF7">
            <w:pPr>
              <w:pStyle w:val="278"/>
              <w:autoSpaceDE w:val="0"/>
              <w:autoSpaceDN w:val="0"/>
              <w:rPr>
                <w:rFonts w:hint="eastAsia" w:cs="宋体"/>
              </w:rPr>
            </w:pPr>
          </w:p>
        </w:tc>
        <w:tc>
          <w:tcPr>
            <w:tcW w:w="454" w:type="pct"/>
            <w:vMerge w:val="continue"/>
            <w:vAlign w:val="center"/>
          </w:tcPr>
          <w:p w14:paraId="3D5B81A1">
            <w:pPr>
              <w:pStyle w:val="278"/>
              <w:autoSpaceDE w:val="0"/>
              <w:autoSpaceDN w:val="0"/>
              <w:rPr>
                <w:rFonts w:hint="eastAsia" w:cs="宋体"/>
              </w:rPr>
            </w:pPr>
          </w:p>
        </w:tc>
      </w:tr>
      <w:tr w14:paraId="4DCE8E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3D022746">
            <w:pPr>
              <w:pStyle w:val="532"/>
              <w:rPr>
                <w:rFonts w:hint="eastAsia" w:ascii="宋体" w:eastAsia="宋体" w:cs="宋体"/>
              </w:rPr>
            </w:pPr>
          </w:p>
        </w:tc>
        <w:tc>
          <w:tcPr>
            <w:tcW w:w="455" w:type="pct"/>
            <w:vAlign w:val="center"/>
          </w:tcPr>
          <w:p w14:paraId="16A97D07">
            <w:pPr>
              <w:pStyle w:val="532"/>
              <w:rPr>
                <w:rFonts w:hint="eastAsia" w:ascii="宋体" w:eastAsia="宋体" w:cs="宋体"/>
              </w:rPr>
            </w:pPr>
            <w:r>
              <w:rPr>
                <w:rFonts w:hint="eastAsia" w:ascii="宋体" w:eastAsia="宋体" w:cs="宋体"/>
              </w:rPr>
              <w:t>W4</w:t>
            </w:r>
          </w:p>
        </w:tc>
        <w:tc>
          <w:tcPr>
            <w:tcW w:w="340" w:type="pct"/>
            <w:vAlign w:val="center"/>
          </w:tcPr>
          <w:p w14:paraId="7F2E2BCA">
            <w:pPr>
              <w:pStyle w:val="532"/>
              <w:rPr>
                <w:rFonts w:hint="eastAsia" w:ascii="宋体" w:eastAsia="宋体" w:cs="宋体"/>
              </w:rPr>
            </w:pPr>
            <w:r>
              <w:rPr>
                <w:rFonts w:hint="eastAsia" w:ascii="宋体" w:eastAsia="宋体" w:cs="宋体"/>
              </w:rPr>
              <w:t>W4</w:t>
            </w:r>
          </w:p>
        </w:tc>
        <w:tc>
          <w:tcPr>
            <w:tcW w:w="859" w:type="pct"/>
            <w:vAlign w:val="center"/>
          </w:tcPr>
          <w:p w14:paraId="2952D1B4">
            <w:pPr>
              <w:widowControl/>
              <w:jc w:val="center"/>
              <w:rPr>
                <w:rFonts w:hint="eastAsia" w:ascii="宋体" w:hAnsi="宋体" w:cs="宋体"/>
                <w:szCs w:val="21"/>
              </w:rPr>
            </w:pPr>
            <w:bookmarkStart w:id="392" w:name="_Hlk173761351"/>
            <w:r>
              <w:rPr>
                <w:rFonts w:hint="eastAsia" w:ascii="宋体" w:hAnsi="宋体" w:cs="宋体"/>
                <w:kern w:val="0"/>
                <w:szCs w:val="21"/>
                <w:lang w:bidi="ar"/>
              </w:rPr>
              <w:t>44°8'35.85"</w:t>
            </w:r>
            <w:bookmarkEnd w:id="392"/>
          </w:p>
        </w:tc>
        <w:tc>
          <w:tcPr>
            <w:tcW w:w="974" w:type="pct"/>
            <w:vAlign w:val="center"/>
          </w:tcPr>
          <w:p w14:paraId="6943C0D4">
            <w:pPr>
              <w:widowControl/>
              <w:jc w:val="center"/>
              <w:rPr>
                <w:rFonts w:hint="eastAsia" w:ascii="宋体" w:hAnsi="宋体" w:cs="宋体"/>
                <w:szCs w:val="21"/>
              </w:rPr>
            </w:pPr>
            <w:bookmarkStart w:id="393" w:name="OLE_LINK209"/>
            <w:r>
              <w:rPr>
                <w:rFonts w:hint="eastAsia" w:ascii="宋体" w:hAnsi="宋体" w:cs="宋体"/>
                <w:kern w:val="0"/>
                <w:szCs w:val="21"/>
                <w:lang w:bidi="ar"/>
              </w:rPr>
              <w:t>89°7'50.02"</w:t>
            </w:r>
            <w:bookmarkEnd w:id="393"/>
          </w:p>
        </w:tc>
        <w:tc>
          <w:tcPr>
            <w:tcW w:w="568" w:type="pct"/>
            <w:vAlign w:val="center"/>
          </w:tcPr>
          <w:p w14:paraId="67496812">
            <w:pPr>
              <w:pStyle w:val="278"/>
              <w:autoSpaceDE w:val="0"/>
              <w:autoSpaceDN w:val="0"/>
              <w:rPr>
                <w:rFonts w:hint="eastAsia" w:cs="宋体"/>
              </w:rPr>
            </w:pPr>
            <w:r>
              <w:rPr>
                <w:rFonts w:hint="eastAsia" w:cs="宋体"/>
              </w:rPr>
              <w:t>30</w:t>
            </w:r>
          </w:p>
        </w:tc>
        <w:tc>
          <w:tcPr>
            <w:tcW w:w="324" w:type="pct"/>
            <w:vMerge w:val="continue"/>
            <w:vAlign w:val="center"/>
          </w:tcPr>
          <w:p w14:paraId="062A5954">
            <w:pPr>
              <w:pStyle w:val="278"/>
              <w:autoSpaceDE w:val="0"/>
              <w:autoSpaceDN w:val="0"/>
              <w:rPr>
                <w:rFonts w:hint="eastAsia" w:cs="宋体"/>
              </w:rPr>
            </w:pPr>
          </w:p>
        </w:tc>
        <w:tc>
          <w:tcPr>
            <w:tcW w:w="454" w:type="pct"/>
            <w:vMerge w:val="continue"/>
            <w:vAlign w:val="center"/>
          </w:tcPr>
          <w:p w14:paraId="21B19660">
            <w:pPr>
              <w:pStyle w:val="278"/>
              <w:autoSpaceDE w:val="0"/>
              <w:autoSpaceDN w:val="0"/>
              <w:rPr>
                <w:rFonts w:hint="eastAsia" w:cs="宋体"/>
              </w:rPr>
            </w:pPr>
          </w:p>
        </w:tc>
      </w:tr>
      <w:tr w14:paraId="100261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08457FC9">
            <w:pPr>
              <w:pStyle w:val="532"/>
              <w:rPr>
                <w:rFonts w:hint="eastAsia" w:ascii="宋体" w:eastAsia="宋体" w:cs="宋体"/>
              </w:rPr>
            </w:pPr>
          </w:p>
        </w:tc>
        <w:tc>
          <w:tcPr>
            <w:tcW w:w="455" w:type="pct"/>
            <w:vAlign w:val="center"/>
          </w:tcPr>
          <w:p w14:paraId="6D44072D">
            <w:pPr>
              <w:pStyle w:val="532"/>
              <w:rPr>
                <w:rFonts w:hint="eastAsia" w:ascii="宋体" w:eastAsia="宋体" w:cs="宋体"/>
              </w:rPr>
            </w:pPr>
            <w:r>
              <w:rPr>
                <w:rFonts w:hint="eastAsia" w:ascii="宋体" w:eastAsia="宋体" w:cs="宋体"/>
              </w:rPr>
              <w:t>W5</w:t>
            </w:r>
          </w:p>
        </w:tc>
        <w:tc>
          <w:tcPr>
            <w:tcW w:w="340" w:type="pct"/>
            <w:vAlign w:val="center"/>
          </w:tcPr>
          <w:p w14:paraId="65D43C49">
            <w:pPr>
              <w:pStyle w:val="532"/>
              <w:rPr>
                <w:rFonts w:hint="eastAsia" w:ascii="宋体" w:eastAsia="宋体" w:cs="宋体"/>
              </w:rPr>
            </w:pPr>
            <w:r>
              <w:rPr>
                <w:rFonts w:hint="eastAsia" w:ascii="宋体" w:eastAsia="宋体" w:cs="宋体"/>
              </w:rPr>
              <w:t>W5</w:t>
            </w:r>
          </w:p>
        </w:tc>
        <w:tc>
          <w:tcPr>
            <w:tcW w:w="859" w:type="pct"/>
            <w:vAlign w:val="center"/>
          </w:tcPr>
          <w:p w14:paraId="1A19AEF0">
            <w:pPr>
              <w:widowControl/>
              <w:jc w:val="center"/>
              <w:rPr>
                <w:rFonts w:hint="eastAsia" w:ascii="宋体" w:hAnsi="宋体" w:cs="宋体"/>
                <w:szCs w:val="21"/>
              </w:rPr>
            </w:pPr>
            <w:r>
              <w:rPr>
                <w:rFonts w:hint="eastAsia" w:ascii="宋体" w:hAnsi="宋体" w:cs="宋体"/>
                <w:kern w:val="0"/>
                <w:szCs w:val="21"/>
                <w:lang w:bidi="ar"/>
              </w:rPr>
              <w:t>44°8'31.63"</w:t>
            </w:r>
          </w:p>
        </w:tc>
        <w:tc>
          <w:tcPr>
            <w:tcW w:w="974" w:type="pct"/>
            <w:vAlign w:val="center"/>
          </w:tcPr>
          <w:p w14:paraId="6658EEAC">
            <w:pPr>
              <w:widowControl/>
              <w:jc w:val="center"/>
              <w:rPr>
                <w:rFonts w:hint="eastAsia" w:ascii="宋体" w:hAnsi="宋体" w:cs="宋体"/>
                <w:szCs w:val="21"/>
              </w:rPr>
            </w:pPr>
            <w:r>
              <w:rPr>
                <w:rFonts w:hint="eastAsia" w:ascii="宋体" w:hAnsi="宋体" w:cs="宋体"/>
                <w:kern w:val="0"/>
                <w:szCs w:val="21"/>
                <w:lang w:bidi="ar"/>
              </w:rPr>
              <w:t>89°10'34.93"</w:t>
            </w:r>
          </w:p>
        </w:tc>
        <w:tc>
          <w:tcPr>
            <w:tcW w:w="568" w:type="pct"/>
            <w:vAlign w:val="center"/>
          </w:tcPr>
          <w:p w14:paraId="7CC9333E">
            <w:pPr>
              <w:pStyle w:val="278"/>
              <w:autoSpaceDE w:val="0"/>
              <w:autoSpaceDN w:val="0"/>
              <w:rPr>
                <w:rFonts w:hint="eastAsia" w:cs="宋体"/>
              </w:rPr>
            </w:pPr>
            <w:r>
              <w:rPr>
                <w:rFonts w:hint="eastAsia" w:cs="宋体"/>
              </w:rPr>
              <w:t>30</w:t>
            </w:r>
          </w:p>
        </w:tc>
        <w:tc>
          <w:tcPr>
            <w:tcW w:w="324" w:type="pct"/>
            <w:vMerge w:val="continue"/>
            <w:vAlign w:val="center"/>
          </w:tcPr>
          <w:p w14:paraId="4DBFCDE7">
            <w:pPr>
              <w:pStyle w:val="278"/>
              <w:autoSpaceDE w:val="0"/>
              <w:autoSpaceDN w:val="0"/>
              <w:rPr>
                <w:rFonts w:hint="eastAsia" w:cs="宋体"/>
              </w:rPr>
            </w:pPr>
          </w:p>
        </w:tc>
        <w:tc>
          <w:tcPr>
            <w:tcW w:w="454" w:type="pct"/>
            <w:vMerge w:val="continue"/>
            <w:vAlign w:val="center"/>
          </w:tcPr>
          <w:p w14:paraId="524B04D6">
            <w:pPr>
              <w:pStyle w:val="278"/>
              <w:autoSpaceDE w:val="0"/>
              <w:autoSpaceDN w:val="0"/>
              <w:rPr>
                <w:rFonts w:hint="eastAsia" w:cs="宋体"/>
              </w:rPr>
            </w:pPr>
          </w:p>
        </w:tc>
      </w:tr>
      <w:tr w14:paraId="00C281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Align w:val="center"/>
          </w:tcPr>
          <w:p w14:paraId="46755B9B">
            <w:pPr>
              <w:pStyle w:val="532"/>
              <w:rPr>
                <w:rFonts w:hint="eastAsia" w:ascii="宋体" w:eastAsia="宋体" w:cs="宋体"/>
              </w:rPr>
            </w:pPr>
            <w:r>
              <w:rPr>
                <w:rFonts w:hint="eastAsia" w:ascii="宋体" w:eastAsia="宋体" w:cs="宋体"/>
                <w:lang w:bidi="ar"/>
              </w:rPr>
              <w:t>吉康油田奇探1块二叠系芦草沟组夹层型页岩油开发先导试验方案环境影响报告书</w:t>
            </w:r>
          </w:p>
        </w:tc>
        <w:tc>
          <w:tcPr>
            <w:tcW w:w="455" w:type="pct"/>
            <w:vAlign w:val="center"/>
          </w:tcPr>
          <w:p w14:paraId="1F483475">
            <w:pPr>
              <w:pStyle w:val="532"/>
              <w:rPr>
                <w:rFonts w:hint="eastAsia" w:ascii="宋体" w:eastAsia="宋体" w:cs="宋体"/>
                <w:lang w:val="en-US"/>
              </w:rPr>
            </w:pPr>
            <w:r>
              <w:rPr>
                <w:rFonts w:hint="eastAsia" w:ascii="宋体" w:eastAsia="宋体" w:cs="宋体"/>
                <w:lang w:val="en-US"/>
              </w:rPr>
              <w:t>D2</w:t>
            </w:r>
          </w:p>
        </w:tc>
        <w:tc>
          <w:tcPr>
            <w:tcW w:w="340" w:type="pct"/>
            <w:vAlign w:val="center"/>
          </w:tcPr>
          <w:p w14:paraId="30113C9B">
            <w:pPr>
              <w:pStyle w:val="532"/>
              <w:rPr>
                <w:rFonts w:hint="eastAsia" w:ascii="宋体" w:eastAsia="宋体" w:cs="宋体"/>
                <w:lang w:val="en-US"/>
              </w:rPr>
            </w:pPr>
            <w:r>
              <w:rPr>
                <w:rFonts w:hint="eastAsia" w:ascii="宋体" w:eastAsia="宋体" w:cs="宋体"/>
                <w:lang w:val="en-US"/>
              </w:rPr>
              <w:t>W6</w:t>
            </w:r>
          </w:p>
        </w:tc>
        <w:tc>
          <w:tcPr>
            <w:tcW w:w="859" w:type="pct"/>
            <w:vAlign w:val="center"/>
          </w:tcPr>
          <w:p w14:paraId="204EC075">
            <w:pPr>
              <w:widowControl/>
              <w:jc w:val="center"/>
              <w:rPr>
                <w:rFonts w:hint="eastAsia" w:ascii="宋体" w:hAnsi="宋体" w:cs="宋体"/>
                <w:szCs w:val="21"/>
              </w:rPr>
            </w:pPr>
            <w:r>
              <w:rPr>
                <w:rFonts w:ascii="宋体" w:hAnsi="宋体" w:cs="宋体"/>
                <w:szCs w:val="21"/>
              </w:rPr>
              <w:t>44°18'06.44"</w:t>
            </w:r>
          </w:p>
        </w:tc>
        <w:tc>
          <w:tcPr>
            <w:tcW w:w="974" w:type="pct"/>
            <w:vAlign w:val="center"/>
          </w:tcPr>
          <w:p w14:paraId="0839FA2F">
            <w:pPr>
              <w:widowControl/>
              <w:jc w:val="center"/>
              <w:rPr>
                <w:rFonts w:hint="eastAsia" w:ascii="宋体" w:hAnsi="宋体" w:cs="宋体"/>
                <w:szCs w:val="21"/>
              </w:rPr>
            </w:pPr>
            <w:r>
              <w:rPr>
                <w:rFonts w:ascii="宋体" w:hAnsi="宋体" w:cs="宋体"/>
                <w:szCs w:val="21"/>
              </w:rPr>
              <w:t>89°07'19.11"</w:t>
            </w:r>
          </w:p>
        </w:tc>
        <w:tc>
          <w:tcPr>
            <w:tcW w:w="568" w:type="pct"/>
            <w:vAlign w:val="center"/>
          </w:tcPr>
          <w:p w14:paraId="333FA0F6">
            <w:pPr>
              <w:pStyle w:val="278"/>
              <w:autoSpaceDE w:val="0"/>
              <w:autoSpaceDN w:val="0"/>
              <w:rPr>
                <w:rFonts w:hint="eastAsia" w:cs="宋体"/>
              </w:rPr>
            </w:pPr>
            <w:r>
              <w:rPr>
                <w:rFonts w:hint="eastAsia" w:cs="宋体"/>
              </w:rPr>
              <w:t>18</w:t>
            </w:r>
          </w:p>
        </w:tc>
        <w:tc>
          <w:tcPr>
            <w:tcW w:w="324" w:type="pct"/>
            <w:vMerge w:val="continue"/>
            <w:vAlign w:val="center"/>
          </w:tcPr>
          <w:p w14:paraId="2B0EC693">
            <w:pPr>
              <w:pStyle w:val="278"/>
              <w:autoSpaceDE w:val="0"/>
              <w:autoSpaceDN w:val="0"/>
              <w:rPr>
                <w:rFonts w:hint="eastAsia" w:cs="宋体"/>
              </w:rPr>
            </w:pPr>
          </w:p>
        </w:tc>
        <w:tc>
          <w:tcPr>
            <w:tcW w:w="454" w:type="pct"/>
            <w:vMerge w:val="continue"/>
            <w:vAlign w:val="center"/>
          </w:tcPr>
          <w:p w14:paraId="70E4BAA2">
            <w:pPr>
              <w:pStyle w:val="278"/>
              <w:autoSpaceDE w:val="0"/>
              <w:autoSpaceDN w:val="0"/>
              <w:rPr>
                <w:rFonts w:hint="eastAsia" w:cs="宋体"/>
              </w:rPr>
            </w:pPr>
          </w:p>
        </w:tc>
      </w:tr>
      <w:tr w14:paraId="5D9110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restart"/>
            <w:vAlign w:val="center"/>
          </w:tcPr>
          <w:p w14:paraId="40F7CA69">
            <w:pPr>
              <w:pStyle w:val="532"/>
              <w:rPr>
                <w:rFonts w:hint="eastAsia" w:ascii="宋体" w:eastAsia="宋体" w:cs="宋体"/>
              </w:rPr>
            </w:pPr>
            <w:r>
              <w:rPr>
                <w:rFonts w:hint="eastAsia" w:ascii="宋体" w:eastAsia="宋体" w:cs="宋体"/>
                <w:lang w:bidi="ar"/>
              </w:rPr>
              <w:t>昌吉油田吉28块芦草沟组页岩油开发先导试验方案环境影响报告书</w:t>
            </w:r>
          </w:p>
        </w:tc>
        <w:tc>
          <w:tcPr>
            <w:tcW w:w="455" w:type="pct"/>
            <w:vAlign w:val="center"/>
          </w:tcPr>
          <w:p w14:paraId="7D1CF210">
            <w:pPr>
              <w:pStyle w:val="532"/>
              <w:rPr>
                <w:rFonts w:hint="eastAsia" w:ascii="宋体" w:eastAsia="宋体" w:cs="宋体"/>
                <w:lang w:val="en-US"/>
              </w:rPr>
            </w:pPr>
            <w:r>
              <w:rPr>
                <w:rFonts w:hint="eastAsia" w:ascii="宋体" w:eastAsia="宋体" w:cs="宋体"/>
                <w:lang w:val="en-US"/>
              </w:rPr>
              <w:t>D9</w:t>
            </w:r>
          </w:p>
        </w:tc>
        <w:tc>
          <w:tcPr>
            <w:tcW w:w="340" w:type="pct"/>
            <w:vAlign w:val="center"/>
          </w:tcPr>
          <w:p w14:paraId="5A7F45E6">
            <w:pPr>
              <w:widowControl/>
              <w:jc w:val="center"/>
              <w:rPr>
                <w:rFonts w:hint="eastAsia" w:ascii="宋体" w:hAnsi="宋体" w:cs="宋体"/>
                <w:kern w:val="0"/>
                <w:szCs w:val="21"/>
                <w:lang w:bidi="ar"/>
              </w:rPr>
            </w:pPr>
            <w:r>
              <w:rPr>
                <w:rFonts w:hint="eastAsia" w:ascii="宋体" w:hAnsi="宋体" w:cs="宋体"/>
                <w:kern w:val="0"/>
                <w:szCs w:val="21"/>
                <w:lang w:bidi="ar"/>
              </w:rPr>
              <w:t>W7</w:t>
            </w:r>
          </w:p>
        </w:tc>
        <w:tc>
          <w:tcPr>
            <w:tcW w:w="859" w:type="pct"/>
            <w:vAlign w:val="center"/>
          </w:tcPr>
          <w:p w14:paraId="5FA96C95">
            <w:pPr>
              <w:widowControl/>
              <w:jc w:val="center"/>
              <w:rPr>
                <w:rFonts w:hint="eastAsia" w:ascii="宋体" w:hAnsi="宋体" w:cs="宋体"/>
                <w:kern w:val="0"/>
                <w:szCs w:val="21"/>
                <w:lang w:bidi="ar"/>
              </w:rPr>
            </w:pPr>
            <w:r>
              <w:rPr>
                <w:rFonts w:ascii="宋体" w:hAnsi="宋体" w:cs="宋体"/>
                <w:kern w:val="0"/>
                <w:szCs w:val="21"/>
                <w:lang w:bidi="ar"/>
              </w:rPr>
              <w:t>44°16'53.84"</w:t>
            </w:r>
          </w:p>
        </w:tc>
        <w:tc>
          <w:tcPr>
            <w:tcW w:w="974" w:type="pct"/>
            <w:vAlign w:val="center"/>
          </w:tcPr>
          <w:p w14:paraId="01B77CC7">
            <w:pPr>
              <w:widowControl/>
              <w:jc w:val="center"/>
              <w:rPr>
                <w:rFonts w:hint="eastAsia" w:ascii="宋体" w:hAnsi="宋体" w:cs="宋体"/>
                <w:kern w:val="0"/>
                <w:szCs w:val="21"/>
                <w:lang w:bidi="ar"/>
              </w:rPr>
            </w:pPr>
            <w:r>
              <w:rPr>
                <w:rFonts w:ascii="宋体" w:hAnsi="宋体" w:cs="宋体"/>
                <w:kern w:val="0"/>
                <w:szCs w:val="21"/>
                <w:lang w:bidi="ar"/>
              </w:rPr>
              <w:t>89°07'01.75"</w:t>
            </w:r>
          </w:p>
        </w:tc>
        <w:tc>
          <w:tcPr>
            <w:tcW w:w="568" w:type="pct"/>
            <w:vAlign w:val="center"/>
          </w:tcPr>
          <w:p w14:paraId="773AA04D">
            <w:pPr>
              <w:pStyle w:val="278"/>
              <w:autoSpaceDE w:val="0"/>
              <w:autoSpaceDN w:val="0"/>
              <w:rPr>
                <w:rFonts w:hint="eastAsia" w:cs="宋体"/>
              </w:rPr>
            </w:pPr>
            <w:r>
              <w:rPr>
                <w:rFonts w:hint="eastAsia" w:cs="宋体"/>
              </w:rPr>
              <w:t>20</w:t>
            </w:r>
          </w:p>
        </w:tc>
        <w:tc>
          <w:tcPr>
            <w:tcW w:w="324" w:type="pct"/>
            <w:vMerge w:val="continue"/>
            <w:vAlign w:val="center"/>
          </w:tcPr>
          <w:p w14:paraId="1F24AB27">
            <w:pPr>
              <w:pStyle w:val="278"/>
              <w:autoSpaceDE w:val="0"/>
              <w:autoSpaceDN w:val="0"/>
              <w:rPr>
                <w:rFonts w:hint="eastAsia" w:cs="宋体"/>
              </w:rPr>
            </w:pPr>
          </w:p>
        </w:tc>
        <w:tc>
          <w:tcPr>
            <w:tcW w:w="454" w:type="pct"/>
            <w:vMerge w:val="continue"/>
            <w:vAlign w:val="center"/>
          </w:tcPr>
          <w:p w14:paraId="5CC6C76A">
            <w:pPr>
              <w:pStyle w:val="278"/>
              <w:autoSpaceDE w:val="0"/>
              <w:autoSpaceDN w:val="0"/>
              <w:rPr>
                <w:rFonts w:hint="eastAsia" w:cs="宋体"/>
              </w:rPr>
            </w:pPr>
          </w:p>
        </w:tc>
      </w:tr>
      <w:tr w14:paraId="637407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212377D6">
            <w:pPr>
              <w:pStyle w:val="532"/>
              <w:rPr>
                <w:rFonts w:hint="eastAsia" w:ascii="宋体" w:eastAsia="宋体" w:cs="宋体"/>
              </w:rPr>
            </w:pPr>
          </w:p>
        </w:tc>
        <w:tc>
          <w:tcPr>
            <w:tcW w:w="455" w:type="pct"/>
            <w:vAlign w:val="center"/>
          </w:tcPr>
          <w:p w14:paraId="68B8FDAB">
            <w:pPr>
              <w:pStyle w:val="532"/>
              <w:rPr>
                <w:rFonts w:hint="eastAsia" w:ascii="宋体" w:eastAsia="宋体" w:cs="宋体"/>
                <w:lang w:val="en-US"/>
              </w:rPr>
            </w:pPr>
            <w:r>
              <w:rPr>
                <w:rFonts w:hint="eastAsia" w:ascii="宋体" w:eastAsia="宋体" w:cs="宋体"/>
                <w:lang w:val="en-US"/>
              </w:rPr>
              <w:t>D5</w:t>
            </w:r>
          </w:p>
        </w:tc>
        <w:tc>
          <w:tcPr>
            <w:tcW w:w="340" w:type="pct"/>
            <w:vAlign w:val="center"/>
          </w:tcPr>
          <w:p w14:paraId="1BE87A6A">
            <w:pPr>
              <w:widowControl/>
              <w:jc w:val="center"/>
              <w:rPr>
                <w:rFonts w:hint="eastAsia" w:ascii="宋体" w:hAnsi="宋体" w:cs="宋体"/>
                <w:kern w:val="0"/>
                <w:szCs w:val="21"/>
                <w:lang w:bidi="ar"/>
              </w:rPr>
            </w:pPr>
            <w:r>
              <w:rPr>
                <w:rFonts w:hint="eastAsia" w:ascii="宋体" w:hAnsi="宋体" w:cs="宋体"/>
                <w:kern w:val="0"/>
                <w:szCs w:val="21"/>
                <w:lang w:bidi="ar"/>
              </w:rPr>
              <w:t>W8</w:t>
            </w:r>
          </w:p>
        </w:tc>
        <w:tc>
          <w:tcPr>
            <w:tcW w:w="859" w:type="pct"/>
            <w:vAlign w:val="center"/>
          </w:tcPr>
          <w:p w14:paraId="40AD008F">
            <w:pPr>
              <w:widowControl/>
              <w:jc w:val="center"/>
              <w:rPr>
                <w:rFonts w:hint="eastAsia" w:ascii="宋体" w:hAnsi="宋体" w:cs="宋体"/>
                <w:kern w:val="0"/>
                <w:szCs w:val="21"/>
                <w:lang w:bidi="ar"/>
              </w:rPr>
            </w:pPr>
            <w:r>
              <w:rPr>
                <w:rFonts w:ascii="宋体" w:hAnsi="宋体" w:cs="宋体"/>
                <w:kern w:val="0"/>
                <w:szCs w:val="21"/>
                <w:lang w:bidi="ar"/>
              </w:rPr>
              <w:t>44°15'39.9</w:t>
            </w:r>
            <w:r>
              <w:rPr>
                <w:rFonts w:hint="eastAsia" w:ascii="宋体" w:hAnsi="宋体" w:cs="宋体"/>
                <w:kern w:val="0"/>
                <w:szCs w:val="21"/>
                <w:lang w:bidi="ar"/>
              </w:rPr>
              <w:t>3</w:t>
            </w:r>
            <w:r>
              <w:rPr>
                <w:rFonts w:ascii="宋体" w:hAnsi="宋体" w:cs="宋体"/>
                <w:kern w:val="0"/>
                <w:szCs w:val="21"/>
                <w:lang w:bidi="ar"/>
              </w:rPr>
              <w:t>"</w:t>
            </w:r>
          </w:p>
        </w:tc>
        <w:tc>
          <w:tcPr>
            <w:tcW w:w="974" w:type="pct"/>
            <w:vAlign w:val="center"/>
          </w:tcPr>
          <w:p w14:paraId="47FB55CD">
            <w:pPr>
              <w:widowControl/>
              <w:jc w:val="center"/>
              <w:rPr>
                <w:rFonts w:hint="eastAsia" w:ascii="宋体" w:hAnsi="宋体" w:cs="宋体"/>
                <w:kern w:val="0"/>
                <w:szCs w:val="21"/>
                <w:lang w:bidi="ar"/>
              </w:rPr>
            </w:pPr>
            <w:r>
              <w:rPr>
                <w:rFonts w:ascii="宋体" w:hAnsi="宋体" w:cs="宋体"/>
                <w:kern w:val="0"/>
                <w:szCs w:val="21"/>
                <w:lang w:bidi="ar"/>
              </w:rPr>
              <w:t>89°07'53.8</w:t>
            </w:r>
            <w:r>
              <w:rPr>
                <w:rFonts w:hint="eastAsia" w:ascii="宋体" w:hAnsi="宋体" w:cs="宋体"/>
                <w:kern w:val="0"/>
                <w:szCs w:val="21"/>
                <w:lang w:bidi="ar"/>
              </w:rPr>
              <w:t>2</w:t>
            </w:r>
            <w:r>
              <w:rPr>
                <w:rFonts w:ascii="宋体" w:hAnsi="宋体" w:cs="宋体"/>
                <w:kern w:val="0"/>
                <w:szCs w:val="21"/>
                <w:lang w:bidi="ar"/>
              </w:rPr>
              <w:t>"</w:t>
            </w:r>
          </w:p>
        </w:tc>
        <w:tc>
          <w:tcPr>
            <w:tcW w:w="568" w:type="pct"/>
            <w:vAlign w:val="center"/>
          </w:tcPr>
          <w:p w14:paraId="101769E0">
            <w:pPr>
              <w:pStyle w:val="278"/>
              <w:autoSpaceDE w:val="0"/>
              <w:autoSpaceDN w:val="0"/>
              <w:rPr>
                <w:rFonts w:hint="eastAsia" w:cs="宋体"/>
              </w:rPr>
            </w:pPr>
            <w:r>
              <w:rPr>
                <w:rFonts w:hint="eastAsia" w:cs="宋体"/>
              </w:rPr>
              <w:t>15</w:t>
            </w:r>
          </w:p>
        </w:tc>
        <w:tc>
          <w:tcPr>
            <w:tcW w:w="324" w:type="pct"/>
            <w:vMerge w:val="continue"/>
            <w:vAlign w:val="center"/>
          </w:tcPr>
          <w:p w14:paraId="6D456607">
            <w:pPr>
              <w:pStyle w:val="278"/>
              <w:autoSpaceDE w:val="0"/>
              <w:autoSpaceDN w:val="0"/>
              <w:rPr>
                <w:rFonts w:hint="eastAsia" w:cs="宋体"/>
              </w:rPr>
            </w:pPr>
          </w:p>
        </w:tc>
        <w:tc>
          <w:tcPr>
            <w:tcW w:w="454" w:type="pct"/>
            <w:vMerge w:val="continue"/>
            <w:vAlign w:val="center"/>
          </w:tcPr>
          <w:p w14:paraId="1A680877">
            <w:pPr>
              <w:pStyle w:val="278"/>
              <w:autoSpaceDE w:val="0"/>
              <w:autoSpaceDN w:val="0"/>
              <w:rPr>
                <w:rFonts w:hint="eastAsia" w:cs="宋体"/>
              </w:rPr>
            </w:pPr>
          </w:p>
        </w:tc>
      </w:tr>
      <w:tr w14:paraId="426A3B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755C251A">
            <w:pPr>
              <w:pStyle w:val="532"/>
              <w:rPr>
                <w:rFonts w:hint="eastAsia" w:ascii="宋体" w:eastAsia="宋体" w:cs="宋体"/>
              </w:rPr>
            </w:pPr>
          </w:p>
        </w:tc>
        <w:tc>
          <w:tcPr>
            <w:tcW w:w="455" w:type="pct"/>
            <w:vAlign w:val="center"/>
          </w:tcPr>
          <w:p w14:paraId="6B084A48">
            <w:pPr>
              <w:widowControl/>
              <w:jc w:val="center"/>
              <w:rPr>
                <w:rFonts w:hint="eastAsia" w:ascii="宋体" w:hAnsi="宋体" w:cs="宋体"/>
                <w:kern w:val="0"/>
                <w:szCs w:val="21"/>
                <w:lang w:bidi="ar"/>
              </w:rPr>
            </w:pPr>
            <w:r>
              <w:rPr>
                <w:rFonts w:hint="eastAsia" w:ascii="宋体" w:hAnsi="宋体" w:cs="宋体"/>
                <w:kern w:val="0"/>
                <w:szCs w:val="21"/>
                <w:lang w:bidi="ar"/>
              </w:rPr>
              <w:t>D8</w:t>
            </w:r>
          </w:p>
        </w:tc>
        <w:tc>
          <w:tcPr>
            <w:tcW w:w="340" w:type="pct"/>
            <w:vAlign w:val="center"/>
          </w:tcPr>
          <w:p w14:paraId="3816A577">
            <w:pPr>
              <w:widowControl/>
              <w:jc w:val="center"/>
              <w:rPr>
                <w:rFonts w:hint="eastAsia" w:ascii="宋体" w:hAnsi="宋体" w:cs="宋体"/>
                <w:kern w:val="0"/>
                <w:szCs w:val="21"/>
                <w:lang w:bidi="ar"/>
              </w:rPr>
            </w:pPr>
            <w:r>
              <w:rPr>
                <w:rFonts w:hint="eastAsia" w:ascii="宋体" w:hAnsi="宋体" w:cs="宋体"/>
                <w:kern w:val="0"/>
                <w:szCs w:val="21"/>
                <w:lang w:bidi="ar"/>
              </w:rPr>
              <w:t>W9</w:t>
            </w:r>
          </w:p>
        </w:tc>
        <w:tc>
          <w:tcPr>
            <w:tcW w:w="859" w:type="pct"/>
            <w:vAlign w:val="center"/>
          </w:tcPr>
          <w:p w14:paraId="57D6A311">
            <w:pPr>
              <w:widowControl/>
              <w:jc w:val="center"/>
              <w:rPr>
                <w:rFonts w:hint="eastAsia" w:ascii="宋体" w:hAnsi="宋体" w:cs="宋体"/>
                <w:kern w:val="0"/>
                <w:szCs w:val="21"/>
                <w:lang w:bidi="ar"/>
              </w:rPr>
            </w:pPr>
            <w:r>
              <w:rPr>
                <w:rFonts w:ascii="宋体" w:hAnsi="宋体" w:cs="宋体"/>
                <w:kern w:val="0"/>
                <w:szCs w:val="21"/>
                <w:lang w:bidi="ar"/>
              </w:rPr>
              <w:t>44°14'33.19"</w:t>
            </w:r>
          </w:p>
        </w:tc>
        <w:tc>
          <w:tcPr>
            <w:tcW w:w="974" w:type="pct"/>
            <w:vAlign w:val="center"/>
          </w:tcPr>
          <w:p w14:paraId="603A9F09">
            <w:pPr>
              <w:widowControl/>
              <w:jc w:val="center"/>
              <w:rPr>
                <w:rFonts w:hint="eastAsia" w:ascii="宋体" w:hAnsi="宋体" w:cs="宋体"/>
                <w:kern w:val="0"/>
                <w:szCs w:val="21"/>
                <w:lang w:bidi="ar"/>
              </w:rPr>
            </w:pPr>
            <w:r>
              <w:rPr>
                <w:rFonts w:ascii="宋体" w:hAnsi="宋体" w:cs="宋体"/>
                <w:kern w:val="0"/>
                <w:szCs w:val="21"/>
                <w:lang w:bidi="ar"/>
              </w:rPr>
              <w:t>89°07'38.77"</w:t>
            </w:r>
          </w:p>
        </w:tc>
        <w:tc>
          <w:tcPr>
            <w:tcW w:w="568" w:type="pct"/>
            <w:vAlign w:val="center"/>
          </w:tcPr>
          <w:p w14:paraId="43F410A2">
            <w:pPr>
              <w:pStyle w:val="278"/>
              <w:autoSpaceDE w:val="0"/>
              <w:autoSpaceDN w:val="0"/>
              <w:rPr>
                <w:rFonts w:hint="eastAsia" w:cs="宋体"/>
              </w:rPr>
            </w:pPr>
            <w:r>
              <w:rPr>
                <w:rFonts w:hint="eastAsia" w:cs="宋体"/>
              </w:rPr>
              <w:t>30</w:t>
            </w:r>
          </w:p>
        </w:tc>
        <w:tc>
          <w:tcPr>
            <w:tcW w:w="324" w:type="pct"/>
            <w:vMerge w:val="continue"/>
            <w:vAlign w:val="center"/>
          </w:tcPr>
          <w:p w14:paraId="052EF411">
            <w:pPr>
              <w:pStyle w:val="278"/>
              <w:autoSpaceDE w:val="0"/>
              <w:autoSpaceDN w:val="0"/>
              <w:rPr>
                <w:rFonts w:hint="eastAsia" w:cs="宋体"/>
              </w:rPr>
            </w:pPr>
          </w:p>
        </w:tc>
        <w:tc>
          <w:tcPr>
            <w:tcW w:w="454" w:type="pct"/>
            <w:vMerge w:val="continue"/>
            <w:vAlign w:val="center"/>
          </w:tcPr>
          <w:p w14:paraId="7555E226">
            <w:pPr>
              <w:pStyle w:val="278"/>
              <w:autoSpaceDE w:val="0"/>
              <w:autoSpaceDN w:val="0"/>
              <w:rPr>
                <w:rFonts w:hint="eastAsia" w:cs="宋体"/>
              </w:rPr>
            </w:pPr>
          </w:p>
        </w:tc>
      </w:tr>
      <w:tr w14:paraId="541E861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26" w:type="pct"/>
            <w:vMerge w:val="continue"/>
            <w:vAlign w:val="center"/>
          </w:tcPr>
          <w:p w14:paraId="00722AEE">
            <w:pPr>
              <w:pStyle w:val="532"/>
              <w:rPr>
                <w:rFonts w:hint="eastAsia" w:ascii="宋体" w:eastAsia="宋体" w:cs="宋体"/>
              </w:rPr>
            </w:pPr>
          </w:p>
        </w:tc>
        <w:tc>
          <w:tcPr>
            <w:tcW w:w="455" w:type="pct"/>
            <w:vAlign w:val="center"/>
          </w:tcPr>
          <w:p w14:paraId="36E5AF26">
            <w:pPr>
              <w:widowControl/>
              <w:jc w:val="center"/>
              <w:rPr>
                <w:rFonts w:hint="eastAsia" w:ascii="宋体" w:hAnsi="宋体" w:cs="宋体"/>
                <w:kern w:val="0"/>
                <w:szCs w:val="21"/>
                <w:lang w:bidi="ar"/>
              </w:rPr>
            </w:pPr>
            <w:r>
              <w:rPr>
                <w:rFonts w:hint="eastAsia" w:ascii="宋体" w:hAnsi="宋体" w:cs="宋体"/>
                <w:kern w:val="0"/>
                <w:szCs w:val="21"/>
                <w:lang w:bidi="ar"/>
              </w:rPr>
              <w:t>D10</w:t>
            </w:r>
          </w:p>
        </w:tc>
        <w:tc>
          <w:tcPr>
            <w:tcW w:w="340" w:type="pct"/>
            <w:vAlign w:val="center"/>
          </w:tcPr>
          <w:p w14:paraId="247D119C">
            <w:pPr>
              <w:widowControl/>
              <w:jc w:val="center"/>
              <w:rPr>
                <w:rFonts w:hint="eastAsia" w:ascii="宋体" w:hAnsi="宋体" w:cs="宋体"/>
                <w:kern w:val="0"/>
                <w:szCs w:val="21"/>
                <w:lang w:bidi="ar"/>
              </w:rPr>
            </w:pPr>
            <w:r>
              <w:rPr>
                <w:rFonts w:hint="eastAsia" w:ascii="宋体" w:hAnsi="宋体" w:cs="宋体"/>
                <w:kern w:val="0"/>
                <w:szCs w:val="21"/>
                <w:lang w:bidi="ar"/>
              </w:rPr>
              <w:t>W10</w:t>
            </w:r>
          </w:p>
        </w:tc>
        <w:tc>
          <w:tcPr>
            <w:tcW w:w="859" w:type="pct"/>
            <w:vAlign w:val="center"/>
          </w:tcPr>
          <w:p w14:paraId="6D195394">
            <w:pPr>
              <w:widowControl/>
              <w:jc w:val="center"/>
              <w:rPr>
                <w:rFonts w:hint="eastAsia" w:ascii="宋体" w:hAnsi="宋体" w:cs="宋体"/>
                <w:kern w:val="0"/>
                <w:szCs w:val="21"/>
                <w:lang w:bidi="ar"/>
              </w:rPr>
            </w:pPr>
            <w:r>
              <w:rPr>
                <w:rFonts w:ascii="宋体" w:hAnsi="宋体" w:cs="宋体"/>
                <w:kern w:val="0"/>
                <w:szCs w:val="21"/>
                <w:lang w:bidi="ar"/>
              </w:rPr>
              <w:t>44°11'49.66"</w:t>
            </w:r>
          </w:p>
        </w:tc>
        <w:tc>
          <w:tcPr>
            <w:tcW w:w="974" w:type="pct"/>
            <w:vAlign w:val="center"/>
          </w:tcPr>
          <w:p w14:paraId="7FA840A9">
            <w:pPr>
              <w:widowControl/>
              <w:jc w:val="center"/>
              <w:rPr>
                <w:rFonts w:hint="eastAsia" w:ascii="宋体" w:hAnsi="宋体" w:cs="宋体"/>
                <w:kern w:val="0"/>
                <w:szCs w:val="21"/>
                <w:lang w:bidi="ar"/>
              </w:rPr>
            </w:pPr>
            <w:r>
              <w:rPr>
                <w:rFonts w:ascii="宋体" w:hAnsi="宋体" w:cs="宋体"/>
                <w:kern w:val="0"/>
                <w:szCs w:val="21"/>
                <w:lang w:bidi="ar"/>
              </w:rPr>
              <w:t>89°08'08.15</w:t>
            </w:r>
          </w:p>
        </w:tc>
        <w:tc>
          <w:tcPr>
            <w:tcW w:w="568" w:type="pct"/>
            <w:vAlign w:val="center"/>
          </w:tcPr>
          <w:p w14:paraId="74C582CF">
            <w:pPr>
              <w:pStyle w:val="278"/>
              <w:autoSpaceDE w:val="0"/>
              <w:autoSpaceDN w:val="0"/>
              <w:rPr>
                <w:rFonts w:hint="eastAsia" w:cs="宋体"/>
              </w:rPr>
            </w:pPr>
            <w:r>
              <w:rPr>
                <w:rFonts w:hint="eastAsia" w:cs="宋体"/>
              </w:rPr>
              <w:t>30</w:t>
            </w:r>
          </w:p>
        </w:tc>
        <w:tc>
          <w:tcPr>
            <w:tcW w:w="324" w:type="pct"/>
            <w:vMerge w:val="continue"/>
            <w:vAlign w:val="center"/>
          </w:tcPr>
          <w:p w14:paraId="5838434C">
            <w:pPr>
              <w:pStyle w:val="278"/>
              <w:autoSpaceDE w:val="0"/>
              <w:autoSpaceDN w:val="0"/>
              <w:rPr>
                <w:rFonts w:hint="eastAsia" w:cs="宋体"/>
              </w:rPr>
            </w:pPr>
          </w:p>
        </w:tc>
        <w:tc>
          <w:tcPr>
            <w:tcW w:w="454" w:type="pct"/>
            <w:vMerge w:val="continue"/>
            <w:vAlign w:val="center"/>
          </w:tcPr>
          <w:p w14:paraId="017A9D72">
            <w:pPr>
              <w:pStyle w:val="278"/>
              <w:autoSpaceDE w:val="0"/>
              <w:autoSpaceDN w:val="0"/>
              <w:rPr>
                <w:rFonts w:hint="eastAsia" w:cs="宋体"/>
              </w:rPr>
            </w:pPr>
          </w:p>
        </w:tc>
      </w:tr>
      <w:bookmarkEnd w:id="384"/>
    </w:tbl>
    <w:p w14:paraId="320A7D84">
      <w:pPr>
        <w:pStyle w:val="191"/>
        <w:spacing w:line="360" w:lineRule="auto"/>
        <w:ind w:firstLine="0" w:firstLineChars="0"/>
        <w:jc w:val="center"/>
        <w:rPr>
          <w:rFonts w:hint="eastAsia"/>
        </w:rPr>
      </w:pPr>
      <w:r>
        <w:rPr>
          <w:rFonts w:hint="eastAsia"/>
        </w:rPr>
        <w:drawing>
          <wp:inline distT="0" distB="0" distL="0" distR="0">
            <wp:extent cx="5543550" cy="3608070"/>
            <wp:effectExtent l="0" t="0" r="0" b="0"/>
            <wp:docPr id="42336054" name="图片 2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6054" name="图片 27" descr="地图&#10;&#10;描述已自动生成"/>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43550" cy="3608070"/>
                    </a:xfrm>
                    <a:prstGeom prst="rect">
                      <a:avLst/>
                    </a:prstGeom>
                  </pic:spPr>
                </pic:pic>
              </a:graphicData>
            </a:graphic>
          </wp:inline>
        </w:drawing>
      </w:r>
    </w:p>
    <w:bookmarkEnd w:id="385"/>
    <w:p w14:paraId="577DF908">
      <w:pPr>
        <w:pStyle w:val="117"/>
        <w:adjustRightInd w:val="0"/>
        <w:snapToGrid w:val="0"/>
        <w:spacing w:line="240" w:lineRule="auto"/>
        <w:ind w:firstLine="0" w:firstLineChars="0"/>
        <w:jc w:val="center"/>
        <w:rPr>
          <w:rFonts w:hint="eastAsia" w:ascii="黑体" w:hAnsi="黑体" w:eastAsia="黑体"/>
          <w:sz w:val="21"/>
          <w:szCs w:val="21"/>
        </w:rPr>
      </w:pPr>
      <w:r>
        <w:rPr>
          <w:rFonts w:hint="eastAsia" w:ascii="黑体" w:hAnsi="黑体" w:eastAsia="黑体"/>
          <w:sz w:val="21"/>
          <w:szCs w:val="21"/>
        </w:rPr>
        <w:t>图4.3-2  地下水监测布点示意图（a）</w:t>
      </w:r>
    </w:p>
    <w:p w14:paraId="16C79E12">
      <w:pPr>
        <w:adjustRightInd w:val="0"/>
        <w:snapToGrid w:val="0"/>
        <w:spacing w:line="360" w:lineRule="auto"/>
        <w:rPr>
          <w:rFonts w:hint="eastAsia" w:ascii="宋体" w:hAnsi="宋体" w:cs="宋体"/>
          <w:sz w:val="24"/>
          <w:szCs w:val="24"/>
          <w:lang w:bidi="ar"/>
        </w:rPr>
      </w:pPr>
      <w:r>
        <w:rPr>
          <w:rFonts w:hint="eastAsia" w:ascii="宋体" w:hAnsi="宋体" w:cs="宋体"/>
          <w:sz w:val="24"/>
          <w:szCs w:val="24"/>
          <w:lang w:val="zh-CN" w:bidi="ar"/>
        </w:rPr>
        <w:drawing>
          <wp:inline distT="0" distB="0" distL="0" distR="0">
            <wp:extent cx="5543550" cy="3646170"/>
            <wp:effectExtent l="0" t="0" r="0" b="0"/>
            <wp:docPr id="498596603" name="图片 28"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596603" name="图片 28" descr="地图&#10;&#10;描述已自动生成"/>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43550" cy="3646170"/>
                    </a:xfrm>
                    <a:prstGeom prst="rect">
                      <a:avLst/>
                    </a:prstGeom>
                  </pic:spPr>
                </pic:pic>
              </a:graphicData>
            </a:graphic>
          </wp:inline>
        </w:drawing>
      </w:r>
    </w:p>
    <w:p w14:paraId="0307DD2D">
      <w:pPr>
        <w:pStyle w:val="117"/>
        <w:adjustRightInd w:val="0"/>
        <w:snapToGrid w:val="0"/>
        <w:spacing w:line="240" w:lineRule="auto"/>
        <w:ind w:firstLine="0" w:firstLineChars="0"/>
        <w:jc w:val="center"/>
        <w:rPr>
          <w:rFonts w:hint="eastAsia" w:ascii="黑体" w:hAnsi="黑体" w:eastAsia="黑体"/>
          <w:sz w:val="21"/>
          <w:szCs w:val="21"/>
        </w:rPr>
      </w:pPr>
      <w:r>
        <w:rPr>
          <w:rFonts w:hint="eastAsia" w:ascii="黑体" w:hAnsi="黑体" w:eastAsia="黑体"/>
          <w:sz w:val="21"/>
          <w:szCs w:val="21"/>
        </w:rPr>
        <w:t>图4.3-2  地下水监测布点示意图（b）</w:t>
      </w:r>
    </w:p>
    <w:p w14:paraId="0E560C7C">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（2）监测因子</w:t>
      </w:r>
    </w:p>
    <w:p w14:paraId="16299A1C">
      <w:pPr>
        <w:pStyle w:val="191"/>
        <w:ind w:firstLine="480"/>
        <w:rPr>
          <w:rFonts w:hint="eastAsia" w:cs="宋体"/>
          <w:lang w:bidi="ar"/>
        </w:rPr>
      </w:pPr>
      <w:r>
        <w:rPr>
          <w:rFonts w:hint="eastAsia"/>
          <w:bCs/>
        </w:rPr>
        <w:t>监测因子：</w:t>
      </w:r>
      <w:r>
        <w:rPr>
          <w:rFonts w:hint="eastAsia" w:cs="宋体"/>
          <w:bCs/>
        </w:rPr>
        <w:t>K</w:t>
      </w:r>
      <w:r>
        <w:rPr>
          <w:rFonts w:hint="eastAsia" w:cs="宋体"/>
          <w:bCs/>
          <w:vertAlign w:val="superscript"/>
        </w:rPr>
        <w:t>+</w:t>
      </w:r>
      <w:r>
        <w:rPr>
          <w:rFonts w:hint="eastAsia" w:cs="宋体"/>
          <w:bCs/>
        </w:rPr>
        <w:t>、Na</w:t>
      </w:r>
      <w:r>
        <w:rPr>
          <w:rFonts w:hint="eastAsia" w:cs="宋体"/>
          <w:bCs/>
          <w:vertAlign w:val="superscript"/>
        </w:rPr>
        <w:t>+</w:t>
      </w:r>
      <w:r>
        <w:rPr>
          <w:rFonts w:hint="eastAsia" w:cs="宋体"/>
          <w:bCs/>
        </w:rPr>
        <w:t>、Ca</w:t>
      </w:r>
      <w:r>
        <w:rPr>
          <w:rFonts w:hint="eastAsia" w:cs="宋体"/>
          <w:bCs/>
          <w:vertAlign w:val="superscript"/>
        </w:rPr>
        <w:t>2+</w:t>
      </w:r>
      <w:r>
        <w:rPr>
          <w:rFonts w:hint="eastAsia" w:cs="宋体"/>
          <w:bCs/>
        </w:rPr>
        <w:t>、Mg</w:t>
      </w:r>
      <w:r>
        <w:rPr>
          <w:rFonts w:hint="eastAsia" w:cs="宋体"/>
          <w:bCs/>
          <w:vertAlign w:val="superscript"/>
        </w:rPr>
        <w:t>2+</w:t>
      </w:r>
      <w:r>
        <w:rPr>
          <w:rFonts w:hint="eastAsia" w:cs="宋体"/>
          <w:bCs/>
        </w:rPr>
        <w:t>、CO</w:t>
      </w:r>
      <w:r>
        <w:rPr>
          <w:rFonts w:hint="eastAsia" w:cs="宋体"/>
          <w:bCs/>
          <w:vertAlign w:val="subscript"/>
        </w:rPr>
        <w:t>3</w:t>
      </w:r>
      <w:r>
        <w:rPr>
          <w:rFonts w:hint="eastAsia" w:cs="宋体"/>
          <w:bCs/>
          <w:vertAlign w:val="superscript"/>
        </w:rPr>
        <w:t>2-</w:t>
      </w:r>
      <w:r>
        <w:rPr>
          <w:rFonts w:hint="eastAsia" w:cs="宋体"/>
          <w:bCs/>
        </w:rPr>
        <w:t>、HCO</w:t>
      </w:r>
      <w:r>
        <w:rPr>
          <w:rFonts w:hint="eastAsia" w:cs="宋体"/>
          <w:bCs/>
          <w:vertAlign w:val="subscript"/>
        </w:rPr>
        <w:t>3</w:t>
      </w:r>
      <w:r>
        <w:rPr>
          <w:rFonts w:hint="eastAsia" w:cs="宋体"/>
          <w:bCs/>
          <w:vertAlign w:val="superscript"/>
        </w:rPr>
        <w:t>-</w:t>
      </w:r>
      <w:r>
        <w:rPr>
          <w:rFonts w:hint="eastAsia" w:cs="宋体"/>
          <w:bCs/>
        </w:rPr>
        <w:t>、Cl</w:t>
      </w:r>
      <w:r>
        <w:rPr>
          <w:rFonts w:hint="eastAsia" w:cs="宋体"/>
          <w:bCs/>
          <w:vertAlign w:val="superscript"/>
        </w:rPr>
        <w:t>-</w:t>
      </w:r>
      <w:r>
        <w:rPr>
          <w:rFonts w:hint="eastAsia" w:cs="宋体"/>
          <w:bCs/>
        </w:rPr>
        <w:t>、SO</w:t>
      </w:r>
      <w:r>
        <w:rPr>
          <w:rFonts w:hint="eastAsia" w:cs="宋体"/>
          <w:bCs/>
          <w:vertAlign w:val="subscript"/>
        </w:rPr>
        <w:t>4</w:t>
      </w:r>
      <w:r>
        <w:rPr>
          <w:rFonts w:hint="eastAsia" w:cs="宋体"/>
          <w:bCs/>
          <w:vertAlign w:val="superscript"/>
        </w:rPr>
        <w:t>2-</w:t>
      </w:r>
      <w:r>
        <w:rPr>
          <w:rFonts w:hint="eastAsia" w:cs="宋体"/>
          <w:bCs/>
        </w:rPr>
        <w:t>的浓度，pH、氨氮、硝酸盐氮、亚硝酸盐氮、挥发性酚类、氰化物、砷、汞、铬（六价）、总硬度、铅、氟化物、镉、铁、锰、溶解性总固体、耗氧量、硫酸盐、氯化物、石油类、总大肠菌群、细菌总数、色、浑浊度、肉眼可见物、钠、硫化物，水位。</w:t>
      </w:r>
    </w:p>
    <w:p w14:paraId="5509EC54">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（3）评价</w:t>
      </w:r>
      <w:r>
        <w:rPr>
          <w:rFonts w:ascii="宋体" w:hAnsi="宋体" w:cs="宋体"/>
          <w:sz w:val="24"/>
          <w:szCs w:val="24"/>
          <w:lang w:bidi="ar"/>
        </w:rPr>
        <w:t>标准</w:t>
      </w:r>
    </w:p>
    <w:p w14:paraId="51B91D88">
      <w:pPr>
        <w:adjustRightInd w:val="0"/>
        <w:snapToGrid w:val="0"/>
        <w:spacing w:line="500" w:lineRule="exact"/>
        <w:ind w:firstLine="480" w:firstLineChars="200"/>
        <w:rPr>
          <w:rFonts w:hint="eastAsia" w:ascii="宋体" w:hAnsi="宋体" w:cs="宋体"/>
          <w:sz w:val="24"/>
          <w:szCs w:val="24"/>
          <w:lang w:bidi="ar"/>
        </w:rPr>
      </w:pPr>
      <w:r>
        <w:rPr>
          <w:rFonts w:ascii="宋体" w:hAnsi="宋体" w:cs="宋体"/>
          <w:sz w:val="24"/>
          <w:szCs w:val="24"/>
          <w:lang w:bidi="ar"/>
        </w:rPr>
        <w:t>执行《地下水质量标准》（GB/T14848-</w:t>
      </w:r>
      <w:r>
        <w:rPr>
          <w:rFonts w:hint="eastAsia" w:ascii="宋体" w:hAnsi="宋体" w:cs="宋体"/>
          <w:sz w:val="24"/>
          <w:szCs w:val="24"/>
          <w:lang w:bidi="ar"/>
        </w:rPr>
        <w:t>2017</w:t>
      </w:r>
      <w:r>
        <w:rPr>
          <w:rFonts w:ascii="宋体" w:hAnsi="宋体" w:cs="宋体"/>
          <w:sz w:val="24"/>
          <w:szCs w:val="24"/>
          <w:lang w:bidi="ar"/>
        </w:rPr>
        <w:t>）</w:t>
      </w:r>
      <w:r>
        <w:rPr>
          <w:rFonts w:hint="eastAsia" w:ascii="宋体" w:hAnsi="宋体" w:cs="宋体"/>
          <w:sz w:val="24"/>
          <w:szCs w:val="24"/>
          <w:lang w:bidi="ar"/>
        </w:rPr>
        <w:t>Ⅲ</w:t>
      </w:r>
      <w:r>
        <w:rPr>
          <w:rFonts w:ascii="宋体" w:hAnsi="宋体" w:cs="宋体"/>
          <w:sz w:val="24"/>
          <w:szCs w:val="24"/>
          <w:lang w:bidi="ar"/>
        </w:rPr>
        <w:t>类标准</w:t>
      </w:r>
      <w:r>
        <w:rPr>
          <w:rFonts w:hint="eastAsia" w:ascii="宋体" w:hAnsi="宋体" w:cs="宋体"/>
          <w:sz w:val="24"/>
          <w:szCs w:val="24"/>
          <w:lang w:bidi="ar"/>
        </w:rPr>
        <w:t>，石油类参照《地表水环境质量标准》（GB3838-2002）中的Ⅲ类标准</w:t>
      </w:r>
      <w:r>
        <w:rPr>
          <w:rFonts w:ascii="宋体" w:hAnsi="宋体" w:cs="宋体"/>
          <w:sz w:val="24"/>
          <w:szCs w:val="24"/>
          <w:lang w:bidi="ar"/>
        </w:rPr>
        <w:t>。</w:t>
      </w:r>
    </w:p>
    <w:p w14:paraId="68B58B7C">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（4）</w:t>
      </w:r>
      <w:r>
        <w:rPr>
          <w:rFonts w:ascii="宋体" w:hAnsi="宋体" w:cs="宋体"/>
          <w:sz w:val="24"/>
          <w:szCs w:val="24"/>
          <w:lang w:bidi="ar"/>
        </w:rPr>
        <w:t>评价</w:t>
      </w:r>
      <w:r>
        <w:rPr>
          <w:rFonts w:hint="eastAsia" w:ascii="宋体" w:hAnsi="宋体" w:cs="宋体"/>
          <w:sz w:val="24"/>
          <w:szCs w:val="24"/>
          <w:lang w:bidi="ar"/>
        </w:rPr>
        <w:t>方法</w:t>
      </w:r>
    </w:p>
    <w:p w14:paraId="78BC2948">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采用单项标准指数法对地下水进行评价。</w:t>
      </w:r>
    </w:p>
    <w:p w14:paraId="2A8C15F0">
      <w:pPr>
        <w:adjustRightInd w:val="0"/>
        <w:snapToGrid w:val="0"/>
        <w:spacing w:line="500" w:lineRule="exact"/>
        <w:ind w:firstLine="496" w:firstLineChars="200"/>
        <w:jc w:val="center"/>
        <w:rPr>
          <w:rFonts w:hint="eastAsia" w:ascii="宋体" w:hAnsi="宋体" w:cs="宋体"/>
          <w:spacing w:val="4"/>
          <w:sz w:val="24"/>
          <w:szCs w:val="24"/>
        </w:rPr>
      </w:pPr>
      <w:bookmarkStart w:id="394" w:name="_Hlk78400630"/>
      <w:r>
        <w:rPr>
          <w:rFonts w:hint="eastAsia" w:ascii="宋体" w:hAnsi="宋体" w:cs="宋体"/>
          <w:spacing w:val="4"/>
          <w:sz w:val="24"/>
          <w:szCs w:val="24"/>
          <w:lang w:bidi="ar"/>
        </w:rPr>
        <w:t>P</w:t>
      </w:r>
      <w:r>
        <w:rPr>
          <w:rFonts w:hint="eastAsia" w:ascii="宋体" w:hAnsi="宋体" w:cs="宋体"/>
          <w:spacing w:val="4"/>
          <w:sz w:val="24"/>
          <w:szCs w:val="24"/>
          <w:vertAlign w:val="subscript"/>
          <w:lang w:bidi="ar"/>
        </w:rPr>
        <w:t>i</w:t>
      </w:r>
      <w:r>
        <w:rPr>
          <w:rFonts w:hint="eastAsia" w:ascii="宋体" w:hAnsi="宋体" w:cs="宋体"/>
          <w:spacing w:val="4"/>
          <w:sz w:val="24"/>
          <w:szCs w:val="24"/>
          <w:lang w:bidi="ar"/>
        </w:rPr>
        <w:t>=C</w:t>
      </w:r>
      <w:r>
        <w:rPr>
          <w:rFonts w:hint="eastAsia" w:ascii="宋体" w:hAnsi="宋体" w:cs="宋体"/>
          <w:spacing w:val="4"/>
          <w:sz w:val="24"/>
          <w:szCs w:val="24"/>
          <w:vertAlign w:val="subscript"/>
          <w:lang w:bidi="ar"/>
        </w:rPr>
        <w:t>i</w:t>
      </w:r>
      <w:r>
        <w:rPr>
          <w:rFonts w:hint="eastAsia" w:ascii="宋体" w:hAnsi="宋体" w:cs="宋体"/>
          <w:spacing w:val="4"/>
          <w:sz w:val="24"/>
          <w:szCs w:val="24"/>
          <w:lang w:bidi="ar"/>
        </w:rPr>
        <w:t>/C</w:t>
      </w:r>
      <w:r>
        <w:rPr>
          <w:rFonts w:hint="eastAsia" w:ascii="宋体" w:hAnsi="宋体" w:cs="宋体"/>
          <w:spacing w:val="4"/>
          <w:sz w:val="24"/>
          <w:szCs w:val="24"/>
          <w:vertAlign w:val="subscript"/>
          <w:lang w:bidi="ar"/>
        </w:rPr>
        <w:t>si</w:t>
      </w:r>
    </w:p>
    <w:p w14:paraId="5B3269DC">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式中：P</w:t>
      </w:r>
      <w:r>
        <w:rPr>
          <w:rFonts w:hint="eastAsia" w:ascii="宋体" w:hAnsi="宋体" w:cs="宋体"/>
          <w:sz w:val="24"/>
          <w:szCs w:val="24"/>
          <w:vertAlign w:val="subscript"/>
          <w:lang w:bidi="ar"/>
        </w:rPr>
        <w:t>i</w:t>
      </w:r>
      <w:r>
        <w:rPr>
          <w:rFonts w:hint="eastAsia" w:ascii="宋体" w:hAnsi="宋体" w:cs="宋体"/>
          <w:sz w:val="24"/>
          <w:szCs w:val="24"/>
          <w:lang w:bidi="ar"/>
        </w:rPr>
        <w:t>——水质单项标准指数；</w:t>
      </w:r>
    </w:p>
    <w:p w14:paraId="3813F650">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 xml:space="preserve">      C</w:t>
      </w:r>
      <w:r>
        <w:rPr>
          <w:rFonts w:hint="eastAsia" w:ascii="宋体" w:hAnsi="宋体" w:cs="宋体"/>
          <w:sz w:val="24"/>
          <w:szCs w:val="24"/>
          <w:vertAlign w:val="subscript"/>
          <w:lang w:bidi="ar"/>
        </w:rPr>
        <w:t>i,j</w:t>
      </w:r>
      <w:r>
        <w:rPr>
          <w:rFonts w:hint="eastAsia" w:ascii="宋体" w:hAnsi="宋体" w:cs="宋体"/>
          <w:sz w:val="24"/>
          <w:szCs w:val="24"/>
          <w:lang w:bidi="ar"/>
        </w:rPr>
        <w:t>——水质评价因子i在第j取样点的浓度，mg/L；</w:t>
      </w:r>
    </w:p>
    <w:p w14:paraId="70DD2949">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 xml:space="preserve">      C</w:t>
      </w:r>
      <w:r>
        <w:rPr>
          <w:rFonts w:hint="eastAsia" w:ascii="宋体" w:hAnsi="宋体" w:cs="宋体"/>
          <w:sz w:val="24"/>
          <w:szCs w:val="24"/>
          <w:vertAlign w:val="subscript"/>
          <w:lang w:bidi="ar"/>
        </w:rPr>
        <w:t xml:space="preserve">si </w:t>
      </w:r>
      <w:r>
        <w:rPr>
          <w:rFonts w:hint="eastAsia" w:ascii="宋体" w:hAnsi="宋体" w:cs="宋体"/>
          <w:sz w:val="24"/>
          <w:szCs w:val="24"/>
          <w:lang w:bidi="ar"/>
        </w:rPr>
        <w:t>——i因子的评价标准，mg/L；</w:t>
      </w:r>
    </w:p>
    <w:p w14:paraId="6F85C7A2">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pH的单项标准指数表达式为：</w:t>
      </w:r>
    </w:p>
    <w:p w14:paraId="7A488444">
      <w:pPr>
        <w:adjustRightInd w:val="0"/>
        <w:snapToGrid w:val="0"/>
        <w:spacing w:line="360" w:lineRule="auto"/>
        <w:ind w:firstLine="496" w:firstLineChars="200"/>
        <w:rPr>
          <w:rFonts w:hint="eastAsia" w:ascii="宋体" w:hAnsi="宋体" w:cs="宋体"/>
          <w:spacing w:val="4"/>
          <w:sz w:val="24"/>
          <w:szCs w:val="24"/>
        </w:rPr>
      </w:pPr>
      <w:r>
        <w:rPr>
          <w:rFonts w:hint="eastAsia" w:ascii="宋体" w:hAnsi="宋体" w:cs="宋体"/>
          <w:spacing w:val="4"/>
          <w:sz w:val="24"/>
          <w:szCs w:val="24"/>
          <w:lang w:bidi="ar"/>
        </w:rPr>
        <w:t>pH</w:t>
      </w:r>
      <w:r>
        <w:rPr>
          <w:rFonts w:hint="eastAsia" w:ascii="宋体" w:hAnsi="宋体" w:cs="宋体"/>
          <w:spacing w:val="4"/>
          <w:sz w:val="24"/>
          <w:szCs w:val="24"/>
          <w:vertAlign w:val="subscript"/>
          <w:lang w:bidi="ar"/>
        </w:rPr>
        <w:t>j</w:t>
      </w:r>
      <w:r>
        <w:rPr>
          <w:rFonts w:hint="eastAsia" w:ascii="宋体" w:hAnsi="宋体" w:cs="宋体"/>
          <w:spacing w:val="4"/>
          <w:sz w:val="24"/>
          <w:szCs w:val="24"/>
          <w:lang w:bidi="ar"/>
        </w:rPr>
        <w:t xml:space="preserve">≤7.0时；  </w:t>
      </w:r>
      <w:r>
        <w:rPr>
          <w:rFonts w:hint="eastAsia" w:ascii="宋体" w:hAnsi="宋体" w:cs="宋体"/>
          <w:spacing w:val="4"/>
          <w:position w:val="-30"/>
          <w:sz w:val="24"/>
          <w:szCs w:val="24"/>
          <w:lang w:bidi="ar"/>
        </w:rPr>
        <w:drawing>
          <wp:inline distT="0" distB="0" distL="0" distR="0">
            <wp:extent cx="1217295" cy="454660"/>
            <wp:effectExtent l="0" t="0" r="0" b="0"/>
            <wp:docPr id="2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217295" cy="454660"/>
                    </a:xfrm>
                    <a:prstGeom prst="rect">
                      <a:avLst/>
                    </a:prstGeom>
                    <a:noFill/>
                    <a:ln>
                      <a:noFill/>
                    </a:ln>
                  </pic:spPr>
                </pic:pic>
              </a:graphicData>
            </a:graphic>
          </wp:inline>
        </w:drawing>
      </w:r>
    </w:p>
    <w:p w14:paraId="4B070CA1">
      <w:pPr>
        <w:adjustRightInd w:val="0"/>
        <w:snapToGrid w:val="0"/>
        <w:spacing w:line="360" w:lineRule="auto"/>
        <w:ind w:firstLine="496" w:firstLineChars="200"/>
        <w:rPr>
          <w:rFonts w:hint="eastAsia" w:ascii="宋体" w:hAnsi="宋体" w:cs="宋体"/>
          <w:spacing w:val="4"/>
          <w:sz w:val="24"/>
          <w:szCs w:val="24"/>
        </w:rPr>
      </w:pPr>
      <w:r>
        <w:rPr>
          <w:rFonts w:hint="eastAsia" w:ascii="宋体" w:hAnsi="宋体" w:cs="宋体"/>
          <w:spacing w:val="4"/>
          <w:sz w:val="24"/>
          <w:szCs w:val="24"/>
          <w:lang w:bidi="ar"/>
        </w:rPr>
        <w:t>pH</w:t>
      </w:r>
      <w:r>
        <w:rPr>
          <w:rFonts w:hint="eastAsia" w:ascii="宋体" w:hAnsi="宋体" w:cs="宋体"/>
          <w:spacing w:val="4"/>
          <w:sz w:val="24"/>
          <w:szCs w:val="24"/>
          <w:vertAlign w:val="subscript"/>
          <w:lang w:bidi="ar"/>
        </w:rPr>
        <w:t>j</w:t>
      </w:r>
      <w:r>
        <w:rPr>
          <w:rFonts w:hint="eastAsia" w:ascii="宋体" w:hAnsi="宋体" w:cs="宋体"/>
          <w:spacing w:val="4"/>
          <w:sz w:val="24"/>
          <w:szCs w:val="24"/>
          <w:lang w:bidi="ar"/>
        </w:rPr>
        <w:t xml:space="preserve">＞7.0时；  </w:t>
      </w:r>
      <w:r>
        <w:rPr>
          <w:rFonts w:hint="eastAsia" w:ascii="宋体" w:hAnsi="宋体" w:cs="宋体"/>
          <w:spacing w:val="4"/>
          <w:position w:val="-30"/>
          <w:sz w:val="24"/>
          <w:szCs w:val="24"/>
          <w:lang w:bidi="ar"/>
        </w:rPr>
        <w:drawing>
          <wp:inline distT="0" distB="0" distL="0" distR="0">
            <wp:extent cx="1217295" cy="454660"/>
            <wp:effectExtent l="0" t="0" r="0" b="0"/>
            <wp:docPr id="2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217295" cy="454660"/>
                    </a:xfrm>
                    <a:prstGeom prst="rect">
                      <a:avLst/>
                    </a:prstGeom>
                    <a:noFill/>
                    <a:ln>
                      <a:noFill/>
                    </a:ln>
                  </pic:spPr>
                </pic:pic>
              </a:graphicData>
            </a:graphic>
          </wp:inline>
        </w:drawing>
      </w:r>
    </w:p>
    <w:p w14:paraId="687C53ED">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式中：S</w:t>
      </w:r>
      <w:r>
        <w:rPr>
          <w:rFonts w:hint="eastAsia" w:ascii="宋体" w:hAnsi="宋体" w:cs="宋体"/>
          <w:sz w:val="24"/>
          <w:szCs w:val="24"/>
          <w:vertAlign w:val="subscript"/>
          <w:lang w:bidi="ar"/>
        </w:rPr>
        <w:t>pH,j</w:t>
      </w:r>
      <w:r>
        <w:rPr>
          <w:rFonts w:hint="eastAsia" w:ascii="宋体" w:hAnsi="宋体" w:cs="宋体"/>
          <w:sz w:val="24"/>
          <w:szCs w:val="24"/>
          <w:lang w:bidi="ar"/>
        </w:rPr>
        <w:t>—pH标准指数；</w:t>
      </w:r>
    </w:p>
    <w:p w14:paraId="04ACAA54">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 xml:space="preserve">      pH</w:t>
      </w:r>
      <w:r>
        <w:rPr>
          <w:rFonts w:hint="eastAsia" w:ascii="宋体" w:hAnsi="宋体" w:cs="宋体"/>
          <w:sz w:val="24"/>
          <w:szCs w:val="24"/>
          <w:vertAlign w:val="subscript"/>
          <w:lang w:bidi="ar"/>
        </w:rPr>
        <w:t xml:space="preserve">j </w:t>
      </w:r>
      <w:r>
        <w:rPr>
          <w:rFonts w:hint="eastAsia" w:ascii="宋体" w:hAnsi="宋体" w:cs="宋体"/>
          <w:sz w:val="24"/>
          <w:szCs w:val="24"/>
          <w:lang w:bidi="ar"/>
        </w:rPr>
        <w:t>—j点实测pH值；</w:t>
      </w:r>
    </w:p>
    <w:p w14:paraId="6F0F1C53">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lang w:bidi="ar"/>
        </w:rPr>
        <w:t xml:space="preserve">      pH</w:t>
      </w:r>
      <w:r>
        <w:rPr>
          <w:rFonts w:hint="eastAsia" w:ascii="宋体" w:hAnsi="宋体" w:cs="宋体"/>
          <w:sz w:val="24"/>
          <w:szCs w:val="24"/>
          <w:vertAlign w:val="subscript"/>
          <w:lang w:bidi="ar"/>
        </w:rPr>
        <w:t>sd</w:t>
      </w:r>
      <w:r>
        <w:rPr>
          <w:rFonts w:hint="eastAsia" w:ascii="宋体" w:hAnsi="宋体" w:cs="宋体"/>
          <w:sz w:val="24"/>
          <w:szCs w:val="24"/>
          <w:lang w:bidi="ar"/>
        </w:rPr>
        <w:t>—标准中的pH值的下限值；</w:t>
      </w:r>
    </w:p>
    <w:p w14:paraId="63977447">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 xml:space="preserve">      pH</w:t>
      </w:r>
      <w:r>
        <w:rPr>
          <w:rFonts w:hint="eastAsia" w:ascii="宋体" w:hAnsi="宋体" w:cs="宋体"/>
          <w:sz w:val="24"/>
          <w:szCs w:val="24"/>
          <w:vertAlign w:val="subscript"/>
          <w:lang w:bidi="ar"/>
        </w:rPr>
        <w:t>SU</w:t>
      </w:r>
      <w:r>
        <w:rPr>
          <w:rFonts w:hint="eastAsia" w:ascii="宋体" w:hAnsi="宋体" w:cs="宋体"/>
          <w:sz w:val="24"/>
          <w:szCs w:val="24"/>
          <w:lang w:bidi="ar"/>
        </w:rPr>
        <w:t>—标准中的pH值的上限值。</w:t>
      </w:r>
      <w:bookmarkEnd w:id="394"/>
      <w:bookmarkStart w:id="395" w:name="_Hlk37437002"/>
    </w:p>
    <w:p w14:paraId="7F0F535B">
      <w:pPr>
        <w:adjustRightInd w:val="0"/>
        <w:snapToGrid w:val="0"/>
        <w:spacing w:line="500" w:lineRule="exact"/>
        <w:ind w:firstLine="420" w:firstLineChars="200"/>
        <w:rPr>
          <w:rFonts w:hint="eastAsia" w:ascii="宋体" w:hAnsi="宋体" w:cs="宋体"/>
          <w:sz w:val="24"/>
          <w:szCs w:val="24"/>
          <w:lang w:bidi="ar"/>
        </w:rPr>
      </w:pPr>
      <w:r>
        <w:rPr>
          <w:rFonts w:hint="eastAsia" w:cs="宋体"/>
          <w:lang w:bidi="ar"/>
        </w:rPr>
        <w:t>（</w:t>
      </w:r>
      <w:r>
        <w:rPr>
          <w:rFonts w:hint="eastAsia" w:ascii="宋体" w:hAnsi="宋体" w:cs="宋体"/>
          <w:sz w:val="24"/>
          <w:szCs w:val="24"/>
          <w:lang w:bidi="ar"/>
        </w:rPr>
        <w:t>5）评价结果</w:t>
      </w:r>
    </w:p>
    <w:p w14:paraId="2FD7A630">
      <w:pPr>
        <w:adjustRightInd w:val="0"/>
        <w:snapToGrid w:val="0"/>
        <w:spacing w:line="500" w:lineRule="exact"/>
        <w:ind w:firstLine="480" w:firstLineChars="200"/>
        <w:rPr>
          <w:rFonts w:hint="eastAsia" w:ascii="宋体" w:hAnsi="宋体" w:cs="宋体"/>
          <w:sz w:val="24"/>
          <w:szCs w:val="24"/>
          <w:lang w:bidi="ar"/>
        </w:rPr>
      </w:pPr>
      <w:r>
        <w:rPr>
          <w:rFonts w:hint="eastAsia" w:ascii="宋体" w:hAnsi="宋体" w:cs="宋体"/>
          <w:sz w:val="24"/>
          <w:szCs w:val="24"/>
          <w:lang w:bidi="ar"/>
        </w:rPr>
        <w:t>水质监测及评价结果见表</w:t>
      </w:r>
      <w:r>
        <w:rPr>
          <w:rFonts w:ascii="宋体" w:hAnsi="宋体" w:cs="宋体"/>
          <w:sz w:val="24"/>
          <w:szCs w:val="24"/>
          <w:lang w:bidi="ar"/>
        </w:rPr>
        <w:t>4.3</w:t>
      </w:r>
      <w:r>
        <w:rPr>
          <w:rFonts w:hint="eastAsia" w:ascii="宋体" w:hAnsi="宋体" w:cs="宋体"/>
          <w:sz w:val="24"/>
          <w:szCs w:val="24"/>
          <w:lang w:bidi="ar"/>
        </w:rPr>
        <w:t>-</w:t>
      </w:r>
      <w:r>
        <w:rPr>
          <w:rFonts w:ascii="宋体" w:hAnsi="宋体" w:cs="宋体"/>
          <w:sz w:val="24"/>
          <w:szCs w:val="24"/>
          <w:lang w:bidi="ar"/>
        </w:rPr>
        <w:t>5</w:t>
      </w:r>
      <w:r>
        <w:rPr>
          <w:rFonts w:hint="eastAsia" w:ascii="宋体" w:hAnsi="宋体" w:cs="宋体"/>
          <w:sz w:val="24"/>
          <w:szCs w:val="24"/>
          <w:lang w:bidi="ar"/>
        </w:rPr>
        <w:t>。</w:t>
      </w:r>
    </w:p>
    <w:p w14:paraId="5FD55AF6">
      <w:pPr>
        <w:adjustRightInd w:val="0"/>
        <w:snapToGrid w:val="0"/>
        <w:spacing w:line="500" w:lineRule="exact"/>
        <w:ind w:firstLine="480" w:firstLineChars="200"/>
        <w:rPr>
          <w:rStyle w:val="190"/>
          <w:rFonts w:hint="eastAsia"/>
        </w:rPr>
        <w:sectPr>
          <w:pgSz w:w="11906" w:h="16838"/>
          <w:pgMar w:top="1418" w:right="1588" w:bottom="1418" w:left="1588" w:header="1020" w:footer="1020" w:gutter="0"/>
          <w:cols w:space="720" w:num="1"/>
          <w:docGrid w:type="lines" w:linePitch="312" w:charSpace="0"/>
        </w:sectPr>
      </w:pPr>
    </w:p>
    <w:bookmarkEnd w:id="395"/>
    <w:p w14:paraId="7F88C2C7">
      <w:pPr>
        <w:pStyle w:val="15"/>
        <w:rPr>
          <w:rFonts w:hint="eastAsia"/>
        </w:rPr>
      </w:pPr>
      <w:bookmarkStart w:id="396" w:name="_Hlk520568237"/>
      <w:r>
        <w:rPr>
          <w:rStyle w:val="163"/>
          <w:rFonts w:hint="eastAsia"/>
        </w:rPr>
        <w:t>表</w:t>
      </w:r>
      <w:r>
        <w:rPr>
          <w:rStyle w:val="163"/>
        </w:rPr>
        <w:t>4.3</w:t>
      </w:r>
      <w:r>
        <w:rPr>
          <w:rStyle w:val="163"/>
          <w:rFonts w:hint="eastAsia"/>
        </w:rPr>
        <w:t>-6  地下水现状监测数据一览表    （单位：mg/L，pH无量纲）</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72"/>
        <w:gridCol w:w="1327"/>
        <w:gridCol w:w="745"/>
        <w:gridCol w:w="916"/>
        <w:gridCol w:w="647"/>
        <w:gridCol w:w="658"/>
        <w:gridCol w:w="978"/>
        <w:gridCol w:w="762"/>
        <w:gridCol w:w="866"/>
        <w:gridCol w:w="983"/>
        <w:gridCol w:w="748"/>
        <w:gridCol w:w="577"/>
        <w:gridCol w:w="908"/>
        <w:gridCol w:w="759"/>
        <w:gridCol w:w="636"/>
        <w:gridCol w:w="854"/>
        <w:gridCol w:w="759"/>
        <w:gridCol w:w="507"/>
      </w:tblGrid>
      <w:tr w14:paraId="02F00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vMerge w:val="restart"/>
            <w:tcMar>
              <w:left w:w="0" w:type="dxa"/>
              <w:right w:w="0" w:type="dxa"/>
            </w:tcMar>
            <w:vAlign w:val="center"/>
          </w:tcPr>
          <w:p w14:paraId="3CA53DE3">
            <w:pPr>
              <w:spacing w:line="300" w:lineRule="exact"/>
              <w:jc w:val="center"/>
              <w:rPr>
                <w:rFonts w:hint="eastAsia" w:ascii="宋体" w:hAnsi="宋体" w:cs="宋体"/>
                <w:kern w:val="0"/>
                <w:szCs w:val="21"/>
              </w:rPr>
            </w:pPr>
            <w:r>
              <w:rPr>
                <w:rFonts w:hint="eastAsia" w:ascii="宋体" w:hAnsi="宋体" w:cs="宋体"/>
                <w:kern w:val="0"/>
                <w:szCs w:val="21"/>
              </w:rPr>
              <w:t>序号</w:t>
            </w:r>
          </w:p>
        </w:tc>
        <w:tc>
          <w:tcPr>
            <w:tcW w:w="474" w:type="pct"/>
            <w:vMerge w:val="restart"/>
            <w:tcMar>
              <w:left w:w="0" w:type="dxa"/>
              <w:right w:w="0" w:type="dxa"/>
            </w:tcMar>
            <w:vAlign w:val="center"/>
          </w:tcPr>
          <w:p w14:paraId="2A43EF07">
            <w:pPr>
              <w:spacing w:line="300" w:lineRule="exact"/>
              <w:jc w:val="center"/>
              <w:rPr>
                <w:rFonts w:hint="eastAsia" w:ascii="宋体" w:hAnsi="宋体" w:cs="宋体"/>
                <w:kern w:val="0"/>
                <w:szCs w:val="21"/>
              </w:rPr>
            </w:pPr>
            <w:r>
              <w:rPr>
                <w:rFonts w:hint="eastAsia" w:ascii="宋体" w:hAnsi="宋体" w:cs="宋体"/>
                <w:kern w:val="0"/>
                <w:szCs w:val="21"/>
              </w:rPr>
              <w:t>监测</w:t>
            </w:r>
          </w:p>
          <w:p w14:paraId="0B35B6EA">
            <w:pPr>
              <w:spacing w:line="300" w:lineRule="exact"/>
              <w:jc w:val="center"/>
              <w:rPr>
                <w:rFonts w:hint="eastAsia" w:ascii="宋体" w:hAnsi="宋体" w:cs="宋体"/>
                <w:kern w:val="0"/>
                <w:szCs w:val="21"/>
              </w:rPr>
            </w:pPr>
            <w:r>
              <w:rPr>
                <w:rFonts w:hint="eastAsia" w:ascii="宋体" w:hAnsi="宋体" w:cs="宋体"/>
                <w:kern w:val="0"/>
                <w:szCs w:val="21"/>
              </w:rPr>
              <w:t>因子</w:t>
            </w:r>
          </w:p>
        </w:tc>
        <w:tc>
          <w:tcPr>
            <w:tcW w:w="266" w:type="pct"/>
            <w:vMerge w:val="restart"/>
            <w:tcMar>
              <w:left w:w="0" w:type="dxa"/>
              <w:right w:w="0" w:type="dxa"/>
            </w:tcMar>
            <w:vAlign w:val="center"/>
          </w:tcPr>
          <w:p w14:paraId="26B6DA8B">
            <w:pPr>
              <w:spacing w:line="300" w:lineRule="exact"/>
              <w:jc w:val="center"/>
              <w:rPr>
                <w:rFonts w:hint="eastAsia" w:ascii="宋体" w:hAnsi="宋体" w:cs="宋体"/>
                <w:kern w:val="0"/>
                <w:szCs w:val="21"/>
              </w:rPr>
            </w:pPr>
            <w:r>
              <w:rPr>
                <w:rFonts w:hint="eastAsia" w:ascii="宋体" w:hAnsi="宋体" w:cs="宋体"/>
                <w:kern w:val="0"/>
                <w:szCs w:val="21"/>
              </w:rPr>
              <w:t>标准限值</w:t>
            </w:r>
          </w:p>
          <w:p w14:paraId="4FEACE6D">
            <w:pPr>
              <w:spacing w:line="300" w:lineRule="exact"/>
              <w:jc w:val="center"/>
              <w:rPr>
                <w:rFonts w:hint="eastAsia" w:ascii="宋体" w:hAnsi="宋体" w:cs="宋体"/>
                <w:kern w:val="0"/>
                <w:szCs w:val="21"/>
              </w:rPr>
            </w:pPr>
            <w:r>
              <w:rPr>
                <w:rFonts w:hint="eastAsia" w:ascii="宋体" w:hAnsi="宋体" w:cs="宋体"/>
                <w:kern w:val="0"/>
                <w:szCs w:val="21"/>
              </w:rPr>
              <w:t>（Ⅲ类）</w:t>
            </w:r>
          </w:p>
        </w:tc>
        <w:tc>
          <w:tcPr>
            <w:tcW w:w="793" w:type="pct"/>
            <w:gridSpan w:val="3"/>
            <w:tcMar>
              <w:left w:w="0" w:type="dxa"/>
              <w:right w:w="0" w:type="dxa"/>
            </w:tcMar>
            <w:vAlign w:val="center"/>
          </w:tcPr>
          <w:p w14:paraId="7DFE13D2">
            <w:pPr>
              <w:spacing w:line="300" w:lineRule="exact"/>
              <w:jc w:val="center"/>
              <w:rPr>
                <w:rFonts w:hint="eastAsia" w:ascii="宋体" w:hAnsi="宋体" w:cs="宋体"/>
                <w:kern w:val="0"/>
                <w:szCs w:val="21"/>
              </w:rPr>
            </w:pPr>
            <w:r>
              <w:rPr>
                <w:rFonts w:hint="eastAsia" w:ascii="宋体" w:hAnsi="宋体" w:cs="宋体"/>
                <w:kern w:val="0"/>
                <w:szCs w:val="21"/>
              </w:rPr>
              <w:t>W1</w:t>
            </w:r>
          </w:p>
        </w:tc>
        <w:tc>
          <w:tcPr>
            <w:tcW w:w="930" w:type="pct"/>
            <w:gridSpan w:val="3"/>
            <w:tcMar>
              <w:left w:w="0" w:type="dxa"/>
              <w:right w:w="0" w:type="dxa"/>
            </w:tcMar>
            <w:vAlign w:val="center"/>
          </w:tcPr>
          <w:p w14:paraId="174B5288">
            <w:pPr>
              <w:spacing w:line="300" w:lineRule="exact"/>
              <w:jc w:val="center"/>
              <w:rPr>
                <w:rFonts w:hint="eastAsia" w:ascii="宋体" w:hAnsi="宋体" w:cs="宋体"/>
                <w:kern w:val="0"/>
                <w:szCs w:val="21"/>
              </w:rPr>
            </w:pPr>
            <w:r>
              <w:rPr>
                <w:rFonts w:hint="eastAsia" w:ascii="宋体" w:hAnsi="宋体" w:cs="宋体"/>
                <w:kern w:val="0"/>
                <w:szCs w:val="21"/>
              </w:rPr>
              <w:t>W2</w:t>
            </w:r>
          </w:p>
        </w:tc>
        <w:tc>
          <w:tcPr>
            <w:tcW w:w="824" w:type="pct"/>
            <w:gridSpan w:val="3"/>
            <w:tcMar>
              <w:left w:w="0" w:type="dxa"/>
              <w:right w:w="0" w:type="dxa"/>
            </w:tcMar>
            <w:vAlign w:val="center"/>
          </w:tcPr>
          <w:p w14:paraId="3FA9ECF8">
            <w:pPr>
              <w:spacing w:line="300" w:lineRule="exact"/>
              <w:jc w:val="center"/>
              <w:rPr>
                <w:rFonts w:hint="eastAsia" w:ascii="宋体" w:hAnsi="宋体" w:cs="宋体"/>
                <w:kern w:val="0"/>
                <w:szCs w:val="21"/>
              </w:rPr>
            </w:pPr>
            <w:r>
              <w:rPr>
                <w:rFonts w:hint="eastAsia" w:ascii="宋体" w:hAnsi="宋体" w:cs="宋体"/>
                <w:kern w:val="0"/>
                <w:szCs w:val="21"/>
              </w:rPr>
              <w:t>W3</w:t>
            </w:r>
          </w:p>
        </w:tc>
        <w:tc>
          <w:tcPr>
            <w:tcW w:w="822" w:type="pct"/>
            <w:gridSpan w:val="3"/>
            <w:tcMar>
              <w:left w:w="0" w:type="dxa"/>
              <w:right w:w="0" w:type="dxa"/>
            </w:tcMar>
            <w:vAlign w:val="center"/>
          </w:tcPr>
          <w:p w14:paraId="74F4BD75">
            <w:pPr>
              <w:spacing w:line="300" w:lineRule="exact"/>
              <w:jc w:val="center"/>
              <w:rPr>
                <w:rFonts w:hint="eastAsia" w:ascii="宋体" w:hAnsi="宋体" w:cs="宋体"/>
                <w:kern w:val="0"/>
                <w:szCs w:val="21"/>
              </w:rPr>
            </w:pPr>
            <w:r>
              <w:rPr>
                <w:rFonts w:hint="eastAsia" w:ascii="宋体" w:hAnsi="宋体" w:cs="宋体"/>
                <w:kern w:val="0"/>
                <w:szCs w:val="21"/>
              </w:rPr>
              <w:t>W4</w:t>
            </w:r>
          </w:p>
        </w:tc>
        <w:tc>
          <w:tcPr>
            <w:tcW w:w="757" w:type="pct"/>
            <w:gridSpan w:val="3"/>
            <w:tcMar>
              <w:left w:w="0" w:type="dxa"/>
              <w:right w:w="0" w:type="dxa"/>
            </w:tcMar>
            <w:vAlign w:val="center"/>
          </w:tcPr>
          <w:p w14:paraId="6C1529C3">
            <w:pPr>
              <w:spacing w:line="300" w:lineRule="exact"/>
              <w:jc w:val="center"/>
              <w:rPr>
                <w:rFonts w:hint="eastAsia" w:ascii="宋体" w:hAnsi="宋体" w:cs="宋体"/>
                <w:kern w:val="0"/>
                <w:szCs w:val="21"/>
              </w:rPr>
            </w:pPr>
            <w:r>
              <w:rPr>
                <w:rFonts w:hint="eastAsia" w:ascii="宋体" w:hAnsi="宋体" w:cs="宋体"/>
                <w:kern w:val="0"/>
                <w:szCs w:val="21"/>
              </w:rPr>
              <w:t>W5</w:t>
            </w:r>
          </w:p>
        </w:tc>
      </w:tr>
      <w:tr w14:paraId="7C54A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vMerge w:val="continue"/>
            <w:tcMar>
              <w:left w:w="0" w:type="dxa"/>
              <w:right w:w="0" w:type="dxa"/>
            </w:tcMar>
            <w:vAlign w:val="center"/>
          </w:tcPr>
          <w:p w14:paraId="4E113C86">
            <w:pPr>
              <w:spacing w:line="300" w:lineRule="exact"/>
              <w:jc w:val="center"/>
              <w:rPr>
                <w:rFonts w:hint="eastAsia" w:ascii="宋体" w:hAnsi="宋体" w:cs="宋体"/>
                <w:kern w:val="0"/>
                <w:szCs w:val="21"/>
              </w:rPr>
            </w:pPr>
          </w:p>
        </w:tc>
        <w:tc>
          <w:tcPr>
            <w:tcW w:w="474" w:type="pct"/>
            <w:vMerge w:val="continue"/>
            <w:tcMar>
              <w:left w:w="0" w:type="dxa"/>
              <w:right w:w="0" w:type="dxa"/>
            </w:tcMar>
            <w:vAlign w:val="center"/>
          </w:tcPr>
          <w:p w14:paraId="064BB069">
            <w:pPr>
              <w:spacing w:line="300" w:lineRule="exact"/>
              <w:jc w:val="center"/>
              <w:rPr>
                <w:rFonts w:hint="eastAsia" w:ascii="宋体" w:hAnsi="宋体" w:cs="宋体"/>
                <w:kern w:val="0"/>
                <w:szCs w:val="21"/>
              </w:rPr>
            </w:pPr>
          </w:p>
        </w:tc>
        <w:tc>
          <w:tcPr>
            <w:tcW w:w="266" w:type="pct"/>
            <w:vMerge w:val="continue"/>
            <w:tcMar>
              <w:left w:w="0" w:type="dxa"/>
              <w:right w:w="0" w:type="dxa"/>
            </w:tcMar>
            <w:vAlign w:val="center"/>
          </w:tcPr>
          <w:p w14:paraId="20BB5A74">
            <w:pPr>
              <w:spacing w:line="300" w:lineRule="exact"/>
              <w:jc w:val="center"/>
              <w:rPr>
                <w:rFonts w:hint="eastAsia" w:ascii="宋体" w:hAnsi="宋体" w:cs="宋体"/>
                <w:kern w:val="0"/>
                <w:szCs w:val="21"/>
              </w:rPr>
            </w:pPr>
          </w:p>
        </w:tc>
        <w:tc>
          <w:tcPr>
            <w:tcW w:w="327" w:type="pct"/>
            <w:tcMar>
              <w:left w:w="0" w:type="dxa"/>
              <w:right w:w="0" w:type="dxa"/>
            </w:tcMar>
            <w:vAlign w:val="center"/>
          </w:tcPr>
          <w:p w14:paraId="4E89D15B">
            <w:pPr>
              <w:spacing w:line="300" w:lineRule="exact"/>
              <w:jc w:val="center"/>
              <w:rPr>
                <w:rFonts w:hint="eastAsia" w:ascii="宋体" w:hAnsi="宋体" w:cs="宋体"/>
                <w:kern w:val="0"/>
                <w:szCs w:val="21"/>
              </w:rPr>
            </w:pPr>
            <w:r>
              <w:rPr>
                <w:rFonts w:hint="eastAsia" w:ascii="宋体" w:hAnsi="宋体" w:cs="宋体"/>
                <w:kern w:val="0"/>
                <w:szCs w:val="21"/>
              </w:rPr>
              <w:t>监测结果</w:t>
            </w:r>
          </w:p>
        </w:tc>
        <w:tc>
          <w:tcPr>
            <w:tcW w:w="231" w:type="pct"/>
            <w:tcMar>
              <w:left w:w="0" w:type="dxa"/>
              <w:right w:w="0" w:type="dxa"/>
            </w:tcMar>
            <w:vAlign w:val="center"/>
          </w:tcPr>
          <w:p w14:paraId="18317943">
            <w:pPr>
              <w:spacing w:line="300" w:lineRule="exact"/>
              <w:jc w:val="center"/>
              <w:rPr>
                <w:rFonts w:hint="eastAsia" w:ascii="宋体" w:hAnsi="宋体" w:cs="宋体"/>
                <w:kern w:val="0"/>
                <w:szCs w:val="21"/>
              </w:rPr>
            </w:pPr>
            <w:r>
              <w:rPr>
                <w:rFonts w:hint="eastAsia" w:ascii="宋体" w:hAnsi="宋体" w:cs="宋体"/>
                <w:kern w:val="0"/>
                <w:szCs w:val="21"/>
              </w:rPr>
              <w:t>标准指数</w:t>
            </w:r>
          </w:p>
        </w:tc>
        <w:tc>
          <w:tcPr>
            <w:tcW w:w="235" w:type="pct"/>
            <w:tcMar>
              <w:left w:w="0" w:type="dxa"/>
              <w:right w:w="0" w:type="dxa"/>
            </w:tcMar>
            <w:vAlign w:val="center"/>
          </w:tcPr>
          <w:p w14:paraId="3D05B3B7">
            <w:pPr>
              <w:spacing w:line="300" w:lineRule="exact"/>
              <w:jc w:val="center"/>
              <w:rPr>
                <w:rFonts w:hint="eastAsia" w:ascii="宋体" w:hAnsi="宋体" w:cs="宋体"/>
                <w:kern w:val="0"/>
                <w:szCs w:val="21"/>
              </w:rPr>
            </w:pPr>
            <w:r>
              <w:rPr>
                <w:rFonts w:hint="eastAsia" w:ascii="宋体" w:hAnsi="宋体" w:cs="宋体"/>
                <w:kern w:val="0"/>
                <w:szCs w:val="21"/>
              </w:rPr>
              <w:t>达标</w:t>
            </w:r>
          </w:p>
          <w:p w14:paraId="1ECC4C0C">
            <w:pPr>
              <w:spacing w:line="300" w:lineRule="exact"/>
              <w:jc w:val="center"/>
              <w:rPr>
                <w:rFonts w:hint="eastAsia" w:ascii="宋体" w:hAnsi="宋体" w:cs="宋体"/>
                <w:kern w:val="0"/>
                <w:szCs w:val="21"/>
              </w:rPr>
            </w:pPr>
            <w:r>
              <w:rPr>
                <w:rFonts w:hint="eastAsia" w:ascii="宋体" w:hAnsi="宋体" w:cs="宋体"/>
                <w:kern w:val="0"/>
                <w:szCs w:val="21"/>
              </w:rPr>
              <w:t>情况</w:t>
            </w:r>
          </w:p>
        </w:tc>
        <w:tc>
          <w:tcPr>
            <w:tcW w:w="349" w:type="pct"/>
            <w:tcMar>
              <w:left w:w="0" w:type="dxa"/>
              <w:right w:w="0" w:type="dxa"/>
            </w:tcMar>
            <w:vAlign w:val="center"/>
          </w:tcPr>
          <w:p w14:paraId="1E8E36A9">
            <w:pPr>
              <w:spacing w:line="300" w:lineRule="exact"/>
              <w:jc w:val="center"/>
              <w:rPr>
                <w:rFonts w:hint="eastAsia" w:ascii="宋体" w:hAnsi="宋体" w:cs="宋体"/>
                <w:kern w:val="0"/>
                <w:szCs w:val="21"/>
              </w:rPr>
            </w:pPr>
            <w:r>
              <w:rPr>
                <w:rFonts w:hint="eastAsia" w:ascii="宋体" w:hAnsi="宋体" w:cs="宋体"/>
                <w:kern w:val="0"/>
                <w:szCs w:val="21"/>
              </w:rPr>
              <w:t>监测结果</w:t>
            </w:r>
          </w:p>
        </w:tc>
        <w:tc>
          <w:tcPr>
            <w:tcW w:w="272" w:type="pct"/>
            <w:tcMar>
              <w:left w:w="0" w:type="dxa"/>
              <w:right w:w="0" w:type="dxa"/>
            </w:tcMar>
            <w:vAlign w:val="center"/>
          </w:tcPr>
          <w:p w14:paraId="50D3C41D">
            <w:pPr>
              <w:spacing w:line="300" w:lineRule="exact"/>
              <w:jc w:val="center"/>
              <w:rPr>
                <w:rFonts w:hint="eastAsia" w:ascii="宋体" w:hAnsi="宋体" w:cs="宋体"/>
                <w:kern w:val="0"/>
                <w:szCs w:val="21"/>
              </w:rPr>
            </w:pPr>
            <w:r>
              <w:rPr>
                <w:rFonts w:hint="eastAsia" w:ascii="宋体" w:hAnsi="宋体" w:cs="宋体"/>
                <w:kern w:val="0"/>
                <w:szCs w:val="21"/>
              </w:rPr>
              <w:t>标准指数</w:t>
            </w:r>
          </w:p>
        </w:tc>
        <w:tc>
          <w:tcPr>
            <w:tcW w:w="309" w:type="pct"/>
            <w:tcMar>
              <w:left w:w="0" w:type="dxa"/>
              <w:right w:w="0" w:type="dxa"/>
            </w:tcMar>
            <w:vAlign w:val="center"/>
          </w:tcPr>
          <w:p w14:paraId="67177AC1">
            <w:pPr>
              <w:spacing w:line="300" w:lineRule="exact"/>
              <w:jc w:val="center"/>
              <w:rPr>
                <w:rFonts w:hint="eastAsia" w:ascii="宋体" w:hAnsi="宋体" w:cs="宋体"/>
                <w:kern w:val="0"/>
                <w:szCs w:val="21"/>
              </w:rPr>
            </w:pPr>
            <w:r>
              <w:rPr>
                <w:rFonts w:hint="eastAsia" w:ascii="宋体" w:hAnsi="宋体" w:cs="宋体"/>
                <w:kern w:val="0"/>
                <w:szCs w:val="21"/>
              </w:rPr>
              <w:t>达标</w:t>
            </w:r>
          </w:p>
          <w:p w14:paraId="0ACD1F60">
            <w:pPr>
              <w:spacing w:line="300" w:lineRule="exact"/>
              <w:jc w:val="center"/>
              <w:rPr>
                <w:rFonts w:hint="eastAsia" w:ascii="宋体" w:hAnsi="宋体" w:cs="宋体"/>
                <w:kern w:val="0"/>
                <w:szCs w:val="21"/>
              </w:rPr>
            </w:pPr>
            <w:r>
              <w:rPr>
                <w:rFonts w:hint="eastAsia" w:ascii="宋体" w:hAnsi="宋体" w:cs="宋体"/>
                <w:kern w:val="0"/>
                <w:szCs w:val="21"/>
              </w:rPr>
              <w:t>情况</w:t>
            </w:r>
          </w:p>
        </w:tc>
        <w:tc>
          <w:tcPr>
            <w:tcW w:w="351" w:type="pct"/>
            <w:tcMar>
              <w:left w:w="0" w:type="dxa"/>
              <w:right w:w="0" w:type="dxa"/>
            </w:tcMar>
            <w:vAlign w:val="center"/>
          </w:tcPr>
          <w:p w14:paraId="7A395082">
            <w:pPr>
              <w:spacing w:line="300" w:lineRule="exact"/>
              <w:jc w:val="center"/>
              <w:rPr>
                <w:rFonts w:hint="eastAsia" w:ascii="宋体" w:hAnsi="宋体" w:cs="宋体"/>
                <w:kern w:val="0"/>
                <w:szCs w:val="21"/>
              </w:rPr>
            </w:pPr>
            <w:r>
              <w:rPr>
                <w:rFonts w:hint="eastAsia" w:ascii="宋体" w:hAnsi="宋体" w:cs="宋体"/>
                <w:kern w:val="0"/>
                <w:szCs w:val="21"/>
              </w:rPr>
              <w:t>监测结果</w:t>
            </w:r>
          </w:p>
        </w:tc>
        <w:tc>
          <w:tcPr>
            <w:tcW w:w="267" w:type="pct"/>
            <w:tcMar>
              <w:left w:w="0" w:type="dxa"/>
              <w:right w:w="0" w:type="dxa"/>
            </w:tcMar>
            <w:vAlign w:val="center"/>
          </w:tcPr>
          <w:p w14:paraId="03D272A2">
            <w:pPr>
              <w:spacing w:line="300" w:lineRule="exact"/>
              <w:jc w:val="center"/>
              <w:rPr>
                <w:rFonts w:hint="eastAsia" w:ascii="宋体" w:hAnsi="宋体" w:cs="宋体"/>
                <w:kern w:val="0"/>
                <w:szCs w:val="21"/>
              </w:rPr>
            </w:pPr>
            <w:r>
              <w:rPr>
                <w:rFonts w:hint="eastAsia" w:ascii="宋体" w:hAnsi="宋体" w:cs="宋体"/>
                <w:kern w:val="0"/>
                <w:szCs w:val="21"/>
              </w:rPr>
              <w:t>标准</w:t>
            </w:r>
          </w:p>
          <w:p w14:paraId="3B845771">
            <w:pPr>
              <w:spacing w:line="300" w:lineRule="exact"/>
              <w:jc w:val="center"/>
              <w:rPr>
                <w:rFonts w:hint="eastAsia" w:ascii="宋体" w:hAnsi="宋体" w:cs="宋体"/>
                <w:kern w:val="0"/>
                <w:szCs w:val="21"/>
              </w:rPr>
            </w:pPr>
            <w:r>
              <w:rPr>
                <w:rFonts w:hint="eastAsia" w:ascii="宋体" w:hAnsi="宋体" w:cs="宋体"/>
                <w:kern w:val="0"/>
                <w:szCs w:val="21"/>
              </w:rPr>
              <w:t>指数</w:t>
            </w:r>
          </w:p>
        </w:tc>
        <w:tc>
          <w:tcPr>
            <w:tcW w:w="206" w:type="pct"/>
            <w:tcMar>
              <w:left w:w="0" w:type="dxa"/>
              <w:right w:w="0" w:type="dxa"/>
            </w:tcMar>
            <w:vAlign w:val="center"/>
          </w:tcPr>
          <w:p w14:paraId="5F1B526E">
            <w:pPr>
              <w:spacing w:line="300" w:lineRule="exact"/>
              <w:jc w:val="center"/>
              <w:rPr>
                <w:rFonts w:hint="eastAsia" w:ascii="宋体" w:hAnsi="宋体" w:cs="宋体"/>
                <w:kern w:val="0"/>
                <w:szCs w:val="21"/>
              </w:rPr>
            </w:pPr>
            <w:r>
              <w:rPr>
                <w:rFonts w:hint="eastAsia" w:ascii="宋体" w:hAnsi="宋体" w:cs="宋体"/>
                <w:kern w:val="0"/>
                <w:szCs w:val="21"/>
              </w:rPr>
              <w:t>达标</w:t>
            </w:r>
          </w:p>
          <w:p w14:paraId="363631A2">
            <w:pPr>
              <w:spacing w:line="300" w:lineRule="exact"/>
              <w:jc w:val="center"/>
              <w:rPr>
                <w:rFonts w:hint="eastAsia" w:ascii="宋体" w:hAnsi="宋体" w:cs="宋体"/>
                <w:kern w:val="0"/>
                <w:szCs w:val="21"/>
              </w:rPr>
            </w:pPr>
            <w:r>
              <w:rPr>
                <w:rFonts w:hint="eastAsia" w:ascii="宋体" w:hAnsi="宋体" w:cs="宋体"/>
                <w:kern w:val="0"/>
                <w:szCs w:val="21"/>
              </w:rPr>
              <w:t>情况</w:t>
            </w:r>
          </w:p>
        </w:tc>
        <w:tc>
          <w:tcPr>
            <w:tcW w:w="324" w:type="pct"/>
            <w:tcMar>
              <w:left w:w="0" w:type="dxa"/>
              <w:right w:w="0" w:type="dxa"/>
            </w:tcMar>
            <w:vAlign w:val="center"/>
          </w:tcPr>
          <w:p w14:paraId="581AEE5D">
            <w:pPr>
              <w:spacing w:line="300" w:lineRule="exact"/>
              <w:jc w:val="center"/>
              <w:rPr>
                <w:rFonts w:hint="eastAsia" w:ascii="宋体" w:hAnsi="宋体" w:cs="宋体"/>
                <w:kern w:val="0"/>
                <w:szCs w:val="21"/>
              </w:rPr>
            </w:pPr>
            <w:r>
              <w:rPr>
                <w:rFonts w:hint="eastAsia" w:ascii="宋体" w:hAnsi="宋体" w:cs="宋体"/>
                <w:kern w:val="0"/>
                <w:szCs w:val="21"/>
              </w:rPr>
              <w:t>监测结果</w:t>
            </w:r>
          </w:p>
        </w:tc>
        <w:tc>
          <w:tcPr>
            <w:tcW w:w="271" w:type="pct"/>
            <w:tcMar>
              <w:left w:w="0" w:type="dxa"/>
              <w:right w:w="0" w:type="dxa"/>
            </w:tcMar>
            <w:vAlign w:val="center"/>
          </w:tcPr>
          <w:p w14:paraId="1C374FD0">
            <w:pPr>
              <w:spacing w:line="300" w:lineRule="exact"/>
              <w:jc w:val="center"/>
              <w:rPr>
                <w:rFonts w:hint="eastAsia" w:ascii="宋体" w:hAnsi="宋体" w:cs="宋体"/>
                <w:kern w:val="0"/>
                <w:szCs w:val="21"/>
              </w:rPr>
            </w:pPr>
            <w:r>
              <w:rPr>
                <w:rFonts w:hint="eastAsia" w:ascii="宋体" w:hAnsi="宋体" w:cs="宋体"/>
                <w:kern w:val="0"/>
                <w:szCs w:val="21"/>
              </w:rPr>
              <w:t>标准指数</w:t>
            </w:r>
          </w:p>
        </w:tc>
        <w:tc>
          <w:tcPr>
            <w:tcW w:w="227" w:type="pct"/>
            <w:tcMar>
              <w:left w:w="0" w:type="dxa"/>
              <w:right w:w="0" w:type="dxa"/>
            </w:tcMar>
            <w:vAlign w:val="center"/>
          </w:tcPr>
          <w:p w14:paraId="10FD92DE">
            <w:pPr>
              <w:spacing w:line="300" w:lineRule="exact"/>
              <w:jc w:val="center"/>
              <w:rPr>
                <w:rFonts w:hint="eastAsia" w:ascii="宋体" w:hAnsi="宋体" w:cs="宋体"/>
                <w:kern w:val="0"/>
                <w:szCs w:val="21"/>
              </w:rPr>
            </w:pPr>
            <w:r>
              <w:rPr>
                <w:rFonts w:hint="eastAsia" w:ascii="宋体" w:hAnsi="宋体" w:cs="宋体"/>
                <w:kern w:val="0"/>
                <w:szCs w:val="21"/>
              </w:rPr>
              <w:t>达标</w:t>
            </w:r>
          </w:p>
          <w:p w14:paraId="6AF7F9E1">
            <w:pPr>
              <w:spacing w:line="300" w:lineRule="exact"/>
              <w:jc w:val="center"/>
              <w:rPr>
                <w:rFonts w:hint="eastAsia" w:ascii="宋体" w:hAnsi="宋体" w:cs="宋体"/>
                <w:kern w:val="0"/>
                <w:szCs w:val="21"/>
              </w:rPr>
            </w:pPr>
            <w:r>
              <w:rPr>
                <w:rFonts w:hint="eastAsia" w:ascii="宋体" w:hAnsi="宋体" w:cs="宋体"/>
                <w:kern w:val="0"/>
                <w:szCs w:val="21"/>
              </w:rPr>
              <w:t>情况</w:t>
            </w:r>
          </w:p>
        </w:tc>
        <w:tc>
          <w:tcPr>
            <w:tcW w:w="305" w:type="pct"/>
            <w:tcMar>
              <w:left w:w="0" w:type="dxa"/>
              <w:right w:w="0" w:type="dxa"/>
            </w:tcMar>
            <w:vAlign w:val="center"/>
          </w:tcPr>
          <w:p w14:paraId="463A2586">
            <w:pPr>
              <w:spacing w:line="300" w:lineRule="exact"/>
              <w:jc w:val="center"/>
              <w:rPr>
                <w:rFonts w:hint="eastAsia" w:ascii="宋体" w:hAnsi="宋体" w:cs="宋体"/>
                <w:kern w:val="0"/>
                <w:szCs w:val="21"/>
              </w:rPr>
            </w:pPr>
            <w:r>
              <w:rPr>
                <w:rFonts w:hint="eastAsia" w:ascii="宋体" w:hAnsi="宋体" w:cs="宋体"/>
                <w:kern w:val="0"/>
                <w:szCs w:val="21"/>
              </w:rPr>
              <w:t>监测结果</w:t>
            </w:r>
          </w:p>
        </w:tc>
        <w:tc>
          <w:tcPr>
            <w:tcW w:w="271" w:type="pct"/>
            <w:tcMar>
              <w:left w:w="0" w:type="dxa"/>
              <w:right w:w="0" w:type="dxa"/>
            </w:tcMar>
            <w:vAlign w:val="center"/>
          </w:tcPr>
          <w:p w14:paraId="3FBE5807">
            <w:pPr>
              <w:spacing w:line="300" w:lineRule="exact"/>
              <w:jc w:val="center"/>
              <w:rPr>
                <w:rFonts w:hint="eastAsia" w:ascii="宋体" w:hAnsi="宋体" w:cs="宋体"/>
                <w:kern w:val="0"/>
                <w:szCs w:val="21"/>
              </w:rPr>
            </w:pPr>
            <w:r>
              <w:rPr>
                <w:rFonts w:hint="eastAsia" w:ascii="宋体" w:hAnsi="宋体" w:cs="宋体"/>
                <w:kern w:val="0"/>
                <w:szCs w:val="21"/>
              </w:rPr>
              <w:t>标准</w:t>
            </w:r>
          </w:p>
          <w:p w14:paraId="0443CFED">
            <w:pPr>
              <w:spacing w:line="300" w:lineRule="exact"/>
              <w:jc w:val="center"/>
              <w:rPr>
                <w:rFonts w:hint="eastAsia" w:ascii="宋体" w:hAnsi="宋体" w:cs="宋体"/>
                <w:kern w:val="0"/>
                <w:szCs w:val="21"/>
              </w:rPr>
            </w:pPr>
            <w:r>
              <w:rPr>
                <w:rFonts w:hint="eastAsia" w:ascii="宋体" w:hAnsi="宋体" w:cs="宋体"/>
                <w:kern w:val="0"/>
                <w:szCs w:val="21"/>
              </w:rPr>
              <w:t>指数</w:t>
            </w:r>
          </w:p>
        </w:tc>
        <w:tc>
          <w:tcPr>
            <w:tcW w:w="181" w:type="pct"/>
            <w:tcMar>
              <w:left w:w="0" w:type="dxa"/>
              <w:right w:w="0" w:type="dxa"/>
            </w:tcMar>
            <w:vAlign w:val="center"/>
          </w:tcPr>
          <w:p w14:paraId="388C603C">
            <w:pPr>
              <w:spacing w:line="300" w:lineRule="exact"/>
              <w:jc w:val="center"/>
              <w:rPr>
                <w:rFonts w:hint="eastAsia" w:ascii="宋体" w:hAnsi="宋体" w:cs="宋体"/>
                <w:kern w:val="0"/>
                <w:szCs w:val="21"/>
              </w:rPr>
            </w:pPr>
            <w:r>
              <w:rPr>
                <w:rFonts w:hint="eastAsia" w:ascii="宋体" w:hAnsi="宋体" w:cs="宋体"/>
                <w:kern w:val="0"/>
                <w:szCs w:val="21"/>
              </w:rPr>
              <w:t>达标情况</w:t>
            </w:r>
          </w:p>
        </w:tc>
      </w:tr>
      <w:tr w14:paraId="696D68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577AAC61">
            <w:pPr>
              <w:spacing w:line="300" w:lineRule="exact"/>
              <w:jc w:val="center"/>
              <w:rPr>
                <w:rFonts w:hint="eastAsia" w:ascii="宋体" w:hAnsi="宋体" w:cs="宋体"/>
                <w:kern w:val="0"/>
                <w:szCs w:val="21"/>
              </w:rPr>
            </w:pPr>
            <w:r>
              <w:rPr>
                <w:rFonts w:hint="eastAsia" w:ascii="宋体" w:hAnsi="宋体" w:cs="宋体"/>
                <w:kern w:val="0"/>
                <w:szCs w:val="21"/>
              </w:rPr>
              <w:t>1</w:t>
            </w:r>
          </w:p>
        </w:tc>
        <w:tc>
          <w:tcPr>
            <w:tcW w:w="474" w:type="pct"/>
            <w:tcMar>
              <w:left w:w="0" w:type="dxa"/>
              <w:right w:w="0" w:type="dxa"/>
            </w:tcMar>
            <w:vAlign w:val="center"/>
          </w:tcPr>
          <w:p w14:paraId="1833EC91">
            <w:pPr>
              <w:spacing w:line="300" w:lineRule="exact"/>
              <w:jc w:val="center"/>
              <w:rPr>
                <w:rFonts w:hint="eastAsia" w:ascii="宋体" w:hAnsi="宋体" w:cs="宋体"/>
                <w:kern w:val="0"/>
                <w:szCs w:val="21"/>
              </w:rPr>
            </w:pPr>
            <w:r>
              <w:rPr>
                <w:rFonts w:hint="eastAsia" w:ascii="宋体" w:hAnsi="宋体" w:cs="宋体"/>
                <w:kern w:val="0"/>
                <w:szCs w:val="21"/>
              </w:rPr>
              <w:t>pH</w:t>
            </w:r>
          </w:p>
        </w:tc>
        <w:tc>
          <w:tcPr>
            <w:tcW w:w="266" w:type="pct"/>
            <w:tcMar>
              <w:left w:w="0" w:type="dxa"/>
              <w:right w:w="0" w:type="dxa"/>
            </w:tcMar>
            <w:vAlign w:val="center"/>
          </w:tcPr>
          <w:p w14:paraId="1B073CA9">
            <w:pPr>
              <w:spacing w:line="300" w:lineRule="exact"/>
              <w:jc w:val="center"/>
              <w:rPr>
                <w:rFonts w:hint="eastAsia" w:ascii="宋体" w:hAnsi="宋体" w:cs="宋体"/>
                <w:kern w:val="0"/>
                <w:szCs w:val="21"/>
              </w:rPr>
            </w:pPr>
            <w:r>
              <w:rPr>
                <w:rFonts w:hint="eastAsia" w:ascii="宋体" w:hAnsi="宋体" w:cs="宋体"/>
                <w:kern w:val="0"/>
                <w:szCs w:val="21"/>
              </w:rPr>
              <w:t>6.5～8.5</w:t>
            </w:r>
          </w:p>
        </w:tc>
        <w:tc>
          <w:tcPr>
            <w:tcW w:w="327" w:type="pct"/>
            <w:tcMar>
              <w:left w:w="0" w:type="dxa"/>
              <w:right w:w="0" w:type="dxa"/>
            </w:tcMar>
            <w:vAlign w:val="center"/>
          </w:tcPr>
          <w:p w14:paraId="7FAEEBE5">
            <w:pPr>
              <w:spacing w:line="300" w:lineRule="exact"/>
              <w:jc w:val="center"/>
              <w:rPr>
                <w:rFonts w:hint="eastAsia" w:ascii="宋体" w:hAnsi="宋体" w:cs="宋体"/>
                <w:kern w:val="0"/>
                <w:szCs w:val="21"/>
              </w:rPr>
            </w:pPr>
            <w:r>
              <w:rPr>
                <w:rFonts w:hint="eastAsia" w:ascii="宋体" w:hAnsi="宋体" w:cs="宋体"/>
                <w:spacing w:val="1"/>
                <w:szCs w:val="21"/>
              </w:rPr>
              <w:t>7.7</w:t>
            </w:r>
          </w:p>
        </w:tc>
        <w:tc>
          <w:tcPr>
            <w:tcW w:w="231" w:type="pct"/>
            <w:tcMar>
              <w:left w:w="0" w:type="dxa"/>
              <w:right w:w="0" w:type="dxa"/>
            </w:tcMar>
            <w:vAlign w:val="center"/>
          </w:tcPr>
          <w:p w14:paraId="749C9B7C">
            <w:pPr>
              <w:spacing w:line="300" w:lineRule="exact"/>
              <w:jc w:val="center"/>
              <w:rPr>
                <w:rFonts w:hint="eastAsia" w:ascii="宋体" w:hAnsi="宋体" w:cs="宋体"/>
                <w:kern w:val="0"/>
                <w:szCs w:val="21"/>
              </w:rPr>
            </w:pPr>
            <w:r>
              <w:rPr>
                <w:rFonts w:hint="eastAsia" w:ascii="宋体" w:hAnsi="宋体" w:cs="宋体"/>
                <w:kern w:val="0"/>
                <w:szCs w:val="21"/>
              </w:rPr>
              <w:t>0.4667</w:t>
            </w:r>
          </w:p>
        </w:tc>
        <w:tc>
          <w:tcPr>
            <w:tcW w:w="235" w:type="pct"/>
            <w:tcMar>
              <w:left w:w="0" w:type="dxa"/>
              <w:right w:w="0" w:type="dxa"/>
            </w:tcMar>
            <w:vAlign w:val="center"/>
          </w:tcPr>
          <w:p w14:paraId="3705E87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8B335C0">
            <w:pPr>
              <w:spacing w:line="300" w:lineRule="exact"/>
              <w:jc w:val="center"/>
              <w:rPr>
                <w:rFonts w:hint="eastAsia" w:ascii="宋体" w:hAnsi="宋体" w:cs="宋体"/>
                <w:kern w:val="0"/>
                <w:szCs w:val="21"/>
              </w:rPr>
            </w:pPr>
            <w:r>
              <w:rPr>
                <w:rFonts w:hint="eastAsia" w:ascii="宋体" w:hAnsi="宋体" w:cs="宋体"/>
                <w:spacing w:val="1"/>
                <w:szCs w:val="21"/>
              </w:rPr>
              <w:t>7.6</w:t>
            </w:r>
          </w:p>
        </w:tc>
        <w:tc>
          <w:tcPr>
            <w:tcW w:w="272" w:type="pct"/>
            <w:tcMar>
              <w:left w:w="0" w:type="dxa"/>
              <w:right w:w="0" w:type="dxa"/>
            </w:tcMar>
            <w:vAlign w:val="center"/>
          </w:tcPr>
          <w:p w14:paraId="0E220CE0">
            <w:pPr>
              <w:spacing w:line="300" w:lineRule="exact"/>
              <w:jc w:val="center"/>
              <w:rPr>
                <w:rFonts w:hint="eastAsia" w:ascii="宋体" w:hAnsi="宋体" w:cs="宋体"/>
                <w:kern w:val="0"/>
                <w:szCs w:val="21"/>
              </w:rPr>
            </w:pPr>
            <w:r>
              <w:rPr>
                <w:rFonts w:hint="eastAsia" w:ascii="宋体" w:hAnsi="宋体" w:cs="宋体"/>
                <w:kern w:val="0"/>
                <w:szCs w:val="21"/>
              </w:rPr>
              <w:t>0.4</w:t>
            </w:r>
          </w:p>
        </w:tc>
        <w:tc>
          <w:tcPr>
            <w:tcW w:w="309" w:type="pct"/>
            <w:tcMar>
              <w:left w:w="0" w:type="dxa"/>
              <w:right w:w="0" w:type="dxa"/>
            </w:tcMar>
            <w:vAlign w:val="center"/>
          </w:tcPr>
          <w:p w14:paraId="4B54A63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097A938F">
            <w:pPr>
              <w:spacing w:line="300" w:lineRule="exact"/>
              <w:jc w:val="center"/>
              <w:rPr>
                <w:rFonts w:hint="eastAsia" w:ascii="宋体" w:hAnsi="宋体" w:cs="宋体"/>
                <w:kern w:val="0"/>
                <w:szCs w:val="21"/>
              </w:rPr>
            </w:pPr>
            <w:r>
              <w:rPr>
                <w:rFonts w:hint="eastAsia" w:ascii="宋体" w:hAnsi="宋体" w:cs="宋体"/>
                <w:spacing w:val="1"/>
                <w:szCs w:val="21"/>
              </w:rPr>
              <w:t>7.5</w:t>
            </w:r>
          </w:p>
        </w:tc>
        <w:tc>
          <w:tcPr>
            <w:tcW w:w="267" w:type="pct"/>
            <w:tcMar>
              <w:left w:w="0" w:type="dxa"/>
              <w:right w:w="0" w:type="dxa"/>
            </w:tcMar>
            <w:vAlign w:val="center"/>
          </w:tcPr>
          <w:p w14:paraId="3E7B922B">
            <w:pPr>
              <w:spacing w:line="300" w:lineRule="exact"/>
              <w:jc w:val="center"/>
              <w:rPr>
                <w:rFonts w:hint="eastAsia" w:ascii="宋体" w:hAnsi="宋体" w:cs="宋体"/>
                <w:kern w:val="0"/>
                <w:szCs w:val="21"/>
              </w:rPr>
            </w:pPr>
            <w:r>
              <w:rPr>
                <w:rFonts w:hint="eastAsia" w:ascii="宋体" w:hAnsi="宋体" w:cs="宋体"/>
                <w:kern w:val="0"/>
                <w:szCs w:val="21"/>
              </w:rPr>
              <w:t>0.3333</w:t>
            </w:r>
          </w:p>
        </w:tc>
        <w:tc>
          <w:tcPr>
            <w:tcW w:w="206" w:type="pct"/>
            <w:tcMar>
              <w:left w:w="0" w:type="dxa"/>
              <w:right w:w="0" w:type="dxa"/>
            </w:tcMar>
            <w:vAlign w:val="center"/>
          </w:tcPr>
          <w:p w14:paraId="25A33E7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29FE93F">
            <w:pPr>
              <w:spacing w:line="300" w:lineRule="exact"/>
              <w:jc w:val="center"/>
              <w:rPr>
                <w:rFonts w:hint="eastAsia" w:ascii="宋体" w:hAnsi="宋体" w:cs="宋体"/>
                <w:kern w:val="0"/>
                <w:szCs w:val="21"/>
              </w:rPr>
            </w:pPr>
            <w:r>
              <w:rPr>
                <w:rFonts w:hint="eastAsia" w:ascii="宋体" w:hAnsi="宋体" w:cs="宋体"/>
                <w:spacing w:val="1"/>
                <w:szCs w:val="21"/>
              </w:rPr>
              <w:t>7.7</w:t>
            </w:r>
          </w:p>
        </w:tc>
        <w:tc>
          <w:tcPr>
            <w:tcW w:w="271" w:type="pct"/>
            <w:tcMar>
              <w:left w:w="0" w:type="dxa"/>
              <w:right w:w="0" w:type="dxa"/>
            </w:tcMar>
            <w:vAlign w:val="center"/>
          </w:tcPr>
          <w:p w14:paraId="4BC3C817">
            <w:pPr>
              <w:spacing w:line="300" w:lineRule="exact"/>
              <w:jc w:val="center"/>
              <w:rPr>
                <w:rFonts w:hint="eastAsia" w:ascii="宋体" w:hAnsi="宋体" w:cs="宋体"/>
                <w:kern w:val="0"/>
                <w:szCs w:val="21"/>
              </w:rPr>
            </w:pPr>
            <w:r>
              <w:rPr>
                <w:rFonts w:hint="eastAsia" w:ascii="宋体" w:hAnsi="宋体" w:cs="宋体"/>
                <w:kern w:val="0"/>
                <w:szCs w:val="21"/>
              </w:rPr>
              <w:t>0.4667</w:t>
            </w:r>
          </w:p>
        </w:tc>
        <w:tc>
          <w:tcPr>
            <w:tcW w:w="227" w:type="pct"/>
            <w:tcMar>
              <w:left w:w="0" w:type="dxa"/>
              <w:right w:w="0" w:type="dxa"/>
            </w:tcMar>
            <w:vAlign w:val="center"/>
          </w:tcPr>
          <w:p w14:paraId="30DFE8A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18ED5EC2">
            <w:pPr>
              <w:spacing w:line="300" w:lineRule="exact"/>
              <w:jc w:val="center"/>
              <w:rPr>
                <w:rFonts w:hint="eastAsia" w:ascii="宋体" w:hAnsi="宋体" w:cs="宋体"/>
                <w:kern w:val="0"/>
                <w:szCs w:val="21"/>
              </w:rPr>
            </w:pPr>
            <w:r>
              <w:rPr>
                <w:rFonts w:hint="eastAsia" w:ascii="宋体" w:hAnsi="宋体" w:cs="宋体"/>
                <w:spacing w:val="1"/>
                <w:szCs w:val="21"/>
              </w:rPr>
              <w:t>7.6</w:t>
            </w:r>
          </w:p>
        </w:tc>
        <w:tc>
          <w:tcPr>
            <w:tcW w:w="271" w:type="pct"/>
            <w:tcMar>
              <w:left w:w="0" w:type="dxa"/>
              <w:right w:w="0" w:type="dxa"/>
            </w:tcMar>
            <w:vAlign w:val="center"/>
          </w:tcPr>
          <w:p w14:paraId="6558F744">
            <w:pPr>
              <w:spacing w:line="300" w:lineRule="exact"/>
              <w:jc w:val="center"/>
              <w:rPr>
                <w:rFonts w:hint="eastAsia" w:ascii="宋体" w:hAnsi="宋体" w:cs="宋体"/>
                <w:kern w:val="0"/>
                <w:szCs w:val="21"/>
              </w:rPr>
            </w:pPr>
            <w:r>
              <w:rPr>
                <w:rFonts w:hint="eastAsia" w:ascii="宋体" w:hAnsi="宋体" w:cs="宋体"/>
                <w:kern w:val="0"/>
                <w:szCs w:val="21"/>
              </w:rPr>
              <w:t>0.4</w:t>
            </w:r>
          </w:p>
        </w:tc>
        <w:tc>
          <w:tcPr>
            <w:tcW w:w="181" w:type="pct"/>
            <w:tcMar>
              <w:left w:w="0" w:type="dxa"/>
              <w:right w:w="0" w:type="dxa"/>
            </w:tcMar>
            <w:vAlign w:val="center"/>
          </w:tcPr>
          <w:p w14:paraId="2112CDC9">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5FE0CE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255FC5FC">
            <w:pPr>
              <w:spacing w:line="300" w:lineRule="exact"/>
              <w:jc w:val="center"/>
              <w:rPr>
                <w:rFonts w:hint="eastAsia" w:ascii="宋体" w:hAnsi="宋体" w:cs="宋体"/>
                <w:kern w:val="0"/>
                <w:szCs w:val="21"/>
              </w:rPr>
            </w:pPr>
            <w:r>
              <w:rPr>
                <w:rFonts w:hint="eastAsia" w:ascii="宋体" w:hAnsi="宋体" w:cs="宋体"/>
                <w:kern w:val="0"/>
                <w:szCs w:val="21"/>
              </w:rPr>
              <w:t>2</w:t>
            </w:r>
          </w:p>
        </w:tc>
        <w:tc>
          <w:tcPr>
            <w:tcW w:w="474" w:type="pct"/>
            <w:tcMar>
              <w:left w:w="0" w:type="dxa"/>
              <w:right w:w="0" w:type="dxa"/>
            </w:tcMar>
            <w:vAlign w:val="center"/>
          </w:tcPr>
          <w:p w14:paraId="663B259E">
            <w:pPr>
              <w:spacing w:line="300" w:lineRule="exact"/>
              <w:jc w:val="center"/>
              <w:rPr>
                <w:rFonts w:hint="eastAsia" w:ascii="宋体" w:hAnsi="宋体" w:cs="宋体"/>
                <w:kern w:val="0"/>
                <w:szCs w:val="21"/>
              </w:rPr>
            </w:pPr>
            <w:r>
              <w:rPr>
                <w:rFonts w:hint="eastAsia" w:ascii="宋体" w:hAnsi="宋体" w:cs="宋体"/>
                <w:kern w:val="0"/>
                <w:szCs w:val="21"/>
              </w:rPr>
              <w:t>水温</w:t>
            </w:r>
            <w:r>
              <w:rPr>
                <w:rFonts w:hint="eastAsia" w:ascii="宋体" w:hAnsi="宋体" w:cs="宋体"/>
                <w:szCs w:val="21"/>
              </w:rPr>
              <w:t>（℃）</w:t>
            </w:r>
          </w:p>
        </w:tc>
        <w:tc>
          <w:tcPr>
            <w:tcW w:w="266" w:type="pct"/>
            <w:tcMar>
              <w:left w:w="0" w:type="dxa"/>
              <w:right w:w="0" w:type="dxa"/>
            </w:tcMar>
            <w:vAlign w:val="center"/>
          </w:tcPr>
          <w:p w14:paraId="061F0CC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7039AA65">
            <w:pPr>
              <w:spacing w:line="300" w:lineRule="exact"/>
              <w:jc w:val="center"/>
              <w:rPr>
                <w:rFonts w:hint="eastAsia" w:ascii="宋体" w:hAnsi="宋体" w:cs="宋体"/>
                <w:kern w:val="0"/>
                <w:szCs w:val="21"/>
              </w:rPr>
            </w:pPr>
            <w:r>
              <w:rPr>
                <w:rFonts w:hint="eastAsia" w:ascii="宋体" w:hAnsi="宋体" w:cs="宋体"/>
                <w:spacing w:val="1"/>
                <w:szCs w:val="21"/>
              </w:rPr>
              <w:t>3.4</w:t>
            </w:r>
          </w:p>
        </w:tc>
        <w:tc>
          <w:tcPr>
            <w:tcW w:w="231" w:type="pct"/>
            <w:tcMar>
              <w:left w:w="0" w:type="dxa"/>
              <w:right w:w="0" w:type="dxa"/>
            </w:tcMar>
            <w:vAlign w:val="center"/>
          </w:tcPr>
          <w:p w14:paraId="6F4AD3C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4AC946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BC6E68D">
            <w:pPr>
              <w:spacing w:line="300" w:lineRule="exact"/>
              <w:jc w:val="center"/>
              <w:rPr>
                <w:rFonts w:hint="eastAsia" w:ascii="宋体" w:hAnsi="宋体" w:cs="宋体"/>
                <w:kern w:val="0"/>
                <w:szCs w:val="21"/>
              </w:rPr>
            </w:pPr>
            <w:r>
              <w:rPr>
                <w:rFonts w:hint="eastAsia" w:ascii="宋体" w:hAnsi="宋体" w:cs="宋体"/>
                <w:spacing w:val="1"/>
                <w:szCs w:val="21"/>
              </w:rPr>
              <w:t>3.2</w:t>
            </w:r>
          </w:p>
        </w:tc>
        <w:tc>
          <w:tcPr>
            <w:tcW w:w="272" w:type="pct"/>
            <w:tcMar>
              <w:left w:w="0" w:type="dxa"/>
              <w:right w:w="0" w:type="dxa"/>
            </w:tcMar>
            <w:vAlign w:val="center"/>
          </w:tcPr>
          <w:p w14:paraId="6887779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30043A9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D4999EA">
            <w:pPr>
              <w:spacing w:line="300" w:lineRule="exact"/>
              <w:jc w:val="center"/>
              <w:rPr>
                <w:rFonts w:hint="eastAsia" w:ascii="宋体" w:hAnsi="宋体" w:cs="宋体"/>
                <w:kern w:val="0"/>
                <w:szCs w:val="21"/>
              </w:rPr>
            </w:pPr>
            <w:r>
              <w:rPr>
                <w:rFonts w:hint="eastAsia" w:ascii="宋体" w:hAnsi="宋体" w:cs="宋体"/>
                <w:spacing w:val="1"/>
                <w:szCs w:val="21"/>
              </w:rPr>
              <w:t>3.6</w:t>
            </w:r>
          </w:p>
        </w:tc>
        <w:tc>
          <w:tcPr>
            <w:tcW w:w="267" w:type="pct"/>
            <w:tcMar>
              <w:left w:w="0" w:type="dxa"/>
              <w:right w:w="0" w:type="dxa"/>
            </w:tcMar>
            <w:vAlign w:val="center"/>
          </w:tcPr>
          <w:p w14:paraId="7BA269A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20BC9FC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7F4AB3C3">
            <w:pPr>
              <w:spacing w:line="300" w:lineRule="exact"/>
              <w:jc w:val="center"/>
              <w:rPr>
                <w:rFonts w:hint="eastAsia" w:ascii="宋体" w:hAnsi="宋体" w:cs="宋体"/>
                <w:kern w:val="0"/>
                <w:szCs w:val="21"/>
              </w:rPr>
            </w:pPr>
            <w:r>
              <w:rPr>
                <w:rFonts w:hint="eastAsia" w:ascii="宋体" w:hAnsi="宋体" w:cs="宋体"/>
                <w:spacing w:val="1"/>
                <w:szCs w:val="21"/>
              </w:rPr>
              <w:t>3.4</w:t>
            </w:r>
          </w:p>
        </w:tc>
        <w:tc>
          <w:tcPr>
            <w:tcW w:w="271" w:type="pct"/>
            <w:tcMar>
              <w:left w:w="0" w:type="dxa"/>
              <w:right w:w="0" w:type="dxa"/>
            </w:tcMar>
            <w:vAlign w:val="center"/>
          </w:tcPr>
          <w:p w14:paraId="6FDF468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3A2CC9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78EB0D0">
            <w:pPr>
              <w:spacing w:line="300" w:lineRule="exact"/>
              <w:jc w:val="center"/>
              <w:rPr>
                <w:rFonts w:hint="eastAsia" w:ascii="宋体" w:hAnsi="宋体" w:cs="宋体"/>
                <w:kern w:val="0"/>
                <w:szCs w:val="21"/>
              </w:rPr>
            </w:pPr>
            <w:r>
              <w:rPr>
                <w:rFonts w:hint="eastAsia" w:ascii="宋体" w:hAnsi="宋体" w:cs="宋体"/>
                <w:spacing w:val="1"/>
                <w:szCs w:val="21"/>
              </w:rPr>
              <w:t>3.4</w:t>
            </w:r>
          </w:p>
        </w:tc>
        <w:tc>
          <w:tcPr>
            <w:tcW w:w="271" w:type="pct"/>
            <w:tcMar>
              <w:left w:w="0" w:type="dxa"/>
              <w:right w:w="0" w:type="dxa"/>
            </w:tcMar>
            <w:vAlign w:val="center"/>
          </w:tcPr>
          <w:p w14:paraId="3822091C">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0CC4403B">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4A96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4E67B7B8">
            <w:pPr>
              <w:spacing w:line="300" w:lineRule="exact"/>
              <w:jc w:val="center"/>
              <w:rPr>
                <w:rFonts w:hint="eastAsia" w:ascii="宋体" w:hAnsi="宋体" w:cs="宋体"/>
                <w:kern w:val="0"/>
                <w:szCs w:val="21"/>
              </w:rPr>
            </w:pPr>
            <w:r>
              <w:rPr>
                <w:rFonts w:hint="eastAsia" w:ascii="宋体" w:hAnsi="宋体" w:cs="宋体"/>
                <w:kern w:val="0"/>
                <w:szCs w:val="21"/>
              </w:rPr>
              <w:t>3</w:t>
            </w:r>
          </w:p>
        </w:tc>
        <w:tc>
          <w:tcPr>
            <w:tcW w:w="474" w:type="pct"/>
            <w:tcMar>
              <w:left w:w="0" w:type="dxa"/>
              <w:right w:w="0" w:type="dxa"/>
            </w:tcMar>
            <w:vAlign w:val="center"/>
          </w:tcPr>
          <w:p w14:paraId="7BFFFB3C">
            <w:pPr>
              <w:spacing w:line="300" w:lineRule="exact"/>
              <w:jc w:val="center"/>
              <w:rPr>
                <w:rFonts w:hint="eastAsia" w:ascii="宋体" w:hAnsi="宋体" w:cs="宋体"/>
                <w:kern w:val="0"/>
                <w:szCs w:val="21"/>
              </w:rPr>
            </w:pPr>
            <w:r>
              <w:rPr>
                <w:rFonts w:hint="eastAsia" w:ascii="宋体" w:hAnsi="宋体" w:cs="宋体"/>
                <w:kern w:val="0"/>
                <w:szCs w:val="21"/>
              </w:rPr>
              <w:t>浑浊度</w:t>
            </w:r>
            <w:r>
              <w:rPr>
                <w:rFonts w:hint="eastAsia" w:ascii="宋体" w:hAnsi="宋体" w:cs="宋体"/>
                <w:szCs w:val="21"/>
              </w:rPr>
              <w:t>/NTU</w:t>
            </w:r>
          </w:p>
        </w:tc>
        <w:tc>
          <w:tcPr>
            <w:tcW w:w="266" w:type="pct"/>
            <w:tcMar>
              <w:left w:w="0" w:type="dxa"/>
              <w:right w:w="0" w:type="dxa"/>
            </w:tcMar>
            <w:vAlign w:val="center"/>
          </w:tcPr>
          <w:p w14:paraId="2656347E">
            <w:pPr>
              <w:adjustRightInd w:val="0"/>
              <w:snapToGrid w:val="0"/>
              <w:spacing w:line="300" w:lineRule="exact"/>
              <w:jc w:val="center"/>
              <w:rPr>
                <w:rFonts w:hint="eastAsia" w:ascii="宋体" w:hAnsi="宋体" w:cs="宋体"/>
                <w:kern w:val="0"/>
                <w:szCs w:val="21"/>
              </w:rPr>
            </w:pPr>
            <w:r>
              <w:rPr>
                <w:rFonts w:hint="eastAsia" w:ascii="宋体" w:hAnsi="宋体" w:cs="宋体"/>
                <w:szCs w:val="21"/>
              </w:rPr>
              <w:t>＞10</w:t>
            </w:r>
          </w:p>
        </w:tc>
        <w:tc>
          <w:tcPr>
            <w:tcW w:w="327" w:type="pct"/>
            <w:tcMar>
              <w:left w:w="0" w:type="dxa"/>
              <w:right w:w="0" w:type="dxa"/>
            </w:tcMar>
            <w:vAlign w:val="center"/>
          </w:tcPr>
          <w:p w14:paraId="54289DD0">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0.3</w:t>
            </w:r>
          </w:p>
        </w:tc>
        <w:tc>
          <w:tcPr>
            <w:tcW w:w="231" w:type="pct"/>
            <w:tcMar>
              <w:left w:w="0" w:type="dxa"/>
              <w:right w:w="0" w:type="dxa"/>
            </w:tcMar>
            <w:vAlign w:val="center"/>
          </w:tcPr>
          <w:p w14:paraId="353B1ED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3819DAC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52EA7CCD">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0.3</w:t>
            </w:r>
          </w:p>
        </w:tc>
        <w:tc>
          <w:tcPr>
            <w:tcW w:w="272" w:type="pct"/>
            <w:tcMar>
              <w:left w:w="0" w:type="dxa"/>
              <w:right w:w="0" w:type="dxa"/>
            </w:tcMar>
            <w:vAlign w:val="center"/>
          </w:tcPr>
          <w:p w14:paraId="08C2980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2C4EBF9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64192ADE">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0.3</w:t>
            </w:r>
          </w:p>
        </w:tc>
        <w:tc>
          <w:tcPr>
            <w:tcW w:w="267" w:type="pct"/>
            <w:tcMar>
              <w:left w:w="0" w:type="dxa"/>
              <w:right w:w="0" w:type="dxa"/>
            </w:tcMar>
            <w:vAlign w:val="center"/>
          </w:tcPr>
          <w:p w14:paraId="348E822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5A23130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E9D50EE">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0.3</w:t>
            </w:r>
          </w:p>
        </w:tc>
        <w:tc>
          <w:tcPr>
            <w:tcW w:w="271" w:type="pct"/>
            <w:tcMar>
              <w:left w:w="0" w:type="dxa"/>
              <w:right w:w="0" w:type="dxa"/>
            </w:tcMar>
            <w:vAlign w:val="center"/>
          </w:tcPr>
          <w:p w14:paraId="4436711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779D1C6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61586DB8">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0.3</w:t>
            </w:r>
          </w:p>
        </w:tc>
        <w:tc>
          <w:tcPr>
            <w:tcW w:w="271" w:type="pct"/>
            <w:tcMar>
              <w:left w:w="0" w:type="dxa"/>
              <w:right w:w="0" w:type="dxa"/>
            </w:tcMar>
            <w:vAlign w:val="center"/>
          </w:tcPr>
          <w:p w14:paraId="187609E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0365D502">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05B364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20DA9B60">
            <w:pPr>
              <w:spacing w:line="300" w:lineRule="exact"/>
              <w:jc w:val="center"/>
              <w:rPr>
                <w:rFonts w:hint="eastAsia" w:ascii="宋体" w:hAnsi="宋体" w:cs="宋体"/>
                <w:kern w:val="0"/>
                <w:szCs w:val="21"/>
              </w:rPr>
            </w:pPr>
            <w:r>
              <w:rPr>
                <w:rFonts w:hint="eastAsia" w:ascii="宋体" w:hAnsi="宋体" w:cs="宋体"/>
                <w:kern w:val="0"/>
                <w:szCs w:val="21"/>
              </w:rPr>
              <w:t>4</w:t>
            </w:r>
          </w:p>
        </w:tc>
        <w:tc>
          <w:tcPr>
            <w:tcW w:w="474" w:type="pct"/>
            <w:tcMar>
              <w:left w:w="0" w:type="dxa"/>
              <w:right w:w="0" w:type="dxa"/>
            </w:tcMar>
            <w:vAlign w:val="center"/>
          </w:tcPr>
          <w:p w14:paraId="7D87783B">
            <w:pPr>
              <w:spacing w:line="300" w:lineRule="exact"/>
              <w:jc w:val="center"/>
              <w:rPr>
                <w:rFonts w:hint="eastAsia" w:ascii="宋体" w:hAnsi="宋体" w:cs="宋体"/>
                <w:kern w:val="0"/>
                <w:szCs w:val="21"/>
              </w:rPr>
            </w:pPr>
            <w:r>
              <w:rPr>
                <w:rFonts w:hint="eastAsia" w:ascii="宋体" w:hAnsi="宋体" w:cs="宋体"/>
                <w:kern w:val="0"/>
                <w:szCs w:val="21"/>
              </w:rPr>
              <w:t>色度</w:t>
            </w:r>
            <w:r>
              <w:rPr>
                <w:rFonts w:hint="eastAsia" w:ascii="宋体" w:hAnsi="宋体" w:cs="宋体"/>
                <w:szCs w:val="21"/>
              </w:rPr>
              <w:t>/度</w:t>
            </w:r>
          </w:p>
        </w:tc>
        <w:tc>
          <w:tcPr>
            <w:tcW w:w="266" w:type="pct"/>
            <w:tcMar>
              <w:left w:w="0" w:type="dxa"/>
              <w:right w:w="0" w:type="dxa"/>
            </w:tcMar>
            <w:vAlign w:val="center"/>
          </w:tcPr>
          <w:p w14:paraId="511C5EC7">
            <w:pPr>
              <w:adjustRightInd w:val="0"/>
              <w:snapToGrid w:val="0"/>
              <w:spacing w:line="300" w:lineRule="exact"/>
              <w:jc w:val="center"/>
              <w:rPr>
                <w:rFonts w:hint="eastAsia" w:ascii="宋体" w:hAnsi="宋体" w:cs="宋体"/>
                <w:kern w:val="0"/>
                <w:szCs w:val="21"/>
              </w:rPr>
            </w:pPr>
            <w:r>
              <w:rPr>
                <w:rFonts w:hint="eastAsia" w:ascii="宋体" w:hAnsi="宋体" w:cs="宋体"/>
                <w:szCs w:val="21"/>
              </w:rPr>
              <w:t>＞25</w:t>
            </w:r>
          </w:p>
        </w:tc>
        <w:tc>
          <w:tcPr>
            <w:tcW w:w="327" w:type="pct"/>
            <w:tcMar>
              <w:left w:w="0" w:type="dxa"/>
              <w:right w:w="0" w:type="dxa"/>
            </w:tcMar>
            <w:vAlign w:val="center"/>
          </w:tcPr>
          <w:p w14:paraId="486CCF22">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zCs w:val="21"/>
              </w:rPr>
              <w:t>5</w:t>
            </w:r>
          </w:p>
        </w:tc>
        <w:tc>
          <w:tcPr>
            <w:tcW w:w="231" w:type="pct"/>
            <w:tcMar>
              <w:left w:w="0" w:type="dxa"/>
              <w:right w:w="0" w:type="dxa"/>
            </w:tcMar>
            <w:vAlign w:val="center"/>
          </w:tcPr>
          <w:p w14:paraId="1153393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40C617F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A915E28">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zCs w:val="21"/>
              </w:rPr>
              <w:t>5</w:t>
            </w:r>
          </w:p>
        </w:tc>
        <w:tc>
          <w:tcPr>
            <w:tcW w:w="272" w:type="pct"/>
            <w:tcMar>
              <w:left w:w="0" w:type="dxa"/>
              <w:right w:w="0" w:type="dxa"/>
            </w:tcMar>
            <w:vAlign w:val="center"/>
          </w:tcPr>
          <w:p w14:paraId="05D5E3B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798D023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319B2764">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zCs w:val="21"/>
              </w:rPr>
              <w:t>5</w:t>
            </w:r>
          </w:p>
        </w:tc>
        <w:tc>
          <w:tcPr>
            <w:tcW w:w="267" w:type="pct"/>
            <w:tcMar>
              <w:left w:w="0" w:type="dxa"/>
              <w:right w:w="0" w:type="dxa"/>
            </w:tcMar>
            <w:vAlign w:val="center"/>
          </w:tcPr>
          <w:p w14:paraId="2842E35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291893C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EE99627">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zCs w:val="21"/>
              </w:rPr>
              <w:t>5</w:t>
            </w:r>
          </w:p>
        </w:tc>
        <w:tc>
          <w:tcPr>
            <w:tcW w:w="271" w:type="pct"/>
            <w:tcMar>
              <w:left w:w="0" w:type="dxa"/>
              <w:right w:w="0" w:type="dxa"/>
            </w:tcMar>
            <w:vAlign w:val="center"/>
          </w:tcPr>
          <w:p w14:paraId="523228B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951BAF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F7D990C">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zCs w:val="21"/>
              </w:rPr>
              <w:t>5</w:t>
            </w:r>
          </w:p>
        </w:tc>
        <w:tc>
          <w:tcPr>
            <w:tcW w:w="271" w:type="pct"/>
            <w:tcMar>
              <w:left w:w="0" w:type="dxa"/>
              <w:right w:w="0" w:type="dxa"/>
            </w:tcMar>
            <w:vAlign w:val="center"/>
          </w:tcPr>
          <w:p w14:paraId="106557F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1AECB39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EE147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4E2EF359">
            <w:pPr>
              <w:spacing w:line="300" w:lineRule="exact"/>
              <w:jc w:val="center"/>
              <w:rPr>
                <w:rFonts w:hint="eastAsia" w:ascii="宋体" w:hAnsi="宋体" w:cs="宋体"/>
                <w:kern w:val="0"/>
                <w:szCs w:val="21"/>
              </w:rPr>
            </w:pPr>
            <w:r>
              <w:rPr>
                <w:rFonts w:hint="eastAsia" w:ascii="宋体" w:hAnsi="宋体" w:cs="宋体"/>
                <w:kern w:val="0"/>
                <w:szCs w:val="21"/>
              </w:rPr>
              <w:t>5</w:t>
            </w:r>
          </w:p>
        </w:tc>
        <w:tc>
          <w:tcPr>
            <w:tcW w:w="474" w:type="pct"/>
            <w:tcMar>
              <w:left w:w="0" w:type="dxa"/>
              <w:right w:w="0" w:type="dxa"/>
            </w:tcMar>
            <w:vAlign w:val="center"/>
          </w:tcPr>
          <w:p w14:paraId="7A3A863A">
            <w:pPr>
              <w:spacing w:line="300" w:lineRule="exact"/>
              <w:jc w:val="center"/>
              <w:rPr>
                <w:rFonts w:hint="eastAsia" w:ascii="宋体" w:hAnsi="宋体" w:cs="宋体"/>
                <w:kern w:val="0"/>
                <w:szCs w:val="21"/>
              </w:rPr>
            </w:pPr>
            <w:r>
              <w:rPr>
                <w:rFonts w:hint="eastAsia" w:ascii="宋体" w:hAnsi="宋体" w:cs="宋体"/>
                <w:kern w:val="0"/>
                <w:szCs w:val="21"/>
              </w:rPr>
              <w:t>溶解性总</w:t>
            </w:r>
          </w:p>
          <w:p w14:paraId="323C6AAA">
            <w:pPr>
              <w:spacing w:line="300" w:lineRule="exact"/>
              <w:jc w:val="center"/>
              <w:rPr>
                <w:rFonts w:hint="eastAsia" w:ascii="宋体" w:hAnsi="宋体" w:cs="宋体"/>
                <w:kern w:val="0"/>
                <w:szCs w:val="21"/>
              </w:rPr>
            </w:pPr>
            <w:r>
              <w:rPr>
                <w:rFonts w:hint="eastAsia" w:ascii="宋体" w:hAnsi="宋体" w:cs="宋体"/>
                <w:kern w:val="0"/>
                <w:szCs w:val="21"/>
              </w:rPr>
              <w:t>固体</w:t>
            </w:r>
          </w:p>
        </w:tc>
        <w:tc>
          <w:tcPr>
            <w:tcW w:w="266" w:type="pct"/>
            <w:tcMar>
              <w:left w:w="0" w:type="dxa"/>
              <w:right w:w="0" w:type="dxa"/>
            </w:tcMar>
            <w:vAlign w:val="center"/>
          </w:tcPr>
          <w:p w14:paraId="52D4BE85">
            <w:pPr>
              <w:spacing w:line="300" w:lineRule="exact"/>
              <w:jc w:val="center"/>
              <w:rPr>
                <w:rFonts w:hint="eastAsia" w:ascii="宋体" w:hAnsi="宋体" w:cs="宋体"/>
                <w:kern w:val="0"/>
                <w:szCs w:val="21"/>
              </w:rPr>
            </w:pPr>
            <w:r>
              <w:rPr>
                <w:rFonts w:hint="eastAsia" w:ascii="宋体" w:hAnsi="宋体" w:cs="宋体"/>
                <w:kern w:val="0"/>
                <w:szCs w:val="21"/>
              </w:rPr>
              <w:t>≤1000</w:t>
            </w:r>
          </w:p>
        </w:tc>
        <w:tc>
          <w:tcPr>
            <w:tcW w:w="327" w:type="pct"/>
            <w:tcMar>
              <w:left w:w="0" w:type="dxa"/>
              <w:right w:w="0" w:type="dxa"/>
            </w:tcMar>
            <w:vAlign w:val="center"/>
          </w:tcPr>
          <w:p w14:paraId="469DC816">
            <w:pPr>
              <w:spacing w:line="300" w:lineRule="exact"/>
              <w:jc w:val="center"/>
              <w:rPr>
                <w:rFonts w:hint="eastAsia" w:ascii="宋体" w:hAnsi="宋体" w:cs="宋体"/>
                <w:kern w:val="0"/>
                <w:szCs w:val="21"/>
              </w:rPr>
            </w:pPr>
            <w:r>
              <w:rPr>
                <w:rFonts w:hint="eastAsia" w:ascii="宋体" w:hAnsi="宋体" w:cs="宋体"/>
                <w:spacing w:val="2"/>
                <w:szCs w:val="21"/>
              </w:rPr>
              <w:t>360</w:t>
            </w:r>
          </w:p>
        </w:tc>
        <w:tc>
          <w:tcPr>
            <w:tcW w:w="231" w:type="pct"/>
            <w:tcMar>
              <w:left w:w="0" w:type="dxa"/>
              <w:right w:w="0" w:type="dxa"/>
            </w:tcMar>
            <w:vAlign w:val="center"/>
          </w:tcPr>
          <w:p w14:paraId="2E11D0AE">
            <w:pPr>
              <w:spacing w:line="300" w:lineRule="exact"/>
              <w:jc w:val="center"/>
              <w:rPr>
                <w:rFonts w:hint="eastAsia" w:ascii="宋体" w:hAnsi="宋体" w:cs="宋体"/>
                <w:kern w:val="0"/>
                <w:szCs w:val="21"/>
              </w:rPr>
            </w:pPr>
            <w:r>
              <w:rPr>
                <w:rFonts w:hint="eastAsia" w:ascii="宋体" w:hAnsi="宋体" w:cs="宋体"/>
                <w:kern w:val="0"/>
                <w:szCs w:val="21"/>
              </w:rPr>
              <w:t>0.36</w:t>
            </w:r>
          </w:p>
        </w:tc>
        <w:tc>
          <w:tcPr>
            <w:tcW w:w="235" w:type="pct"/>
            <w:tcMar>
              <w:left w:w="0" w:type="dxa"/>
              <w:right w:w="0" w:type="dxa"/>
            </w:tcMar>
            <w:vAlign w:val="center"/>
          </w:tcPr>
          <w:p w14:paraId="7C7F712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402421F5">
            <w:pPr>
              <w:spacing w:line="300" w:lineRule="exact"/>
              <w:jc w:val="center"/>
              <w:rPr>
                <w:rFonts w:hint="eastAsia" w:ascii="宋体" w:hAnsi="宋体" w:cs="宋体"/>
                <w:kern w:val="0"/>
                <w:szCs w:val="21"/>
              </w:rPr>
            </w:pPr>
            <w:r>
              <w:rPr>
                <w:rFonts w:hint="eastAsia" w:ascii="宋体" w:hAnsi="宋体" w:cs="宋体"/>
                <w:spacing w:val="4"/>
                <w:szCs w:val="21"/>
              </w:rPr>
              <w:t>425</w:t>
            </w:r>
          </w:p>
        </w:tc>
        <w:tc>
          <w:tcPr>
            <w:tcW w:w="272" w:type="pct"/>
            <w:tcMar>
              <w:left w:w="0" w:type="dxa"/>
              <w:right w:w="0" w:type="dxa"/>
            </w:tcMar>
            <w:vAlign w:val="center"/>
          </w:tcPr>
          <w:p w14:paraId="4537908A">
            <w:pPr>
              <w:spacing w:line="300" w:lineRule="exact"/>
              <w:jc w:val="center"/>
              <w:rPr>
                <w:rFonts w:hint="eastAsia" w:ascii="宋体" w:hAnsi="宋体" w:cs="宋体"/>
                <w:kern w:val="0"/>
                <w:szCs w:val="21"/>
              </w:rPr>
            </w:pPr>
            <w:r>
              <w:rPr>
                <w:rFonts w:hint="eastAsia" w:ascii="宋体" w:hAnsi="宋体" w:cs="宋体"/>
                <w:kern w:val="0"/>
                <w:szCs w:val="21"/>
              </w:rPr>
              <w:t>0.425</w:t>
            </w:r>
          </w:p>
        </w:tc>
        <w:tc>
          <w:tcPr>
            <w:tcW w:w="309" w:type="pct"/>
            <w:tcMar>
              <w:left w:w="0" w:type="dxa"/>
              <w:right w:w="0" w:type="dxa"/>
            </w:tcMar>
            <w:vAlign w:val="center"/>
          </w:tcPr>
          <w:p w14:paraId="7FB0E47B">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403A4788">
            <w:pPr>
              <w:spacing w:line="300" w:lineRule="exact"/>
              <w:jc w:val="center"/>
              <w:rPr>
                <w:rFonts w:hint="eastAsia" w:ascii="宋体" w:hAnsi="宋体" w:cs="宋体"/>
                <w:kern w:val="0"/>
                <w:szCs w:val="21"/>
              </w:rPr>
            </w:pPr>
            <w:r>
              <w:rPr>
                <w:rFonts w:hint="eastAsia" w:ascii="宋体" w:hAnsi="宋体" w:cs="宋体"/>
                <w:spacing w:val="4"/>
                <w:szCs w:val="21"/>
              </w:rPr>
              <w:t>420</w:t>
            </w:r>
          </w:p>
        </w:tc>
        <w:tc>
          <w:tcPr>
            <w:tcW w:w="267" w:type="pct"/>
            <w:tcMar>
              <w:left w:w="0" w:type="dxa"/>
              <w:right w:w="0" w:type="dxa"/>
            </w:tcMar>
            <w:vAlign w:val="center"/>
          </w:tcPr>
          <w:p w14:paraId="16D70832">
            <w:pPr>
              <w:spacing w:line="300" w:lineRule="exact"/>
              <w:jc w:val="center"/>
              <w:rPr>
                <w:rFonts w:hint="eastAsia" w:ascii="宋体" w:hAnsi="宋体" w:cs="宋体"/>
                <w:kern w:val="0"/>
                <w:szCs w:val="21"/>
              </w:rPr>
            </w:pPr>
            <w:r>
              <w:rPr>
                <w:rFonts w:hint="eastAsia" w:ascii="宋体" w:hAnsi="宋体" w:cs="宋体"/>
                <w:kern w:val="0"/>
                <w:szCs w:val="21"/>
              </w:rPr>
              <w:t>0.42</w:t>
            </w:r>
          </w:p>
        </w:tc>
        <w:tc>
          <w:tcPr>
            <w:tcW w:w="206" w:type="pct"/>
            <w:tcMar>
              <w:left w:w="0" w:type="dxa"/>
              <w:right w:w="0" w:type="dxa"/>
            </w:tcMar>
            <w:vAlign w:val="center"/>
          </w:tcPr>
          <w:p w14:paraId="52622D3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1B6CB880">
            <w:pPr>
              <w:spacing w:line="300" w:lineRule="exact"/>
              <w:jc w:val="center"/>
              <w:rPr>
                <w:rFonts w:hint="eastAsia" w:ascii="宋体" w:hAnsi="宋体" w:cs="宋体"/>
                <w:kern w:val="0"/>
                <w:szCs w:val="21"/>
              </w:rPr>
            </w:pPr>
            <w:r>
              <w:rPr>
                <w:rFonts w:hint="eastAsia" w:ascii="宋体" w:hAnsi="宋体" w:cs="宋体"/>
                <w:spacing w:val="2"/>
                <w:szCs w:val="21"/>
              </w:rPr>
              <w:t>395</w:t>
            </w:r>
          </w:p>
        </w:tc>
        <w:tc>
          <w:tcPr>
            <w:tcW w:w="271" w:type="pct"/>
            <w:tcMar>
              <w:left w:w="0" w:type="dxa"/>
              <w:right w:w="0" w:type="dxa"/>
            </w:tcMar>
            <w:vAlign w:val="center"/>
          </w:tcPr>
          <w:p w14:paraId="34EEB81B">
            <w:pPr>
              <w:spacing w:line="300" w:lineRule="exact"/>
              <w:jc w:val="center"/>
              <w:rPr>
                <w:rFonts w:hint="eastAsia" w:ascii="宋体" w:hAnsi="宋体" w:cs="宋体"/>
                <w:kern w:val="0"/>
                <w:szCs w:val="21"/>
              </w:rPr>
            </w:pPr>
            <w:r>
              <w:rPr>
                <w:rFonts w:hint="eastAsia" w:ascii="宋体" w:hAnsi="宋体" w:cs="宋体"/>
                <w:kern w:val="0"/>
                <w:szCs w:val="21"/>
              </w:rPr>
              <w:t>0.395</w:t>
            </w:r>
          </w:p>
        </w:tc>
        <w:tc>
          <w:tcPr>
            <w:tcW w:w="227" w:type="pct"/>
            <w:tcMar>
              <w:left w:w="0" w:type="dxa"/>
              <w:right w:w="0" w:type="dxa"/>
            </w:tcMar>
            <w:vAlign w:val="center"/>
          </w:tcPr>
          <w:p w14:paraId="4519A0B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0337CCE6">
            <w:pPr>
              <w:spacing w:line="300" w:lineRule="exact"/>
              <w:jc w:val="center"/>
              <w:rPr>
                <w:rFonts w:hint="eastAsia" w:ascii="宋体" w:hAnsi="宋体" w:cs="宋体"/>
                <w:kern w:val="0"/>
                <w:szCs w:val="21"/>
              </w:rPr>
            </w:pPr>
            <w:r>
              <w:rPr>
                <w:rFonts w:hint="eastAsia" w:ascii="宋体" w:hAnsi="宋体" w:cs="宋体"/>
                <w:spacing w:val="4"/>
                <w:szCs w:val="21"/>
              </w:rPr>
              <w:t>415</w:t>
            </w:r>
          </w:p>
        </w:tc>
        <w:tc>
          <w:tcPr>
            <w:tcW w:w="271" w:type="pct"/>
            <w:tcMar>
              <w:left w:w="0" w:type="dxa"/>
              <w:right w:w="0" w:type="dxa"/>
            </w:tcMar>
            <w:vAlign w:val="center"/>
          </w:tcPr>
          <w:p w14:paraId="0EBC586B">
            <w:pPr>
              <w:spacing w:line="300" w:lineRule="exact"/>
              <w:jc w:val="center"/>
              <w:rPr>
                <w:rFonts w:hint="eastAsia" w:ascii="宋体" w:hAnsi="宋体" w:cs="宋体"/>
                <w:kern w:val="0"/>
                <w:szCs w:val="21"/>
              </w:rPr>
            </w:pPr>
            <w:r>
              <w:rPr>
                <w:rFonts w:hint="eastAsia" w:ascii="宋体" w:hAnsi="宋体" w:cs="宋体"/>
                <w:kern w:val="0"/>
                <w:szCs w:val="21"/>
              </w:rPr>
              <w:t>0.415</w:t>
            </w:r>
          </w:p>
        </w:tc>
        <w:tc>
          <w:tcPr>
            <w:tcW w:w="181" w:type="pct"/>
            <w:tcMar>
              <w:left w:w="0" w:type="dxa"/>
              <w:right w:w="0" w:type="dxa"/>
            </w:tcMar>
            <w:vAlign w:val="center"/>
          </w:tcPr>
          <w:p w14:paraId="6A98B193">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2CB50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238C0619">
            <w:pPr>
              <w:spacing w:line="300" w:lineRule="exact"/>
              <w:jc w:val="center"/>
              <w:rPr>
                <w:rFonts w:hint="eastAsia" w:ascii="宋体" w:hAnsi="宋体" w:cs="宋体"/>
                <w:kern w:val="0"/>
                <w:szCs w:val="21"/>
              </w:rPr>
            </w:pPr>
            <w:r>
              <w:rPr>
                <w:rFonts w:hint="eastAsia" w:ascii="宋体" w:hAnsi="宋体" w:cs="宋体"/>
                <w:kern w:val="0"/>
                <w:szCs w:val="21"/>
              </w:rPr>
              <w:t>6</w:t>
            </w:r>
          </w:p>
        </w:tc>
        <w:tc>
          <w:tcPr>
            <w:tcW w:w="474" w:type="pct"/>
            <w:tcMar>
              <w:left w:w="0" w:type="dxa"/>
              <w:right w:w="0" w:type="dxa"/>
            </w:tcMar>
            <w:vAlign w:val="center"/>
          </w:tcPr>
          <w:p w14:paraId="4DD2AE58">
            <w:pPr>
              <w:spacing w:line="300" w:lineRule="exact"/>
              <w:jc w:val="center"/>
              <w:rPr>
                <w:rFonts w:hint="eastAsia" w:ascii="宋体" w:hAnsi="宋体" w:cs="宋体"/>
                <w:kern w:val="0"/>
                <w:szCs w:val="21"/>
              </w:rPr>
            </w:pPr>
            <w:r>
              <w:rPr>
                <w:rFonts w:hint="eastAsia" w:ascii="宋体" w:hAnsi="宋体" w:cs="宋体"/>
                <w:kern w:val="0"/>
                <w:szCs w:val="21"/>
              </w:rPr>
              <w:t>高锰酸盐指数</w:t>
            </w:r>
          </w:p>
        </w:tc>
        <w:tc>
          <w:tcPr>
            <w:tcW w:w="266" w:type="pct"/>
            <w:tcMar>
              <w:left w:w="0" w:type="dxa"/>
              <w:right w:w="0" w:type="dxa"/>
            </w:tcMar>
            <w:vAlign w:val="center"/>
          </w:tcPr>
          <w:p w14:paraId="267747D4">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490B4C08">
            <w:pPr>
              <w:spacing w:line="300" w:lineRule="exact"/>
              <w:jc w:val="center"/>
              <w:rPr>
                <w:rFonts w:hint="eastAsia" w:ascii="宋体" w:hAnsi="宋体" w:cs="宋体"/>
                <w:kern w:val="0"/>
                <w:szCs w:val="21"/>
              </w:rPr>
            </w:pPr>
            <w:r>
              <w:rPr>
                <w:rFonts w:hint="eastAsia" w:ascii="宋体" w:hAnsi="宋体" w:cs="宋体"/>
                <w:spacing w:val="1"/>
                <w:szCs w:val="21"/>
              </w:rPr>
              <w:t>0.4</w:t>
            </w:r>
          </w:p>
        </w:tc>
        <w:tc>
          <w:tcPr>
            <w:tcW w:w="231" w:type="pct"/>
            <w:tcMar>
              <w:left w:w="0" w:type="dxa"/>
              <w:right w:w="0" w:type="dxa"/>
            </w:tcMar>
            <w:vAlign w:val="center"/>
          </w:tcPr>
          <w:p w14:paraId="5170BBB4">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6CDDB85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10F5B42E">
            <w:pPr>
              <w:spacing w:line="300" w:lineRule="exact"/>
              <w:jc w:val="center"/>
              <w:rPr>
                <w:rFonts w:hint="eastAsia" w:ascii="宋体" w:hAnsi="宋体" w:cs="宋体"/>
                <w:kern w:val="0"/>
                <w:szCs w:val="21"/>
              </w:rPr>
            </w:pPr>
            <w:r>
              <w:rPr>
                <w:rFonts w:hint="eastAsia" w:ascii="宋体" w:hAnsi="宋体" w:cs="宋体"/>
                <w:spacing w:val="1"/>
                <w:szCs w:val="21"/>
              </w:rPr>
              <w:t>0.5</w:t>
            </w:r>
          </w:p>
        </w:tc>
        <w:tc>
          <w:tcPr>
            <w:tcW w:w="272" w:type="pct"/>
            <w:tcMar>
              <w:left w:w="0" w:type="dxa"/>
              <w:right w:w="0" w:type="dxa"/>
            </w:tcMar>
            <w:vAlign w:val="center"/>
          </w:tcPr>
          <w:p w14:paraId="3D0E02C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5D8D83B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190364F1">
            <w:pPr>
              <w:spacing w:line="300" w:lineRule="exact"/>
              <w:jc w:val="center"/>
              <w:rPr>
                <w:rFonts w:hint="eastAsia" w:ascii="宋体" w:hAnsi="宋体" w:cs="宋体"/>
                <w:kern w:val="0"/>
                <w:szCs w:val="21"/>
              </w:rPr>
            </w:pPr>
            <w:r>
              <w:rPr>
                <w:rFonts w:hint="eastAsia" w:ascii="宋体" w:hAnsi="宋体" w:cs="宋体"/>
                <w:spacing w:val="1"/>
                <w:szCs w:val="21"/>
              </w:rPr>
              <w:t>0.5</w:t>
            </w:r>
          </w:p>
        </w:tc>
        <w:tc>
          <w:tcPr>
            <w:tcW w:w="267" w:type="pct"/>
            <w:tcMar>
              <w:left w:w="0" w:type="dxa"/>
              <w:right w:w="0" w:type="dxa"/>
            </w:tcMar>
            <w:vAlign w:val="center"/>
          </w:tcPr>
          <w:p w14:paraId="32443A6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7E808A5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448AD36">
            <w:pPr>
              <w:spacing w:line="300" w:lineRule="exact"/>
              <w:jc w:val="center"/>
              <w:rPr>
                <w:rFonts w:hint="eastAsia" w:ascii="宋体" w:hAnsi="宋体" w:cs="宋体"/>
                <w:kern w:val="0"/>
                <w:szCs w:val="21"/>
              </w:rPr>
            </w:pPr>
            <w:r>
              <w:rPr>
                <w:rFonts w:hint="eastAsia" w:ascii="宋体" w:hAnsi="宋体" w:cs="宋体"/>
                <w:spacing w:val="1"/>
                <w:szCs w:val="21"/>
              </w:rPr>
              <w:t>0.5</w:t>
            </w:r>
          </w:p>
        </w:tc>
        <w:tc>
          <w:tcPr>
            <w:tcW w:w="271" w:type="pct"/>
            <w:tcMar>
              <w:left w:w="0" w:type="dxa"/>
              <w:right w:w="0" w:type="dxa"/>
            </w:tcMar>
            <w:vAlign w:val="center"/>
          </w:tcPr>
          <w:p w14:paraId="1329B6A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4251DE5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59CAB09A">
            <w:pPr>
              <w:spacing w:line="300" w:lineRule="exact"/>
              <w:jc w:val="center"/>
              <w:rPr>
                <w:rFonts w:hint="eastAsia" w:ascii="宋体" w:hAnsi="宋体" w:cs="宋体"/>
                <w:kern w:val="0"/>
                <w:szCs w:val="21"/>
              </w:rPr>
            </w:pPr>
            <w:r>
              <w:rPr>
                <w:rFonts w:hint="eastAsia" w:ascii="宋体" w:hAnsi="宋体" w:cs="宋体"/>
                <w:spacing w:val="1"/>
                <w:szCs w:val="21"/>
              </w:rPr>
              <w:t>0.5</w:t>
            </w:r>
          </w:p>
        </w:tc>
        <w:tc>
          <w:tcPr>
            <w:tcW w:w="271" w:type="pct"/>
            <w:tcMar>
              <w:left w:w="0" w:type="dxa"/>
              <w:right w:w="0" w:type="dxa"/>
            </w:tcMar>
            <w:vAlign w:val="center"/>
          </w:tcPr>
          <w:p w14:paraId="4FE5E25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412991C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2FDA5F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7CC9B4E4">
            <w:pPr>
              <w:spacing w:line="300" w:lineRule="exact"/>
              <w:jc w:val="center"/>
              <w:rPr>
                <w:rFonts w:hint="eastAsia" w:ascii="宋体" w:hAnsi="宋体" w:cs="宋体"/>
                <w:kern w:val="0"/>
                <w:szCs w:val="21"/>
              </w:rPr>
            </w:pPr>
            <w:r>
              <w:rPr>
                <w:rFonts w:hint="eastAsia" w:ascii="宋体" w:hAnsi="宋体" w:cs="宋体"/>
                <w:kern w:val="0"/>
                <w:szCs w:val="21"/>
              </w:rPr>
              <w:t>7</w:t>
            </w:r>
          </w:p>
        </w:tc>
        <w:tc>
          <w:tcPr>
            <w:tcW w:w="474" w:type="pct"/>
            <w:tcMar>
              <w:left w:w="0" w:type="dxa"/>
              <w:right w:w="0" w:type="dxa"/>
            </w:tcMar>
            <w:vAlign w:val="center"/>
          </w:tcPr>
          <w:p w14:paraId="612D9061">
            <w:pPr>
              <w:spacing w:line="300" w:lineRule="exact"/>
              <w:jc w:val="center"/>
              <w:rPr>
                <w:rFonts w:hint="eastAsia" w:ascii="宋体" w:hAnsi="宋体" w:cs="宋体"/>
                <w:kern w:val="0"/>
                <w:szCs w:val="21"/>
              </w:rPr>
            </w:pPr>
            <w:r>
              <w:rPr>
                <w:rFonts w:hint="eastAsia" w:ascii="宋体" w:hAnsi="宋体" w:cs="宋体"/>
                <w:kern w:val="0"/>
                <w:szCs w:val="21"/>
              </w:rPr>
              <w:t>氨氮（以N计）</w:t>
            </w:r>
          </w:p>
        </w:tc>
        <w:tc>
          <w:tcPr>
            <w:tcW w:w="266" w:type="pct"/>
            <w:tcMar>
              <w:left w:w="0" w:type="dxa"/>
              <w:right w:w="0" w:type="dxa"/>
            </w:tcMar>
            <w:vAlign w:val="center"/>
          </w:tcPr>
          <w:p w14:paraId="2C08B554">
            <w:pPr>
              <w:spacing w:line="300" w:lineRule="exact"/>
              <w:jc w:val="center"/>
              <w:rPr>
                <w:rFonts w:hint="eastAsia" w:ascii="宋体" w:hAnsi="宋体" w:cs="宋体"/>
                <w:kern w:val="0"/>
                <w:szCs w:val="21"/>
              </w:rPr>
            </w:pPr>
            <w:r>
              <w:rPr>
                <w:rFonts w:hint="eastAsia" w:ascii="宋体" w:hAnsi="宋体" w:cs="宋体"/>
                <w:kern w:val="0"/>
                <w:szCs w:val="21"/>
              </w:rPr>
              <w:t>≤0.50</w:t>
            </w:r>
          </w:p>
        </w:tc>
        <w:tc>
          <w:tcPr>
            <w:tcW w:w="327" w:type="pct"/>
            <w:tcMar>
              <w:left w:w="0" w:type="dxa"/>
              <w:right w:w="0" w:type="dxa"/>
            </w:tcMar>
            <w:vAlign w:val="center"/>
          </w:tcPr>
          <w:p w14:paraId="6521140E">
            <w:pPr>
              <w:spacing w:line="300" w:lineRule="exact"/>
              <w:jc w:val="center"/>
              <w:rPr>
                <w:rFonts w:hint="eastAsia" w:ascii="宋体" w:hAnsi="宋体" w:cs="宋体"/>
                <w:kern w:val="0"/>
                <w:szCs w:val="21"/>
              </w:rPr>
            </w:pPr>
            <w:r>
              <w:rPr>
                <w:rFonts w:hint="eastAsia" w:ascii="宋体" w:hAnsi="宋体" w:cs="宋体"/>
                <w:spacing w:val="2"/>
                <w:szCs w:val="21"/>
              </w:rPr>
              <w:t>0.042</w:t>
            </w:r>
          </w:p>
        </w:tc>
        <w:tc>
          <w:tcPr>
            <w:tcW w:w="231" w:type="pct"/>
            <w:tcMar>
              <w:left w:w="0" w:type="dxa"/>
              <w:right w:w="0" w:type="dxa"/>
            </w:tcMar>
            <w:vAlign w:val="center"/>
          </w:tcPr>
          <w:p w14:paraId="410B544C">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0.084</w:t>
            </w:r>
          </w:p>
        </w:tc>
        <w:tc>
          <w:tcPr>
            <w:tcW w:w="235" w:type="pct"/>
            <w:tcMar>
              <w:left w:w="0" w:type="dxa"/>
              <w:right w:w="0" w:type="dxa"/>
            </w:tcMar>
            <w:vAlign w:val="center"/>
          </w:tcPr>
          <w:p w14:paraId="6AADC11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26D4CB19">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0.025</w:t>
            </w:r>
          </w:p>
        </w:tc>
        <w:tc>
          <w:tcPr>
            <w:tcW w:w="272" w:type="pct"/>
            <w:tcMar>
              <w:left w:w="0" w:type="dxa"/>
              <w:right w:w="0" w:type="dxa"/>
            </w:tcMar>
            <w:vAlign w:val="center"/>
          </w:tcPr>
          <w:p w14:paraId="4C8045B7">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6FFF49D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FC04DBE">
            <w:pPr>
              <w:spacing w:line="300" w:lineRule="exact"/>
              <w:jc w:val="center"/>
              <w:rPr>
                <w:rFonts w:hint="eastAsia" w:ascii="宋体" w:hAnsi="宋体" w:cs="宋体"/>
                <w:kern w:val="0"/>
                <w:szCs w:val="21"/>
              </w:rPr>
            </w:pPr>
            <w:r>
              <w:rPr>
                <w:rFonts w:hint="eastAsia" w:ascii="宋体" w:hAnsi="宋体" w:cs="宋体"/>
                <w:spacing w:val="2"/>
                <w:szCs w:val="21"/>
              </w:rPr>
              <w:t>0.034</w:t>
            </w:r>
          </w:p>
        </w:tc>
        <w:tc>
          <w:tcPr>
            <w:tcW w:w="267" w:type="pct"/>
            <w:tcMar>
              <w:left w:w="0" w:type="dxa"/>
              <w:right w:w="0" w:type="dxa"/>
            </w:tcMar>
            <w:vAlign w:val="center"/>
          </w:tcPr>
          <w:p w14:paraId="7F733215">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0.068</w:t>
            </w:r>
          </w:p>
        </w:tc>
        <w:tc>
          <w:tcPr>
            <w:tcW w:w="206" w:type="pct"/>
            <w:tcMar>
              <w:left w:w="0" w:type="dxa"/>
              <w:right w:w="0" w:type="dxa"/>
            </w:tcMar>
            <w:vAlign w:val="center"/>
          </w:tcPr>
          <w:p w14:paraId="01555B7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42A1FC28">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0.025</w:t>
            </w:r>
          </w:p>
        </w:tc>
        <w:tc>
          <w:tcPr>
            <w:tcW w:w="271" w:type="pct"/>
            <w:tcMar>
              <w:left w:w="0" w:type="dxa"/>
              <w:right w:w="0" w:type="dxa"/>
            </w:tcMar>
            <w:vAlign w:val="center"/>
          </w:tcPr>
          <w:p w14:paraId="5B5358E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2786A17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2EC0167">
            <w:pPr>
              <w:spacing w:line="300" w:lineRule="exact"/>
              <w:jc w:val="center"/>
              <w:rPr>
                <w:rFonts w:hint="eastAsia" w:ascii="宋体" w:hAnsi="宋体" w:cs="宋体"/>
                <w:kern w:val="0"/>
                <w:szCs w:val="21"/>
              </w:rPr>
            </w:pPr>
            <w:r>
              <w:rPr>
                <w:rFonts w:hint="eastAsia" w:ascii="宋体" w:hAnsi="宋体" w:cs="宋体"/>
                <w:spacing w:val="2"/>
                <w:szCs w:val="21"/>
              </w:rPr>
              <w:t>0.071</w:t>
            </w:r>
          </w:p>
        </w:tc>
        <w:tc>
          <w:tcPr>
            <w:tcW w:w="271" w:type="pct"/>
            <w:tcMar>
              <w:left w:w="0" w:type="dxa"/>
              <w:right w:w="0" w:type="dxa"/>
            </w:tcMar>
            <w:vAlign w:val="center"/>
          </w:tcPr>
          <w:p w14:paraId="62FEC3B4">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0.142</w:t>
            </w:r>
          </w:p>
        </w:tc>
        <w:tc>
          <w:tcPr>
            <w:tcW w:w="181" w:type="pct"/>
            <w:tcMar>
              <w:left w:w="0" w:type="dxa"/>
              <w:right w:w="0" w:type="dxa"/>
            </w:tcMar>
            <w:vAlign w:val="center"/>
          </w:tcPr>
          <w:p w14:paraId="62A6B0D2">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637DF8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67972A93">
            <w:pPr>
              <w:spacing w:line="300" w:lineRule="exact"/>
              <w:jc w:val="center"/>
              <w:rPr>
                <w:rFonts w:hint="eastAsia" w:ascii="宋体" w:hAnsi="宋体" w:cs="宋体"/>
                <w:kern w:val="0"/>
                <w:szCs w:val="21"/>
              </w:rPr>
            </w:pPr>
            <w:r>
              <w:rPr>
                <w:rFonts w:hint="eastAsia" w:ascii="宋体" w:hAnsi="宋体" w:cs="宋体"/>
                <w:kern w:val="0"/>
                <w:szCs w:val="21"/>
              </w:rPr>
              <w:t>8</w:t>
            </w:r>
          </w:p>
        </w:tc>
        <w:tc>
          <w:tcPr>
            <w:tcW w:w="474" w:type="pct"/>
            <w:tcMar>
              <w:left w:w="0" w:type="dxa"/>
              <w:right w:w="0" w:type="dxa"/>
            </w:tcMar>
            <w:vAlign w:val="center"/>
          </w:tcPr>
          <w:p w14:paraId="2D493899">
            <w:pPr>
              <w:spacing w:line="300" w:lineRule="exact"/>
              <w:jc w:val="center"/>
              <w:rPr>
                <w:rFonts w:hint="eastAsia" w:ascii="宋体" w:hAnsi="宋体" w:cs="宋体"/>
                <w:kern w:val="0"/>
                <w:szCs w:val="21"/>
              </w:rPr>
            </w:pPr>
            <w:r>
              <w:rPr>
                <w:rFonts w:hint="eastAsia" w:ascii="宋体" w:hAnsi="宋体" w:cs="宋体"/>
                <w:kern w:val="0"/>
                <w:szCs w:val="21"/>
              </w:rPr>
              <w:t>氟化物（以F</w:t>
            </w:r>
            <w:r>
              <w:rPr>
                <w:rFonts w:hint="eastAsia" w:ascii="宋体" w:hAnsi="宋体" w:cs="宋体"/>
                <w:kern w:val="0"/>
                <w:szCs w:val="21"/>
                <w:vertAlign w:val="superscript"/>
              </w:rPr>
              <w:t>-</w:t>
            </w:r>
            <w:r>
              <w:rPr>
                <w:rFonts w:hint="eastAsia" w:ascii="宋体" w:hAnsi="宋体" w:cs="宋体"/>
                <w:kern w:val="0"/>
                <w:szCs w:val="21"/>
              </w:rPr>
              <w:t>计）</w:t>
            </w:r>
          </w:p>
        </w:tc>
        <w:tc>
          <w:tcPr>
            <w:tcW w:w="266" w:type="pct"/>
            <w:tcMar>
              <w:left w:w="0" w:type="dxa"/>
              <w:right w:w="0" w:type="dxa"/>
            </w:tcMar>
            <w:vAlign w:val="center"/>
          </w:tcPr>
          <w:p w14:paraId="6D0D0E56">
            <w:pPr>
              <w:spacing w:line="300" w:lineRule="exact"/>
              <w:jc w:val="center"/>
              <w:rPr>
                <w:rFonts w:hint="eastAsia" w:ascii="宋体" w:hAnsi="宋体" w:cs="宋体"/>
                <w:kern w:val="0"/>
                <w:szCs w:val="21"/>
              </w:rPr>
            </w:pPr>
            <w:r>
              <w:rPr>
                <w:rFonts w:hint="eastAsia" w:ascii="宋体" w:hAnsi="宋体" w:cs="宋体"/>
                <w:kern w:val="0"/>
                <w:szCs w:val="21"/>
              </w:rPr>
              <w:t>≤1.0</w:t>
            </w:r>
          </w:p>
        </w:tc>
        <w:tc>
          <w:tcPr>
            <w:tcW w:w="327" w:type="pct"/>
            <w:tcMar>
              <w:left w:w="0" w:type="dxa"/>
              <w:right w:w="0" w:type="dxa"/>
            </w:tcMar>
            <w:vAlign w:val="center"/>
          </w:tcPr>
          <w:p w14:paraId="28EBE165">
            <w:pPr>
              <w:spacing w:line="300" w:lineRule="exact"/>
              <w:jc w:val="center"/>
              <w:rPr>
                <w:rFonts w:hint="eastAsia" w:ascii="宋体" w:hAnsi="宋体" w:cs="宋体"/>
                <w:kern w:val="0"/>
                <w:szCs w:val="21"/>
              </w:rPr>
            </w:pPr>
            <w:r>
              <w:rPr>
                <w:rFonts w:hint="eastAsia" w:ascii="宋体" w:hAnsi="宋体" w:cs="宋体"/>
                <w:spacing w:val="2"/>
                <w:szCs w:val="21"/>
              </w:rPr>
              <w:t>0.061</w:t>
            </w:r>
          </w:p>
        </w:tc>
        <w:tc>
          <w:tcPr>
            <w:tcW w:w="231" w:type="pct"/>
            <w:tcMar>
              <w:left w:w="0" w:type="dxa"/>
              <w:right w:w="0" w:type="dxa"/>
            </w:tcMar>
            <w:vAlign w:val="center"/>
          </w:tcPr>
          <w:p w14:paraId="7C32A5BF">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0.061</w:t>
            </w:r>
          </w:p>
        </w:tc>
        <w:tc>
          <w:tcPr>
            <w:tcW w:w="235" w:type="pct"/>
            <w:tcMar>
              <w:left w:w="0" w:type="dxa"/>
              <w:right w:w="0" w:type="dxa"/>
            </w:tcMar>
            <w:vAlign w:val="center"/>
          </w:tcPr>
          <w:p w14:paraId="3E0D8A3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287C6DAC">
            <w:pPr>
              <w:spacing w:line="300" w:lineRule="exact"/>
              <w:jc w:val="center"/>
              <w:rPr>
                <w:rFonts w:hint="eastAsia" w:ascii="宋体" w:hAnsi="宋体" w:cs="宋体"/>
                <w:kern w:val="0"/>
                <w:szCs w:val="21"/>
              </w:rPr>
            </w:pPr>
            <w:r>
              <w:rPr>
                <w:rFonts w:hint="eastAsia" w:ascii="宋体" w:hAnsi="宋体" w:cs="宋体"/>
                <w:spacing w:val="3"/>
                <w:szCs w:val="21"/>
              </w:rPr>
              <w:t>0.062</w:t>
            </w:r>
          </w:p>
        </w:tc>
        <w:tc>
          <w:tcPr>
            <w:tcW w:w="272" w:type="pct"/>
            <w:tcMar>
              <w:left w:w="0" w:type="dxa"/>
              <w:right w:w="0" w:type="dxa"/>
            </w:tcMar>
            <w:vAlign w:val="center"/>
          </w:tcPr>
          <w:p w14:paraId="48882578">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0.062</w:t>
            </w:r>
          </w:p>
        </w:tc>
        <w:tc>
          <w:tcPr>
            <w:tcW w:w="309" w:type="pct"/>
            <w:tcMar>
              <w:left w:w="0" w:type="dxa"/>
              <w:right w:w="0" w:type="dxa"/>
            </w:tcMar>
            <w:vAlign w:val="center"/>
          </w:tcPr>
          <w:p w14:paraId="2A12391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18253905">
            <w:pPr>
              <w:spacing w:line="300" w:lineRule="exact"/>
              <w:jc w:val="center"/>
              <w:rPr>
                <w:rFonts w:hint="eastAsia" w:ascii="宋体" w:hAnsi="宋体" w:cs="宋体"/>
                <w:kern w:val="0"/>
                <w:szCs w:val="21"/>
              </w:rPr>
            </w:pPr>
            <w:r>
              <w:rPr>
                <w:rFonts w:hint="eastAsia" w:ascii="宋体" w:hAnsi="宋体" w:cs="宋体"/>
                <w:spacing w:val="2"/>
                <w:szCs w:val="21"/>
              </w:rPr>
              <w:t>0.081</w:t>
            </w:r>
          </w:p>
        </w:tc>
        <w:tc>
          <w:tcPr>
            <w:tcW w:w="267" w:type="pct"/>
            <w:tcMar>
              <w:left w:w="0" w:type="dxa"/>
              <w:right w:w="0" w:type="dxa"/>
            </w:tcMar>
            <w:vAlign w:val="center"/>
          </w:tcPr>
          <w:p w14:paraId="67092C7C">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0.081</w:t>
            </w:r>
          </w:p>
        </w:tc>
        <w:tc>
          <w:tcPr>
            <w:tcW w:w="206" w:type="pct"/>
            <w:tcMar>
              <w:left w:w="0" w:type="dxa"/>
              <w:right w:w="0" w:type="dxa"/>
            </w:tcMar>
            <w:vAlign w:val="center"/>
          </w:tcPr>
          <w:p w14:paraId="65FC8FAC">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520B8A4">
            <w:pPr>
              <w:spacing w:line="300" w:lineRule="exact"/>
              <w:jc w:val="center"/>
              <w:rPr>
                <w:rFonts w:hint="eastAsia" w:ascii="宋体" w:hAnsi="宋体" w:cs="宋体"/>
                <w:kern w:val="0"/>
                <w:szCs w:val="21"/>
              </w:rPr>
            </w:pPr>
            <w:r>
              <w:rPr>
                <w:rFonts w:hint="eastAsia" w:ascii="宋体" w:hAnsi="宋体" w:cs="宋体"/>
                <w:spacing w:val="3"/>
                <w:szCs w:val="21"/>
              </w:rPr>
              <w:t>0.079</w:t>
            </w:r>
          </w:p>
        </w:tc>
        <w:tc>
          <w:tcPr>
            <w:tcW w:w="271" w:type="pct"/>
            <w:tcMar>
              <w:left w:w="0" w:type="dxa"/>
              <w:right w:w="0" w:type="dxa"/>
            </w:tcMar>
            <w:vAlign w:val="center"/>
          </w:tcPr>
          <w:p w14:paraId="7358286B">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0.079</w:t>
            </w:r>
          </w:p>
        </w:tc>
        <w:tc>
          <w:tcPr>
            <w:tcW w:w="227" w:type="pct"/>
            <w:tcMar>
              <w:left w:w="0" w:type="dxa"/>
              <w:right w:w="0" w:type="dxa"/>
            </w:tcMar>
            <w:vAlign w:val="center"/>
          </w:tcPr>
          <w:p w14:paraId="18137D9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EC5F946">
            <w:pPr>
              <w:spacing w:line="300" w:lineRule="exact"/>
              <w:jc w:val="center"/>
              <w:rPr>
                <w:rFonts w:hint="eastAsia" w:ascii="宋体" w:hAnsi="宋体" w:cs="宋体"/>
                <w:kern w:val="0"/>
                <w:szCs w:val="21"/>
              </w:rPr>
            </w:pPr>
            <w:r>
              <w:rPr>
                <w:rFonts w:hint="eastAsia" w:ascii="宋体" w:hAnsi="宋体" w:cs="宋体"/>
                <w:spacing w:val="2"/>
                <w:szCs w:val="21"/>
              </w:rPr>
              <w:t>0.150</w:t>
            </w:r>
          </w:p>
        </w:tc>
        <w:tc>
          <w:tcPr>
            <w:tcW w:w="271" w:type="pct"/>
            <w:tcMar>
              <w:left w:w="0" w:type="dxa"/>
              <w:right w:w="0" w:type="dxa"/>
            </w:tcMar>
            <w:vAlign w:val="center"/>
          </w:tcPr>
          <w:p w14:paraId="4BF8D017">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0.15</w:t>
            </w:r>
          </w:p>
        </w:tc>
        <w:tc>
          <w:tcPr>
            <w:tcW w:w="181" w:type="pct"/>
            <w:tcMar>
              <w:left w:w="0" w:type="dxa"/>
              <w:right w:w="0" w:type="dxa"/>
            </w:tcMar>
            <w:vAlign w:val="center"/>
          </w:tcPr>
          <w:p w14:paraId="2353DE25">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4D4C3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72B21B49">
            <w:pPr>
              <w:spacing w:line="300" w:lineRule="exact"/>
              <w:jc w:val="center"/>
              <w:rPr>
                <w:rFonts w:hint="eastAsia" w:ascii="宋体" w:hAnsi="宋体" w:cs="宋体"/>
                <w:kern w:val="0"/>
                <w:szCs w:val="21"/>
              </w:rPr>
            </w:pPr>
            <w:r>
              <w:rPr>
                <w:rFonts w:hint="eastAsia" w:ascii="宋体" w:hAnsi="宋体" w:cs="宋体"/>
                <w:kern w:val="0"/>
                <w:szCs w:val="21"/>
              </w:rPr>
              <w:t>9</w:t>
            </w:r>
          </w:p>
        </w:tc>
        <w:tc>
          <w:tcPr>
            <w:tcW w:w="474" w:type="pct"/>
            <w:tcMar>
              <w:left w:w="0" w:type="dxa"/>
              <w:right w:w="0" w:type="dxa"/>
            </w:tcMar>
            <w:vAlign w:val="center"/>
          </w:tcPr>
          <w:p w14:paraId="35CDBDD9">
            <w:pPr>
              <w:spacing w:line="300" w:lineRule="exact"/>
              <w:jc w:val="center"/>
              <w:rPr>
                <w:rFonts w:hint="eastAsia" w:ascii="宋体" w:hAnsi="宋体" w:cs="宋体"/>
                <w:kern w:val="0"/>
                <w:szCs w:val="21"/>
              </w:rPr>
            </w:pPr>
            <w:r>
              <w:rPr>
                <w:rFonts w:hint="eastAsia" w:ascii="宋体" w:hAnsi="宋体" w:cs="宋体"/>
                <w:kern w:val="0"/>
                <w:szCs w:val="21"/>
              </w:rPr>
              <w:t>氯化物（以Cl</w:t>
            </w:r>
            <w:r>
              <w:rPr>
                <w:rFonts w:hint="eastAsia" w:ascii="宋体" w:hAnsi="宋体" w:cs="宋体"/>
                <w:kern w:val="0"/>
                <w:szCs w:val="21"/>
                <w:vertAlign w:val="superscript"/>
              </w:rPr>
              <w:t>-</w:t>
            </w:r>
            <w:r>
              <w:rPr>
                <w:rFonts w:hint="eastAsia" w:ascii="宋体" w:hAnsi="宋体" w:cs="宋体"/>
                <w:kern w:val="0"/>
                <w:szCs w:val="21"/>
              </w:rPr>
              <w:t>计）</w:t>
            </w:r>
          </w:p>
        </w:tc>
        <w:tc>
          <w:tcPr>
            <w:tcW w:w="266" w:type="pct"/>
            <w:tcMar>
              <w:left w:w="0" w:type="dxa"/>
              <w:right w:w="0" w:type="dxa"/>
            </w:tcMar>
            <w:vAlign w:val="center"/>
          </w:tcPr>
          <w:p w14:paraId="30F91143">
            <w:pPr>
              <w:spacing w:line="300" w:lineRule="exact"/>
              <w:jc w:val="center"/>
              <w:rPr>
                <w:rFonts w:hint="eastAsia" w:ascii="宋体" w:hAnsi="宋体" w:cs="宋体"/>
                <w:kern w:val="0"/>
                <w:szCs w:val="21"/>
              </w:rPr>
            </w:pPr>
            <w:r>
              <w:rPr>
                <w:rFonts w:hint="eastAsia" w:ascii="宋体" w:hAnsi="宋体" w:cs="宋体"/>
                <w:kern w:val="0"/>
                <w:szCs w:val="21"/>
              </w:rPr>
              <w:t>≤250</w:t>
            </w:r>
          </w:p>
        </w:tc>
        <w:tc>
          <w:tcPr>
            <w:tcW w:w="327" w:type="pct"/>
            <w:tcMar>
              <w:left w:w="0" w:type="dxa"/>
              <w:right w:w="0" w:type="dxa"/>
            </w:tcMar>
            <w:vAlign w:val="center"/>
          </w:tcPr>
          <w:p w14:paraId="5E18129A">
            <w:pPr>
              <w:spacing w:line="300" w:lineRule="exact"/>
              <w:jc w:val="center"/>
              <w:rPr>
                <w:rFonts w:hint="eastAsia" w:ascii="宋体" w:hAnsi="宋体" w:cs="宋体"/>
                <w:kern w:val="0"/>
                <w:szCs w:val="21"/>
              </w:rPr>
            </w:pPr>
            <w:r>
              <w:rPr>
                <w:rFonts w:hint="eastAsia" w:ascii="宋体" w:hAnsi="宋体" w:cs="宋体"/>
                <w:spacing w:val="3"/>
                <w:szCs w:val="21"/>
              </w:rPr>
              <w:t>43.2</w:t>
            </w:r>
          </w:p>
        </w:tc>
        <w:tc>
          <w:tcPr>
            <w:tcW w:w="231" w:type="pct"/>
            <w:tcMar>
              <w:left w:w="0" w:type="dxa"/>
              <w:right w:w="0" w:type="dxa"/>
            </w:tcMar>
            <w:vAlign w:val="center"/>
          </w:tcPr>
          <w:p w14:paraId="5C8E80ED">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0.1728</w:t>
            </w:r>
          </w:p>
        </w:tc>
        <w:tc>
          <w:tcPr>
            <w:tcW w:w="235" w:type="pct"/>
            <w:tcMar>
              <w:left w:w="0" w:type="dxa"/>
              <w:right w:w="0" w:type="dxa"/>
            </w:tcMar>
            <w:vAlign w:val="center"/>
          </w:tcPr>
          <w:p w14:paraId="61F4DBE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9A5755B">
            <w:pPr>
              <w:spacing w:line="300" w:lineRule="exact"/>
              <w:jc w:val="center"/>
              <w:rPr>
                <w:rFonts w:hint="eastAsia" w:ascii="宋体" w:hAnsi="宋体" w:cs="宋体"/>
                <w:kern w:val="0"/>
                <w:szCs w:val="21"/>
              </w:rPr>
            </w:pPr>
            <w:r>
              <w:rPr>
                <w:rFonts w:hint="eastAsia" w:ascii="宋体" w:hAnsi="宋体" w:cs="宋体"/>
                <w:spacing w:val="1"/>
                <w:szCs w:val="21"/>
              </w:rPr>
              <w:t>86.9</w:t>
            </w:r>
          </w:p>
        </w:tc>
        <w:tc>
          <w:tcPr>
            <w:tcW w:w="272" w:type="pct"/>
            <w:tcMar>
              <w:left w:w="0" w:type="dxa"/>
              <w:right w:w="0" w:type="dxa"/>
            </w:tcMar>
            <w:vAlign w:val="center"/>
          </w:tcPr>
          <w:p w14:paraId="2B93D344">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0.3476</w:t>
            </w:r>
          </w:p>
        </w:tc>
        <w:tc>
          <w:tcPr>
            <w:tcW w:w="309" w:type="pct"/>
            <w:tcMar>
              <w:left w:w="0" w:type="dxa"/>
              <w:right w:w="0" w:type="dxa"/>
            </w:tcMar>
            <w:vAlign w:val="center"/>
          </w:tcPr>
          <w:p w14:paraId="611C9BD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19258AD">
            <w:pPr>
              <w:spacing w:line="300" w:lineRule="exact"/>
              <w:jc w:val="center"/>
              <w:rPr>
                <w:rFonts w:hint="eastAsia" w:ascii="宋体" w:hAnsi="宋体" w:cs="宋体"/>
                <w:kern w:val="0"/>
                <w:szCs w:val="21"/>
              </w:rPr>
            </w:pPr>
            <w:r>
              <w:rPr>
                <w:rFonts w:hint="eastAsia" w:ascii="宋体" w:hAnsi="宋体" w:cs="宋体"/>
                <w:spacing w:val="3"/>
                <w:szCs w:val="21"/>
              </w:rPr>
              <w:t>43.4</w:t>
            </w:r>
          </w:p>
        </w:tc>
        <w:tc>
          <w:tcPr>
            <w:tcW w:w="267" w:type="pct"/>
            <w:tcMar>
              <w:left w:w="0" w:type="dxa"/>
              <w:right w:w="0" w:type="dxa"/>
            </w:tcMar>
            <w:vAlign w:val="center"/>
          </w:tcPr>
          <w:p w14:paraId="06609DB9">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0.1736</w:t>
            </w:r>
          </w:p>
        </w:tc>
        <w:tc>
          <w:tcPr>
            <w:tcW w:w="206" w:type="pct"/>
            <w:tcMar>
              <w:left w:w="0" w:type="dxa"/>
              <w:right w:w="0" w:type="dxa"/>
            </w:tcMar>
            <w:vAlign w:val="center"/>
          </w:tcPr>
          <w:p w14:paraId="438F708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70DC352B">
            <w:pPr>
              <w:spacing w:line="300" w:lineRule="exact"/>
              <w:jc w:val="center"/>
              <w:rPr>
                <w:rFonts w:hint="eastAsia" w:ascii="宋体" w:hAnsi="宋体" w:cs="宋体"/>
                <w:kern w:val="0"/>
                <w:szCs w:val="21"/>
              </w:rPr>
            </w:pPr>
            <w:r>
              <w:rPr>
                <w:rFonts w:hint="eastAsia" w:ascii="宋体" w:hAnsi="宋体" w:cs="宋体"/>
                <w:spacing w:val="1"/>
                <w:szCs w:val="21"/>
              </w:rPr>
              <w:t>84.0</w:t>
            </w:r>
          </w:p>
        </w:tc>
        <w:tc>
          <w:tcPr>
            <w:tcW w:w="271" w:type="pct"/>
            <w:tcMar>
              <w:left w:w="0" w:type="dxa"/>
              <w:right w:w="0" w:type="dxa"/>
            </w:tcMar>
            <w:vAlign w:val="center"/>
          </w:tcPr>
          <w:p w14:paraId="4AF09BD2">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0.336</w:t>
            </w:r>
          </w:p>
        </w:tc>
        <w:tc>
          <w:tcPr>
            <w:tcW w:w="227" w:type="pct"/>
            <w:tcMar>
              <w:left w:w="0" w:type="dxa"/>
              <w:right w:w="0" w:type="dxa"/>
            </w:tcMar>
            <w:vAlign w:val="center"/>
          </w:tcPr>
          <w:p w14:paraId="0B96A20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2CD2BF1C">
            <w:pPr>
              <w:spacing w:line="300" w:lineRule="exact"/>
              <w:jc w:val="center"/>
              <w:rPr>
                <w:rFonts w:hint="eastAsia" w:ascii="宋体" w:hAnsi="宋体" w:cs="宋体"/>
                <w:kern w:val="0"/>
                <w:szCs w:val="21"/>
              </w:rPr>
            </w:pPr>
            <w:r>
              <w:rPr>
                <w:rFonts w:hint="eastAsia" w:ascii="宋体" w:hAnsi="宋体" w:cs="宋体"/>
                <w:spacing w:val="2"/>
                <w:szCs w:val="21"/>
              </w:rPr>
              <w:t>77.0</w:t>
            </w:r>
          </w:p>
        </w:tc>
        <w:tc>
          <w:tcPr>
            <w:tcW w:w="271" w:type="pct"/>
            <w:tcMar>
              <w:left w:w="0" w:type="dxa"/>
              <w:right w:w="0" w:type="dxa"/>
            </w:tcMar>
            <w:vAlign w:val="center"/>
          </w:tcPr>
          <w:p w14:paraId="2BFA6379">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0.308</w:t>
            </w:r>
          </w:p>
        </w:tc>
        <w:tc>
          <w:tcPr>
            <w:tcW w:w="181" w:type="pct"/>
            <w:tcMar>
              <w:left w:w="0" w:type="dxa"/>
              <w:right w:w="0" w:type="dxa"/>
            </w:tcMar>
            <w:vAlign w:val="center"/>
          </w:tcPr>
          <w:p w14:paraId="3FC6EBA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36D0D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005C7F70">
            <w:pPr>
              <w:spacing w:line="300" w:lineRule="exact"/>
              <w:jc w:val="center"/>
              <w:rPr>
                <w:rFonts w:hint="eastAsia" w:ascii="宋体" w:hAnsi="宋体" w:cs="宋体"/>
                <w:kern w:val="0"/>
                <w:szCs w:val="21"/>
              </w:rPr>
            </w:pPr>
            <w:r>
              <w:rPr>
                <w:rFonts w:hint="eastAsia" w:ascii="宋体" w:hAnsi="宋体" w:cs="宋体"/>
                <w:kern w:val="0"/>
                <w:szCs w:val="21"/>
              </w:rPr>
              <w:t>10</w:t>
            </w:r>
          </w:p>
        </w:tc>
        <w:tc>
          <w:tcPr>
            <w:tcW w:w="474" w:type="pct"/>
            <w:tcMar>
              <w:left w:w="0" w:type="dxa"/>
              <w:right w:w="0" w:type="dxa"/>
            </w:tcMar>
            <w:vAlign w:val="center"/>
          </w:tcPr>
          <w:p w14:paraId="77919652">
            <w:pPr>
              <w:spacing w:line="300" w:lineRule="exact"/>
              <w:jc w:val="center"/>
              <w:rPr>
                <w:rFonts w:hint="eastAsia" w:ascii="宋体" w:hAnsi="宋体" w:cs="宋体"/>
                <w:kern w:val="0"/>
                <w:szCs w:val="21"/>
              </w:rPr>
            </w:pPr>
            <w:r>
              <w:rPr>
                <w:rFonts w:hint="eastAsia" w:ascii="宋体" w:hAnsi="宋体" w:cs="宋体"/>
                <w:kern w:val="0"/>
                <w:szCs w:val="21"/>
              </w:rPr>
              <w:t>硝酸盐（以N计）</w:t>
            </w:r>
          </w:p>
        </w:tc>
        <w:tc>
          <w:tcPr>
            <w:tcW w:w="266" w:type="pct"/>
            <w:tcMar>
              <w:left w:w="0" w:type="dxa"/>
              <w:right w:w="0" w:type="dxa"/>
            </w:tcMar>
            <w:vAlign w:val="center"/>
          </w:tcPr>
          <w:p w14:paraId="2740AF32">
            <w:pPr>
              <w:spacing w:line="300" w:lineRule="exact"/>
              <w:jc w:val="center"/>
              <w:rPr>
                <w:rFonts w:hint="eastAsia" w:ascii="宋体" w:hAnsi="宋体" w:cs="宋体"/>
                <w:kern w:val="0"/>
                <w:szCs w:val="21"/>
              </w:rPr>
            </w:pPr>
            <w:r>
              <w:rPr>
                <w:rFonts w:hint="eastAsia" w:ascii="宋体" w:hAnsi="宋体" w:cs="宋体"/>
                <w:kern w:val="0"/>
                <w:szCs w:val="21"/>
              </w:rPr>
              <w:t>≤20</w:t>
            </w:r>
          </w:p>
        </w:tc>
        <w:tc>
          <w:tcPr>
            <w:tcW w:w="327" w:type="pct"/>
            <w:tcMar>
              <w:left w:w="0" w:type="dxa"/>
              <w:right w:w="0" w:type="dxa"/>
            </w:tcMar>
            <w:vAlign w:val="center"/>
          </w:tcPr>
          <w:p w14:paraId="778DC623">
            <w:pPr>
              <w:spacing w:line="300" w:lineRule="exact"/>
              <w:jc w:val="center"/>
              <w:rPr>
                <w:rFonts w:hint="eastAsia" w:ascii="宋体" w:hAnsi="宋体" w:cs="宋体"/>
                <w:kern w:val="0"/>
                <w:szCs w:val="21"/>
              </w:rPr>
            </w:pPr>
            <w:r>
              <w:rPr>
                <w:rFonts w:hint="eastAsia" w:ascii="宋体" w:hAnsi="宋体" w:cs="宋体"/>
                <w:spacing w:val="2"/>
                <w:szCs w:val="21"/>
              </w:rPr>
              <w:t>0.230</w:t>
            </w:r>
          </w:p>
        </w:tc>
        <w:tc>
          <w:tcPr>
            <w:tcW w:w="231" w:type="pct"/>
            <w:tcMar>
              <w:left w:w="0" w:type="dxa"/>
              <w:right w:w="0" w:type="dxa"/>
            </w:tcMar>
            <w:vAlign w:val="center"/>
          </w:tcPr>
          <w:p w14:paraId="14F716AB">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0.0115</w:t>
            </w:r>
          </w:p>
        </w:tc>
        <w:tc>
          <w:tcPr>
            <w:tcW w:w="235" w:type="pct"/>
            <w:tcMar>
              <w:left w:w="0" w:type="dxa"/>
              <w:right w:w="0" w:type="dxa"/>
            </w:tcMar>
            <w:vAlign w:val="center"/>
          </w:tcPr>
          <w:p w14:paraId="662D4B9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2BA3699">
            <w:pPr>
              <w:spacing w:line="300" w:lineRule="exact"/>
              <w:jc w:val="center"/>
              <w:rPr>
                <w:rFonts w:hint="eastAsia" w:ascii="宋体" w:hAnsi="宋体" w:cs="宋体"/>
                <w:kern w:val="0"/>
                <w:szCs w:val="21"/>
              </w:rPr>
            </w:pPr>
            <w:r>
              <w:rPr>
                <w:rFonts w:hint="eastAsia" w:ascii="宋体" w:hAnsi="宋体" w:cs="宋体"/>
                <w:spacing w:val="3"/>
                <w:szCs w:val="21"/>
              </w:rPr>
              <w:t>0.603</w:t>
            </w:r>
          </w:p>
        </w:tc>
        <w:tc>
          <w:tcPr>
            <w:tcW w:w="272" w:type="pct"/>
            <w:tcMar>
              <w:left w:w="0" w:type="dxa"/>
              <w:right w:w="0" w:type="dxa"/>
            </w:tcMar>
            <w:vAlign w:val="center"/>
          </w:tcPr>
          <w:p w14:paraId="6CCD7BBF">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0.03015</w:t>
            </w:r>
          </w:p>
        </w:tc>
        <w:tc>
          <w:tcPr>
            <w:tcW w:w="309" w:type="pct"/>
            <w:tcMar>
              <w:left w:w="0" w:type="dxa"/>
              <w:right w:w="0" w:type="dxa"/>
            </w:tcMar>
            <w:vAlign w:val="center"/>
          </w:tcPr>
          <w:p w14:paraId="22114B7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0C880E0A">
            <w:pPr>
              <w:spacing w:line="300" w:lineRule="exact"/>
              <w:jc w:val="center"/>
              <w:rPr>
                <w:rFonts w:hint="eastAsia" w:ascii="宋体" w:hAnsi="宋体" w:cs="宋体"/>
                <w:kern w:val="0"/>
                <w:szCs w:val="21"/>
              </w:rPr>
            </w:pPr>
            <w:r>
              <w:rPr>
                <w:rFonts w:hint="eastAsia" w:ascii="宋体" w:hAnsi="宋体" w:cs="宋体"/>
                <w:spacing w:val="2"/>
                <w:szCs w:val="21"/>
              </w:rPr>
              <w:t>0.382</w:t>
            </w:r>
          </w:p>
        </w:tc>
        <w:tc>
          <w:tcPr>
            <w:tcW w:w="267" w:type="pct"/>
            <w:tcMar>
              <w:left w:w="0" w:type="dxa"/>
              <w:right w:w="0" w:type="dxa"/>
            </w:tcMar>
            <w:vAlign w:val="center"/>
          </w:tcPr>
          <w:p w14:paraId="5A8F3CE5">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0.0191</w:t>
            </w:r>
          </w:p>
        </w:tc>
        <w:tc>
          <w:tcPr>
            <w:tcW w:w="206" w:type="pct"/>
            <w:tcMar>
              <w:left w:w="0" w:type="dxa"/>
              <w:right w:w="0" w:type="dxa"/>
            </w:tcMar>
            <w:vAlign w:val="center"/>
          </w:tcPr>
          <w:p w14:paraId="441FFDE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1A5D33AF">
            <w:pPr>
              <w:spacing w:line="300" w:lineRule="exact"/>
              <w:jc w:val="center"/>
              <w:rPr>
                <w:rFonts w:hint="eastAsia" w:ascii="宋体" w:hAnsi="宋体" w:cs="宋体"/>
                <w:kern w:val="0"/>
                <w:szCs w:val="21"/>
              </w:rPr>
            </w:pPr>
            <w:r>
              <w:rPr>
                <w:rFonts w:hint="eastAsia" w:ascii="宋体" w:hAnsi="宋体" w:cs="宋体"/>
                <w:spacing w:val="3"/>
                <w:szCs w:val="21"/>
              </w:rPr>
              <w:t>0.397</w:t>
            </w:r>
          </w:p>
        </w:tc>
        <w:tc>
          <w:tcPr>
            <w:tcW w:w="271" w:type="pct"/>
            <w:tcMar>
              <w:left w:w="0" w:type="dxa"/>
              <w:right w:w="0" w:type="dxa"/>
            </w:tcMar>
            <w:vAlign w:val="center"/>
          </w:tcPr>
          <w:p w14:paraId="0494781A">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0.01985</w:t>
            </w:r>
          </w:p>
        </w:tc>
        <w:tc>
          <w:tcPr>
            <w:tcW w:w="227" w:type="pct"/>
            <w:tcMar>
              <w:left w:w="0" w:type="dxa"/>
              <w:right w:w="0" w:type="dxa"/>
            </w:tcMar>
            <w:vAlign w:val="center"/>
          </w:tcPr>
          <w:p w14:paraId="4ED0216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219E9A2E">
            <w:pPr>
              <w:spacing w:line="300" w:lineRule="exact"/>
              <w:jc w:val="center"/>
              <w:rPr>
                <w:rFonts w:hint="eastAsia" w:ascii="宋体" w:hAnsi="宋体" w:cs="宋体"/>
                <w:kern w:val="0"/>
                <w:szCs w:val="21"/>
              </w:rPr>
            </w:pPr>
            <w:r>
              <w:rPr>
                <w:rFonts w:hint="eastAsia" w:ascii="宋体" w:hAnsi="宋体" w:cs="宋体"/>
                <w:spacing w:val="2"/>
                <w:szCs w:val="21"/>
              </w:rPr>
              <w:t>0.497</w:t>
            </w:r>
          </w:p>
        </w:tc>
        <w:tc>
          <w:tcPr>
            <w:tcW w:w="271" w:type="pct"/>
            <w:tcMar>
              <w:left w:w="0" w:type="dxa"/>
              <w:right w:w="0" w:type="dxa"/>
            </w:tcMar>
            <w:vAlign w:val="center"/>
          </w:tcPr>
          <w:p w14:paraId="5C8D92CD">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0.02485</w:t>
            </w:r>
          </w:p>
        </w:tc>
        <w:tc>
          <w:tcPr>
            <w:tcW w:w="181" w:type="pct"/>
            <w:tcMar>
              <w:left w:w="0" w:type="dxa"/>
              <w:right w:w="0" w:type="dxa"/>
            </w:tcMar>
            <w:vAlign w:val="center"/>
          </w:tcPr>
          <w:p w14:paraId="3E45B63D">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6D0B4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59BE75DB">
            <w:pPr>
              <w:spacing w:line="300" w:lineRule="exact"/>
              <w:jc w:val="center"/>
              <w:rPr>
                <w:rFonts w:hint="eastAsia" w:ascii="宋体" w:hAnsi="宋体" w:cs="宋体"/>
                <w:kern w:val="0"/>
                <w:szCs w:val="21"/>
              </w:rPr>
            </w:pPr>
            <w:r>
              <w:rPr>
                <w:rFonts w:hint="eastAsia" w:ascii="宋体" w:hAnsi="宋体" w:cs="宋体"/>
                <w:kern w:val="0"/>
                <w:szCs w:val="21"/>
              </w:rPr>
              <w:t>11</w:t>
            </w:r>
          </w:p>
        </w:tc>
        <w:tc>
          <w:tcPr>
            <w:tcW w:w="474" w:type="pct"/>
            <w:tcMar>
              <w:left w:w="0" w:type="dxa"/>
              <w:right w:w="0" w:type="dxa"/>
            </w:tcMar>
            <w:vAlign w:val="center"/>
          </w:tcPr>
          <w:p w14:paraId="7ABC2F51">
            <w:pPr>
              <w:spacing w:line="300" w:lineRule="exact"/>
              <w:jc w:val="center"/>
              <w:rPr>
                <w:rFonts w:hint="eastAsia" w:ascii="宋体" w:hAnsi="宋体" w:cs="宋体"/>
                <w:kern w:val="0"/>
                <w:szCs w:val="21"/>
              </w:rPr>
            </w:pPr>
            <w:r>
              <w:rPr>
                <w:rFonts w:hint="eastAsia" w:ascii="宋体" w:hAnsi="宋体" w:cs="宋体"/>
                <w:kern w:val="0"/>
                <w:szCs w:val="21"/>
              </w:rPr>
              <w:t>硫酸盐（以SO</w:t>
            </w:r>
            <w:r>
              <w:rPr>
                <w:rFonts w:hint="eastAsia" w:ascii="宋体" w:hAnsi="宋体" w:cs="宋体"/>
                <w:kern w:val="0"/>
                <w:szCs w:val="21"/>
                <w:vertAlign w:val="subscript"/>
              </w:rPr>
              <w:t>4</w:t>
            </w:r>
            <w:r>
              <w:rPr>
                <w:rFonts w:hint="eastAsia" w:ascii="宋体" w:hAnsi="宋体" w:cs="宋体"/>
                <w:kern w:val="0"/>
                <w:szCs w:val="21"/>
                <w:vertAlign w:val="superscript"/>
              </w:rPr>
              <w:t>2-</w:t>
            </w:r>
            <w:r>
              <w:rPr>
                <w:rFonts w:hint="eastAsia" w:ascii="宋体" w:hAnsi="宋体" w:cs="宋体"/>
                <w:kern w:val="0"/>
                <w:szCs w:val="21"/>
              </w:rPr>
              <w:t>计）</w:t>
            </w:r>
          </w:p>
        </w:tc>
        <w:tc>
          <w:tcPr>
            <w:tcW w:w="266" w:type="pct"/>
            <w:tcMar>
              <w:left w:w="0" w:type="dxa"/>
              <w:right w:w="0" w:type="dxa"/>
            </w:tcMar>
            <w:vAlign w:val="center"/>
          </w:tcPr>
          <w:p w14:paraId="207031AF">
            <w:pPr>
              <w:spacing w:line="300" w:lineRule="exact"/>
              <w:jc w:val="center"/>
              <w:rPr>
                <w:rFonts w:hint="eastAsia" w:ascii="宋体" w:hAnsi="宋体" w:cs="宋体"/>
                <w:kern w:val="0"/>
                <w:szCs w:val="21"/>
              </w:rPr>
            </w:pPr>
            <w:r>
              <w:rPr>
                <w:rFonts w:hint="eastAsia" w:ascii="宋体" w:hAnsi="宋体" w:cs="宋体"/>
                <w:kern w:val="0"/>
                <w:szCs w:val="21"/>
              </w:rPr>
              <w:t>≤250</w:t>
            </w:r>
          </w:p>
        </w:tc>
        <w:tc>
          <w:tcPr>
            <w:tcW w:w="327" w:type="pct"/>
            <w:tcMar>
              <w:left w:w="0" w:type="dxa"/>
              <w:right w:w="0" w:type="dxa"/>
            </w:tcMar>
            <w:vAlign w:val="center"/>
          </w:tcPr>
          <w:p w14:paraId="0B2ED8C6">
            <w:pPr>
              <w:spacing w:line="300" w:lineRule="exact"/>
              <w:jc w:val="center"/>
              <w:rPr>
                <w:rFonts w:hint="eastAsia" w:ascii="宋体" w:hAnsi="宋体" w:cs="宋体"/>
                <w:kern w:val="0"/>
                <w:szCs w:val="21"/>
              </w:rPr>
            </w:pPr>
            <w:r>
              <w:rPr>
                <w:rFonts w:hint="eastAsia" w:ascii="宋体" w:hAnsi="宋体" w:cs="宋体"/>
                <w:spacing w:val="-3"/>
                <w:szCs w:val="21"/>
              </w:rPr>
              <w:t>167</w:t>
            </w:r>
          </w:p>
        </w:tc>
        <w:tc>
          <w:tcPr>
            <w:tcW w:w="231" w:type="pct"/>
            <w:tcMar>
              <w:left w:w="0" w:type="dxa"/>
              <w:right w:w="0" w:type="dxa"/>
            </w:tcMar>
            <w:vAlign w:val="center"/>
          </w:tcPr>
          <w:p w14:paraId="1F3EE160">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0.668</w:t>
            </w:r>
          </w:p>
        </w:tc>
        <w:tc>
          <w:tcPr>
            <w:tcW w:w="235" w:type="pct"/>
            <w:tcMar>
              <w:left w:w="0" w:type="dxa"/>
              <w:right w:w="0" w:type="dxa"/>
            </w:tcMar>
            <w:vAlign w:val="center"/>
          </w:tcPr>
          <w:p w14:paraId="4A58D14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4C6078FD">
            <w:pPr>
              <w:spacing w:line="300" w:lineRule="exact"/>
              <w:jc w:val="center"/>
              <w:rPr>
                <w:rFonts w:hint="eastAsia" w:ascii="宋体" w:hAnsi="宋体" w:cs="宋体"/>
                <w:kern w:val="0"/>
                <w:szCs w:val="21"/>
              </w:rPr>
            </w:pPr>
            <w:r>
              <w:rPr>
                <w:rFonts w:hint="eastAsia" w:ascii="宋体" w:hAnsi="宋体" w:cs="宋体"/>
                <w:spacing w:val="-3"/>
                <w:szCs w:val="21"/>
              </w:rPr>
              <w:t>155</w:t>
            </w:r>
          </w:p>
        </w:tc>
        <w:tc>
          <w:tcPr>
            <w:tcW w:w="272" w:type="pct"/>
            <w:tcMar>
              <w:left w:w="0" w:type="dxa"/>
              <w:right w:w="0" w:type="dxa"/>
            </w:tcMar>
            <w:vAlign w:val="center"/>
          </w:tcPr>
          <w:p w14:paraId="2C0E5B9A">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0.62</w:t>
            </w:r>
          </w:p>
        </w:tc>
        <w:tc>
          <w:tcPr>
            <w:tcW w:w="309" w:type="pct"/>
            <w:tcMar>
              <w:left w:w="0" w:type="dxa"/>
              <w:right w:w="0" w:type="dxa"/>
            </w:tcMar>
            <w:vAlign w:val="center"/>
          </w:tcPr>
          <w:p w14:paraId="3DDCE6A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5E8A82D7">
            <w:pPr>
              <w:spacing w:line="300" w:lineRule="exact"/>
              <w:jc w:val="center"/>
              <w:rPr>
                <w:rFonts w:hint="eastAsia" w:ascii="宋体" w:hAnsi="宋体" w:cs="宋体"/>
                <w:kern w:val="0"/>
                <w:szCs w:val="21"/>
              </w:rPr>
            </w:pPr>
            <w:r>
              <w:rPr>
                <w:rFonts w:hint="eastAsia" w:ascii="宋体" w:hAnsi="宋体" w:cs="宋体"/>
                <w:spacing w:val="-3"/>
                <w:szCs w:val="21"/>
              </w:rPr>
              <w:t>177</w:t>
            </w:r>
          </w:p>
        </w:tc>
        <w:tc>
          <w:tcPr>
            <w:tcW w:w="267" w:type="pct"/>
            <w:tcMar>
              <w:left w:w="0" w:type="dxa"/>
              <w:right w:w="0" w:type="dxa"/>
            </w:tcMar>
            <w:vAlign w:val="center"/>
          </w:tcPr>
          <w:p w14:paraId="02CA65F3">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0.708</w:t>
            </w:r>
          </w:p>
        </w:tc>
        <w:tc>
          <w:tcPr>
            <w:tcW w:w="206" w:type="pct"/>
            <w:tcMar>
              <w:left w:w="0" w:type="dxa"/>
              <w:right w:w="0" w:type="dxa"/>
            </w:tcMar>
            <w:vAlign w:val="center"/>
          </w:tcPr>
          <w:p w14:paraId="29B5C7B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3DBB5FF2">
            <w:pPr>
              <w:spacing w:line="300" w:lineRule="exact"/>
              <w:jc w:val="center"/>
              <w:rPr>
                <w:rFonts w:hint="eastAsia" w:ascii="宋体" w:hAnsi="宋体" w:cs="宋体"/>
                <w:kern w:val="0"/>
                <w:szCs w:val="21"/>
              </w:rPr>
            </w:pPr>
            <w:r>
              <w:rPr>
                <w:rFonts w:hint="eastAsia" w:ascii="宋体" w:hAnsi="宋体" w:cs="宋体"/>
                <w:spacing w:val="-3"/>
                <w:szCs w:val="21"/>
              </w:rPr>
              <w:t>144</w:t>
            </w:r>
          </w:p>
        </w:tc>
        <w:tc>
          <w:tcPr>
            <w:tcW w:w="271" w:type="pct"/>
            <w:tcMar>
              <w:left w:w="0" w:type="dxa"/>
              <w:right w:w="0" w:type="dxa"/>
            </w:tcMar>
            <w:vAlign w:val="center"/>
          </w:tcPr>
          <w:p w14:paraId="585C94B0">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0.576</w:t>
            </w:r>
          </w:p>
        </w:tc>
        <w:tc>
          <w:tcPr>
            <w:tcW w:w="227" w:type="pct"/>
            <w:tcMar>
              <w:left w:w="0" w:type="dxa"/>
              <w:right w:w="0" w:type="dxa"/>
            </w:tcMar>
            <w:vAlign w:val="center"/>
          </w:tcPr>
          <w:p w14:paraId="72C1129B">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3F3A902">
            <w:pPr>
              <w:spacing w:line="300" w:lineRule="exact"/>
              <w:jc w:val="center"/>
              <w:rPr>
                <w:rFonts w:hint="eastAsia" w:ascii="宋体" w:hAnsi="宋体" w:cs="宋体"/>
                <w:kern w:val="0"/>
                <w:szCs w:val="21"/>
              </w:rPr>
            </w:pPr>
            <w:r>
              <w:rPr>
                <w:rFonts w:hint="eastAsia" w:ascii="宋体" w:hAnsi="宋体" w:cs="宋体"/>
                <w:spacing w:val="-3"/>
                <w:szCs w:val="21"/>
              </w:rPr>
              <w:t>151</w:t>
            </w:r>
          </w:p>
        </w:tc>
        <w:tc>
          <w:tcPr>
            <w:tcW w:w="271" w:type="pct"/>
            <w:tcMar>
              <w:left w:w="0" w:type="dxa"/>
              <w:right w:w="0" w:type="dxa"/>
            </w:tcMar>
            <w:vAlign w:val="center"/>
          </w:tcPr>
          <w:p w14:paraId="65A7B6B9">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0.604</w:t>
            </w:r>
          </w:p>
        </w:tc>
        <w:tc>
          <w:tcPr>
            <w:tcW w:w="181" w:type="pct"/>
            <w:tcMar>
              <w:left w:w="0" w:type="dxa"/>
              <w:right w:w="0" w:type="dxa"/>
            </w:tcMar>
            <w:vAlign w:val="center"/>
          </w:tcPr>
          <w:p w14:paraId="6E19C0E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44AE3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65FA1C44">
            <w:pPr>
              <w:spacing w:line="300" w:lineRule="exact"/>
              <w:jc w:val="center"/>
              <w:rPr>
                <w:rFonts w:hint="eastAsia" w:ascii="宋体" w:hAnsi="宋体" w:cs="宋体"/>
                <w:kern w:val="0"/>
                <w:szCs w:val="21"/>
              </w:rPr>
            </w:pPr>
            <w:r>
              <w:rPr>
                <w:rFonts w:hint="eastAsia" w:ascii="宋体" w:hAnsi="宋体" w:cs="宋体"/>
                <w:kern w:val="0"/>
                <w:szCs w:val="21"/>
              </w:rPr>
              <w:t>12</w:t>
            </w:r>
          </w:p>
        </w:tc>
        <w:tc>
          <w:tcPr>
            <w:tcW w:w="474" w:type="pct"/>
            <w:tcMar>
              <w:left w:w="0" w:type="dxa"/>
              <w:right w:w="0" w:type="dxa"/>
            </w:tcMar>
            <w:vAlign w:val="center"/>
          </w:tcPr>
          <w:p w14:paraId="471B3BA3">
            <w:pPr>
              <w:spacing w:line="300" w:lineRule="exact"/>
              <w:jc w:val="center"/>
              <w:rPr>
                <w:rFonts w:hint="eastAsia" w:ascii="宋体" w:hAnsi="宋体" w:cs="宋体"/>
                <w:kern w:val="0"/>
                <w:szCs w:val="21"/>
              </w:rPr>
            </w:pPr>
            <w:r>
              <w:rPr>
                <w:rFonts w:hint="eastAsia" w:ascii="宋体" w:hAnsi="宋体" w:cs="宋体"/>
                <w:kern w:val="0"/>
                <w:szCs w:val="21"/>
              </w:rPr>
              <w:t>亚硝酸盐氮（以N计）</w:t>
            </w:r>
          </w:p>
        </w:tc>
        <w:tc>
          <w:tcPr>
            <w:tcW w:w="266" w:type="pct"/>
            <w:tcMar>
              <w:left w:w="0" w:type="dxa"/>
              <w:right w:w="0" w:type="dxa"/>
            </w:tcMar>
            <w:vAlign w:val="center"/>
          </w:tcPr>
          <w:p w14:paraId="7ACBBB5F">
            <w:pPr>
              <w:spacing w:line="300" w:lineRule="exact"/>
              <w:jc w:val="center"/>
              <w:rPr>
                <w:rFonts w:hint="eastAsia" w:ascii="宋体" w:hAnsi="宋体" w:cs="宋体"/>
                <w:kern w:val="0"/>
                <w:szCs w:val="21"/>
              </w:rPr>
            </w:pPr>
            <w:r>
              <w:rPr>
                <w:rFonts w:hint="eastAsia" w:ascii="宋体" w:hAnsi="宋体" w:cs="宋体"/>
                <w:kern w:val="0"/>
                <w:szCs w:val="21"/>
              </w:rPr>
              <w:t>≤1.00</w:t>
            </w:r>
          </w:p>
        </w:tc>
        <w:tc>
          <w:tcPr>
            <w:tcW w:w="327" w:type="pct"/>
            <w:tcMar>
              <w:left w:w="0" w:type="dxa"/>
              <w:right w:w="0" w:type="dxa"/>
            </w:tcMar>
            <w:vAlign w:val="center"/>
          </w:tcPr>
          <w:p w14:paraId="74E01F93">
            <w:pPr>
              <w:spacing w:line="300" w:lineRule="exact"/>
              <w:jc w:val="center"/>
              <w:rPr>
                <w:rFonts w:hint="eastAsia" w:ascii="宋体" w:hAnsi="宋体" w:cs="宋体"/>
                <w:kern w:val="0"/>
                <w:szCs w:val="21"/>
              </w:rPr>
            </w:pPr>
            <w:r>
              <w:rPr>
                <w:rFonts w:hint="eastAsia" w:ascii="宋体" w:hAnsi="宋体" w:cs="宋体"/>
                <w:spacing w:val="2"/>
                <w:szCs w:val="21"/>
              </w:rPr>
              <w:t>0.004</w:t>
            </w:r>
          </w:p>
        </w:tc>
        <w:tc>
          <w:tcPr>
            <w:tcW w:w="231" w:type="pct"/>
            <w:tcMar>
              <w:left w:w="0" w:type="dxa"/>
              <w:right w:w="0" w:type="dxa"/>
            </w:tcMar>
            <w:vAlign w:val="center"/>
          </w:tcPr>
          <w:p w14:paraId="5528322D">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0.004</w:t>
            </w:r>
          </w:p>
        </w:tc>
        <w:tc>
          <w:tcPr>
            <w:tcW w:w="235" w:type="pct"/>
            <w:tcMar>
              <w:left w:w="0" w:type="dxa"/>
              <w:right w:w="0" w:type="dxa"/>
            </w:tcMar>
            <w:vAlign w:val="center"/>
          </w:tcPr>
          <w:p w14:paraId="0219D83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34889717">
            <w:pPr>
              <w:spacing w:line="300" w:lineRule="exact"/>
              <w:jc w:val="center"/>
              <w:rPr>
                <w:rFonts w:hint="eastAsia" w:ascii="宋体" w:hAnsi="宋体" w:cs="宋体"/>
                <w:kern w:val="0"/>
                <w:szCs w:val="21"/>
              </w:rPr>
            </w:pPr>
            <w:r>
              <w:rPr>
                <w:rFonts w:hint="eastAsia" w:ascii="宋体" w:hAnsi="宋体" w:cs="宋体"/>
                <w:spacing w:val="3"/>
                <w:szCs w:val="21"/>
              </w:rPr>
              <w:t>0.004</w:t>
            </w:r>
          </w:p>
        </w:tc>
        <w:tc>
          <w:tcPr>
            <w:tcW w:w="272" w:type="pct"/>
            <w:tcMar>
              <w:left w:w="0" w:type="dxa"/>
              <w:right w:w="0" w:type="dxa"/>
            </w:tcMar>
            <w:vAlign w:val="center"/>
          </w:tcPr>
          <w:p w14:paraId="7719106A">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0.004</w:t>
            </w:r>
          </w:p>
        </w:tc>
        <w:tc>
          <w:tcPr>
            <w:tcW w:w="309" w:type="pct"/>
            <w:tcMar>
              <w:left w:w="0" w:type="dxa"/>
              <w:right w:w="0" w:type="dxa"/>
            </w:tcMar>
            <w:vAlign w:val="center"/>
          </w:tcPr>
          <w:p w14:paraId="1797B92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32A6F6BE">
            <w:pPr>
              <w:spacing w:line="300" w:lineRule="exact"/>
              <w:jc w:val="center"/>
              <w:rPr>
                <w:rFonts w:hint="eastAsia" w:ascii="宋体" w:hAnsi="宋体" w:cs="宋体"/>
                <w:kern w:val="0"/>
                <w:szCs w:val="21"/>
              </w:rPr>
            </w:pPr>
            <w:r>
              <w:rPr>
                <w:rFonts w:hint="eastAsia" w:ascii="宋体" w:hAnsi="宋体" w:cs="宋体"/>
                <w:spacing w:val="2"/>
                <w:szCs w:val="21"/>
              </w:rPr>
              <w:t>0.005</w:t>
            </w:r>
          </w:p>
        </w:tc>
        <w:tc>
          <w:tcPr>
            <w:tcW w:w="267" w:type="pct"/>
            <w:tcMar>
              <w:left w:w="0" w:type="dxa"/>
              <w:right w:w="0" w:type="dxa"/>
            </w:tcMar>
            <w:vAlign w:val="center"/>
          </w:tcPr>
          <w:p w14:paraId="4A54AE3D">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0.005</w:t>
            </w:r>
          </w:p>
        </w:tc>
        <w:tc>
          <w:tcPr>
            <w:tcW w:w="206" w:type="pct"/>
            <w:tcMar>
              <w:left w:w="0" w:type="dxa"/>
              <w:right w:w="0" w:type="dxa"/>
            </w:tcMar>
            <w:vAlign w:val="center"/>
          </w:tcPr>
          <w:p w14:paraId="2DAD447C">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6B291938">
            <w:pPr>
              <w:spacing w:line="300" w:lineRule="exact"/>
              <w:jc w:val="center"/>
              <w:rPr>
                <w:rFonts w:hint="eastAsia" w:ascii="宋体" w:hAnsi="宋体" w:cs="宋体"/>
                <w:kern w:val="0"/>
                <w:szCs w:val="21"/>
              </w:rPr>
            </w:pPr>
            <w:r>
              <w:rPr>
                <w:rFonts w:hint="eastAsia" w:ascii="宋体" w:hAnsi="宋体" w:cs="宋体"/>
                <w:spacing w:val="3"/>
                <w:szCs w:val="21"/>
              </w:rPr>
              <w:t>0.005</w:t>
            </w:r>
          </w:p>
        </w:tc>
        <w:tc>
          <w:tcPr>
            <w:tcW w:w="271" w:type="pct"/>
            <w:tcMar>
              <w:left w:w="0" w:type="dxa"/>
              <w:right w:w="0" w:type="dxa"/>
            </w:tcMar>
            <w:vAlign w:val="center"/>
          </w:tcPr>
          <w:p w14:paraId="22B960D2">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0.005</w:t>
            </w:r>
          </w:p>
        </w:tc>
        <w:tc>
          <w:tcPr>
            <w:tcW w:w="227" w:type="pct"/>
            <w:tcMar>
              <w:left w:w="0" w:type="dxa"/>
              <w:right w:w="0" w:type="dxa"/>
            </w:tcMar>
            <w:vAlign w:val="center"/>
          </w:tcPr>
          <w:p w14:paraId="3CC42C4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4CE3B7BF">
            <w:pPr>
              <w:spacing w:line="300" w:lineRule="exact"/>
              <w:jc w:val="center"/>
              <w:rPr>
                <w:rFonts w:hint="eastAsia" w:ascii="宋体" w:hAnsi="宋体" w:cs="宋体"/>
                <w:kern w:val="0"/>
                <w:szCs w:val="21"/>
              </w:rPr>
            </w:pPr>
            <w:r>
              <w:rPr>
                <w:rFonts w:hint="eastAsia" w:ascii="宋体" w:hAnsi="宋体" w:cs="宋体"/>
                <w:spacing w:val="2"/>
                <w:szCs w:val="21"/>
              </w:rPr>
              <w:t>0.006</w:t>
            </w:r>
          </w:p>
        </w:tc>
        <w:tc>
          <w:tcPr>
            <w:tcW w:w="271" w:type="pct"/>
            <w:tcMar>
              <w:left w:w="0" w:type="dxa"/>
              <w:right w:w="0" w:type="dxa"/>
            </w:tcMar>
            <w:vAlign w:val="center"/>
          </w:tcPr>
          <w:p w14:paraId="570D0250">
            <w:pPr>
              <w:widowControl/>
              <w:spacing w:line="300" w:lineRule="exact"/>
              <w:jc w:val="center"/>
              <w:textAlignment w:val="center"/>
              <w:rPr>
                <w:rFonts w:hint="eastAsia" w:ascii="宋体" w:hAnsi="宋体" w:cs="宋体"/>
                <w:kern w:val="0"/>
                <w:szCs w:val="21"/>
              </w:rPr>
            </w:pPr>
            <w:r>
              <w:rPr>
                <w:rFonts w:hint="eastAsia" w:ascii="宋体" w:hAnsi="宋体" w:cs="宋体"/>
                <w:kern w:val="0"/>
                <w:szCs w:val="21"/>
                <w:lang w:bidi="ar"/>
              </w:rPr>
              <w:t>0.006</w:t>
            </w:r>
          </w:p>
        </w:tc>
        <w:tc>
          <w:tcPr>
            <w:tcW w:w="181" w:type="pct"/>
            <w:tcMar>
              <w:left w:w="0" w:type="dxa"/>
              <w:right w:w="0" w:type="dxa"/>
            </w:tcMar>
            <w:vAlign w:val="center"/>
          </w:tcPr>
          <w:p w14:paraId="291E8E6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26CBE5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181436DB">
            <w:pPr>
              <w:spacing w:line="300" w:lineRule="exact"/>
              <w:jc w:val="center"/>
              <w:rPr>
                <w:rFonts w:hint="eastAsia" w:ascii="宋体" w:hAnsi="宋体" w:cs="宋体"/>
                <w:kern w:val="0"/>
                <w:szCs w:val="21"/>
              </w:rPr>
            </w:pPr>
            <w:r>
              <w:rPr>
                <w:rFonts w:hint="eastAsia" w:ascii="宋体" w:hAnsi="宋体" w:cs="宋体"/>
                <w:kern w:val="0"/>
                <w:szCs w:val="21"/>
              </w:rPr>
              <w:t>13</w:t>
            </w:r>
          </w:p>
        </w:tc>
        <w:tc>
          <w:tcPr>
            <w:tcW w:w="474" w:type="pct"/>
            <w:tcMar>
              <w:left w:w="0" w:type="dxa"/>
              <w:right w:w="0" w:type="dxa"/>
            </w:tcMar>
            <w:vAlign w:val="center"/>
          </w:tcPr>
          <w:p w14:paraId="5A89316B">
            <w:pPr>
              <w:spacing w:line="300" w:lineRule="exact"/>
              <w:jc w:val="center"/>
              <w:rPr>
                <w:rFonts w:hint="eastAsia" w:ascii="宋体" w:hAnsi="宋体" w:cs="宋体"/>
                <w:kern w:val="0"/>
                <w:szCs w:val="21"/>
              </w:rPr>
            </w:pPr>
            <w:r>
              <w:rPr>
                <w:rFonts w:hint="eastAsia" w:ascii="宋体" w:hAnsi="宋体" w:cs="宋体"/>
                <w:kern w:val="0"/>
                <w:szCs w:val="21"/>
              </w:rPr>
              <w:t>挥发酚类（以苯酚计）</w:t>
            </w:r>
          </w:p>
        </w:tc>
        <w:tc>
          <w:tcPr>
            <w:tcW w:w="266" w:type="pct"/>
            <w:tcMar>
              <w:left w:w="0" w:type="dxa"/>
              <w:right w:w="0" w:type="dxa"/>
            </w:tcMar>
            <w:vAlign w:val="center"/>
          </w:tcPr>
          <w:p w14:paraId="5C39C91C">
            <w:pPr>
              <w:spacing w:line="300" w:lineRule="exact"/>
              <w:jc w:val="center"/>
              <w:rPr>
                <w:rFonts w:hint="eastAsia" w:ascii="宋体" w:hAnsi="宋体" w:cs="宋体"/>
                <w:kern w:val="0"/>
                <w:szCs w:val="21"/>
              </w:rPr>
            </w:pPr>
            <w:r>
              <w:rPr>
                <w:rFonts w:hint="eastAsia" w:ascii="宋体" w:hAnsi="宋体" w:cs="宋体"/>
                <w:kern w:val="0"/>
                <w:szCs w:val="21"/>
              </w:rPr>
              <w:t>≤0.002</w:t>
            </w:r>
          </w:p>
        </w:tc>
        <w:tc>
          <w:tcPr>
            <w:tcW w:w="327" w:type="pct"/>
            <w:tcMar>
              <w:left w:w="0" w:type="dxa"/>
              <w:right w:w="0" w:type="dxa"/>
            </w:tcMar>
            <w:vAlign w:val="center"/>
          </w:tcPr>
          <w:p w14:paraId="2FE51EF3">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0.0003</w:t>
            </w:r>
          </w:p>
        </w:tc>
        <w:tc>
          <w:tcPr>
            <w:tcW w:w="231" w:type="pct"/>
            <w:tcMar>
              <w:left w:w="0" w:type="dxa"/>
              <w:right w:w="0" w:type="dxa"/>
            </w:tcMar>
            <w:vAlign w:val="center"/>
          </w:tcPr>
          <w:p w14:paraId="03E119B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6DA40EE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49DC2E5F">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0.0003</w:t>
            </w:r>
          </w:p>
        </w:tc>
        <w:tc>
          <w:tcPr>
            <w:tcW w:w="272" w:type="pct"/>
            <w:tcMar>
              <w:left w:w="0" w:type="dxa"/>
              <w:right w:w="0" w:type="dxa"/>
            </w:tcMar>
            <w:vAlign w:val="center"/>
          </w:tcPr>
          <w:p w14:paraId="1EEBE1E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5A47451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7B33920C">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0.0003</w:t>
            </w:r>
          </w:p>
        </w:tc>
        <w:tc>
          <w:tcPr>
            <w:tcW w:w="267" w:type="pct"/>
            <w:tcMar>
              <w:left w:w="0" w:type="dxa"/>
              <w:right w:w="0" w:type="dxa"/>
            </w:tcMar>
            <w:vAlign w:val="center"/>
          </w:tcPr>
          <w:p w14:paraId="0476C3C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5B40A47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59F18161">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0.0003</w:t>
            </w:r>
          </w:p>
        </w:tc>
        <w:tc>
          <w:tcPr>
            <w:tcW w:w="271" w:type="pct"/>
            <w:tcMar>
              <w:left w:w="0" w:type="dxa"/>
              <w:right w:w="0" w:type="dxa"/>
            </w:tcMar>
            <w:vAlign w:val="center"/>
          </w:tcPr>
          <w:p w14:paraId="20FD498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2FFA40A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2E8EBECD">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0.0003</w:t>
            </w:r>
          </w:p>
        </w:tc>
        <w:tc>
          <w:tcPr>
            <w:tcW w:w="271" w:type="pct"/>
            <w:tcMar>
              <w:left w:w="0" w:type="dxa"/>
              <w:right w:w="0" w:type="dxa"/>
            </w:tcMar>
            <w:vAlign w:val="center"/>
          </w:tcPr>
          <w:p w14:paraId="353A958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2387AB85">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66CE32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77391DA8">
            <w:pPr>
              <w:spacing w:line="300" w:lineRule="exact"/>
              <w:jc w:val="center"/>
              <w:rPr>
                <w:rFonts w:hint="eastAsia" w:ascii="宋体" w:hAnsi="宋体" w:cs="宋体"/>
                <w:kern w:val="0"/>
                <w:szCs w:val="21"/>
              </w:rPr>
            </w:pPr>
            <w:r>
              <w:rPr>
                <w:rFonts w:hint="eastAsia" w:ascii="宋体" w:hAnsi="宋体" w:cs="宋体"/>
                <w:kern w:val="0"/>
                <w:szCs w:val="21"/>
              </w:rPr>
              <w:t>14</w:t>
            </w:r>
          </w:p>
        </w:tc>
        <w:tc>
          <w:tcPr>
            <w:tcW w:w="474" w:type="pct"/>
            <w:tcMar>
              <w:left w:w="0" w:type="dxa"/>
              <w:right w:w="0" w:type="dxa"/>
            </w:tcMar>
            <w:vAlign w:val="center"/>
          </w:tcPr>
          <w:p w14:paraId="6533B75B">
            <w:pPr>
              <w:spacing w:line="300" w:lineRule="exact"/>
              <w:jc w:val="center"/>
              <w:rPr>
                <w:rFonts w:hint="eastAsia" w:ascii="宋体" w:hAnsi="宋体" w:cs="宋体"/>
                <w:kern w:val="0"/>
                <w:szCs w:val="21"/>
              </w:rPr>
            </w:pPr>
            <w:r>
              <w:rPr>
                <w:rFonts w:hint="eastAsia" w:ascii="宋体" w:hAnsi="宋体" w:cs="宋体"/>
                <w:kern w:val="0"/>
                <w:szCs w:val="21"/>
              </w:rPr>
              <w:t>铬（六价）</w:t>
            </w:r>
          </w:p>
        </w:tc>
        <w:tc>
          <w:tcPr>
            <w:tcW w:w="266" w:type="pct"/>
            <w:tcMar>
              <w:left w:w="0" w:type="dxa"/>
              <w:right w:w="0" w:type="dxa"/>
            </w:tcMar>
            <w:vAlign w:val="center"/>
          </w:tcPr>
          <w:p w14:paraId="0C0E0BAF">
            <w:pPr>
              <w:spacing w:line="300" w:lineRule="exact"/>
              <w:jc w:val="center"/>
              <w:rPr>
                <w:rFonts w:hint="eastAsia" w:ascii="宋体" w:hAnsi="宋体" w:cs="宋体"/>
                <w:kern w:val="0"/>
                <w:szCs w:val="21"/>
              </w:rPr>
            </w:pPr>
            <w:r>
              <w:rPr>
                <w:rFonts w:hint="eastAsia" w:ascii="宋体" w:hAnsi="宋体" w:cs="宋体"/>
                <w:kern w:val="0"/>
                <w:szCs w:val="21"/>
              </w:rPr>
              <w:t>≤0.05</w:t>
            </w:r>
          </w:p>
        </w:tc>
        <w:tc>
          <w:tcPr>
            <w:tcW w:w="327" w:type="pct"/>
            <w:tcMar>
              <w:left w:w="0" w:type="dxa"/>
              <w:right w:w="0" w:type="dxa"/>
            </w:tcMar>
            <w:vAlign w:val="center"/>
          </w:tcPr>
          <w:p w14:paraId="11E2E216">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0.004</w:t>
            </w:r>
          </w:p>
        </w:tc>
        <w:tc>
          <w:tcPr>
            <w:tcW w:w="231" w:type="pct"/>
            <w:tcMar>
              <w:left w:w="0" w:type="dxa"/>
              <w:right w:w="0" w:type="dxa"/>
            </w:tcMar>
            <w:vAlign w:val="center"/>
          </w:tcPr>
          <w:p w14:paraId="4808319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7D63789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6C1754E2">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0.004</w:t>
            </w:r>
          </w:p>
        </w:tc>
        <w:tc>
          <w:tcPr>
            <w:tcW w:w="272" w:type="pct"/>
            <w:tcMar>
              <w:left w:w="0" w:type="dxa"/>
              <w:right w:w="0" w:type="dxa"/>
            </w:tcMar>
            <w:vAlign w:val="center"/>
          </w:tcPr>
          <w:p w14:paraId="56205C4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3282266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46091ABC">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0.004</w:t>
            </w:r>
          </w:p>
        </w:tc>
        <w:tc>
          <w:tcPr>
            <w:tcW w:w="267" w:type="pct"/>
            <w:tcMar>
              <w:left w:w="0" w:type="dxa"/>
              <w:right w:w="0" w:type="dxa"/>
            </w:tcMar>
            <w:vAlign w:val="center"/>
          </w:tcPr>
          <w:p w14:paraId="665370C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2A1AF51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67382E11">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0.004</w:t>
            </w:r>
          </w:p>
        </w:tc>
        <w:tc>
          <w:tcPr>
            <w:tcW w:w="271" w:type="pct"/>
            <w:tcMar>
              <w:left w:w="0" w:type="dxa"/>
              <w:right w:w="0" w:type="dxa"/>
            </w:tcMar>
            <w:vAlign w:val="center"/>
          </w:tcPr>
          <w:p w14:paraId="714C386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141D061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88044A7">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0.004</w:t>
            </w:r>
          </w:p>
        </w:tc>
        <w:tc>
          <w:tcPr>
            <w:tcW w:w="271" w:type="pct"/>
            <w:tcMar>
              <w:left w:w="0" w:type="dxa"/>
              <w:right w:w="0" w:type="dxa"/>
            </w:tcMar>
            <w:vAlign w:val="center"/>
          </w:tcPr>
          <w:p w14:paraId="2BD6846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5FA20CB4">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55172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0F72568C">
            <w:pPr>
              <w:spacing w:line="300" w:lineRule="exact"/>
              <w:jc w:val="center"/>
              <w:rPr>
                <w:rFonts w:hint="eastAsia" w:ascii="宋体" w:hAnsi="宋体" w:cs="宋体"/>
                <w:kern w:val="0"/>
                <w:szCs w:val="21"/>
              </w:rPr>
            </w:pPr>
            <w:r>
              <w:rPr>
                <w:rFonts w:hint="eastAsia" w:ascii="宋体" w:hAnsi="宋体" w:cs="宋体"/>
                <w:kern w:val="0"/>
                <w:szCs w:val="21"/>
              </w:rPr>
              <w:t>15</w:t>
            </w:r>
          </w:p>
        </w:tc>
        <w:tc>
          <w:tcPr>
            <w:tcW w:w="474" w:type="pct"/>
            <w:tcMar>
              <w:left w:w="0" w:type="dxa"/>
              <w:right w:w="0" w:type="dxa"/>
            </w:tcMar>
            <w:vAlign w:val="center"/>
          </w:tcPr>
          <w:p w14:paraId="306EFA7F">
            <w:pPr>
              <w:spacing w:line="300" w:lineRule="exact"/>
              <w:jc w:val="center"/>
              <w:rPr>
                <w:rFonts w:hint="eastAsia" w:ascii="宋体" w:hAnsi="宋体" w:cs="宋体"/>
                <w:kern w:val="0"/>
                <w:szCs w:val="21"/>
              </w:rPr>
            </w:pPr>
            <w:r>
              <w:rPr>
                <w:rFonts w:hint="eastAsia" w:ascii="宋体" w:hAnsi="宋体" w:cs="宋体"/>
                <w:kern w:val="0"/>
                <w:szCs w:val="21"/>
              </w:rPr>
              <w:t>氰化物</w:t>
            </w:r>
          </w:p>
        </w:tc>
        <w:tc>
          <w:tcPr>
            <w:tcW w:w="266" w:type="pct"/>
            <w:tcMar>
              <w:left w:w="0" w:type="dxa"/>
              <w:right w:w="0" w:type="dxa"/>
            </w:tcMar>
            <w:vAlign w:val="center"/>
          </w:tcPr>
          <w:p w14:paraId="2C8CB879">
            <w:pPr>
              <w:spacing w:line="300" w:lineRule="exact"/>
              <w:jc w:val="center"/>
              <w:rPr>
                <w:rFonts w:hint="eastAsia" w:ascii="宋体" w:hAnsi="宋体" w:cs="宋体"/>
                <w:kern w:val="0"/>
                <w:szCs w:val="21"/>
              </w:rPr>
            </w:pPr>
            <w:r>
              <w:rPr>
                <w:rFonts w:hint="eastAsia" w:ascii="宋体" w:hAnsi="宋体" w:cs="宋体"/>
                <w:kern w:val="0"/>
                <w:szCs w:val="21"/>
              </w:rPr>
              <w:t>≤0.05</w:t>
            </w:r>
          </w:p>
        </w:tc>
        <w:tc>
          <w:tcPr>
            <w:tcW w:w="327" w:type="pct"/>
            <w:tcMar>
              <w:left w:w="0" w:type="dxa"/>
              <w:right w:w="0" w:type="dxa"/>
            </w:tcMar>
            <w:vAlign w:val="center"/>
          </w:tcPr>
          <w:p w14:paraId="2D8DC7BC">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0.002</w:t>
            </w:r>
          </w:p>
        </w:tc>
        <w:tc>
          <w:tcPr>
            <w:tcW w:w="231" w:type="pct"/>
            <w:tcMar>
              <w:left w:w="0" w:type="dxa"/>
              <w:right w:w="0" w:type="dxa"/>
            </w:tcMar>
            <w:vAlign w:val="center"/>
          </w:tcPr>
          <w:p w14:paraId="33343F9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7678DBA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158F4DF1">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0.002</w:t>
            </w:r>
          </w:p>
        </w:tc>
        <w:tc>
          <w:tcPr>
            <w:tcW w:w="272" w:type="pct"/>
            <w:tcMar>
              <w:left w:w="0" w:type="dxa"/>
              <w:right w:w="0" w:type="dxa"/>
            </w:tcMar>
            <w:vAlign w:val="center"/>
          </w:tcPr>
          <w:p w14:paraId="35ADD9E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698DA4CC">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79F80830">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0.002</w:t>
            </w:r>
          </w:p>
        </w:tc>
        <w:tc>
          <w:tcPr>
            <w:tcW w:w="267" w:type="pct"/>
            <w:tcMar>
              <w:left w:w="0" w:type="dxa"/>
              <w:right w:w="0" w:type="dxa"/>
            </w:tcMar>
            <w:vAlign w:val="center"/>
          </w:tcPr>
          <w:p w14:paraId="3B5F10B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491169A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3C0E89A7">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0.002</w:t>
            </w:r>
          </w:p>
        </w:tc>
        <w:tc>
          <w:tcPr>
            <w:tcW w:w="271" w:type="pct"/>
            <w:tcMar>
              <w:left w:w="0" w:type="dxa"/>
              <w:right w:w="0" w:type="dxa"/>
            </w:tcMar>
            <w:vAlign w:val="center"/>
          </w:tcPr>
          <w:p w14:paraId="14C393A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2E051CA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152A07F8">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0.002</w:t>
            </w:r>
          </w:p>
        </w:tc>
        <w:tc>
          <w:tcPr>
            <w:tcW w:w="271" w:type="pct"/>
            <w:tcMar>
              <w:left w:w="0" w:type="dxa"/>
              <w:right w:w="0" w:type="dxa"/>
            </w:tcMar>
            <w:vAlign w:val="center"/>
          </w:tcPr>
          <w:p w14:paraId="088076E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435D8203">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384A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50A72D2E">
            <w:pPr>
              <w:spacing w:line="300" w:lineRule="exact"/>
              <w:jc w:val="center"/>
              <w:rPr>
                <w:rFonts w:hint="eastAsia" w:ascii="宋体" w:hAnsi="宋体" w:cs="宋体"/>
                <w:kern w:val="0"/>
                <w:szCs w:val="21"/>
              </w:rPr>
            </w:pPr>
            <w:r>
              <w:rPr>
                <w:rFonts w:hint="eastAsia" w:ascii="宋体" w:hAnsi="宋体" w:cs="宋体"/>
                <w:kern w:val="0"/>
                <w:szCs w:val="21"/>
              </w:rPr>
              <w:t>16</w:t>
            </w:r>
          </w:p>
        </w:tc>
        <w:tc>
          <w:tcPr>
            <w:tcW w:w="474" w:type="pct"/>
            <w:tcMar>
              <w:left w:w="0" w:type="dxa"/>
              <w:right w:w="0" w:type="dxa"/>
            </w:tcMar>
            <w:vAlign w:val="center"/>
          </w:tcPr>
          <w:p w14:paraId="387D1B72">
            <w:pPr>
              <w:spacing w:line="300" w:lineRule="exact"/>
              <w:jc w:val="center"/>
              <w:rPr>
                <w:rFonts w:hint="eastAsia" w:ascii="宋体" w:hAnsi="宋体" w:cs="宋体"/>
                <w:kern w:val="0"/>
                <w:szCs w:val="21"/>
              </w:rPr>
            </w:pPr>
            <w:r>
              <w:rPr>
                <w:rFonts w:hint="eastAsia" w:ascii="宋体" w:hAnsi="宋体" w:cs="宋体"/>
                <w:kern w:val="0"/>
                <w:szCs w:val="21"/>
              </w:rPr>
              <w:t>总大肠菌群，MN/100mL</w:t>
            </w:r>
          </w:p>
        </w:tc>
        <w:tc>
          <w:tcPr>
            <w:tcW w:w="266" w:type="pct"/>
            <w:tcMar>
              <w:left w:w="0" w:type="dxa"/>
              <w:right w:w="0" w:type="dxa"/>
            </w:tcMar>
            <w:vAlign w:val="center"/>
          </w:tcPr>
          <w:p w14:paraId="3292C72C">
            <w:pPr>
              <w:spacing w:line="300" w:lineRule="exact"/>
              <w:jc w:val="center"/>
              <w:rPr>
                <w:rFonts w:hint="eastAsia" w:ascii="宋体" w:hAnsi="宋体" w:cs="宋体"/>
                <w:kern w:val="0"/>
                <w:szCs w:val="21"/>
              </w:rPr>
            </w:pPr>
            <w:r>
              <w:rPr>
                <w:rFonts w:hint="eastAsia" w:ascii="宋体" w:hAnsi="宋体" w:cs="宋体"/>
                <w:kern w:val="0"/>
                <w:szCs w:val="21"/>
              </w:rPr>
              <w:t>≤3.0</w:t>
            </w:r>
          </w:p>
        </w:tc>
        <w:tc>
          <w:tcPr>
            <w:tcW w:w="327" w:type="pct"/>
            <w:tcMar>
              <w:left w:w="0" w:type="dxa"/>
              <w:right w:w="0" w:type="dxa"/>
            </w:tcMar>
            <w:vAlign w:val="center"/>
          </w:tcPr>
          <w:p w14:paraId="43EFA5E5">
            <w:pPr>
              <w:pStyle w:val="533"/>
              <w:spacing w:line="300" w:lineRule="exact"/>
              <w:jc w:val="center"/>
              <w:rPr>
                <w:rFonts w:hint="eastAsia"/>
                <w:kern w:val="0"/>
                <w:sz w:val="21"/>
                <w:szCs w:val="21"/>
                <w:lang w:eastAsia="zh-CN"/>
              </w:rPr>
            </w:pPr>
            <w:r>
              <w:rPr>
                <w:rFonts w:hint="eastAsia"/>
                <w:spacing w:val="5"/>
                <w:sz w:val="21"/>
                <w:szCs w:val="21"/>
              </w:rPr>
              <w:t>未检出</w:t>
            </w:r>
          </w:p>
        </w:tc>
        <w:tc>
          <w:tcPr>
            <w:tcW w:w="231" w:type="pct"/>
            <w:tcMar>
              <w:left w:w="0" w:type="dxa"/>
              <w:right w:w="0" w:type="dxa"/>
            </w:tcMar>
            <w:vAlign w:val="center"/>
          </w:tcPr>
          <w:p w14:paraId="5BBC23E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5BBA02F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A11E5AE">
            <w:pPr>
              <w:pStyle w:val="533"/>
              <w:spacing w:line="300" w:lineRule="exact"/>
              <w:jc w:val="center"/>
              <w:rPr>
                <w:rFonts w:hint="eastAsia"/>
                <w:kern w:val="0"/>
                <w:sz w:val="21"/>
                <w:szCs w:val="21"/>
                <w:lang w:eastAsia="zh-CN"/>
              </w:rPr>
            </w:pPr>
            <w:r>
              <w:rPr>
                <w:rFonts w:hint="eastAsia"/>
                <w:spacing w:val="5"/>
                <w:sz w:val="21"/>
                <w:szCs w:val="21"/>
              </w:rPr>
              <w:t>未检出</w:t>
            </w:r>
          </w:p>
        </w:tc>
        <w:tc>
          <w:tcPr>
            <w:tcW w:w="272" w:type="pct"/>
            <w:tcMar>
              <w:left w:w="0" w:type="dxa"/>
              <w:right w:w="0" w:type="dxa"/>
            </w:tcMar>
            <w:vAlign w:val="center"/>
          </w:tcPr>
          <w:p w14:paraId="6BA4ED0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3126BEF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36793997">
            <w:pPr>
              <w:pStyle w:val="533"/>
              <w:spacing w:line="300" w:lineRule="exact"/>
              <w:jc w:val="center"/>
              <w:rPr>
                <w:rFonts w:hint="eastAsia"/>
                <w:kern w:val="0"/>
                <w:sz w:val="21"/>
                <w:szCs w:val="21"/>
                <w:lang w:eastAsia="zh-CN"/>
              </w:rPr>
            </w:pPr>
            <w:r>
              <w:rPr>
                <w:rFonts w:hint="eastAsia"/>
                <w:spacing w:val="5"/>
                <w:sz w:val="21"/>
                <w:szCs w:val="21"/>
              </w:rPr>
              <w:t>未检出</w:t>
            </w:r>
          </w:p>
        </w:tc>
        <w:tc>
          <w:tcPr>
            <w:tcW w:w="267" w:type="pct"/>
            <w:tcMar>
              <w:left w:w="0" w:type="dxa"/>
              <w:right w:w="0" w:type="dxa"/>
            </w:tcMar>
            <w:vAlign w:val="center"/>
          </w:tcPr>
          <w:p w14:paraId="63A3153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0272DEF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BE1663B">
            <w:pPr>
              <w:pStyle w:val="533"/>
              <w:spacing w:line="300" w:lineRule="exact"/>
              <w:jc w:val="center"/>
              <w:rPr>
                <w:rFonts w:hint="eastAsia"/>
                <w:kern w:val="0"/>
                <w:sz w:val="21"/>
                <w:szCs w:val="21"/>
                <w:lang w:eastAsia="zh-CN"/>
              </w:rPr>
            </w:pPr>
            <w:r>
              <w:rPr>
                <w:rFonts w:hint="eastAsia"/>
                <w:spacing w:val="5"/>
                <w:sz w:val="21"/>
                <w:szCs w:val="21"/>
              </w:rPr>
              <w:t>未检出</w:t>
            </w:r>
          </w:p>
        </w:tc>
        <w:tc>
          <w:tcPr>
            <w:tcW w:w="271" w:type="pct"/>
            <w:tcMar>
              <w:left w:w="0" w:type="dxa"/>
              <w:right w:w="0" w:type="dxa"/>
            </w:tcMar>
            <w:vAlign w:val="center"/>
          </w:tcPr>
          <w:p w14:paraId="611BA28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7C35FAC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DE1AF1B">
            <w:pPr>
              <w:pStyle w:val="533"/>
              <w:spacing w:line="300" w:lineRule="exact"/>
              <w:jc w:val="center"/>
              <w:rPr>
                <w:rFonts w:hint="eastAsia"/>
                <w:kern w:val="0"/>
                <w:sz w:val="21"/>
                <w:szCs w:val="21"/>
                <w:lang w:eastAsia="zh-CN"/>
              </w:rPr>
            </w:pPr>
            <w:r>
              <w:rPr>
                <w:rFonts w:hint="eastAsia"/>
                <w:spacing w:val="5"/>
                <w:sz w:val="21"/>
                <w:szCs w:val="21"/>
              </w:rPr>
              <w:t>未检出</w:t>
            </w:r>
          </w:p>
        </w:tc>
        <w:tc>
          <w:tcPr>
            <w:tcW w:w="271" w:type="pct"/>
            <w:tcMar>
              <w:left w:w="0" w:type="dxa"/>
              <w:right w:w="0" w:type="dxa"/>
            </w:tcMar>
            <w:vAlign w:val="center"/>
          </w:tcPr>
          <w:p w14:paraId="1607755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372DCFAB">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0511B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42487DEC">
            <w:pPr>
              <w:spacing w:line="300" w:lineRule="exact"/>
              <w:jc w:val="center"/>
              <w:rPr>
                <w:rFonts w:hint="eastAsia" w:ascii="宋体" w:hAnsi="宋体" w:cs="宋体"/>
                <w:kern w:val="0"/>
                <w:szCs w:val="21"/>
              </w:rPr>
            </w:pPr>
            <w:r>
              <w:rPr>
                <w:rFonts w:hint="eastAsia" w:ascii="宋体" w:hAnsi="宋体" w:cs="宋体"/>
                <w:kern w:val="0"/>
                <w:szCs w:val="21"/>
              </w:rPr>
              <w:t>17</w:t>
            </w:r>
          </w:p>
        </w:tc>
        <w:tc>
          <w:tcPr>
            <w:tcW w:w="474" w:type="pct"/>
            <w:tcMar>
              <w:left w:w="0" w:type="dxa"/>
              <w:right w:w="0" w:type="dxa"/>
            </w:tcMar>
            <w:vAlign w:val="center"/>
          </w:tcPr>
          <w:p w14:paraId="721393FC">
            <w:pPr>
              <w:spacing w:line="300" w:lineRule="exact"/>
              <w:jc w:val="center"/>
              <w:rPr>
                <w:rFonts w:hint="eastAsia" w:ascii="宋体" w:hAnsi="宋体" w:cs="宋体"/>
                <w:kern w:val="0"/>
                <w:szCs w:val="21"/>
              </w:rPr>
            </w:pPr>
            <w:r>
              <w:rPr>
                <w:rFonts w:hint="eastAsia" w:ascii="宋体" w:hAnsi="宋体" w:cs="宋体"/>
                <w:kern w:val="0"/>
                <w:szCs w:val="21"/>
              </w:rPr>
              <w:t>总硬度</w:t>
            </w:r>
          </w:p>
        </w:tc>
        <w:tc>
          <w:tcPr>
            <w:tcW w:w="266" w:type="pct"/>
            <w:tcMar>
              <w:left w:w="0" w:type="dxa"/>
              <w:right w:w="0" w:type="dxa"/>
            </w:tcMar>
            <w:vAlign w:val="center"/>
          </w:tcPr>
          <w:p w14:paraId="74210ECC">
            <w:pPr>
              <w:spacing w:line="300" w:lineRule="exact"/>
              <w:jc w:val="center"/>
              <w:rPr>
                <w:rFonts w:hint="eastAsia" w:ascii="宋体" w:hAnsi="宋体" w:cs="宋体"/>
                <w:kern w:val="0"/>
                <w:szCs w:val="21"/>
              </w:rPr>
            </w:pPr>
            <w:r>
              <w:rPr>
                <w:rFonts w:hint="eastAsia" w:ascii="宋体" w:hAnsi="宋体" w:cs="宋体"/>
                <w:kern w:val="0"/>
                <w:szCs w:val="21"/>
              </w:rPr>
              <w:t>≤450</w:t>
            </w:r>
          </w:p>
        </w:tc>
        <w:tc>
          <w:tcPr>
            <w:tcW w:w="327" w:type="pct"/>
            <w:tcMar>
              <w:left w:w="0" w:type="dxa"/>
              <w:right w:w="0" w:type="dxa"/>
            </w:tcMar>
            <w:vAlign w:val="center"/>
          </w:tcPr>
          <w:p w14:paraId="3341A9D0">
            <w:pPr>
              <w:spacing w:line="300" w:lineRule="exact"/>
              <w:jc w:val="center"/>
              <w:rPr>
                <w:rFonts w:hint="eastAsia" w:ascii="宋体" w:hAnsi="宋体" w:cs="宋体"/>
                <w:kern w:val="0"/>
                <w:szCs w:val="21"/>
              </w:rPr>
            </w:pPr>
            <w:r>
              <w:rPr>
                <w:rFonts w:hint="eastAsia" w:ascii="宋体" w:hAnsi="宋体" w:cs="宋体"/>
                <w:spacing w:val="3"/>
                <w:szCs w:val="21"/>
              </w:rPr>
              <w:t>240</w:t>
            </w:r>
          </w:p>
        </w:tc>
        <w:tc>
          <w:tcPr>
            <w:tcW w:w="231" w:type="pct"/>
            <w:tcMar>
              <w:left w:w="0" w:type="dxa"/>
              <w:right w:w="0" w:type="dxa"/>
            </w:tcMar>
            <w:vAlign w:val="center"/>
          </w:tcPr>
          <w:p w14:paraId="791C5438">
            <w:pPr>
              <w:spacing w:line="300" w:lineRule="exact"/>
              <w:jc w:val="center"/>
              <w:rPr>
                <w:rFonts w:hint="eastAsia" w:ascii="宋体" w:hAnsi="宋体" w:cs="宋体"/>
                <w:kern w:val="0"/>
                <w:szCs w:val="21"/>
              </w:rPr>
            </w:pPr>
            <w:r>
              <w:rPr>
                <w:rFonts w:hint="eastAsia" w:ascii="宋体" w:hAnsi="宋体" w:cs="宋体"/>
                <w:kern w:val="0"/>
                <w:szCs w:val="21"/>
              </w:rPr>
              <w:t>0.533</w:t>
            </w:r>
          </w:p>
        </w:tc>
        <w:tc>
          <w:tcPr>
            <w:tcW w:w="235" w:type="pct"/>
            <w:tcMar>
              <w:left w:w="0" w:type="dxa"/>
              <w:right w:w="0" w:type="dxa"/>
            </w:tcMar>
            <w:vAlign w:val="center"/>
          </w:tcPr>
          <w:p w14:paraId="4ED7E95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4C20B342">
            <w:pPr>
              <w:spacing w:line="300" w:lineRule="exact"/>
              <w:jc w:val="center"/>
              <w:rPr>
                <w:rFonts w:hint="eastAsia" w:ascii="宋体" w:hAnsi="宋体" w:cs="宋体"/>
                <w:kern w:val="0"/>
                <w:szCs w:val="21"/>
              </w:rPr>
            </w:pPr>
            <w:r>
              <w:rPr>
                <w:rFonts w:hint="eastAsia" w:ascii="宋体" w:hAnsi="宋体" w:cs="宋体"/>
                <w:spacing w:val="-3"/>
                <w:szCs w:val="21"/>
              </w:rPr>
              <w:t>198</w:t>
            </w:r>
          </w:p>
        </w:tc>
        <w:tc>
          <w:tcPr>
            <w:tcW w:w="272" w:type="pct"/>
            <w:tcMar>
              <w:left w:w="0" w:type="dxa"/>
              <w:right w:w="0" w:type="dxa"/>
            </w:tcMar>
            <w:vAlign w:val="center"/>
          </w:tcPr>
          <w:p w14:paraId="1D89CB56">
            <w:pPr>
              <w:spacing w:line="300" w:lineRule="exact"/>
              <w:jc w:val="center"/>
              <w:rPr>
                <w:rFonts w:hint="eastAsia" w:ascii="宋体" w:hAnsi="宋体" w:cs="宋体"/>
                <w:kern w:val="0"/>
                <w:szCs w:val="21"/>
              </w:rPr>
            </w:pPr>
            <w:r>
              <w:rPr>
                <w:rFonts w:hint="eastAsia" w:ascii="宋体" w:hAnsi="宋体" w:cs="宋体"/>
                <w:kern w:val="0"/>
                <w:szCs w:val="21"/>
              </w:rPr>
              <w:t>0.44</w:t>
            </w:r>
          </w:p>
        </w:tc>
        <w:tc>
          <w:tcPr>
            <w:tcW w:w="309" w:type="pct"/>
            <w:tcMar>
              <w:left w:w="0" w:type="dxa"/>
              <w:right w:w="0" w:type="dxa"/>
            </w:tcMar>
            <w:vAlign w:val="center"/>
          </w:tcPr>
          <w:p w14:paraId="4A4A6C5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42B5E76">
            <w:pPr>
              <w:spacing w:line="300" w:lineRule="exact"/>
              <w:jc w:val="center"/>
              <w:rPr>
                <w:rFonts w:hint="eastAsia" w:ascii="宋体" w:hAnsi="宋体" w:cs="宋体"/>
                <w:kern w:val="0"/>
                <w:szCs w:val="21"/>
              </w:rPr>
            </w:pPr>
            <w:r>
              <w:rPr>
                <w:rFonts w:hint="eastAsia" w:ascii="宋体" w:hAnsi="宋体" w:cs="宋体"/>
                <w:spacing w:val="3"/>
                <w:szCs w:val="21"/>
              </w:rPr>
              <w:t>235</w:t>
            </w:r>
          </w:p>
        </w:tc>
        <w:tc>
          <w:tcPr>
            <w:tcW w:w="267" w:type="pct"/>
            <w:tcMar>
              <w:left w:w="0" w:type="dxa"/>
              <w:right w:w="0" w:type="dxa"/>
            </w:tcMar>
            <w:vAlign w:val="center"/>
          </w:tcPr>
          <w:p w14:paraId="2ED39D53">
            <w:pPr>
              <w:spacing w:line="300" w:lineRule="exact"/>
              <w:jc w:val="center"/>
              <w:rPr>
                <w:rFonts w:hint="eastAsia" w:ascii="宋体" w:hAnsi="宋体" w:cs="宋体"/>
                <w:kern w:val="0"/>
                <w:szCs w:val="21"/>
              </w:rPr>
            </w:pPr>
            <w:r>
              <w:rPr>
                <w:rFonts w:hint="eastAsia" w:ascii="宋体" w:hAnsi="宋体" w:cs="宋体"/>
                <w:kern w:val="0"/>
                <w:szCs w:val="21"/>
              </w:rPr>
              <w:t>0.522</w:t>
            </w:r>
          </w:p>
        </w:tc>
        <w:tc>
          <w:tcPr>
            <w:tcW w:w="206" w:type="pct"/>
            <w:tcMar>
              <w:left w:w="0" w:type="dxa"/>
              <w:right w:w="0" w:type="dxa"/>
            </w:tcMar>
            <w:vAlign w:val="center"/>
          </w:tcPr>
          <w:p w14:paraId="0747456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543F635A">
            <w:pPr>
              <w:spacing w:line="300" w:lineRule="exact"/>
              <w:jc w:val="center"/>
              <w:rPr>
                <w:rFonts w:hint="eastAsia" w:ascii="宋体" w:hAnsi="宋体" w:cs="宋体"/>
                <w:kern w:val="0"/>
                <w:szCs w:val="21"/>
              </w:rPr>
            </w:pPr>
            <w:r>
              <w:rPr>
                <w:rFonts w:hint="eastAsia" w:ascii="宋体" w:hAnsi="宋体" w:cs="宋体"/>
                <w:spacing w:val="3"/>
                <w:szCs w:val="21"/>
              </w:rPr>
              <w:t>227</w:t>
            </w:r>
          </w:p>
        </w:tc>
        <w:tc>
          <w:tcPr>
            <w:tcW w:w="271" w:type="pct"/>
            <w:tcMar>
              <w:left w:w="0" w:type="dxa"/>
              <w:right w:w="0" w:type="dxa"/>
            </w:tcMar>
            <w:vAlign w:val="center"/>
          </w:tcPr>
          <w:p w14:paraId="1ED35E19">
            <w:pPr>
              <w:spacing w:line="300" w:lineRule="exact"/>
              <w:jc w:val="center"/>
              <w:rPr>
                <w:rFonts w:hint="eastAsia" w:ascii="宋体" w:hAnsi="宋体" w:cs="宋体"/>
                <w:kern w:val="0"/>
                <w:szCs w:val="21"/>
              </w:rPr>
            </w:pPr>
            <w:r>
              <w:rPr>
                <w:rFonts w:hint="eastAsia" w:ascii="宋体" w:hAnsi="宋体" w:cs="宋体"/>
                <w:kern w:val="0"/>
                <w:szCs w:val="21"/>
              </w:rPr>
              <w:t>0.504</w:t>
            </w:r>
          </w:p>
        </w:tc>
        <w:tc>
          <w:tcPr>
            <w:tcW w:w="227" w:type="pct"/>
            <w:tcMar>
              <w:left w:w="0" w:type="dxa"/>
              <w:right w:w="0" w:type="dxa"/>
            </w:tcMar>
            <w:vAlign w:val="center"/>
          </w:tcPr>
          <w:p w14:paraId="2DCD95D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42FAFC47">
            <w:pPr>
              <w:spacing w:line="300" w:lineRule="exact"/>
              <w:jc w:val="center"/>
              <w:rPr>
                <w:rFonts w:hint="eastAsia" w:ascii="宋体" w:hAnsi="宋体" w:cs="宋体"/>
                <w:kern w:val="0"/>
                <w:szCs w:val="21"/>
              </w:rPr>
            </w:pPr>
            <w:r>
              <w:rPr>
                <w:rFonts w:hint="eastAsia" w:ascii="宋体" w:hAnsi="宋体" w:cs="宋体"/>
                <w:spacing w:val="-3"/>
                <w:szCs w:val="21"/>
              </w:rPr>
              <w:t>188</w:t>
            </w:r>
          </w:p>
        </w:tc>
        <w:tc>
          <w:tcPr>
            <w:tcW w:w="271" w:type="pct"/>
            <w:tcMar>
              <w:left w:w="0" w:type="dxa"/>
              <w:right w:w="0" w:type="dxa"/>
            </w:tcMar>
            <w:vAlign w:val="center"/>
          </w:tcPr>
          <w:p w14:paraId="31AD0417">
            <w:pPr>
              <w:spacing w:line="300" w:lineRule="exact"/>
              <w:jc w:val="center"/>
              <w:rPr>
                <w:rFonts w:hint="eastAsia" w:ascii="宋体" w:hAnsi="宋体" w:cs="宋体"/>
                <w:kern w:val="0"/>
                <w:szCs w:val="21"/>
              </w:rPr>
            </w:pPr>
            <w:r>
              <w:rPr>
                <w:rFonts w:hint="eastAsia" w:ascii="宋体" w:hAnsi="宋体" w:cs="宋体"/>
                <w:kern w:val="0"/>
                <w:szCs w:val="21"/>
              </w:rPr>
              <w:t>0.417</w:t>
            </w:r>
          </w:p>
        </w:tc>
        <w:tc>
          <w:tcPr>
            <w:tcW w:w="181" w:type="pct"/>
            <w:tcMar>
              <w:left w:w="0" w:type="dxa"/>
              <w:right w:w="0" w:type="dxa"/>
            </w:tcMar>
            <w:vAlign w:val="center"/>
          </w:tcPr>
          <w:p w14:paraId="5582A718">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7C0882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33" w:type="pct"/>
            <w:tcMar>
              <w:left w:w="0" w:type="dxa"/>
              <w:right w:w="0" w:type="dxa"/>
            </w:tcMar>
            <w:vAlign w:val="center"/>
          </w:tcPr>
          <w:p w14:paraId="128BCCC3">
            <w:pPr>
              <w:spacing w:line="300" w:lineRule="exact"/>
              <w:jc w:val="center"/>
              <w:rPr>
                <w:rFonts w:hint="eastAsia" w:ascii="宋体" w:hAnsi="宋体" w:cs="宋体"/>
                <w:kern w:val="0"/>
                <w:szCs w:val="21"/>
              </w:rPr>
            </w:pPr>
            <w:r>
              <w:rPr>
                <w:rFonts w:hint="eastAsia" w:ascii="宋体" w:hAnsi="宋体" w:cs="宋体"/>
                <w:kern w:val="0"/>
                <w:szCs w:val="21"/>
              </w:rPr>
              <w:t>18</w:t>
            </w:r>
          </w:p>
        </w:tc>
        <w:tc>
          <w:tcPr>
            <w:tcW w:w="474" w:type="pct"/>
            <w:tcMar>
              <w:left w:w="0" w:type="dxa"/>
              <w:right w:w="0" w:type="dxa"/>
            </w:tcMar>
            <w:vAlign w:val="center"/>
          </w:tcPr>
          <w:p w14:paraId="183B18A7">
            <w:pPr>
              <w:spacing w:line="300" w:lineRule="exact"/>
              <w:jc w:val="center"/>
              <w:rPr>
                <w:rFonts w:hint="eastAsia" w:ascii="宋体" w:hAnsi="宋体" w:cs="宋体"/>
                <w:kern w:val="0"/>
                <w:szCs w:val="21"/>
              </w:rPr>
            </w:pPr>
            <w:r>
              <w:rPr>
                <w:rFonts w:hint="eastAsia" w:ascii="宋体" w:hAnsi="宋体" w:cs="宋体"/>
                <w:kern w:val="0"/>
                <w:szCs w:val="21"/>
              </w:rPr>
              <w:t>铁</w:t>
            </w:r>
          </w:p>
        </w:tc>
        <w:tc>
          <w:tcPr>
            <w:tcW w:w="266" w:type="pct"/>
            <w:tcMar>
              <w:left w:w="0" w:type="dxa"/>
              <w:right w:w="0" w:type="dxa"/>
            </w:tcMar>
            <w:vAlign w:val="center"/>
          </w:tcPr>
          <w:p w14:paraId="2E2D80E8">
            <w:pPr>
              <w:spacing w:line="300" w:lineRule="exact"/>
              <w:jc w:val="center"/>
              <w:rPr>
                <w:rFonts w:hint="eastAsia" w:ascii="宋体" w:hAnsi="宋体" w:cs="宋体"/>
                <w:kern w:val="0"/>
                <w:szCs w:val="21"/>
              </w:rPr>
            </w:pPr>
            <w:r>
              <w:rPr>
                <w:rFonts w:hint="eastAsia" w:ascii="宋体" w:hAnsi="宋体" w:cs="宋体"/>
                <w:kern w:val="0"/>
                <w:szCs w:val="21"/>
              </w:rPr>
              <w:t>≤0.3</w:t>
            </w:r>
          </w:p>
        </w:tc>
        <w:tc>
          <w:tcPr>
            <w:tcW w:w="327" w:type="pct"/>
            <w:tcMar>
              <w:left w:w="0" w:type="dxa"/>
              <w:right w:w="0" w:type="dxa"/>
            </w:tcMar>
            <w:vAlign w:val="center"/>
          </w:tcPr>
          <w:p w14:paraId="22B70DA3">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0.03</w:t>
            </w:r>
          </w:p>
        </w:tc>
        <w:tc>
          <w:tcPr>
            <w:tcW w:w="231" w:type="pct"/>
            <w:tcMar>
              <w:left w:w="0" w:type="dxa"/>
              <w:right w:w="0" w:type="dxa"/>
            </w:tcMar>
            <w:vAlign w:val="center"/>
          </w:tcPr>
          <w:p w14:paraId="6392F96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1876164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5411D9A">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0.03</w:t>
            </w:r>
          </w:p>
        </w:tc>
        <w:tc>
          <w:tcPr>
            <w:tcW w:w="272" w:type="pct"/>
            <w:tcMar>
              <w:left w:w="0" w:type="dxa"/>
              <w:right w:w="0" w:type="dxa"/>
            </w:tcMar>
            <w:vAlign w:val="center"/>
          </w:tcPr>
          <w:p w14:paraId="2E1949D4">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1B321C4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6C74074A">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0.03</w:t>
            </w:r>
          </w:p>
        </w:tc>
        <w:tc>
          <w:tcPr>
            <w:tcW w:w="267" w:type="pct"/>
            <w:tcMar>
              <w:left w:w="0" w:type="dxa"/>
              <w:right w:w="0" w:type="dxa"/>
            </w:tcMar>
            <w:vAlign w:val="center"/>
          </w:tcPr>
          <w:p w14:paraId="3A489BD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0E906267">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541BB939">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0.03</w:t>
            </w:r>
          </w:p>
        </w:tc>
        <w:tc>
          <w:tcPr>
            <w:tcW w:w="271" w:type="pct"/>
            <w:tcMar>
              <w:left w:w="0" w:type="dxa"/>
              <w:right w:w="0" w:type="dxa"/>
            </w:tcMar>
            <w:vAlign w:val="center"/>
          </w:tcPr>
          <w:p w14:paraId="469D953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2671A90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16E7A22">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0.03</w:t>
            </w:r>
          </w:p>
        </w:tc>
        <w:tc>
          <w:tcPr>
            <w:tcW w:w="271" w:type="pct"/>
            <w:tcMar>
              <w:left w:w="0" w:type="dxa"/>
              <w:right w:w="0" w:type="dxa"/>
            </w:tcMar>
            <w:vAlign w:val="center"/>
          </w:tcPr>
          <w:p w14:paraId="36506F9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46D532BE">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53C726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6D8E11BD">
            <w:pPr>
              <w:spacing w:line="300" w:lineRule="exact"/>
              <w:jc w:val="center"/>
              <w:rPr>
                <w:rFonts w:hint="eastAsia" w:ascii="宋体" w:hAnsi="宋体" w:cs="宋体"/>
                <w:kern w:val="0"/>
                <w:szCs w:val="21"/>
              </w:rPr>
            </w:pPr>
            <w:r>
              <w:rPr>
                <w:rFonts w:hint="eastAsia" w:ascii="宋体" w:hAnsi="宋体" w:cs="宋体"/>
                <w:kern w:val="0"/>
                <w:szCs w:val="21"/>
              </w:rPr>
              <w:t>19</w:t>
            </w:r>
          </w:p>
        </w:tc>
        <w:tc>
          <w:tcPr>
            <w:tcW w:w="474" w:type="pct"/>
            <w:tcMar>
              <w:left w:w="0" w:type="dxa"/>
              <w:right w:w="0" w:type="dxa"/>
            </w:tcMar>
            <w:vAlign w:val="center"/>
          </w:tcPr>
          <w:p w14:paraId="7E4B6CD4">
            <w:pPr>
              <w:spacing w:line="300" w:lineRule="exact"/>
              <w:jc w:val="center"/>
              <w:rPr>
                <w:rFonts w:hint="eastAsia" w:ascii="宋体" w:hAnsi="宋体" w:cs="宋体"/>
                <w:kern w:val="0"/>
                <w:szCs w:val="21"/>
              </w:rPr>
            </w:pPr>
            <w:r>
              <w:rPr>
                <w:rFonts w:hint="eastAsia" w:ascii="宋体" w:hAnsi="宋体" w:cs="宋体"/>
                <w:kern w:val="0"/>
                <w:szCs w:val="21"/>
              </w:rPr>
              <w:t>锰</w:t>
            </w:r>
          </w:p>
        </w:tc>
        <w:tc>
          <w:tcPr>
            <w:tcW w:w="266" w:type="pct"/>
            <w:tcMar>
              <w:left w:w="0" w:type="dxa"/>
              <w:right w:w="0" w:type="dxa"/>
            </w:tcMar>
            <w:vAlign w:val="center"/>
          </w:tcPr>
          <w:p w14:paraId="2E9AF3E2">
            <w:pPr>
              <w:spacing w:line="300" w:lineRule="exact"/>
              <w:jc w:val="center"/>
              <w:rPr>
                <w:rFonts w:hint="eastAsia" w:ascii="宋体" w:hAnsi="宋体" w:cs="宋体"/>
                <w:kern w:val="0"/>
                <w:szCs w:val="21"/>
              </w:rPr>
            </w:pPr>
            <w:r>
              <w:rPr>
                <w:rFonts w:hint="eastAsia" w:ascii="宋体" w:hAnsi="宋体" w:cs="宋体"/>
                <w:kern w:val="0"/>
                <w:szCs w:val="21"/>
              </w:rPr>
              <w:t>≤0.1</w:t>
            </w:r>
          </w:p>
        </w:tc>
        <w:tc>
          <w:tcPr>
            <w:tcW w:w="327" w:type="pct"/>
            <w:tcMar>
              <w:left w:w="0" w:type="dxa"/>
              <w:right w:w="0" w:type="dxa"/>
            </w:tcMar>
            <w:vAlign w:val="center"/>
          </w:tcPr>
          <w:p w14:paraId="098AEA1D">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31" w:type="pct"/>
            <w:tcMar>
              <w:left w:w="0" w:type="dxa"/>
              <w:right w:w="0" w:type="dxa"/>
            </w:tcMar>
            <w:vAlign w:val="center"/>
          </w:tcPr>
          <w:p w14:paraId="3144192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1C86A77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4D465EF">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2" w:type="pct"/>
            <w:tcMar>
              <w:left w:w="0" w:type="dxa"/>
              <w:right w:w="0" w:type="dxa"/>
            </w:tcMar>
            <w:vAlign w:val="center"/>
          </w:tcPr>
          <w:p w14:paraId="135787E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20044E3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6038F2B6">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67" w:type="pct"/>
            <w:tcMar>
              <w:left w:w="0" w:type="dxa"/>
              <w:right w:w="0" w:type="dxa"/>
            </w:tcMar>
            <w:vAlign w:val="center"/>
          </w:tcPr>
          <w:p w14:paraId="03C4177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14C4366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4667B38E">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1" w:type="pct"/>
            <w:tcMar>
              <w:left w:w="0" w:type="dxa"/>
              <w:right w:w="0" w:type="dxa"/>
            </w:tcMar>
            <w:vAlign w:val="center"/>
          </w:tcPr>
          <w:p w14:paraId="136039E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D99712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29623FB">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1" w:type="pct"/>
            <w:tcMar>
              <w:left w:w="0" w:type="dxa"/>
              <w:right w:w="0" w:type="dxa"/>
            </w:tcMar>
            <w:vAlign w:val="center"/>
          </w:tcPr>
          <w:p w14:paraId="44EF2D2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26A2EF68">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33DF2C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1A2C0F49">
            <w:pPr>
              <w:spacing w:line="300" w:lineRule="exact"/>
              <w:jc w:val="center"/>
              <w:rPr>
                <w:rFonts w:hint="eastAsia" w:ascii="宋体" w:hAnsi="宋体" w:cs="宋体"/>
                <w:kern w:val="0"/>
                <w:szCs w:val="21"/>
              </w:rPr>
            </w:pPr>
            <w:r>
              <w:rPr>
                <w:rFonts w:hint="eastAsia" w:ascii="宋体" w:hAnsi="宋体" w:cs="宋体"/>
                <w:kern w:val="0"/>
                <w:szCs w:val="21"/>
              </w:rPr>
              <w:t>20</w:t>
            </w:r>
          </w:p>
        </w:tc>
        <w:tc>
          <w:tcPr>
            <w:tcW w:w="474" w:type="pct"/>
            <w:tcMar>
              <w:left w:w="0" w:type="dxa"/>
              <w:right w:w="0" w:type="dxa"/>
            </w:tcMar>
            <w:vAlign w:val="center"/>
          </w:tcPr>
          <w:p w14:paraId="2753332C">
            <w:pPr>
              <w:spacing w:line="300" w:lineRule="exact"/>
              <w:jc w:val="center"/>
              <w:rPr>
                <w:rFonts w:hint="eastAsia" w:ascii="宋体" w:hAnsi="宋体" w:cs="宋体"/>
                <w:kern w:val="0"/>
                <w:szCs w:val="21"/>
              </w:rPr>
            </w:pPr>
            <w:r>
              <w:rPr>
                <w:rFonts w:hint="eastAsia" w:ascii="宋体" w:hAnsi="宋体" w:cs="宋体"/>
                <w:kern w:val="0"/>
                <w:szCs w:val="21"/>
              </w:rPr>
              <w:t>K</w:t>
            </w:r>
            <w:r>
              <w:rPr>
                <w:rFonts w:hint="eastAsia" w:ascii="宋体" w:hAnsi="宋体" w:cs="宋体"/>
                <w:kern w:val="0"/>
                <w:szCs w:val="21"/>
                <w:vertAlign w:val="superscript"/>
              </w:rPr>
              <w:t>+</w:t>
            </w:r>
          </w:p>
        </w:tc>
        <w:tc>
          <w:tcPr>
            <w:tcW w:w="266" w:type="pct"/>
            <w:tcMar>
              <w:left w:w="0" w:type="dxa"/>
              <w:right w:w="0" w:type="dxa"/>
            </w:tcMar>
            <w:vAlign w:val="center"/>
          </w:tcPr>
          <w:p w14:paraId="3DDED5A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28B864FB">
            <w:pPr>
              <w:spacing w:line="300" w:lineRule="exact"/>
              <w:jc w:val="center"/>
              <w:rPr>
                <w:rFonts w:hint="eastAsia" w:ascii="宋体" w:hAnsi="宋体" w:cs="宋体"/>
                <w:kern w:val="0"/>
                <w:szCs w:val="21"/>
              </w:rPr>
            </w:pPr>
            <w:r>
              <w:rPr>
                <w:rFonts w:hint="eastAsia" w:ascii="宋体" w:hAnsi="宋体" w:cs="宋体"/>
                <w:spacing w:val="3"/>
                <w:szCs w:val="21"/>
              </w:rPr>
              <w:t>2.21</w:t>
            </w:r>
          </w:p>
        </w:tc>
        <w:tc>
          <w:tcPr>
            <w:tcW w:w="231" w:type="pct"/>
            <w:tcMar>
              <w:left w:w="0" w:type="dxa"/>
              <w:right w:w="0" w:type="dxa"/>
            </w:tcMar>
            <w:vAlign w:val="center"/>
          </w:tcPr>
          <w:p w14:paraId="4506B2D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D0700A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0AFC7E8">
            <w:pPr>
              <w:spacing w:line="300" w:lineRule="exact"/>
              <w:jc w:val="center"/>
              <w:rPr>
                <w:rFonts w:hint="eastAsia" w:ascii="宋体" w:hAnsi="宋体" w:cs="宋体"/>
                <w:kern w:val="0"/>
                <w:szCs w:val="21"/>
              </w:rPr>
            </w:pPr>
            <w:r>
              <w:rPr>
                <w:rFonts w:hint="eastAsia" w:ascii="宋体" w:hAnsi="宋体" w:cs="宋体"/>
                <w:spacing w:val="2"/>
                <w:szCs w:val="21"/>
              </w:rPr>
              <w:t>6.40</w:t>
            </w:r>
          </w:p>
        </w:tc>
        <w:tc>
          <w:tcPr>
            <w:tcW w:w="272" w:type="pct"/>
            <w:tcMar>
              <w:left w:w="0" w:type="dxa"/>
              <w:right w:w="0" w:type="dxa"/>
            </w:tcMar>
            <w:vAlign w:val="center"/>
          </w:tcPr>
          <w:p w14:paraId="7294B13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4D5FBC6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6CCBF251">
            <w:pPr>
              <w:spacing w:line="300" w:lineRule="exact"/>
              <w:jc w:val="center"/>
              <w:rPr>
                <w:rFonts w:hint="eastAsia" w:ascii="宋体" w:hAnsi="宋体" w:cs="宋体"/>
                <w:kern w:val="0"/>
                <w:szCs w:val="21"/>
              </w:rPr>
            </w:pPr>
            <w:r>
              <w:rPr>
                <w:rFonts w:hint="eastAsia" w:ascii="宋体" w:hAnsi="宋体" w:cs="宋体"/>
                <w:spacing w:val="2"/>
                <w:szCs w:val="21"/>
              </w:rPr>
              <w:t>6.58</w:t>
            </w:r>
          </w:p>
        </w:tc>
        <w:tc>
          <w:tcPr>
            <w:tcW w:w="267" w:type="pct"/>
            <w:tcMar>
              <w:left w:w="0" w:type="dxa"/>
              <w:right w:w="0" w:type="dxa"/>
            </w:tcMar>
            <w:vAlign w:val="center"/>
          </w:tcPr>
          <w:p w14:paraId="671BF60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36BA33E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065D1BA">
            <w:pPr>
              <w:spacing w:line="300" w:lineRule="exact"/>
              <w:jc w:val="center"/>
              <w:rPr>
                <w:rFonts w:hint="eastAsia" w:ascii="宋体" w:hAnsi="宋体" w:cs="宋体"/>
                <w:kern w:val="0"/>
                <w:szCs w:val="21"/>
              </w:rPr>
            </w:pPr>
            <w:r>
              <w:rPr>
                <w:rFonts w:hint="eastAsia" w:ascii="宋体" w:hAnsi="宋体" w:cs="宋体"/>
                <w:spacing w:val="3"/>
                <w:szCs w:val="21"/>
              </w:rPr>
              <w:t>2.24</w:t>
            </w:r>
          </w:p>
        </w:tc>
        <w:tc>
          <w:tcPr>
            <w:tcW w:w="271" w:type="pct"/>
            <w:tcMar>
              <w:left w:w="0" w:type="dxa"/>
              <w:right w:w="0" w:type="dxa"/>
            </w:tcMar>
            <w:vAlign w:val="center"/>
          </w:tcPr>
          <w:p w14:paraId="7D2B97D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0C6E34E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AF07B86">
            <w:pPr>
              <w:spacing w:line="300" w:lineRule="exact"/>
              <w:jc w:val="center"/>
              <w:rPr>
                <w:rFonts w:hint="eastAsia" w:ascii="宋体" w:hAnsi="宋体" w:cs="宋体"/>
                <w:kern w:val="0"/>
                <w:szCs w:val="21"/>
              </w:rPr>
            </w:pPr>
            <w:r>
              <w:rPr>
                <w:rFonts w:hint="eastAsia" w:ascii="宋体" w:hAnsi="宋体" w:cs="宋体"/>
                <w:spacing w:val="2"/>
                <w:szCs w:val="21"/>
              </w:rPr>
              <w:t>5.68</w:t>
            </w:r>
          </w:p>
        </w:tc>
        <w:tc>
          <w:tcPr>
            <w:tcW w:w="271" w:type="pct"/>
            <w:tcMar>
              <w:left w:w="0" w:type="dxa"/>
              <w:right w:w="0" w:type="dxa"/>
            </w:tcMar>
            <w:vAlign w:val="center"/>
          </w:tcPr>
          <w:p w14:paraId="76BFBC5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34A833FC">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75464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13AEAE31">
            <w:pPr>
              <w:spacing w:line="300" w:lineRule="exact"/>
              <w:jc w:val="center"/>
              <w:rPr>
                <w:rFonts w:hint="eastAsia" w:ascii="宋体" w:hAnsi="宋体" w:cs="宋体"/>
                <w:kern w:val="0"/>
                <w:szCs w:val="21"/>
              </w:rPr>
            </w:pPr>
            <w:r>
              <w:rPr>
                <w:rFonts w:hint="eastAsia" w:ascii="宋体" w:hAnsi="宋体" w:cs="宋体"/>
                <w:kern w:val="0"/>
                <w:szCs w:val="21"/>
              </w:rPr>
              <w:t>21</w:t>
            </w:r>
          </w:p>
        </w:tc>
        <w:tc>
          <w:tcPr>
            <w:tcW w:w="474" w:type="pct"/>
            <w:tcMar>
              <w:left w:w="0" w:type="dxa"/>
              <w:right w:w="0" w:type="dxa"/>
            </w:tcMar>
            <w:vAlign w:val="center"/>
          </w:tcPr>
          <w:p w14:paraId="2F5D3A3C">
            <w:pPr>
              <w:spacing w:line="300" w:lineRule="exact"/>
              <w:jc w:val="center"/>
              <w:rPr>
                <w:rFonts w:hint="eastAsia" w:ascii="宋体" w:hAnsi="宋体" w:cs="宋体"/>
                <w:kern w:val="0"/>
                <w:szCs w:val="21"/>
              </w:rPr>
            </w:pPr>
            <w:r>
              <w:rPr>
                <w:rFonts w:hint="eastAsia" w:ascii="宋体" w:hAnsi="宋体" w:cs="宋体"/>
                <w:kern w:val="0"/>
                <w:szCs w:val="21"/>
              </w:rPr>
              <w:t>Ca</w:t>
            </w:r>
            <w:r>
              <w:rPr>
                <w:rFonts w:hint="eastAsia" w:ascii="宋体" w:hAnsi="宋体" w:cs="宋体"/>
                <w:kern w:val="0"/>
                <w:szCs w:val="21"/>
                <w:vertAlign w:val="superscript"/>
              </w:rPr>
              <w:t>2+</w:t>
            </w:r>
          </w:p>
        </w:tc>
        <w:tc>
          <w:tcPr>
            <w:tcW w:w="266" w:type="pct"/>
            <w:tcMar>
              <w:left w:w="0" w:type="dxa"/>
              <w:right w:w="0" w:type="dxa"/>
            </w:tcMar>
            <w:vAlign w:val="center"/>
          </w:tcPr>
          <w:p w14:paraId="268FDEA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785C56E5">
            <w:pPr>
              <w:spacing w:line="300" w:lineRule="exact"/>
              <w:jc w:val="center"/>
              <w:rPr>
                <w:rFonts w:hint="eastAsia" w:ascii="宋体" w:hAnsi="宋体" w:cs="宋体"/>
                <w:kern w:val="0"/>
                <w:szCs w:val="21"/>
              </w:rPr>
            </w:pPr>
            <w:r>
              <w:rPr>
                <w:rFonts w:hint="eastAsia" w:ascii="宋体" w:hAnsi="宋体" w:cs="宋体"/>
                <w:spacing w:val="2"/>
                <w:szCs w:val="21"/>
              </w:rPr>
              <w:t>36.0</w:t>
            </w:r>
          </w:p>
        </w:tc>
        <w:tc>
          <w:tcPr>
            <w:tcW w:w="231" w:type="pct"/>
            <w:tcMar>
              <w:left w:w="0" w:type="dxa"/>
              <w:right w:w="0" w:type="dxa"/>
            </w:tcMar>
            <w:vAlign w:val="center"/>
          </w:tcPr>
          <w:p w14:paraId="097E86E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560B162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25CB646">
            <w:pPr>
              <w:spacing w:line="300" w:lineRule="exact"/>
              <w:jc w:val="center"/>
              <w:rPr>
                <w:rFonts w:hint="eastAsia" w:ascii="宋体" w:hAnsi="宋体" w:cs="宋体"/>
                <w:kern w:val="0"/>
                <w:szCs w:val="21"/>
              </w:rPr>
            </w:pPr>
            <w:r>
              <w:rPr>
                <w:rFonts w:hint="eastAsia" w:ascii="宋体" w:hAnsi="宋体" w:cs="宋体"/>
                <w:spacing w:val="2"/>
                <w:szCs w:val="21"/>
              </w:rPr>
              <w:t>30.2</w:t>
            </w:r>
          </w:p>
        </w:tc>
        <w:tc>
          <w:tcPr>
            <w:tcW w:w="272" w:type="pct"/>
            <w:tcMar>
              <w:left w:w="0" w:type="dxa"/>
              <w:right w:w="0" w:type="dxa"/>
            </w:tcMar>
            <w:vAlign w:val="center"/>
          </w:tcPr>
          <w:p w14:paraId="39C95D7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7D1292D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4C991ED2">
            <w:pPr>
              <w:spacing w:line="300" w:lineRule="exact"/>
              <w:jc w:val="center"/>
              <w:rPr>
                <w:rFonts w:hint="eastAsia" w:ascii="宋体" w:hAnsi="宋体" w:cs="宋体"/>
                <w:kern w:val="0"/>
                <w:szCs w:val="21"/>
              </w:rPr>
            </w:pPr>
            <w:r>
              <w:rPr>
                <w:rFonts w:hint="eastAsia" w:ascii="宋体" w:hAnsi="宋体" w:cs="宋体"/>
                <w:spacing w:val="2"/>
                <w:szCs w:val="21"/>
              </w:rPr>
              <w:t>34.8</w:t>
            </w:r>
          </w:p>
        </w:tc>
        <w:tc>
          <w:tcPr>
            <w:tcW w:w="267" w:type="pct"/>
            <w:tcMar>
              <w:left w:w="0" w:type="dxa"/>
              <w:right w:w="0" w:type="dxa"/>
            </w:tcMar>
            <w:vAlign w:val="center"/>
          </w:tcPr>
          <w:p w14:paraId="294045E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21C703D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6AEC17AA">
            <w:pPr>
              <w:spacing w:line="300" w:lineRule="exact"/>
              <w:jc w:val="center"/>
              <w:rPr>
                <w:rFonts w:hint="eastAsia" w:ascii="宋体" w:hAnsi="宋体" w:cs="宋体"/>
                <w:kern w:val="0"/>
                <w:szCs w:val="21"/>
              </w:rPr>
            </w:pPr>
            <w:r>
              <w:rPr>
                <w:rFonts w:hint="eastAsia" w:ascii="宋体" w:hAnsi="宋体" w:cs="宋体"/>
                <w:spacing w:val="2"/>
                <w:szCs w:val="21"/>
              </w:rPr>
              <w:t>33.4</w:t>
            </w:r>
          </w:p>
        </w:tc>
        <w:tc>
          <w:tcPr>
            <w:tcW w:w="271" w:type="pct"/>
            <w:tcMar>
              <w:left w:w="0" w:type="dxa"/>
              <w:right w:w="0" w:type="dxa"/>
            </w:tcMar>
            <w:vAlign w:val="center"/>
          </w:tcPr>
          <w:p w14:paraId="7E54C18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1492348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47F63E6A">
            <w:pPr>
              <w:spacing w:line="300" w:lineRule="exact"/>
              <w:jc w:val="center"/>
              <w:rPr>
                <w:rFonts w:hint="eastAsia" w:ascii="宋体" w:hAnsi="宋体" w:cs="宋体"/>
                <w:kern w:val="0"/>
                <w:szCs w:val="21"/>
              </w:rPr>
            </w:pPr>
            <w:r>
              <w:rPr>
                <w:rFonts w:hint="eastAsia" w:ascii="宋体" w:hAnsi="宋体" w:cs="宋体"/>
                <w:spacing w:val="3"/>
                <w:szCs w:val="21"/>
              </w:rPr>
              <w:t>27.5</w:t>
            </w:r>
          </w:p>
        </w:tc>
        <w:tc>
          <w:tcPr>
            <w:tcW w:w="271" w:type="pct"/>
            <w:tcMar>
              <w:left w:w="0" w:type="dxa"/>
              <w:right w:w="0" w:type="dxa"/>
            </w:tcMar>
            <w:vAlign w:val="center"/>
          </w:tcPr>
          <w:p w14:paraId="4CC54FC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4891AADB">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B96B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1B9423A3">
            <w:pPr>
              <w:spacing w:line="300" w:lineRule="exact"/>
              <w:jc w:val="center"/>
              <w:rPr>
                <w:rFonts w:hint="eastAsia" w:ascii="宋体" w:hAnsi="宋体" w:cs="宋体"/>
                <w:kern w:val="0"/>
                <w:szCs w:val="21"/>
              </w:rPr>
            </w:pPr>
            <w:r>
              <w:rPr>
                <w:rFonts w:hint="eastAsia" w:ascii="宋体" w:hAnsi="宋体" w:cs="宋体"/>
                <w:kern w:val="0"/>
                <w:szCs w:val="21"/>
              </w:rPr>
              <w:t>22</w:t>
            </w:r>
          </w:p>
        </w:tc>
        <w:tc>
          <w:tcPr>
            <w:tcW w:w="474" w:type="pct"/>
            <w:tcMar>
              <w:left w:w="0" w:type="dxa"/>
              <w:right w:w="0" w:type="dxa"/>
            </w:tcMar>
            <w:vAlign w:val="center"/>
          </w:tcPr>
          <w:p w14:paraId="1D27DF69">
            <w:pPr>
              <w:spacing w:line="300" w:lineRule="exact"/>
              <w:jc w:val="center"/>
              <w:rPr>
                <w:rFonts w:hint="eastAsia" w:ascii="宋体" w:hAnsi="宋体" w:cs="宋体"/>
                <w:kern w:val="0"/>
                <w:szCs w:val="21"/>
              </w:rPr>
            </w:pPr>
            <w:r>
              <w:rPr>
                <w:rFonts w:hint="eastAsia" w:ascii="宋体" w:hAnsi="宋体" w:cs="宋体"/>
                <w:kern w:val="0"/>
                <w:szCs w:val="21"/>
              </w:rPr>
              <w:t>Na</w:t>
            </w:r>
            <w:r>
              <w:rPr>
                <w:rFonts w:hint="eastAsia" w:ascii="宋体" w:hAnsi="宋体" w:cs="宋体"/>
                <w:kern w:val="0"/>
                <w:szCs w:val="21"/>
                <w:vertAlign w:val="superscript"/>
              </w:rPr>
              <w:t>+</w:t>
            </w:r>
          </w:p>
        </w:tc>
        <w:tc>
          <w:tcPr>
            <w:tcW w:w="266" w:type="pct"/>
            <w:tcMar>
              <w:left w:w="0" w:type="dxa"/>
              <w:right w:w="0" w:type="dxa"/>
            </w:tcMar>
            <w:vAlign w:val="center"/>
          </w:tcPr>
          <w:p w14:paraId="1DB285A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64BE2E95">
            <w:pPr>
              <w:spacing w:line="300" w:lineRule="exact"/>
              <w:jc w:val="center"/>
              <w:rPr>
                <w:rFonts w:hint="eastAsia" w:ascii="宋体" w:hAnsi="宋体" w:cs="宋体"/>
                <w:kern w:val="0"/>
                <w:szCs w:val="21"/>
              </w:rPr>
            </w:pPr>
            <w:r>
              <w:rPr>
                <w:rFonts w:hint="eastAsia" w:ascii="宋体" w:hAnsi="宋体" w:cs="宋体"/>
                <w:spacing w:val="2"/>
                <w:szCs w:val="21"/>
              </w:rPr>
              <w:t>58.2</w:t>
            </w:r>
          </w:p>
        </w:tc>
        <w:tc>
          <w:tcPr>
            <w:tcW w:w="231" w:type="pct"/>
            <w:tcMar>
              <w:left w:w="0" w:type="dxa"/>
              <w:right w:w="0" w:type="dxa"/>
            </w:tcMar>
            <w:vAlign w:val="center"/>
          </w:tcPr>
          <w:p w14:paraId="6F0DFEF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06FA443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4A178B62">
            <w:pPr>
              <w:spacing w:line="300" w:lineRule="exact"/>
              <w:jc w:val="center"/>
              <w:rPr>
                <w:rFonts w:hint="eastAsia" w:ascii="宋体" w:hAnsi="宋体" w:cs="宋体"/>
                <w:kern w:val="0"/>
                <w:szCs w:val="21"/>
              </w:rPr>
            </w:pPr>
            <w:r>
              <w:rPr>
                <w:rFonts w:hint="eastAsia" w:ascii="宋体" w:hAnsi="宋体" w:cs="宋体"/>
                <w:spacing w:val="2"/>
                <w:szCs w:val="21"/>
              </w:rPr>
              <w:t>59.7</w:t>
            </w:r>
          </w:p>
        </w:tc>
        <w:tc>
          <w:tcPr>
            <w:tcW w:w="272" w:type="pct"/>
            <w:tcMar>
              <w:left w:w="0" w:type="dxa"/>
              <w:right w:w="0" w:type="dxa"/>
            </w:tcMar>
            <w:vAlign w:val="center"/>
          </w:tcPr>
          <w:p w14:paraId="044AF82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4B1FE4C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198D853">
            <w:pPr>
              <w:spacing w:line="300" w:lineRule="exact"/>
              <w:jc w:val="center"/>
              <w:rPr>
                <w:rFonts w:hint="eastAsia" w:ascii="宋体" w:hAnsi="宋体" w:cs="宋体"/>
                <w:kern w:val="0"/>
                <w:szCs w:val="21"/>
              </w:rPr>
            </w:pPr>
            <w:r>
              <w:rPr>
                <w:rFonts w:hint="eastAsia" w:ascii="宋体" w:hAnsi="宋体" w:cs="宋体"/>
                <w:spacing w:val="2"/>
                <w:szCs w:val="21"/>
              </w:rPr>
              <w:t>65.8</w:t>
            </w:r>
          </w:p>
        </w:tc>
        <w:tc>
          <w:tcPr>
            <w:tcW w:w="267" w:type="pct"/>
            <w:tcMar>
              <w:left w:w="0" w:type="dxa"/>
              <w:right w:w="0" w:type="dxa"/>
            </w:tcMar>
            <w:vAlign w:val="center"/>
          </w:tcPr>
          <w:p w14:paraId="7FAFB1C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12451AE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0250B13">
            <w:pPr>
              <w:spacing w:line="300" w:lineRule="exact"/>
              <w:jc w:val="center"/>
              <w:rPr>
                <w:rFonts w:hint="eastAsia" w:ascii="宋体" w:hAnsi="宋体" w:cs="宋体"/>
                <w:kern w:val="0"/>
                <w:szCs w:val="21"/>
              </w:rPr>
            </w:pPr>
            <w:r>
              <w:rPr>
                <w:rFonts w:hint="eastAsia" w:ascii="宋体" w:hAnsi="宋体" w:cs="宋体"/>
                <w:spacing w:val="1"/>
                <w:szCs w:val="21"/>
              </w:rPr>
              <w:t>65.</w:t>
            </w:r>
            <w:r>
              <w:rPr>
                <w:rFonts w:hint="eastAsia" w:ascii="宋体" w:hAnsi="宋体" w:cs="宋体"/>
                <w:spacing w:val="-25"/>
                <w:szCs w:val="21"/>
              </w:rPr>
              <w:t xml:space="preserve"> </w:t>
            </w:r>
            <w:r>
              <w:rPr>
                <w:rFonts w:hint="eastAsia" w:ascii="宋体" w:hAnsi="宋体" w:cs="宋体"/>
                <w:spacing w:val="1"/>
                <w:szCs w:val="21"/>
              </w:rPr>
              <w:t>1</w:t>
            </w:r>
          </w:p>
        </w:tc>
        <w:tc>
          <w:tcPr>
            <w:tcW w:w="271" w:type="pct"/>
            <w:tcMar>
              <w:left w:w="0" w:type="dxa"/>
              <w:right w:w="0" w:type="dxa"/>
            </w:tcMar>
            <w:vAlign w:val="center"/>
          </w:tcPr>
          <w:p w14:paraId="2826898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975FD2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6E7D5027">
            <w:pPr>
              <w:spacing w:line="300" w:lineRule="exact"/>
              <w:jc w:val="center"/>
              <w:rPr>
                <w:rFonts w:hint="eastAsia" w:ascii="宋体" w:hAnsi="宋体" w:cs="宋体"/>
                <w:kern w:val="0"/>
                <w:szCs w:val="21"/>
              </w:rPr>
            </w:pPr>
            <w:r>
              <w:rPr>
                <w:rFonts w:hint="eastAsia" w:ascii="宋体" w:hAnsi="宋体" w:cs="宋体"/>
                <w:spacing w:val="2"/>
                <w:szCs w:val="21"/>
              </w:rPr>
              <w:t>52.0</w:t>
            </w:r>
          </w:p>
        </w:tc>
        <w:tc>
          <w:tcPr>
            <w:tcW w:w="271" w:type="pct"/>
            <w:tcMar>
              <w:left w:w="0" w:type="dxa"/>
              <w:right w:w="0" w:type="dxa"/>
            </w:tcMar>
            <w:vAlign w:val="center"/>
          </w:tcPr>
          <w:p w14:paraId="5878CE9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2D9A82BF">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4FE402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001BA199">
            <w:pPr>
              <w:spacing w:line="300" w:lineRule="exact"/>
              <w:jc w:val="center"/>
              <w:rPr>
                <w:rFonts w:hint="eastAsia" w:ascii="宋体" w:hAnsi="宋体" w:cs="宋体"/>
                <w:kern w:val="0"/>
                <w:szCs w:val="21"/>
              </w:rPr>
            </w:pPr>
            <w:r>
              <w:rPr>
                <w:rFonts w:hint="eastAsia" w:ascii="宋体" w:hAnsi="宋体" w:cs="宋体"/>
                <w:kern w:val="0"/>
                <w:szCs w:val="21"/>
              </w:rPr>
              <w:t>23</w:t>
            </w:r>
          </w:p>
        </w:tc>
        <w:tc>
          <w:tcPr>
            <w:tcW w:w="474" w:type="pct"/>
            <w:tcMar>
              <w:left w:w="0" w:type="dxa"/>
              <w:right w:w="0" w:type="dxa"/>
            </w:tcMar>
            <w:vAlign w:val="center"/>
          </w:tcPr>
          <w:p w14:paraId="3F132686">
            <w:pPr>
              <w:spacing w:line="300" w:lineRule="exact"/>
              <w:jc w:val="center"/>
              <w:rPr>
                <w:rFonts w:hint="eastAsia" w:ascii="宋体" w:hAnsi="宋体" w:cs="宋体"/>
                <w:kern w:val="0"/>
                <w:szCs w:val="21"/>
              </w:rPr>
            </w:pPr>
            <w:r>
              <w:rPr>
                <w:rFonts w:hint="eastAsia" w:ascii="宋体" w:hAnsi="宋体" w:cs="宋体"/>
                <w:kern w:val="0"/>
                <w:szCs w:val="21"/>
              </w:rPr>
              <w:t>Mg</w:t>
            </w:r>
            <w:r>
              <w:rPr>
                <w:rFonts w:hint="eastAsia" w:ascii="宋体" w:hAnsi="宋体" w:cs="宋体"/>
                <w:kern w:val="0"/>
                <w:szCs w:val="21"/>
                <w:vertAlign w:val="superscript"/>
              </w:rPr>
              <w:t>2+</w:t>
            </w:r>
          </w:p>
        </w:tc>
        <w:tc>
          <w:tcPr>
            <w:tcW w:w="266" w:type="pct"/>
            <w:tcMar>
              <w:left w:w="0" w:type="dxa"/>
              <w:right w:w="0" w:type="dxa"/>
            </w:tcMar>
            <w:vAlign w:val="center"/>
          </w:tcPr>
          <w:p w14:paraId="5CB9C88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27" w:type="pct"/>
            <w:tcMar>
              <w:left w:w="0" w:type="dxa"/>
              <w:right w:w="0" w:type="dxa"/>
            </w:tcMar>
            <w:vAlign w:val="center"/>
          </w:tcPr>
          <w:p w14:paraId="5E4E05AE">
            <w:pPr>
              <w:spacing w:line="300" w:lineRule="exact"/>
              <w:jc w:val="center"/>
              <w:rPr>
                <w:rFonts w:hint="eastAsia" w:ascii="宋体" w:hAnsi="宋体" w:cs="宋体"/>
                <w:kern w:val="0"/>
                <w:szCs w:val="21"/>
              </w:rPr>
            </w:pPr>
            <w:r>
              <w:rPr>
                <w:rFonts w:hint="eastAsia" w:ascii="宋体" w:hAnsi="宋体" w:cs="宋体"/>
                <w:spacing w:val="2"/>
                <w:szCs w:val="21"/>
              </w:rPr>
              <w:t>36.7</w:t>
            </w:r>
          </w:p>
        </w:tc>
        <w:tc>
          <w:tcPr>
            <w:tcW w:w="231" w:type="pct"/>
            <w:tcMar>
              <w:left w:w="0" w:type="dxa"/>
              <w:right w:w="0" w:type="dxa"/>
            </w:tcMar>
            <w:vAlign w:val="center"/>
          </w:tcPr>
          <w:p w14:paraId="723CD7F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3365DA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7B37C3F">
            <w:pPr>
              <w:spacing w:line="300" w:lineRule="exact"/>
              <w:jc w:val="center"/>
              <w:rPr>
                <w:rFonts w:hint="eastAsia" w:ascii="宋体" w:hAnsi="宋体" w:cs="宋体"/>
                <w:kern w:val="0"/>
                <w:szCs w:val="21"/>
              </w:rPr>
            </w:pPr>
            <w:r>
              <w:rPr>
                <w:rFonts w:hint="eastAsia" w:ascii="宋体" w:hAnsi="宋体" w:cs="宋体"/>
                <w:spacing w:val="2"/>
                <w:szCs w:val="21"/>
              </w:rPr>
              <w:t>31.8</w:t>
            </w:r>
          </w:p>
        </w:tc>
        <w:tc>
          <w:tcPr>
            <w:tcW w:w="272" w:type="pct"/>
            <w:tcMar>
              <w:left w:w="0" w:type="dxa"/>
              <w:right w:w="0" w:type="dxa"/>
            </w:tcMar>
            <w:vAlign w:val="center"/>
          </w:tcPr>
          <w:p w14:paraId="3BB2800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49E5C82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0F3BA06A">
            <w:pPr>
              <w:spacing w:line="300" w:lineRule="exact"/>
              <w:jc w:val="center"/>
              <w:rPr>
                <w:rFonts w:hint="eastAsia" w:ascii="宋体" w:hAnsi="宋体" w:cs="宋体"/>
                <w:kern w:val="0"/>
                <w:szCs w:val="21"/>
              </w:rPr>
            </w:pPr>
            <w:r>
              <w:rPr>
                <w:rFonts w:hint="eastAsia" w:ascii="宋体" w:hAnsi="宋体" w:cs="宋体"/>
                <w:spacing w:val="2"/>
                <w:szCs w:val="21"/>
              </w:rPr>
              <w:t>35.4</w:t>
            </w:r>
          </w:p>
        </w:tc>
        <w:tc>
          <w:tcPr>
            <w:tcW w:w="267" w:type="pct"/>
            <w:tcMar>
              <w:left w:w="0" w:type="dxa"/>
              <w:right w:w="0" w:type="dxa"/>
            </w:tcMar>
            <w:vAlign w:val="center"/>
          </w:tcPr>
          <w:p w14:paraId="7D85B0BC">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0CDA1F4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6EE8763">
            <w:pPr>
              <w:spacing w:line="300" w:lineRule="exact"/>
              <w:jc w:val="center"/>
              <w:rPr>
                <w:rFonts w:hint="eastAsia" w:ascii="宋体" w:hAnsi="宋体" w:cs="宋体"/>
                <w:kern w:val="0"/>
                <w:szCs w:val="21"/>
              </w:rPr>
            </w:pPr>
            <w:r>
              <w:rPr>
                <w:rFonts w:hint="eastAsia" w:ascii="宋体" w:hAnsi="宋体" w:cs="宋体"/>
                <w:spacing w:val="2"/>
                <w:szCs w:val="21"/>
              </w:rPr>
              <w:t>35.0</w:t>
            </w:r>
          </w:p>
        </w:tc>
        <w:tc>
          <w:tcPr>
            <w:tcW w:w="271" w:type="pct"/>
            <w:tcMar>
              <w:left w:w="0" w:type="dxa"/>
              <w:right w:w="0" w:type="dxa"/>
            </w:tcMar>
            <w:vAlign w:val="center"/>
          </w:tcPr>
          <w:p w14:paraId="27CCBB5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743B619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251C33DA">
            <w:pPr>
              <w:spacing w:line="300" w:lineRule="exact"/>
              <w:jc w:val="center"/>
              <w:rPr>
                <w:rFonts w:hint="eastAsia" w:ascii="宋体" w:hAnsi="宋体" w:cs="宋体"/>
                <w:kern w:val="0"/>
                <w:szCs w:val="21"/>
              </w:rPr>
            </w:pPr>
            <w:r>
              <w:rPr>
                <w:rFonts w:hint="eastAsia" w:ascii="宋体" w:hAnsi="宋体" w:cs="宋体"/>
                <w:spacing w:val="3"/>
                <w:szCs w:val="21"/>
              </w:rPr>
              <w:t>28.6</w:t>
            </w:r>
          </w:p>
        </w:tc>
        <w:tc>
          <w:tcPr>
            <w:tcW w:w="271" w:type="pct"/>
            <w:tcMar>
              <w:left w:w="0" w:type="dxa"/>
              <w:right w:w="0" w:type="dxa"/>
            </w:tcMar>
            <w:vAlign w:val="center"/>
          </w:tcPr>
          <w:p w14:paraId="45FE030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3CC79676">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231331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792FE771">
            <w:pPr>
              <w:spacing w:line="300" w:lineRule="exact"/>
              <w:jc w:val="center"/>
              <w:rPr>
                <w:rFonts w:hint="eastAsia" w:ascii="宋体" w:hAnsi="宋体" w:cs="宋体"/>
                <w:kern w:val="0"/>
                <w:szCs w:val="21"/>
              </w:rPr>
            </w:pPr>
            <w:r>
              <w:rPr>
                <w:rFonts w:hint="eastAsia" w:ascii="宋体" w:hAnsi="宋体" w:cs="宋体"/>
                <w:kern w:val="0"/>
                <w:szCs w:val="21"/>
              </w:rPr>
              <w:t>24</w:t>
            </w:r>
          </w:p>
        </w:tc>
        <w:tc>
          <w:tcPr>
            <w:tcW w:w="474" w:type="pct"/>
            <w:tcMar>
              <w:left w:w="0" w:type="dxa"/>
              <w:right w:w="0" w:type="dxa"/>
            </w:tcMar>
            <w:vAlign w:val="center"/>
          </w:tcPr>
          <w:p w14:paraId="3DCECCC4">
            <w:pPr>
              <w:spacing w:line="300" w:lineRule="exact"/>
              <w:jc w:val="center"/>
              <w:rPr>
                <w:rFonts w:hint="eastAsia" w:ascii="宋体" w:hAnsi="宋体" w:cs="宋体"/>
                <w:kern w:val="0"/>
                <w:szCs w:val="21"/>
              </w:rPr>
            </w:pPr>
            <w:r>
              <w:rPr>
                <w:rFonts w:hint="eastAsia" w:ascii="宋体" w:hAnsi="宋体" w:cs="宋体"/>
                <w:kern w:val="0"/>
                <w:szCs w:val="21"/>
              </w:rPr>
              <w:t>汞</w:t>
            </w:r>
          </w:p>
        </w:tc>
        <w:tc>
          <w:tcPr>
            <w:tcW w:w="266" w:type="pct"/>
            <w:tcMar>
              <w:left w:w="0" w:type="dxa"/>
              <w:right w:w="0" w:type="dxa"/>
            </w:tcMar>
            <w:vAlign w:val="center"/>
          </w:tcPr>
          <w:p w14:paraId="419258A4">
            <w:pPr>
              <w:spacing w:line="300" w:lineRule="exact"/>
              <w:jc w:val="center"/>
              <w:rPr>
                <w:rFonts w:hint="eastAsia" w:ascii="宋体" w:hAnsi="宋体" w:cs="宋体"/>
                <w:kern w:val="0"/>
                <w:szCs w:val="21"/>
              </w:rPr>
            </w:pPr>
            <w:r>
              <w:rPr>
                <w:rFonts w:hint="eastAsia" w:ascii="宋体" w:hAnsi="宋体" w:cs="宋体"/>
                <w:kern w:val="0"/>
                <w:szCs w:val="21"/>
              </w:rPr>
              <w:t>≤0.001</w:t>
            </w:r>
          </w:p>
        </w:tc>
        <w:tc>
          <w:tcPr>
            <w:tcW w:w="327" w:type="pct"/>
            <w:tcMar>
              <w:left w:w="0" w:type="dxa"/>
              <w:right w:w="0" w:type="dxa"/>
            </w:tcMar>
            <w:vAlign w:val="center"/>
          </w:tcPr>
          <w:p w14:paraId="265F5276">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2"/>
                <w:szCs w:val="21"/>
              </w:rPr>
              <w:t>004</w:t>
            </w:r>
          </w:p>
        </w:tc>
        <w:tc>
          <w:tcPr>
            <w:tcW w:w="231" w:type="pct"/>
            <w:tcMar>
              <w:left w:w="0" w:type="dxa"/>
              <w:right w:w="0" w:type="dxa"/>
            </w:tcMar>
            <w:vAlign w:val="center"/>
          </w:tcPr>
          <w:p w14:paraId="31EB4C4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AD9868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60B8B63">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2"/>
                <w:szCs w:val="21"/>
              </w:rPr>
              <w:t>004</w:t>
            </w:r>
          </w:p>
        </w:tc>
        <w:tc>
          <w:tcPr>
            <w:tcW w:w="272" w:type="pct"/>
            <w:tcMar>
              <w:left w:w="0" w:type="dxa"/>
              <w:right w:w="0" w:type="dxa"/>
            </w:tcMar>
            <w:vAlign w:val="center"/>
          </w:tcPr>
          <w:p w14:paraId="33EF4FB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7ED14DE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3EA5B85C">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2"/>
                <w:szCs w:val="21"/>
              </w:rPr>
              <w:t>004</w:t>
            </w:r>
          </w:p>
        </w:tc>
        <w:tc>
          <w:tcPr>
            <w:tcW w:w="267" w:type="pct"/>
            <w:tcMar>
              <w:left w:w="0" w:type="dxa"/>
              <w:right w:w="0" w:type="dxa"/>
            </w:tcMar>
            <w:vAlign w:val="center"/>
          </w:tcPr>
          <w:p w14:paraId="769E729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379E1A0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4758D050">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2"/>
                <w:szCs w:val="21"/>
              </w:rPr>
              <w:t>004</w:t>
            </w:r>
          </w:p>
        </w:tc>
        <w:tc>
          <w:tcPr>
            <w:tcW w:w="271" w:type="pct"/>
            <w:tcMar>
              <w:left w:w="0" w:type="dxa"/>
              <w:right w:w="0" w:type="dxa"/>
            </w:tcMar>
            <w:vAlign w:val="center"/>
          </w:tcPr>
          <w:p w14:paraId="353C642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8DA225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1365954B">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2"/>
                <w:szCs w:val="21"/>
              </w:rPr>
              <w:t>004</w:t>
            </w:r>
          </w:p>
        </w:tc>
        <w:tc>
          <w:tcPr>
            <w:tcW w:w="271" w:type="pct"/>
            <w:tcMar>
              <w:left w:w="0" w:type="dxa"/>
              <w:right w:w="0" w:type="dxa"/>
            </w:tcMar>
            <w:vAlign w:val="center"/>
          </w:tcPr>
          <w:p w14:paraId="3B1D1E9C">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672C21A2">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3ACDEF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257FF17">
            <w:pPr>
              <w:spacing w:line="300" w:lineRule="exact"/>
              <w:jc w:val="center"/>
              <w:rPr>
                <w:rFonts w:hint="eastAsia" w:ascii="宋体" w:hAnsi="宋体" w:cs="宋体"/>
                <w:kern w:val="0"/>
                <w:szCs w:val="21"/>
              </w:rPr>
            </w:pPr>
            <w:r>
              <w:rPr>
                <w:rFonts w:hint="eastAsia" w:ascii="宋体" w:hAnsi="宋体" w:cs="宋体"/>
                <w:kern w:val="0"/>
                <w:szCs w:val="21"/>
              </w:rPr>
              <w:t>25</w:t>
            </w:r>
          </w:p>
        </w:tc>
        <w:tc>
          <w:tcPr>
            <w:tcW w:w="474" w:type="pct"/>
            <w:tcMar>
              <w:left w:w="0" w:type="dxa"/>
              <w:right w:w="0" w:type="dxa"/>
            </w:tcMar>
            <w:vAlign w:val="center"/>
          </w:tcPr>
          <w:p w14:paraId="74E1E933">
            <w:pPr>
              <w:spacing w:line="300" w:lineRule="exact"/>
              <w:jc w:val="center"/>
              <w:rPr>
                <w:rFonts w:hint="eastAsia" w:ascii="宋体" w:hAnsi="宋体" w:cs="宋体"/>
                <w:kern w:val="0"/>
                <w:szCs w:val="21"/>
              </w:rPr>
            </w:pPr>
            <w:r>
              <w:rPr>
                <w:rFonts w:hint="eastAsia" w:ascii="宋体" w:hAnsi="宋体" w:cs="宋体"/>
                <w:kern w:val="0"/>
                <w:szCs w:val="21"/>
              </w:rPr>
              <w:t>砷</w:t>
            </w:r>
          </w:p>
        </w:tc>
        <w:tc>
          <w:tcPr>
            <w:tcW w:w="266" w:type="pct"/>
            <w:tcMar>
              <w:left w:w="0" w:type="dxa"/>
              <w:right w:w="0" w:type="dxa"/>
            </w:tcMar>
            <w:vAlign w:val="center"/>
          </w:tcPr>
          <w:p w14:paraId="19BC2D2F">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327" w:type="pct"/>
            <w:tcMar>
              <w:left w:w="0" w:type="dxa"/>
              <w:right w:w="0" w:type="dxa"/>
            </w:tcMar>
            <w:vAlign w:val="center"/>
          </w:tcPr>
          <w:p w14:paraId="631E2E07">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0.0003</w:t>
            </w:r>
          </w:p>
        </w:tc>
        <w:tc>
          <w:tcPr>
            <w:tcW w:w="231" w:type="pct"/>
            <w:tcMar>
              <w:left w:w="0" w:type="dxa"/>
              <w:right w:w="0" w:type="dxa"/>
            </w:tcMar>
            <w:vAlign w:val="center"/>
          </w:tcPr>
          <w:p w14:paraId="17D8A71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6D8F3AC7">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2ACED630">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0.0003</w:t>
            </w:r>
          </w:p>
        </w:tc>
        <w:tc>
          <w:tcPr>
            <w:tcW w:w="272" w:type="pct"/>
            <w:tcMar>
              <w:left w:w="0" w:type="dxa"/>
              <w:right w:w="0" w:type="dxa"/>
            </w:tcMar>
            <w:vAlign w:val="center"/>
          </w:tcPr>
          <w:p w14:paraId="5BFBA68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602FB67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2178135B">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0.0003</w:t>
            </w:r>
          </w:p>
        </w:tc>
        <w:tc>
          <w:tcPr>
            <w:tcW w:w="267" w:type="pct"/>
            <w:tcMar>
              <w:left w:w="0" w:type="dxa"/>
              <w:right w:w="0" w:type="dxa"/>
            </w:tcMar>
            <w:vAlign w:val="center"/>
          </w:tcPr>
          <w:p w14:paraId="168B43E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77B8D77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92E2B26">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0.0003</w:t>
            </w:r>
          </w:p>
        </w:tc>
        <w:tc>
          <w:tcPr>
            <w:tcW w:w="271" w:type="pct"/>
            <w:tcMar>
              <w:left w:w="0" w:type="dxa"/>
              <w:right w:w="0" w:type="dxa"/>
            </w:tcMar>
            <w:vAlign w:val="center"/>
          </w:tcPr>
          <w:p w14:paraId="4B3A18A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0ED0ECA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001393AB">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0.0003</w:t>
            </w:r>
          </w:p>
        </w:tc>
        <w:tc>
          <w:tcPr>
            <w:tcW w:w="271" w:type="pct"/>
            <w:tcMar>
              <w:left w:w="0" w:type="dxa"/>
              <w:right w:w="0" w:type="dxa"/>
            </w:tcMar>
            <w:vAlign w:val="center"/>
          </w:tcPr>
          <w:p w14:paraId="0A14C82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5A4F99D9">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07B13D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0977FDB4">
            <w:pPr>
              <w:spacing w:line="300" w:lineRule="exact"/>
              <w:jc w:val="center"/>
              <w:rPr>
                <w:rFonts w:hint="eastAsia" w:ascii="宋体" w:hAnsi="宋体" w:cs="宋体"/>
                <w:kern w:val="0"/>
                <w:szCs w:val="21"/>
              </w:rPr>
            </w:pPr>
            <w:r>
              <w:rPr>
                <w:rFonts w:hint="eastAsia" w:ascii="宋体" w:hAnsi="宋体" w:cs="宋体"/>
                <w:kern w:val="0"/>
                <w:szCs w:val="21"/>
              </w:rPr>
              <w:t>26</w:t>
            </w:r>
          </w:p>
        </w:tc>
        <w:tc>
          <w:tcPr>
            <w:tcW w:w="474" w:type="pct"/>
            <w:tcMar>
              <w:left w:w="0" w:type="dxa"/>
              <w:right w:w="0" w:type="dxa"/>
            </w:tcMar>
            <w:vAlign w:val="center"/>
          </w:tcPr>
          <w:p w14:paraId="5B4CA500">
            <w:pPr>
              <w:pStyle w:val="533"/>
              <w:spacing w:line="300" w:lineRule="exact"/>
              <w:jc w:val="center"/>
              <w:rPr>
                <w:rFonts w:hint="eastAsia"/>
                <w:kern w:val="0"/>
                <w:sz w:val="21"/>
                <w:szCs w:val="21"/>
                <w:lang w:eastAsia="zh-CN"/>
              </w:rPr>
            </w:pPr>
            <w:r>
              <w:rPr>
                <w:rFonts w:hint="eastAsia"/>
                <w:spacing w:val="-1"/>
                <w:position w:val="-1"/>
                <w:sz w:val="21"/>
                <w:szCs w:val="21"/>
              </w:rPr>
              <w:t>CO</w:t>
            </w:r>
            <w:r>
              <w:rPr>
                <w:rFonts w:hint="eastAsia"/>
                <w:spacing w:val="-1"/>
                <w:position w:val="-2"/>
                <w:sz w:val="21"/>
                <w:szCs w:val="21"/>
                <w:vertAlign w:val="subscript"/>
              </w:rPr>
              <w:t>3</w:t>
            </w:r>
            <w:r>
              <w:rPr>
                <w:rFonts w:hint="eastAsia"/>
                <w:sz w:val="21"/>
                <w:szCs w:val="21"/>
                <w:vertAlign w:val="superscript"/>
              </w:rPr>
              <w:t>2-</w:t>
            </w:r>
          </w:p>
        </w:tc>
        <w:tc>
          <w:tcPr>
            <w:tcW w:w="266" w:type="pct"/>
            <w:tcMar>
              <w:left w:w="0" w:type="dxa"/>
              <w:right w:w="0" w:type="dxa"/>
            </w:tcMar>
            <w:vAlign w:val="center"/>
          </w:tcPr>
          <w:p w14:paraId="2662DD33">
            <w:pPr>
              <w:pStyle w:val="533"/>
              <w:spacing w:line="300" w:lineRule="exact"/>
              <w:jc w:val="center"/>
              <w:rPr>
                <w:rFonts w:hint="eastAsia"/>
                <w:kern w:val="0"/>
                <w:sz w:val="21"/>
                <w:szCs w:val="21"/>
                <w:lang w:eastAsia="zh-CN"/>
              </w:rPr>
            </w:pPr>
            <w:r>
              <w:rPr>
                <w:rFonts w:hint="eastAsia"/>
                <w:sz w:val="21"/>
                <w:szCs w:val="21"/>
              </w:rPr>
              <w:t>/</w:t>
            </w:r>
          </w:p>
        </w:tc>
        <w:tc>
          <w:tcPr>
            <w:tcW w:w="327" w:type="pct"/>
            <w:tcMar>
              <w:left w:w="0" w:type="dxa"/>
              <w:right w:w="0" w:type="dxa"/>
            </w:tcMar>
            <w:vAlign w:val="center"/>
          </w:tcPr>
          <w:p w14:paraId="39CCAC18">
            <w:pPr>
              <w:spacing w:line="300" w:lineRule="exact"/>
              <w:jc w:val="center"/>
              <w:rPr>
                <w:rFonts w:hint="eastAsia" w:ascii="宋体" w:hAnsi="宋体" w:cs="宋体"/>
                <w:kern w:val="0"/>
                <w:szCs w:val="21"/>
              </w:rPr>
            </w:pPr>
            <w:r>
              <w:rPr>
                <w:rFonts w:hint="eastAsia" w:ascii="宋体" w:hAnsi="宋体" w:cs="宋体"/>
                <w:spacing w:val="2"/>
                <w:szCs w:val="21"/>
              </w:rPr>
              <w:t>0.00</w:t>
            </w:r>
          </w:p>
        </w:tc>
        <w:tc>
          <w:tcPr>
            <w:tcW w:w="231" w:type="pct"/>
            <w:tcMar>
              <w:left w:w="0" w:type="dxa"/>
              <w:right w:w="0" w:type="dxa"/>
            </w:tcMar>
            <w:vAlign w:val="center"/>
          </w:tcPr>
          <w:p w14:paraId="7BF2E1E4">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FD0EB7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CE686B3">
            <w:pPr>
              <w:spacing w:line="300" w:lineRule="exact"/>
              <w:jc w:val="center"/>
              <w:rPr>
                <w:rFonts w:hint="eastAsia" w:ascii="宋体" w:hAnsi="宋体" w:cs="宋体"/>
                <w:kern w:val="0"/>
                <w:szCs w:val="21"/>
              </w:rPr>
            </w:pPr>
            <w:r>
              <w:rPr>
                <w:rFonts w:hint="eastAsia" w:ascii="宋体" w:hAnsi="宋体" w:cs="宋体"/>
                <w:spacing w:val="2"/>
                <w:szCs w:val="21"/>
              </w:rPr>
              <w:t>0.00</w:t>
            </w:r>
          </w:p>
        </w:tc>
        <w:tc>
          <w:tcPr>
            <w:tcW w:w="272" w:type="pct"/>
            <w:tcMar>
              <w:left w:w="0" w:type="dxa"/>
              <w:right w:w="0" w:type="dxa"/>
            </w:tcMar>
            <w:vAlign w:val="center"/>
          </w:tcPr>
          <w:p w14:paraId="32CA89F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1F1CD6F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306FF868">
            <w:pPr>
              <w:spacing w:line="300" w:lineRule="exact"/>
              <w:jc w:val="center"/>
              <w:rPr>
                <w:rFonts w:hint="eastAsia" w:ascii="宋体" w:hAnsi="宋体" w:cs="宋体"/>
                <w:kern w:val="0"/>
                <w:szCs w:val="21"/>
              </w:rPr>
            </w:pPr>
            <w:r>
              <w:rPr>
                <w:rFonts w:hint="eastAsia" w:ascii="宋体" w:hAnsi="宋体" w:cs="宋体"/>
                <w:spacing w:val="2"/>
                <w:szCs w:val="21"/>
              </w:rPr>
              <w:t>0.00</w:t>
            </w:r>
          </w:p>
        </w:tc>
        <w:tc>
          <w:tcPr>
            <w:tcW w:w="267" w:type="pct"/>
            <w:tcMar>
              <w:left w:w="0" w:type="dxa"/>
              <w:right w:w="0" w:type="dxa"/>
            </w:tcMar>
            <w:vAlign w:val="center"/>
          </w:tcPr>
          <w:p w14:paraId="5299817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6608FB0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19380AF">
            <w:pPr>
              <w:spacing w:line="300" w:lineRule="exact"/>
              <w:jc w:val="center"/>
              <w:rPr>
                <w:rFonts w:hint="eastAsia" w:ascii="宋体" w:hAnsi="宋体" w:cs="宋体"/>
                <w:kern w:val="0"/>
                <w:szCs w:val="21"/>
              </w:rPr>
            </w:pPr>
            <w:r>
              <w:rPr>
                <w:rFonts w:hint="eastAsia" w:ascii="宋体" w:hAnsi="宋体" w:cs="宋体"/>
                <w:spacing w:val="2"/>
                <w:szCs w:val="21"/>
              </w:rPr>
              <w:t>0.00</w:t>
            </w:r>
          </w:p>
        </w:tc>
        <w:tc>
          <w:tcPr>
            <w:tcW w:w="271" w:type="pct"/>
            <w:tcMar>
              <w:left w:w="0" w:type="dxa"/>
              <w:right w:w="0" w:type="dxa"/>
            </w:tcMar>
            <w:vAlign w:val="center"/>
          </w:tcPr>
          <w:p w14:paraId="12BC691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6118044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167E460">
            <w:pPr>
              <w:spacing w:line="300" w:lineRule="exact"/>
              <w:jc w:val="center"/>
              <w:rPr>
                <w:rFonts w:hint="eastAsia" w:ascii="宋体" w:hAnsi="宋体" w:cs="宋体"/>
                <w:kern w:val="0"/>
                <w:szCs w:val="21"/>
              </w:rPr>
            </w:pPr>
            <w:r>
              <w:rPr>
                <w:rFonts w:hint="eastAsia" w:ascii="宋体" w:hAnsi="宋体" w:cs="宋体"/>
                <w:spacing w:val="2"/>
                <w:szCs w:val="21"/>
              </w:rPr>
              <w:t>0.00</w:t>
            </w:r>
          </w:p>
        </w:tc>
        <w:tc>
          <w:tcPr>
            <w:tcW w:w="271" w:type="pct"/>
            <w:tcMar>
              <w:left w:w="0" w:type="dxa"/>
              <w:right w:w="0" w:type="dxa"/>
            </w:tcMar>
            <w:vAlign w:val="center"/>
          </w:tcPr>
          <w:p w14:paraId="39B12638">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5C14092F">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8452B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5A14527">
            <w:pPr>
              <w:spacing w:line="300" w:lineRule="exact"/>
              <w:jc w:val="center"/>
              <w:rPr>
                <w:rFonts w:hint="eastAsia" w:ascii="宋体" w:hAnsi="宋体" w:cs="宋体"/>
                <w:kern w:val="0"/>
                <w:szCs w:val="21"/>
              </w:rPr>
            </w:pPr>
            <w:r>
              <w:rPr>
                <w:rFonts w:hint="eastAsia" w:ascii="宋体" w:hAnsi="宋体" w:cs="宋体"/>
                <w:kern w:val="0"/>
                <w:szCs w:val="21"/>
              </w:rPr>
              <w:t>27</w:t>
            </w:r>
          </w:p>
        </w:tc>
        <w:tc>
          <w:tcPr>
            <w:tcW w:w="474" w:type="pct"/>
            <w:tcMar>
              <w:left w:w="0" w:type="dxa"/>
              <w:right w:w="0" w:type="dxa"/>
            </w:tcMar>
            <w:vAlign w:val="center"/>
          </w:tcPr>
          <w:p w14:paraId="06E6A869">
            <w:pPr>
              <w:pStyle w:val="533"/>
              <w:spacing w:line="300" w:lineRule="exact"/>
              <w:jc w:val="center"/>
              <w:rPr>
                <w:rFonts w:hint="eastAsia"/>
                <w:kern w:val="0"/>
                <w:sz w:val="21"/>
                <w:szCs w:val="21"/>
                <w:lang w:eastAsia="zh-CN"/>
              </w:rPr>
            </w:pPr>
            <w:r>
              <w:rPr>
                <w:rFonts w:hint="eastAsia"/>
                <w:spacing w:val="-1"/>
                <w:sz w:val="21"/>
                <w:szCs w:val="21"/>
              </w:rPr>
              <w:t>HCO</w:t>
            </w:r>
            <w:r>
              <w:rPr>
                <w:rFonts w:hint="eastAsia"/>
                <w:spacing w:val="-1"/>
                <w:sz w:val="21"/>
                <w:szCs w:val="21"/>
                <w:vertAlign w:val="subscript"/>
              </w:rPr>
              <w:t>3</w:t>
            </w:r>
            <w:r>
              <w:rPr>
                <w:rFonts w:hint="eastAsia"/>
                <w:spacing w:val="-1"/>
                <w:position w:val="9"/>
                <w:sz w:val="21"/>
                <w:szCs w:val="21"/>
                <w:vertAlign w:val="superscript"/>
              </w:rPr>
              <w:t>-</w:t>
            </w:r>
          </w:p>
        </w:tc>
        <w:tc>
          <w:tcPr>
            <w:tcW w:w="266" w:type="pct"/>
            <w:tcMar>
              <w:left w:w="0" w:type="dxa"/>
              <w:right w:w="0" w:type="dxa"/>
            </w:tcMar>
            <w:vAlign w:val="center"/>
          </w:tcPr>
          <w:p w14:paraId="59D7834F">
            <w:pPr>
              <w:pStyle w:val="533"/>
              <w:spacing w:line="300" w:lineRule="exact"/>
              <w:jc w:val="center"/>
              <w:rPr>
                <w:rFonts w:hint="eastAsia"/>
                <w:kern w:val="0"/>
                <w:sz w:val="21"/>
                <w:szCs w:val="21"/>
                <w:lang w:eastAsia="zh-CN"/>
              </w:rPr>
            </w:pPr>
            <w:r>
              <w:rPr>
                <w:rFonts w:hint="eastAsia"/>
                <w:sz w:val="21"/>
                <w:szCs w:val="21"/>
              </w:rPr>
              <w:t>/</w:t>
            </w:r>
          </w:p>
        </w:tc>
        <w:tc>
          <w:tcPr>
            <w:tcW w:w="327" w:type="pct"/>
            <w:tcMar>
              <w:left w:w="0" w:type="dxa"/>
              <w:right w:w="0" w:type="dxa"/>
            </w:tcMar>
            <w:vAlign w:val="center"/>
          </w:tcPr>
          <w:p w14:paraId="3BD54C42">
            <w:pPr>
              <w:spacing w:line="300" w:lineRule="exact"/>
              <w:jc w:val="center"/>
              <w:rPr>
                <w:rFonts w:hint="eastAsia" w:ascii="宋体" w:hAnsi="宋体" w:cs="宋体"/>
                <w:kern w:val="0"/>
                <w:szCs w:val="21"/>
              </w:rPr>
            </w:pPr>
            <w:r>
              <w:rPr>
                <w:rFonts w:hint="eastAsia" w:ascii="宋体" w:hAnsi="宋体" w:cs="宋体"/>
                <w:spacing w:val="-3"/>
                <w:szCs w:val="21"/>
              </w:rPr>
              <w:t>108</w:t>
            </w:r>
          </w:p>
        </w:tc>
        <w:tc>
          <w:tcPr>
            <w:tcW w:w="231" w:type="pct"/>
            <w:tcMar>
              <w:left w:w="0" w:type="dxa"/>
              <w:right w:w="0" w:type="dxa"/>
            </w:tcMar>
            <w:vAlign w:val="center"/>
          </w:tcPr>
          <w:p w14:paraId="00DB62A9">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7B64A95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5FC12E12">
            <w:pPr>
              <w:spacing w:line="300" w:lineRule="exact"/>
              <w:jc w:val="center"/>
              <w:rPr>
                <w:rFonts w:hint="eastAsia" w:ascii="宋体" w:hAnsi="宋体" w:cs="宋体"/>
                <w:kern w:val="0"/>
                <w:szCs w:val="21"/>
              </w:rPr>
            </w:pPr>
            <w:r>
              <w:rPr>
                <w:rFonts w:hint="eastAsia" w:ascii="宋体" w:hAnsi="宋体" w:cs="宋体"/>
                <w:spacing w:val="-3"/>
                <w:szCs w:val="21"/>
              </w:rPr>
              <w:t>122</w:t>
            </w:r>
          </w:p>
        </w:tc>
        <w:tc>
          <w:tcPr>
            <w:tcW w:w="272" w:type="pct"/>
            <w:tcMar>
              <w:left w:w="0" w:type="dxa"/>
              <w:right w:w="0" w:type="dxa"/>
            </w:tcMar>
            <w:vAlign w:val="center"/>
          </w:tcPr>
          <w:p w14:paraId="1111483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5F0C8AD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7F368B81">
            <w:pPr>
              <w:spacing w:line="300" w:lineRule="exact"/>
              <w:jc w:val="center"/>
              <w:rPr>
                <w:rFonts w:hint="eastAsia" w:ascii="宋体" w:hAnsi="宋体" w:cs="宋体"/>
                <w:kern w:val="0"/>
                <w:szCs w:val="21"/>
              </w:rPr>
            </w:pPr>
            <w:r>
              <w:rPr>
                <w:rFonts w:hint="eastAsia" w:ascii="宋体" w:hAnsi="宋体" w:cs="宋体"/>
                <w:spacing w:val="-3"/>
                <w:szCs w:val="21"/>
              </w:rPr>
              <w:t>107</w:t>
            </w:r>
          </w:p>
        </w:tc>
        <w:tc>
          <w:tcPr>
            <w:tcW w:w="267" w:type="pct"/>
            <w:tcMar>
              <w:left w:w="0" w:type="dxa"/>
              <w:right w:w="0" w:type="dxa"/>
            </w:tcMar>
            <w:vAlign w:val="center"/>
          </w:tcPr>
          <w:p w14:paraId="6A92BF4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1AC225D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2531C740">
            <w:pPr>
              <w:spacing w:line="300" w:lineRule="exact"/>
              <w:jc w:val="center"/>
              <w:rPr>
                <w:rFonts w:hint="eastAsia" w:ascii="宋体" w:hAnsi="宋体" w:cs="宋体"/>
                <w:kern w:val="0"/>
                <w:szCs w:val="21"/>
              </w:rPr>
            </w:pPr>
            <w:r>
              <w:rPr>
                <w:rFonts w:hint="eastAsia" w:ascii="宋体" w:hAnsi="宋体" w:cs="宋体"/>
                <w:spacing w:val="-3"/>
                <w:szCs w:val="21"/>
              </w:rPr>
              <w:t>121</w:t>
            </w:r>
          </w:p>
        </w:tc>
        <w:tc>
          <w:tcPr>
            <w:tcW w:w="271" w:type="pct"/>
            <w:tcMar>
              <w:left w:w="0" w:type="dxa"/>
              <w:right w:w="0" w:type="dxa"/>
            </w:tcMar>
            <w:vAlign w:val="center"/>
          </w:tcPr>
          <w:p w14:paraId="01B5B38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32B5DEC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06300E67">
            <w:pPr>
              <w:spacing w:line="300" w:lineRule="exact"/>
              <w:jc w:val="center"/>
              <w:rPr>
                <w:rFonts w:hint="eastAsia" w:ascii="宋体" w:hAnsi="宋体" w:cs="宋体"/>
                <w:kern w:val="0"/>
                <w:szCs w:val="21"/>
              </w:rPr>
            </w:pPr>
            <w:r>
              <w:rPr>
                <w:rFonts w:hint="eastAsia" w:ascii="宋体" w:hAnsi="宋体" w:cs="宋体"/>
                <w:spacing w:val="-3"/>
                <w:szCs w:val="21"/>
              </w:rPr>
              <w:t>123</w:t>
            </w:r>
          </w:p>
        </w:tc>
        <w:tc>
          <w:tcPr>
            <w:tcW w:w="271" w:type="pct"/>
            <w:tcMar>
              <w:left w:w="0" w:type="dxa"/>
              <w:right w:w="0" w:type="dxa"/>
            </w:tcMar>
            <w:vAlign w:val="center"/>
          </w:tcPr>
          <w:p w14:paraId="7CA53FEF">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6A92AEB4">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B62B7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09EB322">
            <w:pPr>
              <w:spacing w:line="300" w:lineRule="exact"/>
              <w:jc w:val="center"/>
              <w:rPr>
                <w:rFonts w:hint="eastAsia" w:ascii="宋体" w:hAnsi="宋体" w:cs="宋体"/>
                <w:kern w:val="0"/>
                <w:szCs w:val="21"/>
              </w:rPr>
            </w:pPr>
            <w:r>
              <w:rPr>
                <w:rFonts w:hint="eastAsia" w:ascii="宋体" w:hAnsi="宋体" w:cs="宋体"/>
                <w:kern w:val="0"/>
                <w:szCs w:val="21"/>
              </w:rPr>
              <w:t>28</w:t>
            </w:r>
          </w:p>
        </w:tc>
        <w:tc>
          <w:tcPr>
            <w:tcW w:w="474" w:type="pct"/>
            <w:tcMar>
              <w:left w:w="0" w:type="dxa"/>
              <w:right w:w="0" w:type="dxa"/>
            </w:tcMar>
            <w:vAlign w:val="center"/>
          </w:tcPr>
          <w:p w14:paraId="534AF957">
            <w:pPr>
              <w:spacing w:line="300" w:lineRule="exact"/>
              <w:jc w:val="center"/>
              <w:rPr>
                <w:rFonts w:hint="eastAsia" w:ascii="宋体" w:hAnsi="宋体" w:cs="宋体"/>
                <w:kern w:val="0"/>
                <w:szCs w:val="21"/>
              </w:rPr>
            </w:pPr>
            <w:r>
              <w:rPr>
                <w:rFonts w:hint="eastAsia" w:ascii="宋体" w:hAnsi="宋体" w:cs="宋体"/>
                <w:kern w:val="0"/>
                <w:szCs w:val="21"/>
              </w:rPr>
              <w:t>石油类</w:t>
            </w:r>
          </w:p>
        </w:tc>
        <w:tc>
          <w:tcPr>
            <w:tcW w:w="266" w:type="pct"/>
            <w:tcMar>
              <w:left w:w="0" w:type="dxa"/>
              <w:right w:w="0" w:type="dxa"/>
            </w:tcMar>
            <w:vAlign w:val="center"/>
          </w:tcPr>
          <w:p w14:paraId="7E4C5E36">
            <w:pPr>
              <w:spacing w:line="300" w:lineRule="exact"/>
              <w:jc w:val="center"/>
              <w:rPr>
                <w:rFonts w:hint="eastAsia" w:ascii="宋体" w:hAnsi="宋体" w:cs="宋体"/>
                <w:kern w:val="0"/>
                <w:szCs w:val="21"/>
              </w:rPr>
            </w:pPr>
            <w:r>
              <w:rPr>
                <w:rFonts w:hint="eastAsia" w:ascii="宋体" w:hAnsi="宋体" w:cs="宋体"/>
                <w:kern w:val="0"/>
                <w:szCs w:val="21"/>
              </w:rPr>
              <w:t>≤0.05</w:t>
            </w:r>
          </w:p>
        </w:tc>
        <w:tc>
          <w:tcPr>
            <w:tcW w:w="327" w:type="pct"/>
            <w:tcMar>
              <w:left w:w="0" w:type="dxa"/>
              <w:right w:w="0" w:type="dxa"/>
            </w:tcMar>
            <w:vAlign w:val="center"/>
          </w:tcPr>
          <w:p w14:paraId="52C73521">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31" w:type="pct"/>
            <w:tcMar>
              <w:left w:w="0" w:type="dxa"/>
              <w:right w:w="0" w:type="dxa"/>
            </w:tcMar>
            <w:vAlign w:val="center"/>
          </w:tcPr>
          <w:p w14:paraId="3F4E020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EB1055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58259312">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2" w:type="pct"/>
            <w:tcMar>
              <w:left w:w="0" w:type="dxa"/>
              <w:right w:w="0" w:type="dxa"/>
            </w:tcMar>
            <w:vAlign w:val="center"/>
          </w:tcPr>
          <w:p w14:paraId="3487FE8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603CEEA4">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1C9BE2BF">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67" w:type="pct"/>
            <w:tcMar>
              <w:left w:w="0" w:type="dxa"/>
              <w:right w:w="0" w:type="dxa"/>
            </w:tcMar>
            <w:vAlign w:val="center"/>
          </w:tcPr>
          <w:p w14:paraId="235672B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467B61D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66672DE">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1" w:type="pct"/>
            <w:tcMar>
              <w:left w:w="0" w:type="dxa"/>
              <w:right w:w="0" w:type="dxa"/>
            </w:tcMar>
            <w:vAlign w:val="center"/>
          </w:tcPr>
          <w:p w14:paraId="235173BC">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06D1B8E9">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6AF6C4E">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2"/>
                <w:szCs w:val="21"/>
              </w:rPr>
              <w:t>0.01</w:t>
            </w:r>
          </w:p>
        </w:tc>
        <w:tc>
          <w:tcPr>
            <w:tcW w:w="271" w:type="pct"/>
            <w:tcMar>
              <w:left w:w="0" w:type="dxa"/>
              <w:right w:w="0" w:type="dxa"/>
            </w:tcMar>
            <w:vAlign w:val="center"/>
          </w:tcPr>
          <w:p w14:paraId="02DAC5E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1DE5FE8A">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318453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52C18AC">
            <w:pPr>
              <w:spacing w:line="300" w:lineRule="exact"/>
              <w:jc w:val="center"/>
              <w:rPr>
                <w:rFonts w:hint="eastAsia" w:ascii="宋体" w:hAnsi="宋体" w:cs="宋体"/>
                <w:kern w:val="0"/>
                <w:szCs w:val="21"/>
              </w:rPr>
            </w:pPr>
            <w:r>
              <w:rPr>
                <w:rFonts w:hint="eastAsia" w:ascii="宋体" w:hAnsi="宋体" w:cs="宋体"/>
                <w:kern w:val="0"/>
                <w:szCs w:val="21"/>
              </w:rPr>
              <w:t>29</w:t>
            </w:r>
          </w:p>
        </w:tc>
        <w:tc>
          <w:tcPr>
            <w:tcW w:w="474" w:type="pct"/>
            <w:tcMar>
              <w:left w:w="0" w:type="dxa"/>
              <w:right w:w="0" w:type="dxa"/>
            </w:tcMar>
            <w:vAlign w:val="center"/>
          </w:tcPr>
          <w:p w14:paraId="77BB4F41">
            <w:pPr>
              <w:spacing w:line="300" w:lineRule="exact"/>
              <w:jc w:val="center"/>
              <w:rPr>
                <w:rFonts w:hint="eastAsia" w:ascii="宋体" w:hAnsi="宋体" w:cs="宋体"/>
                <w:kern w:val="0"/>
                <w:szCs w:val="21"/>
              </w:rPr>
            </w:pPr>
            <w:r>
              <w:rPr>
                <w:rFonts w:hint="eastAsia" w:ascii="宋体" w:hAnsi="宋体" w:cs="宋体"/>
                <w:kern w:val="0"/>
                <w:szCs w:val="21"/>
              </w:rPr>
              <w:t>细菌总数  （CFU/mL）</w:t>
            </w:r>
          </w:p>
        </w:tc>
        <w:tc>
          <w:tcPr>
            <w:tcW w:w="266" w:type="pct"/>
            <w:tcMar>
              <w:left w:w="0" w:type="dxa"/>
              <w:right w:w="0" w:type="dxa"/>
            </w:tcMar>
            <w:vAlign w:val="center"/>
          </w:tcPr>
          <w:p w14:paraId="67DC6978">
            <w:pPr>
              <w:spacing w:line="300" w:lineRule="exact"/>
              <w:jc w:val="center"/>
              <w:rPr>
                <w:rFonts w:hint="eastAsia" w:ascii="宋体" w:hAnsi="宋体" w:cs="宋体"/>
                <w:kern w:val="0"/>
                <w:szCs w:val="21"/>
              </w:rPr>
            </w:pPr>
            <w:r>
              <w:rPr>
                <w:rFonts w:hint="eastAsia" w:ascii="宋体" w:hAnsi="宋体" w:cs="宋体"/>
                <w:kern w:val="0"/>
                <w:szCs w:val="21"/>
              </w:rPr>
              <w:t>≤100</w:t>
            </w:r>
          </w:p>
        </w:tc>
        <w:tc>
          <w:tcPr>
            <w:tcW w:w="327" w:type="pct"/>
            <w:tcMar>
              <w:left w:w="0" w:type="dxa"/>
              <w:right w:w="0" w:type="dxa"/>
            </w:tcMar>
            <w:vAlign w:val="center"/>
          </w:tcPr>
          <w:p w14:paraId="0DC7205A">
            <w:pPr>
              <w:spacing w:line="300" w:lineRule="exact"/>
              <w:jc w:val="center"/>
              <w:rPr>
                <w:rFonts w:hint="eastAsia" w:ascii="宋体" w:hAnsi="宋体" w:cs="宋体"/>
                <w:kern w:val="0"/>
                <w:szCs w:val="21"/>
              </w:rPr>
            </w:pPr>
            <w:r>
              <w:rPr>
                <w:rFonts w:hint="eastAsia" w:ascii="宋体" w:hAnsi="宋体" w:cs="宋体"/>
                <w:spacing w:val="2"/>
                <w:szCs w:val="21"/>
              </w:rPr>
              <w:t>26</w:t>
            </w:r>
          </w:p>
        </w:tc>
        <w:tc>
          <w:tcPr>
            <w:tcW w:w="231" w:type="pct"/>
            <w:tcMar>
              <w:left w:w="0" w:type="dxa"/>
              <w:right w:w="0" w:type="dxa"/>
            </w:tcMar>
            <w:vAlign w:val="center"/>
          </w:tcPr>
          <w:p w14:paraId="2B30C48F">
            <w:pPr>
              <w:spacing w:line="300" w:lineRule="exact"/>
              <w:jc w:val="center"/>
              <w:rPr>
                <w:rFonts w:hint="eastAsia" w:ascii="宋体" w:hAnsi="宋体" w:cs="宋体"/>
                <w:kern w:val="0"/>
                <w:szCs w:val="21"/>
              </w:rPr>
            </w:pPr>
            <w:r>
              <w:rPr>
                <w:rFonts w:hint="eastAsia" w:ascii="宋体" w:hAnsi="宋体" w:cs="宋体"/>
                <w:kern w:val="0"/>
                <w:szCs w:val="21"/>
              </w:rPr>
              <w:t>0.26</w:t>
            </w:r>
          </w:p>
        </w:tc>
        <w:tc>
          <w:tcPr>
            <w:tcW w:w="235" w:type="pct"/>
            <w:tcMar>
              <w:left w:w="0" w:type="dxa"/>
              <w:right w:w="0" w:type="dxa"/>
            </w:tcMar>
            <w:vAlign w:val="center"/>
          </w:tcPr>
          <w:p w14:paraId="08F16DB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310A5E5F">
            <w:pPr>
              <w:spacing w:line="300" w:lineRule="exact"/>
              <w:jc w:val="center"/>
              <w:rPr>
                <w:rFonts w:hint="eastAsia" w:ascii="宋体" w:hAnsi="宋体" w:cs="宋体"/>
                <w:kern w:val="0"/>
                <w:szCs w:val="21"/>
              </w:rPr>
            </w:pPr>
            <w:r>
              <w:rPr>
                <w:rFonts w:hint="eastAsia" w:ascii="宋体" w:hAnsi="宋体" w:cs="宋体"/>
                <w:spacing w:val="2"/>
                <w:szCs w:val="21"/>
              </w:rPr>
              <w:t>28</w:t>
            </w:r>
          </w:p>
        </w:tc>
        <w:tc>
          <w:tcPr>
            <w:tcW w:w="272" w:type="pct"/>
            <w:tcMar>
              <w:left w:w="0" w:type="dxa"/>
              <w:right w:w="0" w:type="dxa"/>
            </w:tcMar>
            <w:vAlign w:val="center"/>
          </w:tcPr>
          <w:p w14:paraId="75D31D07">
            <w:pPr>
              <w:spacing w:line="300" w:lineRule="exact"/>
              <w:jc w:val="center"/>
              <w:rPr>
                <w:rFonts w:hint="eastAsia" w:ascii="宋体" w:hAnsi="宋体" w:cs="宋体"/>
                <w:kern w:val="0"/>
                <w:szCs w:val="21"/>
              </w:rPr>
            </w:pPr>
            <w:r>
              <w:rPr>
                <w:rFonts w:hint="eastAsia" w:ascii="宋体" w:hAnsi="宋体" w:cs="宋体"/>
                <w:kern w:val="0"/>
                <w:szCs w:val="21"/>
              </w:rPr>
              <w:t>0.28</w:t>
            </w:r>
          </w:p>
        </w:tc>
        <w:tc>
          <w:tcPr>
            <w:tcW w:w="309" w:type="pct"/>
            <w:tcMar>
              <w:left w:w="0" w:type="dxa"/>
              <w:right w:w="0" w:type="dxa"/>
            </w:tcMar>
            <w:vAlign w:val="center"/>
          </w:tcPr>
          <w:p w14:paraId="3F0D906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066A7B3F">
            <w:pPr>
              <w:spacing w:line="300" w:lineRule="exact"/>
              <w:jc w:val="center"/>
              <w:rPr>
                <w:rFonts w:hint="eastAsia" w:ascii="宋体" w:hAnsi="宋体" w:cs="宋体"/>
                <w:kern w:val="0"/>
                <w:szCs w:val="21"/>
              </w:rPr>
            </w:pPr>
            <w:r>
              <w:rPr>
                <w:rFonts w:hint="eastAsia" w:ascii="宋体" w:hAnsi="宋体" w:cs="宋体"/>
                <w:spacing w:val="2"/>
                <w:szCs w:val="21"/>
              </w:rPr>
              <w:t>28</w:t>
            </w:r>
          </w:p>
        </w:tc>
        <w:tc>
          <w:tcPr>
            <w:tcW w:w="267" w:type="pct"/>
            <w:tcMar>
              <w:left w:w="0" w:type="dxa"/>
              <w:right w:w="0" w:type="dxa"/>
            </w:tcMar>
            <w:vAlign w:val="center"/>
          </w:tcPr>
          <w:p w14:paraId="3E06C49A">
            <w:pPr>
              <w:spacing w:line="300" w:lineRule="exact"/>
              <w:jc w:val="center"/>
              <w:rPr>
                <w:rFonts w:hint="eastAsia" w:ascii="宋体" w:hAnsi="宋体" w:cs="宋体"/>
                <w:kern w:val="0"/>
                <w:szCs w:val="21"/>
              </w:rPr>
            </w:pPr>
            <w:r>
              <w:rPr>
                <w:rFonts w:hint="eastAsia" w:ascii="宋体" w:hAnsi="宋体" w:cs="宋体"/>
                <w:kern w:val="0"/>
                <w:szCs w:val="21"/>
              </w:rPr>
              <w:t>0.28</w:t>
            </w:r>
          </w:p>
        </w:tc>
        <w:tc>
          <w:tcPr>
            <w:tcW w:w="206" w:type="pct"/>
            <w:tcMar>
              <w:left w:w="0" w:type="dxa"/>
              <w:right w:w="0" w:type="dxa"/>
            </w:tcMar>
            <w:vAlign w:val="center"/>
          </w:tcPr>
          <w:p w14:paraId="24B121F0">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3A6FAD6F">
            <w:pPr>
              <w:spacing w:line="300" w:lineRule="exact"/>
              <w:jc w:val="center"/>
              <w:rPr>
                <w:rFonts w:hint="eastAsia" w:ascii="宋体" w:hAnsi="宋体" w:cs="宋体"/>
                <w:kern w:val="0"/>
                <w:szCs w:val="21"/>
              </w:rPr>
            </w:pPr>
            <w:r>
              <w:rPr>
                <w:rFonts w:hint="eastAsia" w:ascii="宋体" w:hAnsi="宋体" w:cs="宋体"/>
                <w:spacing w:val="2"/>
                <w:szCs w:val="21"/>
              </w:rPr>
              <w:t>22</w:t>
            </w:r>
          </w:p>
        </w:tc>
        <w:tc>
          <w:tcPr>
            <w:tcW w:w="271" w:type="pct"/>
            <w:tcMar>
              <w:left w:w="0" w:type="dxa"/>
              <w:right w:w="0" w:type="dxa"/>
            </w:tcMar>
            <w:vAlign w:val="center"/>
          </w:tcPr>
          <w:p w14:paraId="695D4C78">
            <w:pPr>
              <w:spacing w:line="300" w:lineRule="exact"/>
              <w:jc w:val="center"/>
              <w:rPr>
                <w:rFonts w:hint="eastAsia" w:ascii="宋体" w:hAnsi="宋体" w:cs="宋体"/>
                <w:kern w:val="0"/>
                <w:szCs w:val="21"/>
              </w:rPr>
            </w:pPr>
            <w:r>
              <w:rPr>
                <w:rFonts w:hint="eastAsia" w:ascii="宋体" w:hAnsi="宋体" w:cs="宋体"/>
                <w:kern w:val="0"/>
                <w:szCs w:val="21"/>
              </w:rPr>
              <w:t>0.22</w:t>
            </w:r>
          </w:p>
        </w:tc>
        <w:tc>
          <w:tcPr>
            <w:tcW w:w="227" w:type="pct"/>
            <w:tcMar>
              <w:left w:w="0" w:type="dxa"/>
              <w:right w:w="0" w:type="dxa"/>
            </w:tcMar>
            <w:vAlign w:val="center"/>
          </w:tcPr>
          <w:p w14:paraId="3B4B8CE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5C6A7188">
            <w:pPr>
              <w:spacing w:line="300" w:lineRule="exact"/>
              <w:jc w:val="center"/>
              <w:rPr>
                <w:rFonts w:hint="eastAsia" w:ascii="宋体" w:hAnsi="宋体" w:cs="宋体"/>
                <w:kern w:val="0"/>
                <w:szCs w:val="21"/>
              </w:rPr>
            </w:pPr>
            <w:r>
              <w:rPr>
                <w:rFonts w:hint="eastAsia" w:ascii="宋体" w:hAnsi="宋体" w:cs="宋体"/>
                <w:spacing w:val="2"/>
                <w:szCs w:val="21"/>
              </w:rPr>
              <w:t>24</w:t>
            </w:r>
          </w:p>
        </w:tc>
        <w:tc>
          <w:tcPr>
            <w:tcW w:w="271" w:type="pct"/>
            <w:tcMar>
              <w:left w:w="0" w:type="dxa"/>
              <w:right w:w="0" w:type="dxa"/>
            </w:tcMar>
            <w:vAlign w:val="center"/>
          </w:tcPr>
          <w:p w14:paraId="7A925DE5">
            <w:pPr>
              <w:spacing w:line="300" w:lineRule="exact"/>
              <w:jc w:val="center"/>
              <w:rPr>
                <w:rFonts w:hint="eastAsia" w:ascii="宋体" w:hAnsi="宋体" w:cs="宋体"/>
                <w:kern w:val="0"/>
                <w:szCs w:val="21"/>
              </w:rPr>
            </w:pPr>
            <w:r>
              <w:rPr>
                <w:rFonts w:hint="eastAsia" w:ascii="宋体" w:hAnsi="宋体" w:cs="宋体"/>
                <w:kern w:val="0"/>
                <w:szCs w:val="21"/>
              </w:rPr>
              <w:t>0.24</w:t>
            </w:r>
          </w:p>
        </w:tc>
        <w:tc>
          <w:tcPr>
            <w:tcW w:w="181" w:type="pct"/>
            <w:tcMar>
              <w:left w:w="0" w:type="dxa"/>
              <w:right w:w="0" w:type="dxa"/>
            </w:tcMar>
            <w:vAlign w:val="center"/>
          </w:tcPr>
          <w:p w14:paraId="5C29252F">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1AD253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C90474D">
            <w:pPr>
              <w:spacing w:line="300" w:lineRule="exact"/>
              <w:jc w:val="center"/>
              <w:rPr>
                <w:rFonts w:hint="eastAsia" w:ascii="宋体" w:hAnsi="宋体" w:cs="宋体"/>
                <w:kern w:val="0"/>
                <w:szCs w:val="21"/>
              </w:rPr>
            </w:pPr>
            <w:r>
              <w:rPr>
                <w:rFonts w:hint="eastAsia" w:ascii="宋体" w:hAnsi="宋体" w:cs="宋体"/>
                <w:kern w:val="0"/>
                <w:szCs w:val="21"/>
              </w:rPr>
              <w:t>30</w:t>
            </w:r>
          </w:p>
        </w:tc>
        <w:tc>
          <w:tcPr>
            <w:tcW w:w="474" w:type="pct"/>
            <w:tcMar>
              <w:left w:w="0" w:type="dxa"/>
              <w:right w:w="0" w:type="dxa"/>
            </w:tcMar>
            <w:vAlign w:val="center"/>
          </w:tcPr>
          <w:p w14:paraId="060C2EAA">
            <w:pPr>
              <w:spacing w:line="300" w:lineRule="exact"/>
              <w:jc w:val="center"/>
              <w:rPr>
                <w:rFonts w:hint="eastAsia" w:ascii="宋体" w:hAnsi="宋体" w:cs="宋体"/>
                <w:kern w:val="0"/>
                <w:szCs w:val="21"/>
              </w:rPr>
            </w:pPr>
            <w:r>
              <w:rPr>
                <w:rFonts w:hint="eastAsia" w:ascii="宋体" w:hAnsi="宋体" w:cs="宋体"/>
                <w:kern w:val="0"/>
                <w:szCs w:val="21"/>
              </w:rPr>
              <w:t>硫化物</w:t>
            </w:r>
          </w:p>
        </w:tc>
        <w:tc>
          <w:tcPr>
            <w:tcW w:w="266" w:type="pct"/>
            <w:tcMar>
              <w:left w:w="0" w:type="dxa"/>
              <w:right w:w="0" w:type="dxa"/>
            </w:tcMar>
            <w:vAlign w:val="center"/>
          </w:tcPr>
          <w:p w14:paraId="1C66F37F">
            <w:pPr>
              <w:spacing w:line="300" w:lineRule="exact"/>
              <w:jc w:val="center"/>
              <w:rPr>
                <w:rFonts w:hint="eastAsia" w:ascii="宋体" w:hAnsi="宋体" w:cs="宋体"/>
                <w:kern w:val="0"/>
                <w:szCs w:val="21"/>
              </w:rPr>
            </w:pPr>
            <w:r>
              <w:rPr>
                <w:rFonts w:hint="eastAsia" w:ascii="宋体" w:hAnsi="宋体" w:cs="宋体"/>
                <w:kern w:val="0"/>
                <w:szCs w:val="21"/>
              </w:rPr>
              <w:t>≤0.02</w:t>
            </w:r>
          </w:p>
        </w:tc>
        <w:tc>
          <w:tcPr>
            <w:tcW w:w="327" w:type="pct"/>
            <w:tcMar>
              <w:left w:w="0" w:type="dxa"/>
              <w:right w:w="0" w:type="dxa"/>
            </w:tcMar>
            <w:vAlign w:val="center"/>
          </w:tcPr>
          <w:p w14:paraId="34980A68">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0.003</w:t>
            </w:r>
          </w:p>
        </w:tc>
        <w:tc>
          <w:tcPr>
            <w:tcW w:w="231" w:type="pct"/>
            <w:tcMar>
              <w:left w:w="0" w:type="dxa"/>
              <w:right w:w="0" w:type="dxa"/>
            </w:tcMar>
            <w:vAlign w:val="center"/>
          </w:tcPr>
          <w:p w14:paraId="47D4054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BDA87C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99785C0">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0.003</w:t>
            </w:r>
          </w:p>
        </w:tc>
        <w:tc>
          <w:tcPr>
            <w:tcW w:w="272" w:type="pct"/>
            <w:tcMar>
              <w:left w:w="0" w:type="dxa"/>
              <w:right w:w="0" w:type="dxa"/>
            </w:tcMar>
            <w:vAlign w:val="center"/>
          </w:tcPr>
          <w:p w14:paraId="44F31A40">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3D42DAB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48CCC983">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0.003</w:t>
            </w:r>
          </w:p>
        </w:tc>
        <w:tc>
          <w:tcPr>
            <w:tcW w:w="267" w:type="pct"/>
            <w:tcMar>
              <w:left w:w="0" w:type="dxa"/>
              <w:right w:w="0" w:type="dxa"/>
            </w:tcMar>
            <w:vAlign w:val="center"/>
          </w:tcPr>
          <w:p w14:paraId="735B812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18778C58">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3D4FBC26">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0.003</w:t>
            </w:r>
          </w:p>
        </w:tc>
        <w:tc>
          <w:tcPr>
            <w:tcW w:w="271" w:type="pct"/>
            <w:tcMar>
              <w:left w:w="0" w:type="dxa"/>
              <w:right w:w="0" w:type="dxa"/>
            </w:tcMar>
            <w:vAlign w:val="center"/>
          </w:tcPr>
          <w:p w14:paraId="36F1CFC7">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75BCD43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68253FE7">
            <w:pPr>
              <w:spacing w:line="300" w:lineRule="exact"/>
              <w:jc w:val="center"/>
              <w:rPr>
                <w:rFonts w:hint="eastAsia" w:ascii="宋体" w:hAnsi="宋体" w:cs="宋体"/>
                <w:kern w:val="0"/>
                <w:szCs w:val="21"/>
              </w:rPr>
            </w:pPr>
            <w:r>
              <w:rPr>
                <w:rFonts w:hint="eastAsia" w:ascii="宋体" w:hAnsi="宋体" w:cs="宋体"/>
                <w:kern w:val="0"/>
                <w:szCs w:val="21"/>
              </w:rPr>
              <w:t>≤</w:t>
            </w:r>
            <w:r>
              <w:rPr>
                <w:rFonts w:hint="eastAsia" w:ascii="宋体" w:hAnsi="宋体" w:cs="宋体"/>
                <w:spacing w:val="3"/>
                <w:szCs w:val="21"/>
              </w:rPr>
              <w:t>0.003</w:t>
            </w:r>
          </w:p>
        </w:tc>
        <w:tc>
          <w:tcPr>
            <w:tcW w:w="271" w:type="pct"/>
            <w:tcMar>
              <w:left w:w="0" w:type="dxa"/>
              <w:right w:w="0" w:type="dxa"/>
            </w:tcMar>
            <w:vAlign w:val="center"/>
          </w:tcPr>
          <w:p w14:paraId="78117487">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50B069A9">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445CDF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11E316E3">
            <w:pPr>
              <w:spacing w:line="300" w:lineRule="exact"/>
              <w:jc w:val="center"/>
              <w:rPr>
                <w:rFonts w:hint="eastAsia" w:ascii="宋体" w:hAnsi="宋体" w:cs="宋体"/>
                <w:kern w:val="0"/>
                <w:szCs w:val="21"/>
              </w:rPr>
            </w:pPr>
            <w:r>
              <w:rPr>
                <w:rFonts w:hint="eastAsia" w:ascii="宋体" w:hAnsi="宋体" w:cs="宋体"/>
                <w:kern w:val="0"/>
                <w:szCs w:val="21"/>
              </w:rPr>
              <w:t>31</w:t>
            </w:r>
          </w:p>
        </w:tc>
        <w:tc>
          <w:tcPr>
            <w:tcW w:w="474" w:type="pct"/>
            <w:tcMar>
              <w:left w:w="0" w:type="dxa"/>
              <w:right w:w="0" w:type="dxa"/>
            </w:tcMar>
            <w:vAlign w:val="center"/>
          </w:tcPr>
          <w:p w14:paraId="4FF1AFCC">
            <w:pPr>
              <w:spacing w:line="300" w:lineRule="exact"/>
              <w:jc w:val="center"/>
              <w:rPr>
                <w:rFonts w:hint="eastAsia" w:ascii="宋体" w:hAnsi="宋体" w:cs="宋体"/>
                <w:kern w:val="0"/>
                <w:szCs w:val="21"/>
              </w:rPr>
            </w:pPr>
            <w:r>
              <w:rPr>
                <w:rFonts w:hint="eastAsia" w:ascii="宋体" w:hAnsi="宋体" w:cs="宋体"/>
                <w:kern w:val="0"/>
                <w:szCs w:val="21"/>
              </w:rPr>
              <w:t>铅</w:t>
            </w:r>
          </w:p>
        </w:tc>
        <w:tc>
          <w:tcPr>
            <w:tcW w:w="266" w:type="pct"/>
            <w:tcMar>
              <w:left w:w="0" w:type="dxa"/>
              <w:right w:w="0" w:type="dxa"/>
            </w:tcMar>
            <w:vAlign w:val="center"/>
          </w:tcPr>
          <w:p w14:paraId="05F1FAD5">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327" w:type="pct"/>
            <w:tcMar>
              <w:left w:w="0" w:type="dxa"/>
              <w:right w:w="0" w:type="dxa"/>
            </w:tcMar>
            <w:vAlign w:val="center"/>
          </w:tcPr>
          <w:p w14:paraId="2F306910">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231" w:type="pct"/>
            <w:tcMar>
              <w:left w:w="0" w:type="dxa"/>
              <w:right w:w="0" w:type="dxa"/>
            </w:tcMar>
            <w:vAlign w:val="center"/>
          </w:tcPr>
          <w:p w14:paraId="6F3B60AE">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53F8D33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0BCAF2DE">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272" w:type="pct"/>
            <w:tcMar>
              <w:left w:w="0" w:type="dxa"/>
              <w:right w:w="0" w:type="dxa"/>
            </w:tcMar>
            <w:vAlign w:val="center"/>
          </w:tcPr>
          <w:p w14:paraId="03D3EFFD">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74AA7F5E">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4BE53DC5">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267" w:type="pct"/>
            <w:tcMar>
              <w:left w:w="0" w:type="dxa"/>
              <w:right w:w="0" w:type="dxa"/>
            </w:tcMar>
            <w:vAlign w:val="center"/>
          </w:tcPr>
          <w:p w14:paraId="347F9BE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1E8C2DD5">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2C6FA1B">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271" w:type="pct"/>
            <w:tcMar>
              <w:left w:w="0" w:type="dxa"/>
              <w:right w:w="0" w:type="dxa"/>
            </w:tcMar>
            <w:vAlign w:val="center"/>
          </w:tcPr>
          <w:p w14:paraId="26759A5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08AF3F8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4625A7F7">
            <w:pPr>
              <w:spacing w:line="300" w:lineRule="exact"/>
              <w:jc w:val="center"/>
              <w:rPr>
                <w:rFonts w:hint="eastAsia" w:ascii="宋体" w:hAnsi="宋体" w:cs="宋体"/>
                <w:kern w:val="0"/>
                <w:szCs w:val="21"/>
              </w:rPr>
            </w:pPr>
            <w:r>
              <w:rPr>
                <w:rFonts w:hint="eastAsia" w:ascii="宋体" w:hAnsi="宋体" w:cs="宋体"/>
                <w:kern w:val="0"/>
                <w:szCs w:val="21"/>
              </w:rPr>
              <w:t>≤0.01</w:t>
            </w:r>
          </w:p>
        </w:tc>
        <w:tc>
          <w:tcPr>
            <w:tcW w:w="271" w:type="pct"/>
            <w:tcMar>
              <w:left w:w="0" w:type="dxa"/>
              <w:right w:w="0" w:type="dxa"/>
            </w:tcMar>
            <w:vAlign w:val="center"/>
          </w:tcPr>
          <w:p w14:paraId="2DA97ADC">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59DB1260">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01D745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9F7A159">
            <w:pPr>
              <w:spacing w:line="300" w:lineRule="exact"/>
              <w:jc w:val="center"/>
              <w:rPr>
                <w:rFonts w:hint="eastAsia" w:ascii="宋体" w:hAnsi="宋体" w:cs="宋体"/>
                <w:kern w:val="0"/>
                <w:szCs w:val="21"/>
              </w:rPr>
            </w:pPr>
            <w:r>
              <w:rPr>
                <w:rFonts w:hint="eastAsia" w:ascii="宋体" w:hAnsi="宋体" w:cs="宋体"/>
                <w:kern w:val="0"/>
                <w:szCs w:val="21"/>
              </w:rPr>
              <w:t>32</w:t>
            </w:r>
          </w:p>
        </w:tc>
        <w:tc>
          <w:tcPr>
            <w:tcW w:w="474" w:type="pct"/>
            <w:tcMar>
              <w:left w:w="0" w:type="dxa"/>
              <w:right w:w="0" w:type="dxa"/>
            </w:tcMar>
            <w:vAlign w:val="center"/>
          </w:tcPr>
          <w:p w14:paraId="6BF5975D">
            <w:pPr>
              <w:spacing w:line="300" w:lineRule="exact"/>
              <w:jc w:val="center"/>
              <w:rPr>
                <w:rFonts w:hint="eastAsia" w:ascii="宋体" w:hAnsi="宋体" w:cs="宋体"/>
                <w:kern w:val="0"/>
                <w:szCs w:val="21"/>
              </w:rPr>
            </w:pPr>
            <w:r>
              <w:rPr>
                <w:rFonts w:hint="eastAsia" w:ascii="宋体" w:hAnsi="宋体" w:cs="宋体"/>
                <w:kern w:val="0"/>
                <w:szCs w:val="21"/>
              </w:rPr>
              <w:t>镉</w:t>
            </w:r>
          </w:p>
        </w:tc>
        <w:tc>
          <w:tcPr>
            <w:tcW w:w="266" w:type="pct"/>
            <w:tcMar>
              <w:left w:w="0" w:type="dxa"/>
              <w:right w:w="0" w:type="dxa"/>
            </w:tcMar>
            <w:vAlign w:val="center"/>
          </w:tcPr>
          <w:p w14:paraId="47BCC84A">
            <w:pPr>
              <w:spacing w:line="300" w:lineRule="exact"/>
              <w:jc w:val="center"/>
              <w:rPr>
                <w:rFonts w:hint="eastAsia" w:ascii="宋体" w:hAnsi="宋体" w:cs="宋体"/>
                <w:kern w:val="0"/>
                <w:szCs w:val="21"/>
              </w:rPr>
            </w:pPr>
            <w:r>
              <w:rPr>
                <w:rFonts w:hint="eastAsia" w:ascii="宋体" w:hAnsi="宋体" w:cs="宋体"/>
                <w:kern w:val="0"/>
                <w:szCs w:val="21"/>
              </w:rPr>
              <w:t>≤0.005</w:t>
            </w:r>
          </w:p>
        </w:tc>
        <w:tc>
          <w:tcPr>
            <w:tcW w:w="327" w:type="pct"/>
            <w:tcMar>
              <w:left w:w="0" w:type="dxa"/>
              <w:right w:w="0" w:type="dxa"/>
            </w:tcMar>
            <w:vAlign w:val="center"/>
          </w:tcPr>
          <w:p w14:paraId="305CA250">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7"/>
                <w:szCs w:val="21"/>
              </w:rPr>
              <w:t>1</w:t>
            </w:r>
          </w:p>
        </w:tc>
        <w:tc>
          <w:tcPr>
            <w:tcW w:w="231" w:type="pct"/>
            <w:tcMar>
              <w:left w:w="0" w:type="dxa"/>
              <w:right w:w="0" w:type="dxa"/>
            </w:tcMar>
            <w:vAlign w:val="center"/>
          </w:tcPr>
          <w:p w14:paraId="6CCBB253">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5D84FD22">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51EFD93E">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7"/>
                <w:szCs w:val="21"/>
              </w:rPr>
              <w:t>1</w:t>
            </w:r>
          </w:p>
        </w:tc>
        <w:tc>
          <w:tcPr>
            <w:tcW w:w="272" w:type="pct"/>
            <w:tcMar>
              <w:left w:w="0" w:type="dxa"/>
              <w:right w:w="0" w:type="dxa"/>
            </w:tcMar>
            <w:vAlign w:val="center"/>
          </w:tcPr>
          <w:p w14:paraId="796DFBD5">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309" w:type="pct"/>
            <w:tcMar>
              <w:left w:w="0" w:type="dxa"/>
              <w:right w:w="0" w:type="dxa"/>
            </w:tcMar>
            <w:vAlign w:val="center"/>
          </w:tcPr>
          <w:p w14:paraId="0B631231">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72BDA65B">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7"/>
                <w:szCs w:val="21"/>
              </w:rPr>
              <w:t>1</w:t>
            </w:r>
          </w:p>
        </w:tc>
        <w:tc>
          <w:tcPr>
            <w:tcW w:w="267" w:type="pct"/>
            <w:tcMar>
              <w:left w:w="0" w:type="dxa"/>
              <w:right w:w="0" w:type="dxa"/>
            </w:tcMar>
            <w:vAlign w:val="center"/>
          </w:tcPr>
          <w:p w14:paraId="70A3F8F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06" w:type="pct"/>
            <w:tcMar>
              <w:left w:w="0" w:type="dxa"/>
              <w:right w:w="0" w:type="dxa"/>
            </w:tcMar>
            <w:vAlign w:val="center"/>
          </w:tcPr>
          <w:p w14:paraId="5D937BD7">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7E02CC08">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7"/>
                <w:szCs w:val="21"/>
              </w:rPr>
              <w:t>1</w:t>
            </w:r>
          </w:p>
        </w:tc>
        <w:tc>
          <w:tcPr>
            <w:tcW w:w="271" w:type="pct"/>
            <w:tcMar>
              <w:left w:w="0" w:type="dxa"/>
              <w:right w:w="0" w:type="dxa"/>
            </w:tcMar>
            <w:vAlign w:val="center"/>
          </w:tcPr>
          <w:p w14:paraId="4C5A4272">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3DB3ECDA">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3A922E14">
            <w:pPr>
              <w:spacing w:line="300" w:lineRule="exact"/>
              <w:jc w:val="center"/>
              <w:rPr>
                <w:rFonts w:hint="eastAsia" w:ascii="宋体" w:hAnsi="宋体" w:cs="宋体"/>
                <w:kern w:val="0"/>
                <w:szCs w:val="21"/>
              </w:rPr>
            </w:pPr>
            <w:r>
              <w:rPr>
                <w:rFonts w:hint="eastAsia" w:ascii="宋体" w:hAnsi="宋体" w:cs="宋体"/>
                <w:kern w:val="0"/>
                <w:szCs w:val="21"/>
              </w:rPr>
              <w:t>≤0.00</w:t>
            </w:r>
            <w:r>
              <w:rPr>
                <w:rFonts w:hint="eastAsia" w:ascii="宋体" w:hAnsi="宋体" w:cs="宋体"/>
                <w:spacing w:val="-7"/>
                <w:szCs w:val="21"/>
              </w:rPr>
              <w:t>1</w:t>
            </w:r>
          </w:p>
        </w:tc>
        <w:tc>
          <w:tcPr>
            <w:tcW w:w="271" w:type="pct"/>
            <w:tcMar>
              <w:left w:w="0" w:type="dxa"/>
              <w:right w:w="0" w:type="dxa"/>
            </w:tcMar>
            <w:vAlign w:val="center"/>
          </w:tcPr>
          <w:p w14:paraId="14FE88AA">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03CD9B9B">
            <w:pPr>
              <w:spacing w:line="300" w:lineRule="exact"/>
              <w:jc w:val="center"/>
              <w:rPr>
                <w:rFonts w:hint="eastAsia" w:ascii="宋体" w:hAnsi="宋体" w:cs="宋体"/>
                <w:kern w:val="0"/>
                <w:szCs w:val="21"/>
              </w:rPr>
            </w:pPr>
            <w:r>
              <w:rPr>
                <w:rFonts w:hint="eastAsia" w:ascii="宋体" w:hAnsi="宋体" w:cs="宋体"/>
                <w:kern w:val="0"/>
                <w:szCs w:val="21"/>
              </w:rPr>
              <w:t>达标</w:t>
            </w:r>
          </w:p>
        </w:tc>
      </w:tr>
      <w:tr w14:paraId="0DE1E7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 w:type="pct"/>
            <w:tcMar>
              <w:left w:w="0" w:type="dxa"/>
              <w:right w:w="0" w:type="dxa"/>
            </w:tcMar>
            <w:vAlign w:val="center"/>
          </w:tcPr>
          <w:p w14:paraId="3A912DB1">
            <w:pPr>
              <w:spacing w:line="300" w:lineRule="exact"/>
              <w:jc w:val="center"/>
              <w:rPr>
                <w:rFonts w:hint="eastAsia" w:ascii="宋体" w:hAnsi="宋体" w:cs="宋体"/>
                <w:kern w:val="0"/>
                <w:szCs w:val="21"/>
              </w:rPr>
            </w:pPr>
            <w:r>
              <w:rPr>
                <w:rFonts w:hint="eastAsia" w:ascii="宋体" w:hAnsi="宋体" w:cs="宋体"/>
                <w:kern w:val="0"/>
                <w:szCs w:val="21"/>
              </w:rPr>
              <w:t>33</w:t>
            </w:r>
          </w:p>
        </w:tc>
        <w:tc>
          <w:tcPr>
            <w:tcW w:w="474" w:type="pct"/>
            <w:tcMar>
              <w:left w:w="0" w:type="dxa"/>
              <w:right w:w="0" w:type="dxa"/>
            </w:tcMar>
            <w:vAlign w:val="center"/>
          </w:tcPr>
          <w:p w14:paraId="6E92A702">
            <w:pPr>
              <w:spacing w:line="300" w:lineRule="exact"/>
              <w:jc w:val="center"/>
              <w:rPr>
                <w:rFonts w:hint="eastAsia" w:ascii="宋体" w:hAnsi="宋体" w:cs="宋体"/>
                <w:kern w:val="0"/>
                <w:szCs w:val="21"/>
              </w:rPr>
            </w:pPr>
            <w:r>
              <w:rPr>
                <w:rFonts w:hint="eastAsia" w:ascii="宋体" w:hAnsi="宋体" w:cs="宋体"/>
                <w:kern w:val="0"/>
                <w:szCs w:val="21"/>
              </w:rPr>
              <w:t>肉眼可见物</w:t>
            </w:r>
          </w:p>
        </w:tc>
        <w:tc>
          <w:tcPr>
            <w:tcW w:w="266" w:type="pct"/>
            <w:tcMar>
              <w:left w:w="0" w:type="dxa"/>
              <w:right w:w="0" w:type="dxa"/>
            </w:tcMar>
            <w:vAlign w:val="center"/>
          </w:tcPr>
          <w:p w14:paraId="0B1DE20E">
            <w:pPr>
              <w:spacing w:line="300" w:lineRule="exact"/>
              <w:jc w:val="center"/>
              <w:rPr>
                <w:rFonts w:hint="eastAsia" w:ascii="宋体" w:hAnsi="宋体" w:cs="宋体"/>
                <w:kern w:val="0"/>
                <w:szCs w:val="21"/>
              </w:rPr>
            </w:pPr>
          </w:p>
        </w:tc>
        <w:tc>
          <w:tcPr>
            <w:tcW w:w="327" w:type="pct"/>
            <w:tcMar>
              <w:left w:w="0" w:type="dxa"/>
              <w:right w:w="0" w:type="dxa"/>
            </w:tcMar>
            <w:vAlign w:val="center"/>
          </w:tcPr>
          <w:p w14:paraId="1475DCF9">
            <w:pPr>
              <w:pStyle w:val="533"/>
              <w:spacing w:line="300" w:lineRule="exact"/>
              <w:jc w:val="center"/>
              <w:rPr>
                <w:rFonts w:hint="eastAsia"/>
                <w:kern w:val="0"/>
                <w:sz w:val="21"/>
                <w:szCs w:val="21"/>
                <w:lang w:eastAsia="zh-CN"/>
              </w:rPr>
            </w:pPr>
            <w:r>
              <w:rPr>
                <w:rFonts w:hint="eastAsia"/>
                <w:sz w:val="21"/>
                <w:szCs w:val="21"/>
              </w:rPr>
              <w:t>无</w:t>
            </w:r>
          </w:p>
        </w:tc>
        <w:tc>
          <w:tcPr>
            <w:tcW w:w="231" w:type="pct"/>
            <w:tcMar>
              <w:left w:w="0" w:type="dxa"/>
              <w:right w:w="0" w:type="dxa"/>
            </w:tcMar>
            <w:vAlign w:val="center"/>
          </w:tcPr>
          <w:p w14:paraId="08AB048B">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35" w:type="pct"/>
            <w:tcMar>
              <w:left w:w="0" w:type="dxa"/>
              <w:right w:w="0" w:type="dxa"/>
            </w:tcMar>
            <w:vAlign w:val="center"/>
          </w:tcPr>
          <w:p w14:paraId="23D9F1EF">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49" w:type="pct"/>
            <w:tcMar>
              <w:left w:w="0" w:type="dxa"/>
              <w:right w:w="0" w:type="dxa"/>
            </w:tcMar>
            <w:vAlign w:val="center"/>
          </w:tcPr>
          <w:p w14:paraId="7B232275">
            <w:pPr>
              <w:pStyle w:val="533"/>
              <w:spacing w:line="300" w:lineRule="exact"/>
              <w:jc w:val="center"/>
              <w:rPr>
                <w:rFonts w:hint="eastAsia"/>
                <w:kern w:val="0"/>
                <w:sz w:val="21"/>
                <w:szCs w:val="21"/>
                <w:lang w:eastAsia="zh-CN"/>
              </w:rPr>
            </w:pPr>
            <w:r>
              <w:rPr>
                <w:rFonts w:hint="eastAsia"/>
                <w:sz w:val="21"/>
                <w:szCs w:val="21"/>
              </w:rPr>
              <w:t>无</w:t>
            </w:r>
          </w:p>
        </w:tc>
        <w:tc>
          <w:tcPr>
            <w:tcW w:w="272" w:type="pct"/>
            <w:tcMar>
              <w:left w:w="0" w:type="dxa"/>
              <w:right w:w="0" w:type="dxa"/>
            </w:tcMar>
            <w:vAlign w:val="center"/>
          </w:tcPr>
          <w:p w14:paraId="0DEDCB08">
            <w:pPr>
              <w:spacing w:line="300" w:lineRule="exact"/>
              <w:jc w:val="center"/>
              <w:rPr>
                <w:rFonts w:hint="eastAsia" w:ascii="宋体" w:hAnsi="宋体" w:cs="宋体"/>
                <w:kern w:val="0"/>
                <w:szCs w:val="21"/>
              </w:rPr>
            </w:pPr>
          </w:p>
        </w:tc>
        <w:tc>
          <w:tcPr>
            <w:tcW w:w="309" w:type="pct"/>
            <w:tcMar>
              <w:left w:w="0" w:type="dxa"/>
              <w:right w:w="0" w:type="dxa"/>
            </w:tcMar>
            <w:vAlign w:val="center"/>
          </w:tcPr>
          <w:p w14:paraId="7692B45D">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51" w:type="pct"/>
            <w:tcMar>
              <w:left w:w="0" w:type="dxa"/>
              <w:right w:w="0" w:type="dxa"/>
            </w:tcMar>
            <w:vAlign w:val="center"/>
          </w:tcPr>
          <w:p w14:paraId="751E5868">
            <w:pPr>
              <w:pStyle w:val="533"/>
              <w:spacing w:line="300" w:lineRule="exact"/>
              <w:jc w:val="center"/>
              <w:rPr>
                <w:rFonts w:hint="eastAsia"/>
                <w:kern w:val="0"/>
                <w:sz w:val="21"/>
                <w:szCs w:val="21"/>
                <w:lang w:eastAsia="zh-CN"/>
              </w:rPr>
            </w:pPr>
            <w:r>
              <w:rPr>
                <w:rFonts w:hint="eastAsia"/>
                <w:sz w:val="21"/>
                <w:szCs w:val="21"/>
              </w:rPr>
              <w:t>无</w:t>
            </w:r>
          </w:p>
        </w:tc>
        <w:tc>
          <w:tcPr>
            <w:tcW w:w="267" w:type="pct"/>
            <w:tcMar>
              <w:left w:w="0" w:type="dxa"/>
              <w:right w:w="0" w:type="dxa"/>
            </w:tcMar>
            <w:vAlign w:val="center"/>
          </w:tcPr>
          <w:p w14:paraId="28327B1A">
            <w:pPr>
              <w:spacing w:line="300" w:lineRule="exact"/>
              <w:jc w:val="center"/>
              <w:rPr>
                <w:rFonts w:hint="eastAsia" w:ascii="宋体" w:hAnsi="宋体" w:cs="宋体"/>
                <w:kern w:val="0"/>
                <w:szCs w:val="21"/>
              </w:rPr>
            </w:pPr>
          </w:p>
        </w:tc>
        <w:tc>
          <w:tcPr>
            <w:tcW w:w="206" w:type="pct"/>
            <w:tcMar>
              <w:left w:w="0" w:type="dxa"/>
              <w:right w:w="0" w:type="dxa"/>
            </w:tcMar>
            <w:vAlign w:val="center"/>
          </w:tcPr>
          <w:p w14:paraId="33A96EE3">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24" w:type="pct"/>
            <w:tcMar>
              <w:left w:w="0" w:type="dxa"/>
              <w:right w:w="0" w:type="dxa"/>
            </w:tcMar>
            <w:vAlign w:val="center"/>
          </w:tcPr>
          <w:p w14:paraId="060FB729">
            <w:pPr>
              <w:pStyle w:val="533"/>
              <w:spacing w:line="300" w:lineRule="exact"/>
              <w:jc w:val="center"/>
              <w:rPr>
                <w:rFonts w:hint="eastAsia"/>
                <w:kern w:val="0"/>
                <w:sz w:val="21"/>
                <w:szCs w:val="21"/>
                <w:lang w:eastAsia="zh-CN"/>
              </w:rPr>
            </w:pPr>
            <w:r>
              <w:rPr>
                <w:rFonts w:hint="eastAsia"/>
                <w:sz w:val="21"/>
                <w:szCs w:val="21"/>
              </w:rPr>
              <w:t>无</w:t>
            </w:r>
          </w:p>
        </w:tc>
        <w:tc>
          <w:tcPr>
            <w:tcW w:w="271" w:type="pct"/>
            <w:tcMar>
              <w:left w:w="0" w:type="dxa"/>
              <w:right w:w="0" w:type="dxa"/>
            </w:tcMar>
            <w:vAlign w:val="center"/>
          </w:tcPr>
          <w:p w14:paraId="23F25851">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227" w:type="pct"/>
            <w:tcMar>
              <w:left w:w="0" w:type="dxa"/>
              <w:right w:w="0" w:type="dxa"/>
            </w:tcMar>
            <w:vAlign w:val="center"/>
          </w:tcPr>
          <w:p w14:paraId="2332ECA6">
            <w:pPr>
              <w:spacing w:line="300" w:lineRule="exact"/>
              <w:jc w:val="center"/>
              <w:rPr>
                <w:rFonts w:hint="eastAsia" w:ascii="宋体" w:hAnsi="宋体" w:cs="宋体"/>
                <w:kern w:val="0"/>
                <w:szCs w:val="21"/>
              </w:rPr>
            </w:pPr>
            <w:r>
              <w:rPr>
                <w:rFonts w:hint="eastAsia" w:ascii="宋体" w:hAnsi="宋体" w:cs="宋体"/>
                <w:kern w:val="0"/>
                <w:szCs w:val="21"/>
              </w:rPr>
              <w:t>达标</w:t>
            </w:r>
          </w:p>
        </w:tc>
        <w:tc>
          <w:tcPr>
            <w:tcW w:w="305" w:type="pct"/>
            <w:tcMar>
              <w:left w:w="0" w:type="dxa"/>
              <w:right w:w="0" w:type="dxa"/>
            </w:tcMar>
            <w:vAlign w:val="center"/>
          </w:tcPr>
          <w:p w14:paraId="73AD723F">
            <w:pPr>
              <w:pStyle w:val="533"/>
              <w:spacing w:line="300" w:lineRule="exact"/>
              <w:jc w:val="center"/>
              <w:rPr>
                <w:rFonts w:hint="eastAsia"/>
                <w:kern w:val="0"/>
                <w:sz w:val="21"/>
                <w:szCs w:val="21"/>
                <w:lang w:eastAsia="zh-CN"/>
              </w:rPr>
            </w:pPr>
            <w:r>
              <w:rPr>
                <w:rFonts w:hint="eastAsia"/>
                <w:sz w:val="21"/>
                <w:szCs w:val="21"/>
              </w:rPr>
              <w:t>无</w:t>
            </w:r>
          </w:p>
        </w:tc>
        <w:tc>
          <w:tcPr>
            <w:tcW w:w="271" w:type="pct"/>
            <w:tcMar>
              <w:left w:w="0" w:type="dxa"/>
              <w:right w:w="0" w:type="dxa"/>
            </w:tcMar>
            <w:vAlign w:val="center"/>
          </w:tcPr>
          <w:p w14:paraId="6004C1D6">
            <w:pPr>
              <w:spacing w:line="300" w:lineRule="exact"/>
              <w:jc w:val="center"/>
              <w:rPr>
                <w:rFonts w:hint="eastAsia" w:ascii="宋体" w:hAnsi="宋体" w:cs="宋体"/>
                <w:kern w:val="0"/>
                <w:szCs w:val="21"/>
              </w:rPr>
            </w:pPr>
            <w:r>
              <w:rPr>
                <w:rFonts w:hint="eastAsia" w:ascii="宋体" w:hAnsi="宋体" w:cs="宋体"/>
                <w:kern w:val="0"/>
                <w:szCs w:val="21"/>
              </w:rPr>
              <w:t>/</w:t>
            </w:r>
          </w:p>
        </w:tc>
        <w:tc>
          <w:tcPr>
            <w:tcW w:w="181" w:type="pct"/>
            <w:tcMar>
              <w:left w:w="0" w:type="dxa"/>
              <w:right w:w="0" w:type="dxa"/>
            </w:tcMar>
            <w:vAlign w:val="center"/>
          </w:tcPr>
          <w:p w14:paraId="318D1EC3">
            <w:pPr>
              <w:spacing w:line="300" w:lineRule="exact"/>
              <w:jc w:val="center"/>
              <w:rPr>
                <w:rFonts w:hint="eastAsia" w:ascii="宋体" w:hAnsi="宋体" w:cs="宋体"/>
                <w:kern w:val="0"/>
                <w:szCs w:val="21"/>
              </w:rPr>
            </w:pPr>
            <w:r>
              <w:rPr>
                <w:rFonts w:hint="eastAsia" w:ascii="宋体" w:hAnsi="宋体" w:cs="宋体"/>
                <w:kern w:val="0"/>
                <w:szCs w:val="21"/>
              </w:rPr>
              <w:t>达标</w:t>
            </w:r>
          </w:p>
        </w:tc>
      </w:tr>
    </w:tbl>
    <w:p w14:paraId="3C0443C1">
      <w:pPr>
        <w:adjustRightInd w:val="0"/>
        <w:snapToGrid w:val="0"/>
        <w:spacing w:line="500" w:lineRule="exact"/>
        <w:ind w:firstLine="480" w:firstLineChars="200"/>
        <w:rPr>
          <w:rStyle w:val="190"/>
          <w:rFonts w:hint="eastAsia"/>
        </w:rPr>
        <w:sectPr>
          <w:pgSz w:w="16838" w:h="11906" w:orient="landscape"/>
          <w:pgMar w:top="1588" w:right="1418" w:bottom="1588" w:left="1418" w:header="1020" w:footer="1020" w:gutter="0"/>
          <w:cols w:space="720" w:num="1"/>
          <w:docGrid w:type="lines" w:linePitch="312" w:charSpace="0"/>
        </w:sectPr>
      </w:pPr>
    </w:p>
    <w:bookmarkEnd w:id="396"/>
    <w:p w14:paraId="6A69FD43">
      <w:pPr>
        <w:pStyle w:val="191"/>
        <w:ind w:firstLine="480"/>
        <w:rPr>
          <w:rFonts w:hint="eastAsia" w:cs="宋体"/>
          <w:lang w:bidi="ar"/>
        </w:rPr>
      </w:pPr>
      <w:bookmarkStart w:id="397" w:name="_Hlk160376379"/>
      <w:r>
        <w:rPr>
          <w:rFonts w:hint="eastAsia" w:cs="宋体"/>
          <w:lang w:bidi="ar"/>
        </w:rPr>
        <w:t>由表4.3-6可知，石油类满足《地表水环境质量标准》（GB3838-2002）中的Ⅲ类标准限值，</w:t>
      </w:r>
      <w:r>
        <w:rPr>
          <w:rFonts w:hint="eastAsia"/>
        </w:rPr>
        <w:t>其余各点、各监测因子均可满足</w:t>
      </w:r>
      <w:r>
        <w:rPr>
          <w:rFonts w:hint="eastAsia" w:cs="宋体"/>
          <w:lang w:bidi="ar"/>
        </w:rPr>
        <w:t>《地下水质量标准》（GB/T14848-2017）Ⅲ类标准。</w:t>
      </w:r>
    </w:p>
    <w:bookmarkEnd w:id="397"/>
    <w:p w14:paraId="7A9D6465">
      <w:pPr>
        <w:pStyle w:val="4"/>
        <w:rPr>
          <w:rFonts w:hint="eastAsia"/>
        </w:rPr>
      </w:pPr>
      <w:r>
        <w:rPr>
          <w:rFonts w:hint="eastAsia"/>
        </w:rPr>
        <w:t>声环境质量现状调查与评价</w:t>
      </w:r>
    </w:p>
    <w:p w14:paraId="03217F4A">
      <w:pPr>
        <w:spacing w:line="500" w:lineRule="exact"/>
        <w:ind w:firstLine="480" w:firstLineChars="200"/>
        <w:rPr>
          <w:rFonts w:hint="eastAsia" w:ascii="宋体" w:hAnsi="宋体"/>
          <w:bCs/>
          <w:sz w:val="24"/>
        </w:rPr>
      </w:pPr>
      <w:r>
        <w:rPr>
          <w:rFonts w:hint="eastAsia" w:ascii="宋体" w:hAnsi="宋体"/>
          <w:bCs/>
          <w:sz w:val="24"/>
        </w:rPr>
        <w:t>（1）监测点位</w:t>
      </w:r>
    </w:p>
    <w:p w14:paraId="152890E4">
      <w:pPr>
        <w:spacing w:line="500" w:lineRule="exact"/>
        <w:ind w:firstLine="480" w:firstLineChars="200"/>
        <w:rPr>
          <w:rFonts w:hint="eastAsia" w:ascii="宋体" w:hAnsi="宋体"/>
          <w:bCs/>
          <w:sz w:val="24"/>
        </w:rPr>
      </w:pPr>
      <w:r>
        <w:rPr>
          <w:rFonts w:hint="eastAsia" w:ascii="宋体" w:hAnsi="宋体"/>
          <w:bCs/>
          <w:sz w:val="24"/>
        </w:rPr>
        <w:t>在采油平台厂界四周处布设1个监测点，共布设4个监测点，监测点坐标见表4.3-7和图4.3-3。</w:t>
      </w:r>
    </w:p>
    <w:p w14:paraId="6C8E2B4D">
      <w:pPr>
        <w:pStyle w:val="15"/>
        <w:rPr>
          <w:rFonts w:hint="eastAsia" w:ascii="黑体" w:hAnsi="黑体" w:cs="黑体"/>
          <w:bCs/>
          <w:szCs w:val="21"/>
        </w:rPr>
      </w:pPr>
      <w:r>
        <w:rPr>
          <w:rFonts w:hint="eastAsia" w:ascii="黑体" w:hAnsi="黑体" w:cs="黑体"/>
          <w:bCs/>
          <w:szCs w:val="21"/>
        </w:rPr>
        <w:t>表</w:t>
      </w:r>
      <w:r>
        <w:rPr>
          <w:rFonts w:ascii="黑体" w:hAnsi="黑体" w:cs="黑体"/>
          <w:bCs/>
          <w:szCs w:val="21"/>
        </w:rPr>
        <w:t>4.3</w:t>
      </w:r>
      <w:r>
        <w:rPr>
          <w:rFonts w:hint="eastAsia" w:ascii="黑体" w:hAnsi="黑体" w:cs="黑体"/>
          <w:bCs/>
          <w:szCs w:val="21"/>
        </w:rPr>
        <w:t>-7  噪声监测点坐标一览表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16"/>
        <w:gridCol w:w="1528"/>
        <w:gridCol w:w="3804"/>
        <w:gridCol w:w="2698"/>
      </w:tblGrid>
      <w:tr w14:paraId="787B3C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Merge w:val="restart"/>
            <w:vAlign w:val="center"/>
          </w:tcPr>
          <w:p w14:paraId="3C3B4951">
            <w:pPr>
              <w:pStyle w:val="286"/>
              <w:adjustRightInd w:val="0"/>
              <w:snapToGrid w:val="0"/>
              <w:spacing w:line="300" w:lineRule="exact"/>
              <w:rPr>
                <w:rFonts w:hint="eastAsia" w:cs="宋体"/>
              </w:rPr>
            </w:pPr>
            <w:bookmarkStart w:id="398" w:name="_Hlk94003477"/>
            <w:r>
              <w:rPr>
                <w:rFonts w:hint="eastAsia" w:cs="宋体"/>
              </w:rPr>
              <w:t>序号</w:t>
            </w:r>
          </w:p>
        </w:tc>
        <w:tc>
          <w:tcPr>
            <w:tcW w:w="854" w:type="pct"/>
            <w:vMerge w:val="restart"/>
          </w:tcPr>
          <w:p w14:paraId="49788363">
            <w:pPr>
              <w:pStyle w:val="286"/>
              <w:adjustRightInd w:val="0"/>
              <w:snapToGrid w:val="0"/>
              <w:spacing w:line="300" w:lineRule="exact"/>
              <w:rPr>
                <w:rFonts w:hint="eastAsia" w:cs="宋体"/>
              </w:rPr>
            </w:pPr>
            <w:r>
              <w:rPr>
                <w:rFonts w:hint="eastAsia" w:cs="宋体"/>
              </w:rPr>
              <w:t>监测点描述</w:t>
            </w:r>
          </w:p>
        </w:tc>
        <w:tc>
          <w:tcPr>
            <w:tcW w:w="3634" w:type="pct"/>
            <w:gridSpan w:val="2"/>
            <w:vAlign w:val="center"/>
          </w:tcPr>
          <w:p w14:paraId="2F555A70">
            <w:pPr>
              <w:pStyle w:val="286"/>
              <w:adjustRightInd w:val="0"/>
              <w:snapToGrid w:val="0"/>
              <w:spacing w:line="300" w:lineRule="exact"/>
              <w:rPr>
                <w:rFonts w:hint="eastAsia" w:cs="宋体"/>
              </w:rPr>
            </w:pPr>
            <w:r>
              <w:rPr>
                <w:rFonts w:hint="eastAsia" w:cs="宋体"/>
              </w:rPr>
              <w:t>坐标</w:t>
            </w:r>
          </w:p>
        </w:tc>
      </w:tr>
      <w:tr w14:paraId="003D4B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Merge w:val="continue"/>
            <w:vAlign w:val="center"/>
          </w:tcPr>
          <w:p w14:paraId="2AD199F9">
            <w:pPr>
              <w:pStyle w:val="286"/>
              <w:adjustRightInd w:val="0"/>
              <w:snapToGrid w:val="0"/>
              <w:spacing w:line="300" w:lineRule="exact"/>
              <w:rPr>
                <w:rFonts w:hint="eastAsia" w:cs="宋体"/>
              </w:rPr>
            </w:pPr>
          </w:p>
        </w:tc>
        <w:tc>
          <w:tcPr>
            <w:tcW w:w="854" w:type="pct"/>
            <w:vMerge w:val="continue"/>
          </w:tcPr>
          <w:p w14:paraId="460CA2D3">
            <w:pPr>
              <w:pStyle w:val="286"/>
              <w:adjustRightInd w:val="0"/>
              <w:snapToGrid w:val="0"/>
              <w:spacing w:line="300" w:lineRule="exact"/>
              <w:rPr>
                <w:rFonts w:hint="eastAsia" w:cs="宋体"/>
              </w:rPr>
            </w:pPr>
          </w:p>
        </w:tc>
        <w:tc>
          <w:tcPr>
            <w:tcW w:w="2126" w:type="pct"/>
            <w:vAlign w:val="center"/>
          </w:tcPr>
          <w:p w14:paraId="6DCF496C">
            <w:pPr>
              <w:pStyle w:val="286"/>
              <w:adjustRightInd w:val="0"/>
              <w:snapToGrid w:val="0"/>
              <w:spacing w:line="300" w:lineRule="exact"/>
              <w:rPr>
                <w:rFonts w:hint="eastAsia" w:cs="宋体"/>
              </w:rPr>
            </w:pPr>
            <w:r>
              <w:rPr>
                <w:rFonts w:hint="eastAsia" w:cs="宋体"/>
              </w:rPr>
              <w:t>N</w:t>
            </w:r>
          </w:p>
        </w:tc>
        <w:tc>
          <w:tcPr>
            <w:tcW w:w="1508" w:type="pct"/>
            <w:vAlign w:val="center"/>
          </w:tcPr>
          <w:p w14:paraId="4440AD18">
            <w:pPr>
              <w:pStyle w:val="286"/>
              <w:adjustRightInd w:val="0"/>
              <w:snapToGrid w:val="0"/>
              <w:spacing w:line="300" w:lineRule="exact"/>
              <w:rPr>
                <w:rFonts w:hint="eastAsia" w:cs="宋体"/>
              </w:rPr>
            </w:pPr>
            <w:r>
              <w:rPr>
                <w:rFonts w:hint="eastAsia" w:cs="宋体"/>
              </w:rPr>
              <w:t>E</w:t>
            </w:r>
          </w:p>
        </w:tc>
      </w:tr>
      <w:tr w14:paraId="4633C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Align w:val="center"/>
          </w:tcPr>
          <w:p w14:paraId="4A773F66">
            <w:pPr>
              <w:pStyle w:val="286"/>
              <w:adjustRightInd w:val="0"/>
              <w:snapToGrid w:val="0"/>
              <w:spacing w:line="300" w:lineRule="exact"/>
              <w:rPr>
                <w:rFonts w:hint="eastAsia" w:cs="宋体"/>
              </w:rPr>
            </w:pPr>
            <w:r>
              <w:rPr>
                <w:rFonts w:cs="宋体"/>
              </w:rPr>
              <w:t>Z</w:t>
            </w:r>
            <w:r>
              <w:rPr>
                <w:rFonts w:hint="eastAsia" w:cs="宋体"/>
              </w:rPr>
              <w:t>1</w:t>
            </w:r>
          </w:p>
        </w:tc>
        <w:tc>
          <w:tcPr>
            <w:tcW w:w="854" w:type="pct"/>
          </w:tcPr>
          <w:p w14:paraId="5BC7F7CF">
            <w:pPr>
              <w:pStyle w:val="286"/>
              <w:adjustRightInd w:val="0"/>
              <w:snapToGrid w:val="0"/>
              <w:spacing w:line="300" w:lineRule="exact"/>
              <w:rPr>
                <w:rFonts w:hint="eastAsia" w:cs="宋体"/>
              </w:rPr>
            </w:pPr>
            <w:r>
              <w:rPr>
                <w:rFonts w:hint="eastAsia" w:cs="宋体"/>
              </w:rPr>
              <w:t>东厂界</w:t>
            </w:r>
          </w:p>
        </w:tc>
        <w:tc>
          <w:tcPr>
            <w:tcW w:w="2126" w:type="pct"/>
            <w:vAlign w:val="center"/>
          </w:tcPr>
          <w:p w14:paraId="217A9A91">
            <w:pPr>
              <w:pStyle w:val="286"/>
              <w:adjustRightInd w:val="0"/>
              <w:snapToGrid w:val="0"/>
              <w:spacing w:line="300" w:lineRule="exact"/>
              <w:rPr>
                <w:rFonts w:hint="eastAsia" w:cs="宋体"/>
              </w:rPr>
            </w:pPr>
            <w:bookmarkStart w:id="399" w:name="OLE_LINK213"/>
            <w:r>
              <w:rPr>
                <w:rFonts w:hint="eastAsia" w:cs="宋体"/>
              </w:rPr>
              <w:t>44°11'45.96"</w:t>
            </w:r>
            <w:bookmarkEnd w:id="399"/>
          </w:p>
        </w:tc>
        <w:tc>
          <w:tcPr>
            <w:tcW w:w="1508" w:type="pct"/>
            <w:vAlign w:val="center"/>
          </w:tcPr>
          <w:p w14:paraId="77886265">
            <w:pPr>
              <w:pStyle w:val="286"/>
              <w:adjustRightInd w:val="0"/>
              <w:snapToGrid w:val="0"/>
              <w:spacing w:line="300" w:lineRule="exact"/>
              <w:ind w:left="110"/>
              <w:rPr>
                <w:rFonts w:hint="eastAsia" w:cs="宋体"/>
              </w:rPr>
            </w:pPr>
            <w:bookmarkStart w:id="400" w:name="OLE_LINK214"/>
            <w:r>
              <w:rPr>
                <w:rFonts w:hint="eastAsia" w:cs="宋体"/>
              </w:rPr>
              <w:t>89°9'42.80"</w:t>
            </w:r>
            <w:bookmarkEnd w:id="400"/>
          </w:p>
        </w:tc>
      </w:tr>
      <w:tr w14:paraId="1AF5A0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Align w:val="center"/>
          </w:tcPr>
          <w:p w14:paraId="4B3E3F37">
            <w:pPr>
              <w:pStyle w:val="286"/>
              <w:adjustRightInd w:val="0"/>
              <w:snapToGrid w:val="0"/>
              <w:spacing w:line="300" w:lineRule="exact"/>
              <w:rPr>
                <w:rFonts w:hint="eastAsia" w:cs="宋体"/>
              </w:rPr>
            </w:pPr>
            <w:r>
              <w:rPr>
                <w:rFonts w:cs="宋体"/>
              </w:rPr>
              <w:t>Z</w:t>
            </w:r>
            <w:r>
              <w:rPr>
                <w:rFonts w:hint="eastAsia" w:cs="宋体"/>
              </w:rPr>
              <w:t>2</w:t>
            </w:r>
          </w:p>
        </w:tc>
        <w:tc>
          <w:tcPr>
            <w:tcW w:w="854" w:type="pct"/>
          </w:tcPr>
          <w:p w14:paraId="2E0BFA72">
            <w:pPr>
              <w:pStyle w:val="286"/>
              <w:adjustRightInd w:val="0"/>
              <w:snapToGrid w:val="0"/>
              <w:spacing w:line="300" w:lineRule="exact"/>
              <w:rPr>
                <w:rFonts w:hint="eastAsia" w:cs="宋体"/>
              </w:rPr>
            </w:pPr>
            <w:r>
              <w:rPr>
                <w:rFonts w:hint="eastAsia" w:cs="宋体"/>
              </w:rPr>
              <w:t>南厂界</w:t>
            </w:r>
          </w:p>
        </w:tc>
        <w:tc>
          <w:tcPr>
            <w:tcW w:w="2126" w:type="pct"/>
            <w:vAlign w:val="center"/>
          </w:tcPr>
          <w:p w14:paraId="1C93BC9C">
            <w:pPr>
              <w:pStyle w:val="286"/>
              <w:adjustRightInd w:val="0"/>
              <w:snapToGrid w:val="0"/>
              <w:spacing w:line="300" w:lineRule="exact"/>
              <w:rPr>
                <w:rFonts w:hint="eastAsia" w:cs="宋体"/>
              </w:rPr>
            </w:pPr>
            <w:bookmarkStart w:id="401" w:name="OLE_LINK215"/>
            <w:r>
              <w:rPr>
                <w:rFonts w:hint="eastAsia" w:cs="宋体"/>
              </w:rPr>
              <w:t>44°11'40.74"</w:t>
            </w:r>
            <w:bookmarkEnd w:id="401"/>
          </w:p>
        </w:tc>
        <w:tc>
          <w:tcPr>
            <w:tcW w:w="1508" w:type="pct"/>
            <w:vAlign w:val="center"/>
          </w:tcPr>
          <w:p w14:paraId="6AB7744D">
            <w:pPr>
              <w:pStyle w:val="286"/>
              <w:adjustRightInd w:val="0"/>
              <w:snapToGrid w:val="0"/>
              <w:spacing w:line="300" w:lineRule="exact"/>
              <w:ind w:left="110"/>
              <w:rPr>
                <w:rFonts w:hint="eastAsia" w:cs="宋体"/>
              </w:rPr>
            </w:pPr>
            <w:bookmarkStart w:id="402" w:name="OLE_LINK216"/>
            <w:r>
              <w:rPr>
                <w:rFonts w:hint="eastAsia" w:cs="宋体"/>
              </w:rPr>
              <w:t>89°9'44.06"</w:t>
            </w:r>
            <w:bookmarkEnd w:id="402"/>
          </w:p>
        </w:tc>
      </w:tr>
      <w:tr w14:paraId="266635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Align w:val="center"/>
          </w:tcPr>
          <w:p w14:paraId="5C225D4C">
            <w:pPr>
              <w:pStyle w:val="286"/>
              <w:adjustRightInd w:val="0"/>
              <w:snapToGrid w:val="0"/>
              <w:spacing w:line="300" w:lineRule="exact"/>
              <w:rPr>
                <w:rFonts w:hint="eastAsia" w:cs="宋体"/>
              </w:rPr>
            </w:pPr>
            <w:r>
              <w:rPr>
                <w:rFonts w:cs="宋体"/>
              </w:rPr>
              <w:t>Z</w:t>
            </w:r>
            <w:r>
              <w:rPr>
                <w:rFonts w:hint="eastAsia" w:cs="宋体"/>
              </w:rPr>
              <w:t>3</w:t>
            </w:r>
          </w:p>
        </w:tc>
        <w:tc>
          <w:tcPr>
            <w:tcW w:w="854" w:type="pct"/>
          </w:tcPr>
          <w:p w14:paraId="2D6212E3">
            <w:pPr>
              <w:pStyle w:val="286"/>
              <w:adjustRightInd w:val="0"/>
              <w:snapToGrid w:val="0"/>
              <w:spacing w:line="300" w:lineRule="exact"/>
              <w:rPr>
                <w:rFonts w:hint="eastAsia" w:cs="宋体"/>
              </w:rPr>
            </w:pPr>
            <w:r>
              <w:rPr>
                <w:rFonts w:hint="eastAsia" w:cs="宋体"/>
              </w:rPr>
              <w:t>西厂界</w:t>
            </w:r>
          </w:p>
        </w:tc>
        <w:tc>
          <w:tcPr>
            <w:tcW w:w="2126" w:type="pct"/>
            <w:vAlign w:val="center"/>
          </w:tcPr>
          <w:p w14:paraId="267B65FC">
            <w:pPr>
              <w:pStyle w:val="286"/>
              <w:adjustRightInd w:val="0"/>
              <w:snapToGrid w:val="0"/>
              <w:spacing w:line="300" w:lineRule="exact"/>
              <w:rPr>
                <w:rFonts w:hint="eastAsia" w:cs="宋体"/>
              </w:rPr>
            </w:pPr>
            <w:bookmarkStart w:id="403" w:name="OLE_LINK217"/>
            <w:r>
              <w:rPr>
                <w:rFonts w:hint="eastAsia" w:cs="宋体"/>
              </w:rPr>
              <w:t>44°11'44.91"</w:t>
            </w:r>
            <w:bookmarkEnd w:id="403"/>
          </w:p>
        </w:tc>
        <w:tc>
          <w:tcPr>
            <w:tcW w:w="1508" w:type="pct"/>
            <w:vAlign w:val="center"/>
          </w:tcPr>
          <w:p w14:paraId="67042E04">
            <w:pPr>
              <w:pStyle w:val="286"/>
              <w:adjustRightInd w:val="0"/>
              <w:snapToGrid w:val="0"/>
              <w:spacing w:line="300" w:lineRule="exact"/>
              <w:ind w:left="110"/>
              <w:rPr>
                <w:rFonts w:hint="eastAsia" w:cs="宋体"/>
              </w:rPr>
            </w:pPr>
            <w:bookmarkStart w:id="404" w:name="OLE_LINK218"/>
            <w:r>
              <w:rPr>
                <w:rFonts w:hint="eastAsia" w:cs="宋体"/>
              </w:rPr>
              <w:t>89°9'37.78"</w:t>
            </w:r>
            <w:bookmarkEnd w:id="404"/>
          </w:p>
        </w:tc>
      </w:tr>
      <w:tr w14:paraId="2559DD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2" w:type="pct"/>
            <w:vAlign w:val="center"/>
          </w:tcPr>
          <w:p w14:paraId="3A1F7ED7">
            <w:pPr>
              <w:pStyle w:val="286"/>
              <w:adjustRightInd w:val="0"/>
              <w:snapToGrid w:val="0"/>
              <w:spacing w:line="300" w:lineRule="exact"/>
              <w:rPr>
                <w:rFonts w:hint="eastAsia" w:cs="宋体"/>
              </w:rPr>
            </w:pPr>
            <w:r>
              <w:rPr>
                <w:rFonts w:cs="宋体"/>
              </w:rPr>
              <w:t>Z</w:t>
            </w:r>
            <w:r>
              <w:rPr>
                <w:rFonts w:hint="eastAsia" w:cs="宋体"/>
              </w:rPr>
              <w:t>4</w:t>
            </w:r>
          </w:p>
        </w:tc>
        <w:tc>
          <w:tcPr>
            <w:tcW w:w="854" w:type="pct"/>
          </w:tcPr>
          <w:p w14:paraId="6551C3F0">
            <w:pPr>
              <w:pStyle w:val="286"/>
              <w:adjustRightInd w:val="0"/>
              <w:snapToGrid w:val="0"/>
              <w:spacing w:line="300" w:lineRule="exact"/>
              <w:rPr>
                <w:rFonts w:hint="eastAsia" w:cs="宋体"/>
              </w:rPr>
            </w:pPr>
            <w:r>
              <w:rPr>
                <w:rFonts w:hint="eastAsia" w:cs="宋体"/>
              </w:rPr>
              <w:t>北厂界</w:t>
            </w:r>
          </w:p>
        </w:tc>
        <w:tc>
          <w:tcPr>
            <w:tcW w:w="2126" w:type="pct"/>
            <w:vAlign w:val="center"/>
          </w:tcPr>
          <w:p w14:paraId="0CD6B31F">
            <w:pPr>
              <w:pStyle w:val="286"/>
              <w:adjustRightInd w:val="0"/>
              <w:snapToGrid w:val="0"/>
              <w:spacing w:line="300" w:lineRule="exact"/>
              <w:rPr>
                <w:rFonts w:hint="eastAsia" w:cs="宋体"/>
              </w:rPr>
            </w:pPr>
            <w:bookmarkStart w:id="405" w:name="OLE_LINK219"/>
            <w:r>
              <w:rPr>
                <w:rFonts w:hint="eastAsia" w:cs="宋体"/>
              </w:rPr>
              <w:t>44°11'49.87"</w:t>
            </w:r>
            <w:bookmarkEnd w:id="405"/>
          </w:p>
        </w:tc>
        <w:tc>
          <w:tcPr>
            <w:tcW w:w="1508" w:type="pct"/>
            <w:vAlign w:val="center"/>
          </w:tcPr>
          <w:p w14:paraId="23A25314">
            <w:pPr>
              <w:pStyle w:val="286"/>
              <w:adjustRightInd w:val="0"/>
              <w:snapToGrid w:val="0"/>
              <w:spacing w:line="300" w:lineRule="exact"/>
              <w:ind w:left="110"/>
              <w:rPr>
                <w:rFonts w:hint="eastAsia" w:cs="宋体"/>
              </w:rPr>
            </w:pPr>
            <w:bookmarkStart w:id="406" w:name="OLE_LINK220"/>
            <w:r>
              <w:rPr>
                <w:rFonts w:hint="eastAsia" w:cs="宋体"/>
              </w:rPr>
              <w:t>89°9'36.46"</w:t>
            </w:r>
            <w:bookmarkEnd w:id="406"/>
          </w:p>
        </w:tc>
      </w:tr>
      <w:bookmarkEnd w:id="398"/>
    </w:tbl>
    <w:p w14:paraId="5B2457C3">
      <w:pPr>
        <w:pStyle w:val="117"/>
        <w:spacing w:line="360" w:lineRule="auto"/>
        <w:ind w:firstLine="0" w:firstLineChars="0"/>
        <w:rPr>
          <w:rFonts w:hint="eastAsia"/>
        </w:rPr>
      </w:pPr>
      <w:r>
        <w:drawing>
          <wp:inline distT="0" distB="0" distL="0" distR="0">
            <wp:extent cx="5543550" cy="38138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543550" cy="3813810"/>
                    </a:xfrm>
                    <a:prstGeom prst="rect">
                      <a:avLst/>
                    </a:prstGeom>
                  </pic:spPr>
                </pic:pic>
              </a:graphicData>
            </a:graphic>
          </wp:inline>
        </w:drawing>
      </w:r>
    </w:p>
    <w:p w14:paraId="07E3FB19">
      <w:pPr>
        <w:pStyle w:val="15"/>
        <w:rPr>
          <w:rFonts w:hint="eastAsia" w:ascii="黑体" w:hAnsi="黑体" w:cs="黑体"/>
          <w:bCs/>
          <w:szCs w:val="21"/>
        </w:rPr>
      </w:pPr>
      <w:r>
        <w:rPr>
          <w:rFonts w:hint="eastAsia" w:ascii="黑体" w:hAnsi="黑体" w:cs="黑体"/>
          <w:bCs/>
          <w:szCs w:val="21"/>
        </w:rPr>
        <w:t>图4.3-3  声环境质量监测布点示意图</w:t>
      </w:r>
    </w:p>
    <w:p w14:paraId="07E3222A">
      <w:pPr>
        <w:pStyle w:val="117"/>
        <w:spacing w:line="480" w:lineRule="exact"/>
        <w:ind w:firstLine="480"/>
        <w:rPr>
          <w:rFonts w:hint="eastAsia"/>
        </w:rPr>
      </w:pPr>
      <w:r>
        <w:rPr>
          <w:rFonts w:hint="eastAsia"/>
        </w:rPr>
        <w:t>（2）监测单位及监测时间</w:t>
      </w:r>
    </w:p>
    <w:p w14:paraId="2D77828B">
      <w:pPr>
        <w:pStyle w:val="117"/>
        <w:spacing w:line="480" w:lineRule="exact"/>
        <w:ind w:firstLine="480"/>
        <w:rPr>
          <w:rFonts w:hint="eastAsia"/>
        </w:rPr>
      </w:pPr>
      <w:r>
        <w:rPr>
          <w:rFonts w:hint="eastAsia"/>
        </w:rPr>
        <w:t>采样时间：2024年7月14日。</w:t>
      </w:r>
    </w:p>
    <w:p w14:paraId="5CD7E017">
      <w:pPr>
        <w:pStyle w:val="117"/>
        <w:spacing w:line="480" w:lineRule="exact"/>
        <w:ind w:firstLine="480"/>
        <w:rPr>
          <w:rFonts w:hint="eastAsia" w:cs="宋体"/>
          <w:lang w:bidi="ar"/>
        </w:rPr>
      </w:pPr>
      <w:r>
        <w:rPr>
          <w:rFonts w:hint="eastAsia"/>
        </w:rPr>
        <w:t>监测单位：新疆环疆绿源环保科技有限公司。</w:t>
      </w:r>
    </w:p>
    <w:p w14:paraId="48BA0B74">
      <w:pPr>
        <w:pStyle w:val="117"/>
        <w:ind w:firstLine="480"/>
        <w:rPr>
          <w:rFonts w:hint="eastAsia"/>
        </w:rPr>
      </w:pPr>
      <w:r>
        <w:rPr>
          <w:rFonts w:hint="eastAsia"/>
        </w:rPr>
        <w:t>（3）评价标准</w:t>
      </w:r>
    </w:p>
    <w:p w14:paraId="2456409B">
      <w:pPr>
        <w:pStyle w:val="117"/>
        <w:ind w:firstLine="480"/>
        <w:rPr>
          <w:rFonts w:hint="eastAsia"/>
        </w:rPr>
      </w:pPr>
      <w:r>
        <w:rPr>
          <w:rFonts w:hint="eastAsia"/>
        </w:rPr>
        <w:t>执行《声环境质量标准》（GB3096-2008）</w:t>
      </w:r>
      <w:r>
        <w:t>2</w:t>
      </w:r>
      <w:r>
        <w:rPr>
          <w:rFonts w:hint="eastAsia"/>
        </w:rPr>
        <w:t>类区标准限值。</w:t>
      </w:r>
    </w:p>
    <w:p w14:paraId="1BF92E29">
      <w:pPr>
        <w:pStyle w:val="117"/>
        <w:ind w:firstLine="480"/>
        <w:rPr>
          <w:rFonts w:hint="eastAsia"/>
        </w:rPr>
      </w:pPr>
      <w:r>
        <w:rPr>
          <w:rFonts w:hint="eastAsia"/>
        </w:rPr>
        <w:t>（4）评价方法</w:t>
      </w:r>
    </w:p>
    <w:p w14:paraId="416CA90C">
      <w:pPr>
        <w:pStyle w:val="117"/>
        <w:ind w:firstLine="480"/>
        <w:rPr>
          <w:rFonts w:hint="eastAsia"/>
        </w:rPr>
      </w:pPr>
      <w:r>
        <w:rPr>
          <w:rFonts w:hint="eastAsia"/>
        </w:rPr>
        <w:t>监测值与</w:t>
      </w:r>
      <w:r>
        <w:t>标准值</w:t>
      </w:r>
      <w:r>
        <w:rPr>
          <w:rFonts w:hint="eastAsia"/>
        </w:rPr>
        <w:t>直接</w:t>
      </w:r>
      <w:r>
        <w:t>比对</w:t>
      </w:r>
      <w:r>
        <w:rPr>
          <w:rFonts w:hint="eastAsia"/>
        </w:rPr>
        <w:t>，说明噪声源及是否超标</w:t>
      </w:r>
      <w:r>
        <w:t>。</w:t>
      </w:r>
    </w:p>
    <w:p w14:paraId="009DF626">
      <w:pPr>
        <w:pStyle w:val="117"/>
        <w:ind w:firstLine="480"/>
        <w:rPr>
          <w:rFonts w:hint="eastAsia"/>
        </w:rPr>
      </w:pPr>
      <w:r>
        <w:rPr>
          <w:rFonts w:hint="eastAsia"/>
        </w:rPr>
        <w:t>（5）评价</w:t>
      </w:r>
      <w:r>
        <w:t>结果</w:t>
      </w:r>
    </w:p>
    <w:p w14:paraId="46F8B98A">
      <w:pPr>
        <w:pStyle w:val="117"/>
        <w:ind w:firstLine="480"/>
        <w:rPr>
          <w:rFonts w:hint="eastAsia"/>
        </w:rPr>
      </w:pPr>
      <w:r>
        <w:rPr>
          <w:rFonts w:hint="eastAsia"/>
        </w:rPr>
        <w:t>声环境现状监测结果见表</w:t>
      </w:r>
      <w:r>
        <w:t>4.3</w:t>
      </w:r>
      <w:r>
        <w:rPr>
          <w:rFonts w:hint="eastAsia"/>
        </w:rPr>
        <w:t>-8。</w:t>
      </w:r>
      <w:bookmarkStart w:id="407" w:name="_Ref78401139"/>
    </w:p>
    <w:bookmarkEnd w:id="407"/>
    <w:p w14:paraId="1B2D5606">
      <w:pPr>
        <w:pStyle w:val="109"/>
        <w:rPr>
          <w:rFonts w:hint="eastAsia"/>
        </w:rPr>
      </w:pPr>
      <w:r>
        <w:rPr>
          <w:rFonts w:hint="eastAsia"/>
        </w:rPr>
        <w:t>表</w:t>
      </w:r>
      <w:r>
        <w:t>4.3</w:t>
      </w:r>
      <w:r>
        <w:rPr>
          <w:rFonts w:hint="eastAsia"/>
        </w:rPr>
        <w:t xml:space="preserve">-8  声环境现状监测结果 </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018"/>
        <w:gridCol w:w="1399"/>
        <w:gridCol w:w="1125"/>
        <w:gridCol w:w="964"/>
        <w:gridCol w:w="1290"/>
        <w:gridCol w:w="964"/>
        <w:gridCol w:w="965"/>
        <w:gridCol w:w="1221"/>
      </w:tblGrid>
      <w:tr w14:paraId="14C387D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tblHeader/>
          <w:jc w:val="center"/>
        </w:trPr>
        <w:tc>
          <w:tcPr>
            <w:tcW w:w="569" w:type="pct"/>
            <w:vMerge w:val="restart"/>
            <w:vAlign w:val="center"/>
          </w:tcPr>
          <w:p w14:paraId="3549DFC0">
            <w:pPr>
              <w:pStyle w:val="278"/>
              <w:adjustRightInd w:val="0"/>
              <w:snapToGrid w:val="0"/>
              <w:spacing w:line="300" w:lineRule="exact"/>
              <w:rPr>
                <w:rFonts w:hint="eastAsia" w:cs="宋体"/>
              </w:rPr>
            </w:pPr>
            <w:r>
              <w:rPr>
                <w:rFonts w:hint="eastAsia" w:cs="宋体"/>
              </w:rPr>
              <w:t>监测点</w:t>
            </w:r>
          </w:p>
        </w:tc>
        <w:tc>
          <w:tcPr>
            <w:tcW w:w="782" w:type="pct"/>
            <w:vMerge w:val="restart"/>
            <w:tcBorders>
              <w:left w:val="single" w:color="auto" w:sz="4" w:space="0"/>
            </w:tcBorders>
            <w:vAlign w:val="center"/>
          </w:tcPr>
          <w:p w14:paraId="1BD3BE99">
            <w:pPr>
              <w:pStyle w:val="278"/>
              <w:adjustRightInd w:val="0"/>
              <w:snapToGrid w:val="0"/>
              <w:spacing w:line="300" w:lineRule="exact"/>
              <w:rPr>
                <w:rFonts w:hint="eastAsia" w:cs="宋体"/>
              </w:rPr>
            </w:pPr>
            <w:r>
              <w:rPr>
                <w:rFonts w:hint="eastAsia" w:cs="宋体"/>
              </w:rPr>
              <w:t>监测点描述</w:t>
            </w:r>
          </w:p>
        </w:tc>
        <w:tc>
          <w:tcPr>
            <w:tcW w:w="1889" w:type="pct"/>
            <w:gridSpan w:val="3"/>
            <w:vAlign w:val="center"/>
          </w:tcPr>
          <w:p w14:paraId="6E198BBC">
            <w:pPr>
              <w:pStyle w:val="278"/>
              <w:adjustRightInd w:val="0"/>
              <w:snapToGrid w:val="0"/>
              <w:spacing w:line="300" w:lineRule="exact"/>
              <w:rPr>
                <w:rFonts w:hint="eastAsia" w:cs="宋体"/>
              </w:rPr>
            </w:pPr>
            <w:r>
              <w:rPr>
                <w:rFonts w:hint="eastAsia" w:cs="宋体"/>
              </w:rPr>
              <w:t>昼间</w:t>
            </w:r>
            <w:r>
              <w:rPr>
                <w:rFonts w:hint="eastAsia"/>
              </w:rPr>
              <w:t>[dB（A）]</w:t>
            </w:r>
          </w:p>
        </w:tc>
        <w:tc>
          <w:tcPr>
            <w:tcW w:w="1760" w:type="pct"/>
            <w:gridSpan w:val="3"/>
            <w:vAlign w:val="center"/>
          </w:tcPr>
          <w:p w14:paraId="651293F8">
            <w:pPr>
              <w:pStyle w:val="278"/>
              <w:adjustRightInd w:val="0"/>
              <w:snapToGrid w:val="0"/>
              <w:spacing w:line="300" w:lineRule="exact"/>
              <w:rPr>
                <w:rFonts w:hint="eastAsia" w:cs="宋体"/>
              </w:rPr>
            </w:pPr>
            <w:r>
              <w:rPr>
                <w:rFonts w:hint="eastAsia" w:cs="宋体"/>
              </w:rPr>
              <w:t>夜间</w:t>
            </w:r>
            <w:r>
              <w:rPr>
                <w:rFonts w:hint="eastAsia"/>
              </w:rPr>
              <w:t>[dB（A）]</w:t>
            </w:r>
          </w:p>
        </w:tc>
      </w:tr>
      <w:tr w14:paraId="39542AB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tblHeader/>
          <w:jc w:val="center"/>
        </w:trPr>
        <w:tc>
          <w:tcPr>
            <w:tcW w:w="569" w:type="pct"/>
            <w:vMerge w:val="continue"/>
            <w:vAlign w:val="center"/>
          </w:tcPr>
          <w:p w14:paraId="2C3FB294">
            <w:pPr>
              <w:pStyle w:val="278"/>
              <w:adjustRightInd w:val="0"/>
              <w:snapToGrid w:val="0"/>
              <w:spacing w:line="300" w:lineRule="exact"/>
              <w:rPr>
                <w:rFonts w:hint="eastAsia" w:cs="宋体"/>
              </w:rPr>
            </w:pPr>
          </w:p>
        </w:tc>
        <w:tc>
          <w:tcPr>
            <w:tcW w:w="782" w:type="pct"/>
            <w:vMerge w:val="continue"/>
            <w:tcBorders>
              <w:left w:val="single" w:color="auto" w:sz="4" w:space="0"/>
            </w:tcBorders>
            <w:vAlign w:val="center"/>
          </w:tcPr>
          <w:p w14:paraId="7C3F1A20">
            <w:pPr>
              <w:pStyle w:val="278"/>
              <w:adjustRightInd w:val="0"/>
              <w:snapToGrid w:val="0"/>
              <w:spacing w:line="300" w:lineRule="exact"/>
              <w:rPr>
                <w:rFonts w:hint="eastAsia" w:cs="宋体"/>
              </w:rPr>
            </w:pPr>
          </w:p>
        </w:tc>
        <w:tc>
          <w:tcPr>
            <w:tcW w:w="629" w:type="pct"/>
            <w:vAlign w:val="center"/>
          </w:tcPr>
          <w:p w14:paraId="22B29F53">
            <w:pPr>
              <w:pStyle w:val="278"/>
              <w:adjustRightInd w:val="0"/>
              <w:snapToGrid w:val="0"/>
              <w:spacing w:line="300" w:lineRule="exact"/>
              <w:rPr>
                <w:rFonts w:hint="eastAsia" w:cs="宋体"/>
              </w:rPr>
            </w:pPr>
            <w:r>
              <w:rPr>
                <w:rFonts w:hint="eastAsia" w:cs="宋体"/>
              </w:rPr>
              <w:t>监测值</w:t>
            </w:r>
          </w:p>
        </w:tc>
        <w:tc>
          <w:tcPr>
            <w:tcW w:w="539" w:type="pct"/>
            <w:vAlign w:val="center"/>
          </w:tcPr>
          <w:p w14:paraId="3996F889">
            <w:pPr>
              <w:pStyle w:val="278"/>
              <w:adjustRightInd w:val="0"/>
              <w:snapToGrid w:val="0"/>
              <w:spacing w:line="300" w:lineRule="exact"/>
              <w:rPr>
                <w:rFonts w:hint="eastAsia" w:cs="宋体"/>
              </w:rPr>
            </w:pPr>
            <w:r>
              <w:rPr>
                <w:rFonts w:hint="eastAsia" w:cs="宋体"/>
              </w:rPr>
              <w:t>标准值</w:t>
            </w:r>
          </w:p>
        </w:tc>
        <w:tc>
          <w:tcPr>
            <w:tcW w:w="721" w:type="pct"/>
            <w:vAlign w:val="center"/>
          </w:tcPr>
          <w:p w14:paraId="6FC98140">
            <w:pPr>
              <w:pStyle w:val="278"/>
              <w:adjustRightInd w:val="0"/>
              <w:snapToGrid w:val="0"/>
              <w:spacing w:line="300" w:lineRule="exact"/>
              <w:rPr>
                <w:rFonts w:hint="eastAsia" w:cs="宋体"/>
              </w:rPr>
            </w:pPr>
            <w:r>
              <w:rPr>
                <w:rFonts w:hint="eastAsia" w:cs="宋体"/>
              </w:rPr>
              <w:t>达标情况</w:t>
            </w:r>
          </w:p>
        </w:tc>
        <w:tc>
          <w:tcPr>
            <w:tcW w:w="539" w:type="pct"/>
            <w:vAlign w:val="center"/>
          </w:tcPr>
          <w:p w14:paraId="20705A28">
            <w:pPr>
              <w:pStyle w:val="278"/>
              <w:adjustRightInd w:val="0"/>
              <w:snapToGrid w:val="0"/>
              <w:spacing w:line="300" w:lineRule="exact"/>
              <w:rPr>
                <w:rFonts w:hint="eastAsia" w:cs="宋体"/>
              </w:rPr>
            </w:pPr>
            <w:r>
              <w:rPr>
                <w:rFonts w:hint="eastAsia" w:cs="宋体"/>
              </w:rPr>
              <w:t>监测值</w:t>
            </w:r>
          </w:p>
        </w:tc>
        <w:tc>
          <w:tcPr>
            <w:tcW w:w="539" w:type="pct"/>
            <w:vAlign w:val="center"/>
          </w:tcPr>
          <w:p w14:paraId="113F6536">
            <w:pPr>
              <w:pStyle w:val="278"/>
              <w:adjustRightInd w:val="0"/>
              <w:snapToGrid w:val="0"/>
              <w:spacing w:line="300" w:lineRule="exact"/>
              <w:rPr>
                <w:rFonts w:hint="eastAsia" w:cs="宋体"/>
              </w:rPr>
            </w:pPr>
            <w:r>
              <w:rPr>
                <w:rFonts w:hint="eastAsia" w:cs="宋体"/>
              </w:rPr>
              <w:t>标准值</w:t>
            </w:r>
          </w:p>
        </w:tc>
        <w:tc>
          <w:tcPr>
            <w:tcW w:w="682" w:type="pct"/>
            <w:vAlign w:val="center"/>
          </w:tcPr>
          <w:p w14:paraId="481A7054">
            <w:pPr>
              <w:pStyle w:val="278"/>
              <w:adjustRightInd w:val="0"/>
              <w:snapToGrid w:val="0"/>
              <w:spacing w:line="300" w:lineRule="exact"/>
              <w:rPr>
                <w:rFonts w:hint="eastAsia" w:cs="宋体"/>
              </w:rPr>
            </w:pPr>
            <w:r>
              <w:rPr>
                <w:rFonts w:hint="eastAsia" w:cs="宋体"/>
              </w:rPr>
              <w:t>达标情况</w:t>
            </w:r>
          </w:p>
        </w:tc>
      </w:tr>
      <w:tr w14:paraId="265D08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69" w:type="pct"/>
            <w:vAlign w:val="center"/>
          </w:tcPr>
          <w:p w14:paraId="6CF6C2E2">
            <w:pPr>
              <w:pStyle w:val="278"/>
              <w:adjustRightInd w:val="0"/>
              <w:snapToGrid w:val="0"/>
              <w:spacing w:line="300" w:lineRule="exact"/>
              <w:rPr>
                <w:rFonts w:hint="eastAsia" w:cs="宋体"/>
              </w:rPr>
            </w:pPr>
            <w:r>
              <w:rPr>
                <w:rFonts w:hint="eastAsia" w:cs="宋体"/>
              </w:rPr>
              <w:t>Z1</w:t>
            </w:r>
          </w:p>
        </w:tc>
        <w:tc>
          <w:tcPr>
            <w:tcW w:w="782" w:type="pct"/>
            <w:tcBorders>
              <w:left w:val="single" w:color="auto" w:sz="4" w:space="0"/>
            </w:tcBorders>
          </w:tcPr>
          <w:p w14:paraId="7AA55699">
            <w:pPr>
              <w:pStyle w:val="278"/>
              <w:adjustRightInd w:val="0"/>
              <w:snapToGrid w:val="0"/>
              <w:spacing w:line="300" w:lineRule="exact"/>
              <w:rPr>
                <w:rFonts w:hint="eastAsia" w:cs="宋体"/>
              </w:rPr>
            </w:pPr>
            <w:r>
              <w:rPr>
                <w:rFonts w:hint="eastAsia" w:cs="宋体"/>
              </w:rPr>
              <w:t>东厂界</w:t>
            </w:r>
          </w:p>
        </w:tc>
        <w:tc>
          <w:tcPr>
            <w:tcW w:w="629" w:type="pct"/>
            <w:vAlign w:val="center"/>
          </w:tcPr>
          <w:p w14:paraId="519F383C">
            <w:pPr>
              <w:pStyle w:val="278"/>
              <w:adjustRightInd w:val="0"/>
              <w:snapToGrid w:val="0"/>
              <w:spacing w:line="300" w:lineRule="exact"/>
              <w:rPr>
                <w:rFonts w:hint="eastAsia" w:cs="宋体"/>
              </w:rPr>
            </w:pPr>
            <w:r>
              <w:rPr>
                <w:rFonts w:hint="eastAsia" w:cs="宋体"/>
              </w:rPr>
              <w:t>48</w:t>
            </w:r>
          </w:p>
        </w:tc>
        <w:tc>
          <w:tcPr>
            <w:tcW w:w="539" w:type="pct"/>
            <w:vAlign w:val="center"/>
          </w:tcPr>
          <w:p w14:paraId="643D316F">
            <w:pPr>
              <w:pStyle w:val="278"/>
              <w:adjustRightInd w:val="0"/>
              <w:snapToGrid w:val="0"/>
              <w:spacing w:line="300" w:lineRule="exact"/>
              <w:rPr>
                <w:rFonts w:hint="eastAsia" w:cs="宋体"/>
              </w:rPr>
            </w:pPr>
            <w:r>
              <w:rPr>
                <w:rFonts w:hint="eastAsia" w:cs="宋体"/>
              </w:rPr>
              <w:t>6</w:t>
            </w:r>
            <w:r>
              <w:rPr>
                <w:rFonts w:cs="宋体"/>
              </w:rPr>
              <w:t>0</w:t>
            </w:r>
          </w:p>
        </w:tc>
        <w:tc>
          <w:tcPr>
            <w:tcW w:w="721" w:type="pct"/>
            <w:vAlign w:val="center"/>
          </w:tcPr>
          <w:p w14:paraId="1A9E4EC9">
            <w:pPr>
              <w:pStyle w:val="278"/>
              <w:adjustRightInd w:val="0"/>
              <w:snapToGrid w:val="0"/>
              <w:spacing w:line="300" w:lineRule="exact"/>
              <w:rPr>
                <w:rFonts w:hint="eastAsia" w:cs="宋体"/>
              </w:rPr>
            </w:pPr>
            <w:r>
              <w:rPr>
                <w:rFonts w:hint="eastAsia" w:cs="宋体"/>
              </w:rPr>
              <w:t>达标</w:t>
            </w:r>
          </w:p>
        </w:tc>
        <w:tc>
          <w:tcPr>
            <w:tcW w:w="539" w:type="pct"/>
            <w:vAlign w:val="center"/>
          </w:tcPr>
          <w:p w14:paraId="4641383B">
            <w:pPr>
              <w:pStyle w:val="278"/>
              <w:adjustRightInd w:val="0"/>
              <w:snapToGrid w:val="0"/>
              <w:spacing w:line="300" w:lineRule="exact"/>
              <w:rPr>
                <w:rFonts w:hint="eastAsia" w:cs="宋体"/>
              </w:rPr>
            </w:pPr>
            <w:r>
              <w:rPr>
                <w:rFonts w:hint="eastAsia" w:cs="宋体"/>
              </w:rPr>
              <w:t>45</w:t>
            </w:r>
          </w:p>
        </w:tc>
        <w:tc>
          <w:tcPr>
            <w:tcW w:w="539" w:type="pct"/>
            <w:vAlign w:val="center"/>
          </w:tcPr>
          <w:p w14:paraId="4F1706A6">
            <w:pPr>
              <w:pStyle w:val="278"/>
              <w:adjustRightInd w:val="0"/>
              <w:snapToGrid w:val="0"/>
              <w:spacing w:line="300" w:lineRule="exact"/>
              <w:rPr>
                <w:rFonts w:hint="eastAsia" w:cs="宋体"/>
              </w:rPr>
            </w:pPr>
            <w:r>
              <w:rPr>
                <w:rFonts w:hint="eastAsia" w:cs="宋体"/>
              </w:rPr>
              <w:t>5</w:t>
            </w:r>
            <w:r>
              <w:rPr>
                <w:rFonts w:cs="宋体"/>
              </w:rPr>
              <w:t>0</w:t>
            </w:r>
          </w:p>
        </w:tc>
        <w:tc>
          <w:tcPr>
            <w:tcW w:w="682" w:type="pct"/>
            <w:vAlign w:val="center"/>
          </w:tcPr>
          <w:p w14:paraId="4166F8A1">
            <w:pPr>
              <w:pStyle w:val="278"/>
              <w:adjustRightInd w:val="0"/>
              <w:snapToGrid w:val="0"/>
              <w:spacing w:line="300" w:lineRule="exact"/>
              <w:rPr>
                <w:rFonts w:hint="eastAsia" w:cs="宋体"/>
              </w:rPr>
            </w:pPr>
            <w:r>
              <w:rPr>
                <w:rFonts w:hint="eastAsia" w:cs="宋体"/>
              </w:rPr>
              <w:t>达标</w:t>
            </w:r>
          </w:p>
        </w:tc>
      </w:tr>
      <w:tr w14:paraId="5A6E5F6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69" w:type="pct"/>
            <w:vAlign w:val="center"/>
          </w:tcPr>
          <w:p w14:paraId="5A2222DF">
            <w:pPr>
              <w:pStyle w:val="278"/>
              <w:adjustRightInd w:val="0"/>
              <w:snapToGrid w:val="0"/>
              <w:spacing w:line="300" w:lineRule="exact"/>
              <w:rPr>
                <w:rFonts w:hint="eastAsia" w:cs="宋体"/>
              </w:rPr>
            </w:pPr>
            <w:r>
              <w:rPr>
                <w:rFonts w:hint="eastAsia" w:cs="宋体"/>
              </w:rPr>
              <w:t>Z2</w:t>
            </w:r>
          </w:p>
        </w:tc>
        <w:tc>
          <w:tcPr>
            <w:tcW w:w="782" w:type="pct"/>
            <w:tcBorders>
              <w:left w:val="single" w:color="auto" w:sz="4" w:space="0"/>
            </w:tcBorders>
          </w:tcPr>
          <w:p w14:paraId="525E53A5">
            <w:pPr>
              <w:pStyle w:val="278"/>
              <w:adjustRightInd w:val="0"/>
              <w:snapToGrid w:val="0"/>
              <w:spacing w:line="300" w:lineRule="exact"/>
              <w:rPr>
                <w:rFonts w:hint="eastAsia" w:cs="宋体"/>
              </w:rPr>
            </w:pPr>
            <w:r>
              <w:rPr>
                <w:rFonts w:hint="eastAsia" w:cs="宋体"/>
              </w:rPr>
              <w:t>南厂界</w:t>
            </w:r>
          </w:p>
        </w:tc>
        <w:tc>
          <w:tcPr>
            <w:tcW w:w="629" w:type="pct"/>
            <w:vAlign w:val="center"/>
          </w:tcPr>
          <w:p w14:paraId="6AA098EE">
            <w:pPr>
              <w:pStyle w:val="278"/>
              <w:adjustRightInd w:val="0"/>
              <w:snapToGrid w:val="0"/>
              <w:spacing w:line="300" w:lineRule="exact"/>
              <w:rPr>
                <w:rFonts w:hint="eastAsia" w:cs="宋体"/>
              </w:rPr>
            </w:pPr>
            <w:r>
              <w:rPr>
                <w:rFonts w:hint="eastAsia" w:cs="宋体"/>
              </w:rPr>
              <w:t>47</w:t>
            </w:r>
          </w:p>
        </w:tc>
        <w:tc>
          <w:tcPr>
            <w:tcW w:w="539" w:type="pct"/>
            <w:vAlign w:val="center"/>
          </w:tcPr>
          <w:p w14:paraId="2E17CD16">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721" w:type="pct"/>
            <w:vAlign w:val="center"/>
          </w:tcPr>
          <w:p w14:paraId="62238AAC">
            <w:pPr>
              <w:pStyle w:val="278"/>
              <w:adjustRightInd w:val="0"/>
              <w:snapToGrid w:val="0"/>
              <w:spacing w:line="300" w:lineRule="exact"/>
              <w:rPr>
                <w:rFonts w:hint="eastAsia" w:cs="宋体"/>
              </w:rPr>
            </w:pPr>
            <w:r>
              <w:rPr>
                <w:rFonts w:hint="eastAsia" w:cs="宋体"/>
              </w:rPr>
              <w:t>达标</w:t>
            </w:r>
          </w:p>
        </w:tc>
        <w:tc>
          <w:tcPr>
            <w:tcW w:w="539" w:type="pct"/>
            <w:vAlign w:val="center"/>
          </w:tcPr>
          <w:p w14:paraId="088BE5D8">
            <w:pPr>
              <w:pStyle w:val="278"/>
              <w:adjustRightInd w:val="0"/>
              <w:snapToGrid w:val="0"/>
              <w:spacing w:line="300" w:lineRule="exact"/>
              <w:rPr>
                <w:rFonts w:hint="eastAsia" w:cs="宋体"/>
              </w:rPr>
            </w:pPr>
            <w:r>
              <w:rPr>
                <w:rFonts w:hint="eastAsia" w:cs="宋体"/>
              </w:rPr>
              <w:t>45</w:t>
            </w:r>
          </w:p>
        </w:tc>
        <w:tc>
          <w:tcPr>
            <w:tcW w:w="539" w:type="pct"/>
            <w:vAlign w:val="center"/>
          </w:tcPr>
          <w:p w14:paraId="79FD3E85">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682" w:type="pct"/>
            <w:vAlign w:val="center"/>
          </w:tcPr>
          <w:p w14:paraId="03547738">
            <w:pPr>
              <w:pStyle w:val="278"/>
              <w:adjustRightInd w:val="0"/>
              <w:snapToGrid w:val="0"/>
              <w:spacing w:line="300" w:lineRule="exact"/>
              <w:rPr>
                <w:rFonts w:hint="eastAsia" w:cs="宋体"/>
              </w:rPr>
            </w:pPr>
            <w:r>
              <w:rPr>
                <w:rFonts w:hint="eastAsia" w:cs="宋体"/>
              </w:rPr>
              <w:t>达标</w:t>
            </w:r>
          </w:p>
        </w:tc>
      </w:tr>
      <w:tr w14:paraId="332947F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69" w:type="pct"/>
            <w:vAlign w:val="center"/>
          </w:tcPr>
          <w:p w14:paraId="574EFE3C">
            <w:pPr>
              <w:pStyle w:val="278"/>
              <w:adjustRightInd w:val="0"/>
              <w:snapToGrid w:val="0"/>
              <w:spacing w:line="300" w:lineRule="exact"/>
              <w:rPr>
                <w:rFonts w:hint="eastAsia" w:cs="宋体"/>
              </w:rPr>
            </w:pPr>
            <w:r>
              <w:rPr>
                <w:rFonts w:hint="eastAsia" w:cs="宋体"/>
              </w:rPr>
              <w:t>Z3</w:t>
            </w:r>
          </w:p>
        </w:tc>
        <w:tc>
          <w:tcPr>
            <w:tcW w:w="782" w:type="pct"/>
            <w:tcBorders>
              <w:left w:val="single" w:color="auto" w:sz="4" w:space="0"/>
            </w:tcBorders>
          </w:tcPr>
          <w:p w14:paraId="4A3B2255">
            <w:pPr>
              <w:pStyle w:val="278"/>
              <w:adjustRightInd w:val="0"/>
              <w:snapToGrid w:val="0"/>
              <w:spacing w:line="300" w:lineRule="exact"/>
              <w:rPr>
                <w:rFonts w:hint="eastAsia" w:cs="宋体"/>
              </w:rPr>
            </w:pPr>
            <w:r>
              <w:rPr>
                <w:rFonts w:hint="eastAsia" w:cs="宋体"/>
              </w:rPr>
              <w:t>西厂界</w:t>
            </w:r>
          </w:p>
        </w:tc>
        <w:tc>
          <w:tcPr>
            <w:tcW w:w="629" w:type="pct"/>
            <w:vAlign w:val="center"/>
          </w:tcPr>
          <w:p w14:paraId="0C7C3265">
            <w:pPr>
              <w:pStyle w:val="278"/>
              <w:adjustRightInd w:val="0"/>
              <w:snapToGrid w:val="0"/>
              <w:spacing w:line="300" w:lineRule="exact"/>
              <w:rPr>
                <w:rFonts w:hint="eastAsia" w:cs="宋体"/>
              </w:rPr>
            </w:pPr>
            <w:r>
              <w:rPr>
                <w:rFonts w:hint="eastAsia" w:cs="宋体"/>
              </w:rPr>
              <w:t>48</w:t>
            </w:r>
          </w:p>
        </w:tc>
        <w:tc>
          <w:tcPr>
            <w:tcW w:w="539" w:type="pct"/>
            <w:vAlign w:val="center"/>
          </w:tcPr>
          <w:p w14:paraId="13A60411">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721" w:type="pct"/>
            <w:vAlign w:val="center"/>
          </w:tcPr>
          <w:p w14:paraId="62F6BC91">
            <w:pPr>
              <w:pStyle w:val="278"/>
              <w:adjustRightInd w:val="0"/>
              <w:snapToGrid w:val="0"/>
              <w:spacing w:line="300" w:lineRule="exact"/>
              <w:rPr>
                <w:rFonts w:hint="eastAsia" w:cs="宋体"/>
              </w:rPr>
            </w:pPr>
            <w:r>
              <w:rPr>
                <w:rFonts w:hint="eastAsia" w:cs="宋体"/>
              </w:rPr>
              <w:t>达标</w:t>
            </w:r>
          </w:p>
        </w:tc>
        <w:tc>
          <w:tcPr>
            <w:tcW w:w="539" w:type="pct"/>
            <w:vAlign w:val="center"/>
          </w:tcPr>
          <w:p w14:paraId="2EACEFF4">
            <w:pPr>
              <w:pStyle w:val="278"/>
              <w:adjustRightInd w:val="0"/>
              <w:snapToGrid w:val="0"/>
              <w:spacing w:line="300" w:lineRule="exact"/>
              <w:rPr>
                <w:rFonts w:hint="eastAsia" w:cs="宋体"/>
              </w:rPr>
            </w:pPr>
            <w:r>
              <w:rPr>
                <w:rFonts w:hint="eastAsia" w:cs="宋体"/>
              </w:rPr>
              <w:t>44</w:t>
            </w:r>
          </w:p>
        </w:tc>
        <w:tc>
          <w:tcPr>
            <w:tcW w:w="539" w:type="pct"/>
            <w:vAlign w:val="center"/>
          </w:tcPr>
          <w:p w14:paraId="3B7E1EFC">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682" w:type="pct"/>
            <w:vAlign w:val="center"/>
          </w:tcPr>
          <w:p w14:paraId="70777DFD">
            <w:pPr>
              <w:pStyle w:val="278"/>
              <w:adjustRightInd w:val="0"/>
              <w:snapToGrid w:val="0"/>
              <w:spacing w:line="300" w:lineRule="exact"/>
              <w:rPr>
                <w:rFonts w:hint="eastAsia" w:cs="宋体"/>
              </w:rPr>
            </w:pPr>
            <w:r>
              <w:rPr>
                <w:rFonts w:hint="eastAsia" w:cs="宋体"/>
              </w:rPr>
              <w:t>达标</w:t>
            </w:r>
          </w:p>
        </w:tc>
      </w:tr>
      <w:tr w14:paraId="494B1BB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69" w:type="pct"/>
            <w:vAlign w:val="center"/>
          </w:tcPr>
          <w:p w14:paraId="51BA04A0">
            <w:pPr>
              <w:pStyle w:val="202"/>
              <w:adjustRightInd w:val="0"/>
              <w:snapToGrid w:val="0"/>
              <w:spacing w:line="300" w:lineRule="exact"/>
              <w:ind w:firstLine="0" w:firstLineChars="0"/>
              <w:jc w:val="center"/>
              <w:rPr>
                <w:rFonts w:hint="eastAsia" w:cs="宋体"/>
                <w:b w:val="0"/>
                <w:sz w:val="21"/>
              </w:rPr>
            </w:pPr>
            <w:bookmarkStart w:id="408" w:name="_Toc160381926"/>
            <w:bookmarkStart w:id="409" w:name="_Toc140589485"/>
            <w:bookmarkStart w:id="410" w:name="_Toc155368811"/>
            <w:bookmarkStart w:id="411" w:name="_Toc128752631"/>
            <w:bookmarkStart w:id="412" w:name="_Toc95335292"/>
            <w:bookmarkStart w:id="413" w:name="_Toc96598418"/>
            <w:bookmarkStart w:id="414" w:name="_Toc103514688"/>
            <w:bookmarkStart w:id="415" w:name="_Toc106375836"/>
            <w:bookmarkStart w:id="416" w:name="_Toc147597430"/>
            <w:bookmarkStart w:id="417" w:name="_Toc92281479"/>
            <w:bookmarkStart w:id="418" w:name="_Toc92223315"/>
            <w:bookmarkStart w:id="419" w:name="_Toc22123"/>
            <w:bookmarkStart w:id="420" w:name="_Toc90482185"/>
            <w:r>
              <w:rPr>
                <w:rFonts w:hint="eastAsia" w:cs="宋体"/>
                <w:b w:val="0"/>
                <w:sz w:val="21"/>
              </w:rPr>
              <w:t>Z4</w:t>
            </w:r>
            <w:bookmarkEnd w:id="408"/>
            <w:bookmarkEnd w:id="409"/>
            <w:bookmarkEnd w:id="410"/>
            <w:bookmarkEnd w:id="411"/>
            <w:bookmarkEnd w:id="412"/>
            <w:bookmarkEnd w:id="413"/>
            <w:bookmarkEnd w:id="414"/>
            <w:bookmarkEnd w:id="415"/>
            <w:bookmarkEnd w:id="416"/>
            <w:bookmarkEnd w:id="417"/>
            <w:bookmarkEnd w:id="418"/>
            <w:bookmarkEnd w:id="419"/>
            <w:bookmarkEnd w:id="420"/>
          </w:p>
        </w:tc>
        <w:tc>
          <w:tcPr>
            <w:tcW w:w="782" w:type="pct"/>
            <w:tcBorders>
              <w:left w:val="single" w:color="auto" w:sz="4" w:space="0"/>
            </w:tcBorders>
          </w:tcPr>
          <w:p w14:paraId="10871A44">
            <w:pPr>
              <w:pStyle w:val="278"/>
              <w:adjustRightInd w:val="0"/>
              <w:snapToGrid w:val="0"/>
              <w:spacing w:line="300" w:lineRule="exact"/>
              <w:rPr>
                <w:rFonts w:hint="eastAsia" w:cs="宋体"/>
              </w:rPr>
            </w:pPr>
            <w:r>
              <w:rPr>
                <w:rFonts w:hint="eastAsia" w:cs="宋体"/>
              </w:rPr>
              <w:t>北厂界</w:t>
            </w:r>
          </w:p>
        </w:tc>
        <w:tc>
          <w:tcPr>
            <w:tcW w:w="629" w:type="pct"/>
            <w:vAlign w:val="center"/>
          </w:tcPr>
          <w:p w14:paraId="685055AC">
            <w:pPr>
              <w:pStyle w:val="278"/>
              <w:adjustRightInd w:val="0"/>
              <w:snapToGrid w:val="0"/>
              <w:spacing w:line="300" w:lineRule="exact"/>
              <w:rPr>
                <w:rFonts w:hint="eastAsia" w:cs="宋体"/>
              </w:rPr>
            </w:pPr>
            <w:r>
              <w:rPr>
                <w:rFonts w:hint="eastAsia" w:cs="宋体"/>
              </w:rPr>
              <w:t>45</w:t>
            </w:r>
          </w:p>
        </w:tc>
        <w:tc>
          <w:tcPr>
            <w:tcW w:w="539" w:type="pct"/>
            <w:vAlign w:val="center"/>
          </w:tcPr>
          <w:p w14:paraId="6CF3A8BC">
            <w:pPr>
              <w:adjustRightInd w:val="0"/>
              <w:snapToGrid w:val="0"/>
              <w:spacing w:line="300" w:lineRule="exact"/>
              <w:jc w:val="center"/>
              <w:rPr>
                <w:rFonts w:hint="eastAsia" w:ascii="宋体" w:hAnsi="宋体" w:cs="宋体"/>
                <w:szCs w:val="21"/>
              </w:rPr>
            </w:pPr>
            <w:r>
              <w:rPr>
                <w:rFonts w:hint="eastAsia" w:ascii="宋体" w:hAnsi="宋体" w:cs="宋体"/>
                <w:szCs w:val="21"/>
              </w:rPr>
              <w:t>6</w:t>
            </w:r>
            <w:r>
              <w:rPr>
                <w:rFonts w:ascii="宋体" w:hAnsi="宋体" w:cs="宋体"/>
                <w:szCs w:val="21"/>
              </w:rPr>
              <w:t>0</w:t>
            </w:r>
          </w:p>
        </w:tc>
        <w:tc>
          <w:tcPr>
            <w:tcW w:w="721" w:type="pct"/>
            <w:vAlign w:val="center"/>
          </w:tcPr>
          <w:p w14:paraId="5A9D1ACC">
            <w:pPr>
              <w:pStyle w:val="278"/>
              <w:adjustRightInd w:val="0"/>
              <w:snapToGrid w:val="0"/>
              <w:spacing w:line="300" w:lineRule="exact"/>
              <w:rPr>
                <w:rFonts w:hint="eastAsia" w:cs="宋体"/>
              </w:rPr>
            </w:pPr>
            <w:r>
              <w:rPr>
                <w:rFonts w:hint="eastAsia" w:cs="宋体"/>
              </w:rPr>
              <w:t>达标</w:t>
            </w:r>
          </w:p>
        </w:tc>
        <w:tc>
          <w:tcPr>
            <w:tcW w:w="539" w:type="pct"/>
            <w:vAlign w:val="center"/>
          </w:tcPr>
          <w:p w14:paraId="5819F088">
            <w:pPr>
              <w:pStyle w:val="278"/>
              <w:adjustRightInd w:val="0"/>
              <w:snapToGrid w:val="0"/>
              <w:spacing w:line="300" w:lineRule="exact"/>
              <w:rPr>
                <w:rFonts w:hint="eastAsia" w:cs="宋体"/>
              </w:rPr>
            </w:pPr>
            <w:r>
              <w:rPr>
                <w:rFonts w:hint="eastAsia" w:cs="宋体"/>
              </w:rPr>
              <w:t>42</w:t>
            </w:r>
          </w:p>
        </w:tc>
        <w:tc>
          <w:tcPr>
            <w:tcW w:w="539" w:type="pct"/>
            <w:vAlign w:val="center"/>
          </w:tcPr>
          <w:p w14:paraId="762D64E0">
            <w:pPr>
              <w:adjustRightInd w:val="0"/>
              <w:snapToGrid w:val="0"/>
              <w:spacing w:line="300" w:lineRule="exact"/>
              <w:jc w:val="center"/>
              <w:rPr>
                <w:rFonts w:hint="eastAsia" w:ascii="宋体" w:hAnsi="宋体" w:cs="宋体"/>
                <w:szCs w:val="21"/>
              </w:rPr>
            </w:pPr>
            <w:r>
              <w:rPr>
                <w:rFonts w:hint="eastAsia" w:ascii="宋体" w:hAnsi="宋体" w:cs="宋体"/>
                <w:szCs w:val="21"/>
              </w:rPr>
              <w:t>5</w:t>
            </w:r>
            <w:r>
              <w:rPr>
                <w:rFonts w:ascii="宋体" w:hAnsi="宋体" w:cs="宋体"/>
                <w:szCs w:val="21"/>
              </w:rPr>
              <w:t>0</w:t>
            </w:r>
          </w:p>
        </w:tc>
        <w:tc>
          <w:tcPr>
            <w:tcW w:w="682" w:type="pct"/>
            <w:vAlign w:val="center"/>
          </w:tcPr>
          <w:p w14:paraId="4683CC8D">
            <w:pPr>
              <w:pStyle w:val="278"/>
              <w:adjustRightInd w:val="0"/>
              <w:snapToGrid w:val="0"/>
              <w:spacing w:line="300" w:lineRule="exact"/>
              <w:rPr>
                <w:rFonts w:hint="eastAsia" w:cs="宋体"/>
              </w:rPr>
            </w:pPr>
            <w:r>
              <w:rPr>
                <w:rFonts w:hint="eastAsia" w:cs="宋体"/>
              </w:rPr>
              <w:t>达标</w:t>
            </w:r>
          </w:p>
        </w:tc>
      </w:tr>
    </w:tbl>
    <w:p w14:paraId="444B2B05">
      <w:pPr>
        <w:pStyle w:val="117"/>
        <w:ind w:firstLine="480"/>
        <w:rPr>
          <w:rFonts w:hint="eastAsia"/>
        </w:rPr>
      </w:pPr>
      <w:r>
        <w:rPr>
          <w:rFonts w:hint="eastAsia"/>
        </w:rPr>
        <w:t>由表</w:t>
      </w:r>
      <w:r>
        <w:t>4.3</w:t>
      </w:r>
      <w:r>
        <w:rPr>
          <w:rFonts w:hint="eastAsia"/>
        </w:rPr>
        <w:t>-8可知，各监测点昼、夜噪声值均满足《声环境质量标准》（GB3096-2008）</w:t>
      </w:r>
      <w:r>
        <w:t>2</w:t>
      </w:r>
      <w:r>
        <w:rPr>
          <w:rFonts w:hint="eastAsia"/>
        </w:rPr>
        <w:t>类标准要求。</w:t>
      </w:r>
    </w:p>
    <w:p w14:paraId="12BE4339">
      <w:pPr>
        <w:pStyle w:val="4"/>
        <w:rPr>
          <w:rFonts w:hint="eastAsia"/>
        </w:rPr>
      </w:pPr>
      <w:r>
        <w:rPr>
          <w:rFonts w:hint="eastAsia"/>
        </w:rPr>
        <w:t>土壤环境质量现状调查与评价</w:t>
      </w:r>
    </w:p>
    <w:p w14:paraId="21273445">
      <w:pPr>
        <w:pStyle w:val="117"/>
        <w:ind w:firstLine="480"/>
        <w:rPr>
          <w:rFonts w:hint="eastAsia"/>
        </w:rPr>
      </w:pPr>
      <w:bookmarkStart w:id="421" w:name="_Hlk160379778"/>
      <w:bookmarkStart w:id="422" w:name="_Hlk92209650"/>
      <w:r>
        <w:rPr>
          <w:rFonts w:hint="eastAsia"/>
        </w:rPr>
        <w:t>根据国家土壤信息服务平台数据，项目区土壤类型为盐土，土壤类型见图</w:t>
      </w:r>
      <w:r>
        <w:t>4.3</w:t>
      </w:r>
      <w:r>
        <w:rPr>
          <w:rFonts w:hint="eastAsia"/>
        </w:rPr>
        <w:t>-</w:t>
      </w:r>
      <w:r>
        <w:t>4</w:t>
      </w:r>
      <w:r>
        <w:rPr>
          <w:rFonts w:hint="eastAsia"/>
        </w:rPr>
        <w:t>。</w:t>
      </w:r>
    </w:p>
    <w:p w14:paraId="20F87299">
      <w:pPr>
        <w:pStyle w:val="117"/>
        <w:ind w:firstLine="480"/>
        <w:rPr>
          <w:rFonts w:hint="eastAsia"/>
        </w:rPr>
      </w:pPr>
      <w:r>
        <w:rPr>
          <w:rFonts w:hint="eastAsia"/>
        </w:rPr>
        <w:t>（2）土壤环境质量现状调查及评价</w:t>
      </w:r>
    </w:p>
    <w:p w14:paraId="76511E89">
      <w:pPr>
        <w:pStyle w:val="117"/>
        <w:ind w:firstLine="480"/>
        <w:rPr>
          <w:rFonts w:hint="eastAsia"/>
        </w:rPr>
      </w:pPr>
      <w:r>
        <w:rPr>
          <w:rFonts w:hint="eastAsia"/>
        </w:rPr>
        <w:t>①监测点位</w:t>
      </w:r>
    </w:p>
    <w:p w14:paraId="210D6E80">
      <w:pPr>
        <w:pStyle w:val="117"/>
        <w:ind w:firstLine="480"/>
        <w:rPr>
          <w:rFonts w:hint="eastAsia" w:ascii="黑体" w:hAnsi="黑体" w:eastAsia="黑体" w:cs="黑体"/>
          <w:sz w:val="21"/>
          <w:szCs w:val="21"/>
        </w:rPr>
      </w:pPr>
      <w:bookmarkStart w:id="423" w:name="_Hlk92222817"/>
      <w:r>
        <w:rPr>
          <w:rFonts w:hint="eastAsia"/>
          <w:bCs/>
        </w:rPr>
        <w:t>根据《环境影响评价技术导则  土壤环境（试行）》（HJ964-02018）和《环境影响评价技术导则 陆地石油天然气开发建设项目》（HJ349-2023）判定，</w:t>
      </w:r>
      <w:bookmarkEnd w:id="423"/>
      <w:r>
        <w:rPr>
          <w:rFonts w:hint="eastAsia"/>
          <w:bCs/>
        </w:rPr>
        <w:t>壤污染影响型评价等级为一级评价，土壤生态影响型评价等级为一级评价，根据导则要求，土壤污染影响型应在占地范围内布设5个柱状样、2个表层样，占地范围外布设4个表层样；土壤生态影响型应在占地范围内布设5个表层样，占地范围外布设6个；综合考虑，占地范围内布设5个柱状样、5个表层样，占地范围外布设6个表层样，共计16个监测点</w:t>
      </w:r>
      <w:r>
        <w:rPr>
          <w:rFonts w:hint="eastAsia"/>
        </w:rPr>
        <w:t>，监测点坐标见表</w:t>
      </w:r>
      <w:r>
        <w:t>4.3</w:t>
      </w:r>
      <w:r>
        <w:rPr>
          <w:rFonts w:hint="eastAsia"/>
        </w:rPr>
        <w:t>-9和图4.3-5。</w:t>
      </w:r>
    </w:p>
    <w:p w14:paraId="71DCFDA5">
      <w:pPr>
        <w:pStyle w:val="117"/>
        <w:spacing w:line="360" w:lineRule="auto"/>
        <w:ind w:firstLine="0" w:firstLineChars="0"/>
        <w:rPr>
          <w:rFonts w:hint="eastAsia"/>
        </w:rPr>
      </w:pPr>
      <w:r>
        <w:drawing>
          <wp:inline distT="0" distB="0" distL="0" distR="0">
            <wp:extent cx="5543550" cy="3689350"/>
            <wp:effectExtent l="0" t="0" r="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543550" cy="3689350"/>
                    </a:xfrm>
                    <a:prstGeom prst="rect">
                      <a:avLst/>
                    </a:prstGeom>
                  </pic:spPr>
                </pic:pic>
              </a:graphicData>
            </a:graphic>
          </wp:inline>
        </w:drawing>
      </w:r>
    </w:p>
    <w:p w14:paraId="5D30C7EB">
      <w:pPr>
        <w:pStyle w:val="117"/>
        <w:ind w:firstLine="0" w:firstLineChars="0"/>
        <w:jc w:val="center"/>
        <w:rPr>
          <w:rFonts w:hint="eastAsia" w:ascii="黑体" w:hAnsi="黑体" w:eastAsia="黑体" w:cs="黑体"/>
          <w:sz w:val="21"/>
          <w:szCs w:val="21"/>
        </w:rPr>
      </w:pPr>
      <w:r>
        <w:rPr>
          <w:rFonts w:hint="eastAsia" w:ascii="黑体" w:hAnsi="黑体" w:eastAsia="黑体" w:cs="黑体"/>
          <w:sz w:val="21"/>
          <w:szCs w:val="21"/>
        </w:rPr>
        <w:t>图4</w:t>
      </w:r>
      <w:r>
        <w:rPr>
          <w:rFonts w:ascii="黑体" w:hAnsi="黑体" w:eastAsia="黑体" w:cs="黑体"/>
          <w:sz w:val="21"/>
          <w:szCs w:val="21"/>
        </w:rPr>
        <w:t>.3</w:t>
      </w:r>
      <w:r>
        <w:rPr>
          <w:rFonts w:hint="eastAsia" w:ascii="黑体" w:hAnsi="黑体" w:eastAsia="黑体" w:cs="黑体"/>
          <w:sz w:val="21"/>
          <w:szCs w:val="21"/>
        </w:rPr>
        <w:t>-</w:t>
      </w:r>
      <w:r>
        <w:rPr>
          <w:rFonts w:ascii="黑体" w:hAnsi="黑体" w:eastAsia="黑体" w:cs="黑体"/>
          <w:sz w:val="21"/>
          <w:szCs w:val="21"/>
        </w:rPr>
        <w:t xml:space="preserve">4  </w:t>
      </w:r>
      <w:r>
        <w:rPr>
          <w:rFonts w:hint="eastAsia" w:ascii="黑体" w:hAnsi="黑体" w:eastAsia="黑体" w:cs="黑体"/>
          <w:sz w:val="21"/>
          <w:szCs w:val="21"/>
        </w:rPr>
        <w:t>土壤类型示意图</w:t>
      </w:r>
    </w:p>
    <w:bookmarkEnd w:id="421"/>
    <w:p w14:paraId="69A822C4">
      <w:pPr>
        <w:pStyle w:val="117"/>
        <w:ind w:firstLine="0" w:firstLineChars="0"/>
        <w:jc w:val="center"/>
        <w:rPr>
          <w:rFonts w:hint="eastAsia" w:ascii="黑体" w:hAnsi="黑体" w:eastAsia="黑体" w:cs="黑体"/>
          <w:sz w:val="21"/>
          <w:szCs w:val="21"/>
        </w:rPr>
      </w:pPr>
      <w:r>
        <w:rPr>
          <w:rFonts w:hint="eastAsia" w:ascii="黑体" w:hAnsi="黑体" w:eastAsia="黑体" w:cs="黑体"/>
          <w:sz w:val="21"/>
          <w:szCs w:val="21"/>
        </w:rPr>
        <w:t>表</w:t>
      </w:r>
      <w:r>
        <w:rPr>
          <w:rFonts w:ascii="黑体" w:hAnsi="黑体" w:eastAsia="黑体" w:cs="黑体"/>
          <w:sz w:val="21"/>
          <w:szCs w:val="21"/>
        </w:rPr>
        <w:t>4.3</w:t>
      </w:r>
      <w:r>
        <w:rPr>
          <w:rFonts w:hint="eastAsia" w:ascii="黑体" w:hAnsi="黑体" w:eastAsia="黑体" w:cs="黑体"/>
          <w:sz w:val="21"/>
          <w:szCs w:val="21"/>
        </w:rPr>
        <w:t>-9  实测土壤监测点位</w:t>
      </w:r>
    </w:p>
    <w:tbl>
      <w:tblPr>
        <w:tblStyle w:val="5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746"/>
        <w:gridCol w:w="1601"/>
        <w:gridCol w:w="1809"/>
        <w:gridCol w:w="1703"/>
        <w:gridCol w:w="995"/>
        <w:gridCol w:w="1385"/>
      </w:tblGrid>
      <w:tr w14:paraId="48F011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pct"/>
            <w:gridSpan w:val="3"/>
            <w:vMerge w:val="restart"/>
            <w:vAlign w:val="center"/>
          </w:tcPr>
          <w:p w14:paraId="02BF0F54">
            <w:pPr>
              <w:widowControl/>
              <w:adjustRightInd w:val="0"/>
              <w:snapToGrid w:val="0"/>
              <w:spacing w:line="300" w:lineRule="exact"/>
              <w:ind w:firstLine="420" w:firstLineChars="200"/>
              <w:jc w:val="center"/>
              <w:rPr>
                <w:rFonts w:hint="eastAsia" w:ascii="宋体" w:hAnsi="宋体" w:cs="宋体"/>
                <w:bCs/>
                <w:kern w:val="0"/>
                <w:szCs w:val="21"/>
              </w:rPr>
            </w:pPr>
            <w:r>
              <w:rPr>
                <w:rFonts w:hint="eastAsia" w:ascii="宋体" w:hAnsi="宋体" w:cs="宋体"/>
                <w:bCs/>
                <w:kern w:val="0"/>
                <w:szCs w:val="21"/>
              </w:rPr>
              <w:t>编号</w:t>
            </w:r>
          </w:p>
        </w:tc>
        <w:tc>
          <w:tcPr>
            <w:tcW w:w="1963" w:type="pct"/>
            <w:gridSpan w:val="2"/>
            <w:vAlign w:val="center"/>
          </w:tcPr>
          <w:p w14:paraId="76BBBBA4">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坐标</w:t>
            </w:r>
          </w:p>
        </w:tc>
        <w:tc>
          <w:tcPr>
            <w:tcW w:w="556" w:type="pct"/>
            <w:vMerge w:val="restart"/>
            <w:vAlign w:val="center"/>
          </w:tcPr>
          <w:p w14:paraId="1B1A7047">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性质</w:t>
            </w:r>
          </w:p>
        </w:tc>
        <w:tc>
          <w:tcPr>
            <w:tcW w:w="774" w:type="pct"/>
            <w:vMerge w:val="restart"/>
            <w:vAlign w:val="center"/>
          </w:tcPr>
          <w:p w14:paraId="60521B59">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采样要求</w:t>
            </w:r>
          </w:p>
        </w:tc>
      </w:tr>
      <w:tr w14:paraId="431882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pct"/>
            <w:gridSpan w:val="3"/>
            <w:vMerge w:val="continue"/>
            <w:vAlign w:val="center"/>
          </w:tcPr>
          <w:p w14:paraId="3CCC0DBF">
            <w:pPr>
              <w:widowControl/>
              <w:adjustRightInd w:val="0"/>
              <w:snapToGrid w:val="0"/>
              <w:spacing w:line="300" w:lineRule="exact"/>
              <w:jc w:val="center"/>
              <w:rPr>
                <w:rFonts w:hint="eastAsia" w:ascii="宋体" w:hAnsi="宋体" w:cs="宋体"/>
                <w:bCs/>
                <w:kern w:val="0"/>
                <w:szCs w:val="21"/>
              </w:rPr>
            </w:pPr>
          </w:p>
        </w:tc>
        <w:tc>
          <w:tcPr>
            <w:tcW w:w="1011" w:type="pct"/>
            <w:vAlign w:val="center"/>
          </w:tcPr>
          <w:p w14:paraId="7B383E49">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N</w:t>
            </w:r>
          </w:p>
        </w:tc>
        <w:tc>
          <w:tcPr>
            <w:tcW w:w="952" w:type="pct"/>
            <w:vAlign w:val="center"/>
          </w:tcPr>
          <w:p w14:paraId="37BA77EC">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E</w:t>
            </w:r>
          </w:p>
        </w:tc>
        <w:tc>
          <w:tcPr>
            <w:tcW w:w="556" w:type="pct"/>
            <w:vMerge w:val="continue"/>
            <w:vAlign w:val="center"/>
          </w:tcPr>
          <w:p w14:paraId="079766E3">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5652D73F">
            <w:pPr>
              <w:widowControl/>
              <w:adjustRightInd w:val="0"/>
              <w:snapToGrid w:val="0"/>
              <w:spacing w:line="300" w:lineRule="exact"/>
              <w:jc w:val="center"/>
              <w:rPr>
                <w:rFonts w:hint="eastAsia" w:ascii="宋体" w:hAnsi="宋体" w:cs="宋体"/>
                <w:bCs/>
                <w:kern w:val="0"/>
                <w:szCs w:val="21"/>
              </w:rPr>
            </w:pPr>
          </w:p>
        </w:tc>
      </w:tr>
      <w:tr w14:paraId="748095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restart"/>
            <w:vAlign w:val="center"/>
          </w:tcPr>
          <w:p w14:paraId="1E4D70D8">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占地范围内</w:t>
            </w:r>
          </w:p>
        </w:tc>
        <w:tc>
          <w:tcPr>
            <w:tcW w:w="417" w:type="pct"/>
            <w:vAlign w:val="center"/>
          </w:tcPr>
          <w:p w14:paraId="1BEEC026">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w:t>
            </w:r>
            <w:r>
              <w:rPr>
                <w:rFonts w:ascii="宋体" w:hAnsi="宋体" w:cs="宋体"/>
                <w:bCs/>
                <w:kern w:val="0"/>
                <w:szCs w:val="21"/>
              </w:rPr>
              <w:t>1</w:t>
            </w:r>
          </w:p>
        </w:tc>
        <w:tc>
          <w:tcPr>
            <w:tcW w:w="895" w:type="pct"/>
            <w:vAlign w:val="center"/>
          </w:tcPr>
          <w:p w14:paraId="314E35B1">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206E9082">
            <w:pPr>
              <w:widowControl/>
              <w:adjustRightInd w:val="0"/>
              <w:snapToGrid w:val="0"/>
              <w:spacing w:line="300" w:lineRule="exact"/>
              <w:jc w:val="center"/>
              <w:rPr>
                <w:rFonts w:hint="eastAsia" w:ascii="宋体" w:hAnsi="宋体" w:cs="宋体"/>
                <w:bCs/>
                <w:kern w:val="0"/>
                <w:szCs w:val="21"/>
              </w:rPr>
            </w:pPr>
            <w:bookmarkStart w:id="424" w:name="OLE_LINK256"/>
            <w:r>
              <w:rPr>
                <w:rFonts w:hint="eastAsia" w:ascii="宋体" w:hAnsi="宋体" w:cs="宋体"/>
                <w:bCs/>
                <w:szCs w:val="21"/>
              </w:rPr>
              <w:t>44°11'48.72"</w:t>
            </w:r>
            <w:bookmarkEnd w:id="424"/>
          </w:p>
        </w:tc>
        <w:tc>
          <w:tcPr>
            <w:tcW w:w="952" w:type="pct"/>
            <w:vAlign w:val="center"/>
          </w:tcPr>
          <w:p w14:paraId="4CAA9076">
            <w:pPr>
              <w:widowControl/>
              <w:adjustRightInd w:val="0"/>
              <w:snapToGrid w:val="0"/>
              <w:spacing w:line="300" w:lineRule="exact"/>
              <w:jc w:val="center"/>
              <w:rPr>
                <w:rFonts w:hint="eastAsia" w:ascii="宋体" w:hAnsi="宋体" w:cs="宋体"/>
                <w:bCs/>
                <w:kern w:val="0"/>
                <w:szCs w:val="21"/>
              </w:rPr>
            </w:pPr>
            <w:bookmarkStart w:id="425" w:name="OLE_LINK257"/>
            <w:r>
              <w:rPr>
                <w:rFonts w:hint="eastAsia" w:ascii="宋体" w:hAnsi="宋体" w:cs="宋体"/>
                <w:bCs/>
                <w:szCs w:val="21"/>
              </w:rPr>
              <w:t>89°9'37.59"</w:t>
            </w:r>
            <w:bookmarkEnd w:id="425"/>
          </w:p>
        </w:tc>
        <w:tc>
          <w:tcPr>
            <w:tcW w:w="556" w:type="pct"/>
            <w:vMerge w:val="restart"/>
            <w:vAlign w:val="center"/>
          </w:tcPr>
          <w:p w14:paraId="4674D26A">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柱状样</w:t>
            </w:r>
          </w:p>
        </w:tc>
        <w:tc>
          <w:tcPr>
            <w:tcW w:w="774" w:type="pct"/>
            <w:vMerge w:val="restart"/>
            <w:vAlign w:val="center"/>
          </w:tcPr>
          <w:p w14:paraId="0AB8F44B">
            <w:pPr>
              <w:widowControl/>
              <w:adjustRightInd w:val="0"/>
              <w:snapToGrid w:val="0"/>
              <w:spacing w:line="300" w:lineRule="exact"/>
              <w:jc w:val="center"/>
              <w:rPr>
                <w:rFonts w:hint="eastAsia" w:ascii="宋体" w:hAnsi="宋体" w:cs="宋体"/>
                <w:bCs/>
                <w:kern w:val="0"/>
                <w:szCs w:val="21"/>
              </w:rPr>
            </w:pPr>
            <w:r>
              <w:rPr>
                <w:rFonts w:ascii="宋体" w:hAnsi="宋体" w:cs="宋体"/>
                <w:kern w:val="0"/>
                <w:szCs w:val="21"/>
              </w:rPr>
              <w:t>0</w:t>
            </w:r>
            <w:r>
              <w:rPr>
                <w:rFonts w:hint="eastAsia" w:ascii="宋体" w:hAnsi="宋体" w:cs="宋体"/>
                <w:kern w:val="0"/>
                <w:szCs w:val="21"/>
              </w:rPr>
              <w:t>～</w:t>
            </w:r>
            <w:r>
              <w:rPr>
                <w:rFonts w:ascii="宋体" w:hAnsi="宋体" w:cs="宋体"/>
                <w:kern w:val="0"/>
                <w:szCs w:val="21"/>
              </w:rPr>
              <w:t>0.</w:t>
            </w:r>
            <w:r>
              <w:rPr>
                <w:rFonts w:hint="eastAsia" w:ascii="宋体" w:hAnsi="宋体" w:cs="宋体"/>
                <w:kern w:val="0"/>
                <w:szCs w:val="21"/>
              </w:rPr>
              <w:t>5</w:t>
            </w:r>
            <w:r>
              <w:rPr>
                <w:rFonts w:ascii="宋体" w:hAnsi="宋体" w:cs="宋体"/>
                <w:kern w:val="0"/>
                <w:szCs w:val="21"/>
              </w:rPr>
              <w:t>m</w:t>
            </w:r>
            <w:r>
              <w:rPr>
                <w:rFonts w:hint="eastAsia" w:ascii="宋体" w:hAnsi="宋体" w:cs="宋体"/>
                <w:kern w:val="0"/>
                <w:szCs w:val="21"/>
              </w:rPr>
              <w:t>，</w:t>
            </w:r>
            <w:r>
              <w:rPr>
                <w:rFonts w:ascii="宋体" w:hAnsi="宋体"/>
                <w:bCs/>
                <w:kern w:val="0"/>
                <w:sz w:val="24"/>
                <w:lang w:val="zh-CN"/>
              </w:rPr>
              <w:t>0.5</w:t>
            </w:r>
            <w:r>
              <w:rPr>
                <w:rFonts w:hint="eastAsia" w:ascii="宋体" w:hAnsi="宋体" w:cs="宋体"/>
                <w:kern w:val="0"/>
                <w:szCs w:val="21"/>
              </w:rPr>
              <w:t>～</w:t>
            </w:r>
            <w:r>
              <w:rPr>
                <w:rFonts w:ascii="宋体" w:hAnsi="宋体"/>
                <w:bCs/>
                <w:kern w:val="0"/>
                <w:sz w:val="24"/>
                <w:lang w:val="zh-CN"/>
              </w:rPr>
              <w:t>1.5m、 1.5</w:t>
            </w:r>
            <w:r>
              <w:rPr>
                <w:rFonts w:hint="eastAsia" w:ascii="宋体" w:hAnsi="宋体" w:cs="宋体"/>
                <w:kern w:val="0"/>
                <w:szCs w:val="21"/>
              </w:rPr>
              <w:t>～</w:t>
            </w:r>
            <w:r>
              <w:rPr>
                <w:rFonts w:ascii="宋体" w:hAnsi="宋体"/>
                <w:bCs/>
                <w:kern w:val="0"/>
                <w:sz w:val="24"/>
                <w:lang w:val="zh-CN"/>
              </w:rPr>
              <w:t>3m分别取样</w:t>
            </w:r>
          </w:p>
        </w:tc>
      </w:tr>
      <w:tr w14:paraId="5DE2C7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03E78E1B">
            <w:pPr>
              <w:widowControl/>
              <w:adjustRightInd w:val="0"/>
              <w:snapToGrid w:val="0"/>
              <w:spacing w:line="300" w:lineRule="exact"/>
              <w:jc w:val="center"/>
              <w:rPr>
                <w:rFonts w:hint="eastAsia" w:ascii="宋体" w:hAnsi="宋体" w:cs="宋体"/>
                <w:bCs/>
                <w:kern w:val="0"/>
                <w:szCs w:val="21"/>
              </w:rPr>
            </w:pPr>
          </w:p>
        </w:tc>
        <w:tc>
          <w:tcPr>
            <w:tcW w:w="417" w:type="pct"/>
            <w:vAlign w:val="center"/>
          </w:tcPr>
          <w:p w14:paraId="65436278">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w:t>
            </w:r>
            <w:r>
              <w:rPr>
                <w:rFonts w:ascii="宋体" w:hAnsi="宋体" w:cs="宋体"/>
                <w:bCs/>
                <w:kern w:val="0"/>
                <w:szCs w:val="21"/>
              </w:rPr>
              <w:t>2</w:t>
            </w:r>
          </w:p>
        </w:tc>
        <w:tc>
          <w:tcPr>
            <w:tcW w:w="895" w:type="pct"/>
            <w:vAlign w:val="center"/>
          </w:tcPr>
          <w:p w14:paraId="65258C6E">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6C8934F2">
            <w:pPr>
              <w:widowControl/>
              <w:adjustRightInd w:val="0"/>
              <w:snapToGrid w:val="0"/>
              <w:spacing w:line="300" w:lineRule="exact"/>
              <w:jc w:val="center"/>
              <w:rPr>
                <w:rFonts w:hint="eastAsia" w:ascii="宋体" w:hAnsi="宋体" w:cs="宋体"/>
                <w:bCs/>
                <w:kern w:val="0"/>
                <w:szCs w:val="21"/>
              </w:rPr>
            </w:pPr>
            <w:bookmarkStart w:id="426" w:name="OLE_LINK254"/>
            <w:r>
              <w:rPr>
                <w:rFonts w:hint="eastAsia" w:ascii="宋体" w:hAnsi="宋体" w:cs="宋体"/>
                <w:bCs/>
                <w:szCs w:val="21"/>
              </w:rPr>
              <w:t>44°11'45.75"</w:t>
            </w:r>
            <w:bookmarkEnd w:id="426"/>
          </w:p>
        </w:tc>
        <w:tc>
          <w:tcPr>
            <w:tcW w:w="952" w:type="pct"/>
            <w:vAlign w:val="center"/>
          </w:tcPr>
          <w:p w14:paraId="66C111B6">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szCs w:val="21"/>
              </w:rPr>
              <w:t>89°9'40.05"</w:t>
            </w:r>
          </w:p>
        </w:tc>
        <w:tc>
          <w:tcPr>
            <w:tcW w:w="556" w:type="pct"/>
            <w:vMerge w:val="continue"/>
            <w:vAlign w:val="center"/>
          </w:tcPr>
          <w:p w14:paraId="17D15F3E">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563F851F">
            <w:pPr>
              <w:widowControl/>
              <w:adjustRightInd w:val="0"/>
              <w:snapToGrid w:val="0"/>
              <w:spacing w:line="300" w:lineRule="exact"/>
              <w:jc w:val="center"/>
              <w:rPr>
                <w:rFonts w:hint="eastAsia" w:ascii="宋体" w:hAnsi="宋体" w:cs="宋体"/>
                <w:kern w:val="0"/>
                <w:szCs w:val="21"/>
              </w:rPr>
            </w:pPr>
          </w:p>
        </w:tc>
      </w:tr>
      <w:tr w14:paraId="7EF13F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600E95DC">
            <w:pPr>
              <w:widowControl/>
              <w:adjustRightInd w:val="0"/>
              <w:snapToGrid w:val="0"/>
              <w:spacing w:line="300" w:lineRule="exact"/>
              <w:jc w:val="center"/>
              <w:rPr>
                <w:rFonts w:hint="eastAsia" w:ascii="宋体" w:hAnsi="宋体" w:cs="宋体"/>
                <w:bCs/>
                <w:kern w:val="0"/>
                <w:szCs w:val="21"/>
              </w:rPr>
            </w:pPr>
          </w:p>
        </w:tc>
        <w:tc>
          <w:tcPr>
            <w:tcW w:w="417" w:type="pct"/>
            <w:vAlign w:val="center"/>
          </w:tcPr>
          <w:p w14:paraId="2A97FBC1">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T3</w:t>
            </w:r>
          </w:p>
        </w:tc>
        <w:tc>
          <w:tcPr>
            <w:tcW w:w="895" w:type="pct"/>
            <w:vAlign w:val="center"/>
          </w:tcPr>
          <w:p w14:paraId="23A1E4FF">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14DAC1DD">
            <w:pPr>
              <w:widowControl/>
              <w:adjustRightInd w:val="0"/>
              <w:snapToGrid w:val="0"/>
              <w:spacing w:line="300" w:lineRule="exact"/>
              <w:jc w:val="center"/>
              <w:rPr>
                <w:rFonts w:hint="eastAsia" w:ascii="宋体" w:hAnsi="宋体" w:cs="宋体"/>
                <w:bCs/>
                <w:kern w:val="0"/>
                <w:szCs w:val="21"/>
              </w:rPr>
            </w:pPr>
            <w:bookmarkStart w:id="427" w:name="OLE_LINK252"/>
            <w:r>
              <w:rPr>
                <w:rFonts w:hint="eastAsia" w:ascii="宋体" w:hAnsi="宋体" w:cs="宋体"/>
                <w:bCs/>
                <w:szCs w:val="21"/>
              </w:rPr>
              <w:t>44°11'42.56"</w:t>
            </w:r>
            <w:bookmarkEnd w:id="427"/>
          </w:p>
        </w:tc>
        <w:tc>
          <w:tcPr>
            <w:tcW w:w="952" w:type="pct"/>
            <w:vAlign w:val="center"/>
          </w:tcPr>
          <w:p w14:paraId="274BE9BE">
            <w:pPr>
              <w:widowControl/>
              <w:adjustRightInd w:val="0"/>
              <w:snapToGrid w:val="0"/>
              <w:spacing w:line="300" w:lineRule="exact"/>
              <w:jc w:val="center"/>
              <w:rPr>
                <w:rFonts w:hint="eastAsia" w:ascii="宋体" w:hAnsi="宋体" w:cs="宋体"/>
                <w:bCs/>
                <w:kern w:val="0"/>
                <w:szCs w:val="21"/>
              </w:rPr>
            </w:pPr>
            <w:bookmarkStart w:id="428" w:name="OLE_LINK253"/>
            <w:r>
              <w:rPr>
                <w:rFonts w:hint="eastAsia" w:ascii="宋体" w:hAnsi="宋体" w:cs="宋体"/>
                <w:bCs/>
                <w:szCs w:val="21"/>
              </w:rPr>
              <w:t>89°9'42.60"</w:t>
            </w:r>
            <w:bookmarkEnd w:id="428"/>
          </w:p>
        </w:tc>
        <w:tc>
          <w:tcPr>
            <w:tcW w:w="556" w:type="pct"/>
            <w:vMerge w:val="continue"/>
            <w:vAlign w:val="center"/>
          </w:tcPr>
          <w:p w14:paraId="2652E92E">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55C8444E">
            <w:pPr>
              <w:widowControl/>
              <w:adjustRightInd w:val="0"/>
              <w:snapToGrid w:val="0"/>
              <w:spacing w:line="300" w:lineRule="exact"/>
              <w:jc w:val="center"/>
              <w:rPr>
                <w:rFonts w:hint="eastAsia" w:ascii="宋体" w:hAnsi="宋体" w:cs="宋体"/>
                <w:bCs/>
                <w:kern w:val="0"/>
                <w:szCs w:val="21"/>
              </w:rPr>
            </w:pPr>
          </w:p>
        </w:tc>
      </w:tr>
      <w:tr w14:paraId="6A6F30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082A532E">
            <w:pPr>
              <w:widowControl/>
              <w:adjustRightInd w:val="0"/>
              <w:snapToGrid w:val="0"/>
              <w:spacing w:line="300" w:lineRule="exact"/>
              <w:jc w:val="center"/>
              <w:rPr>
                <w:rFonts w:hint="eastAsia" w:ascii="宋体" w:hAnsi="宋体" w:cs="宋体"/>
                <w:bCs/>
                <w:kern w:val="0"/>
                <w:szCs w:val="21"/>
              </w:rPr>
            </w:pPr>
          </w:p>
        </w:tc>
        <w:tc>
          <w:tcPr>
            <w:tcW w:w="417" w:type="pct"/>
            <w:vAlign w:val="center"/>
          </w:tcPr>
          <w:p w14:paraId="5AC5B0CD">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w:t>
            </w:r>
            <w:r>
              <w:rPr>
                <w:rFonts w:ascii="宋体" w:hAnsi="宋体" w:cs="宋体"/>
                <w:bCs/>
                <w:kern w:val="0"/>
                <w:szCs w:val="21"/>
              </w:rPr>
              <w:t>4</w:t>
            </w:r>
          </w:p>
        </w:tc>
        <w:tc>
          <w:tcPr>
            <w:tcW w:w="895" w:type="pct"/>
            <w:vAlign w:val="center"/>
          </w:tcPr>
          <w:p w14:paraId="6D1C7EF0">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计量站内</w:t>
            </w:r>
          </w:p>
        </w:tc>
        <w:tc>
          <w:tcPr>
            <w:tcW w:w="1011" w:type="pct"/>
            <w:vAlign w:val="center"/>
          </w:tcPr>
          <w:p w14:paraId="793EAE8D">
            <w:pPr>
              <w:widowControl/>
              <w:adjustRightInd w:val="0"/>
              <w:snapToGrid w:val="0"/>
              <w:spacing w:line="300" w:lineRule="exact"/>
              <w:jc w:val="center"/>
              <w:rPr>
                <w:rFonts w:hint="eastAsia" w:ascii="宋体" w:hAnsi="宋体" w:cs="宋体"/>
                <w:bCs/>
                <w:kern w:val="0"/>
                <w:szCs w:val="21"/>
              </w:rPr>
            </w:pPr>
            <w:bookmarkStart w:id="429" w:name="OLE_LINK250"/>
            <w:r>
              <w:rPr>
                <w:rFonts w:hint="eastAsia" w:ascii="宋体" w:hAnsi="宋体" w:cs="宋体"/>
                <w:bCs/>
                <w:szCs w:val="21"/>
              </w:rPr>
              <w:t>44°11'46.28"</w:t>
            </w:r>
            <w:bookmarkEnd w:id="429"/>
          </w:p>
        </w:tc>
        <w:tc>
          <w:tcPr>
            <w:tcW w:w="952" w:type="pct"/>
            <w:vAlign w:val="center"/>
          </w:tcPr>
          <w:p w14:paraId="74BB50AE">
            <w:pPr>
              <w:widowControl/>
              <w:adjustRightInd w:val="0"/>
              <w:snapToGrid w:val="0"/>
              <w:spacing w:line="300" w:lineRule="exact"/>
              <w:jc w:val="center"/>
              <w:rPr>
                <w:rFonts w:hint="eastAsia" w:ascii="宋体" w:hAnsi="宋体" w:cs="宋体"/>
                <w:bCs/>
                <w:kern w:val="0"/>
                <w:szCs w:val="21"/>
              </w:rPr>
            </w:pPr>
            <w:bookmarkStart w:id="430" w:name="OLE_LINK251"/>
            <w:r>
              <w:rPr>
                <w:rFonts w:hint="eastAsia" w:ascii="宋体" w:hAnsi="宋体" w:cs="宋体"/>
                <w:bCs/>
                <w:szCs w:val="21"/>
              </w:rPr>
              <w:t>89°9'43.26"</w:t>
            </w:r>
            <w:bookmarkEnd w:id="430"/>
          </w:p>
        </w:tc>
        <w:tc>
          <w:tcPr>
            <w:tcW w:w="556" w:type="pct"/>
            <w:vMerge w:val="continue"/>
            <w:vAlign w:val="center"/>
          </w:tcPr>
          <w:p w14:paraId="51130DFC">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630C503D">
            <w:pPr>
              <w:widowControl/>
              <w:adjustRightInd w:val="0"/>
              <w:snapToGrid w:val="0"/>
              <w:spacing w:line="300" w:lineRule="exact"/>
              <w:jc w:val="center"/>
              <w:rPr>
                <w:rFonts w:hint="eastAsia" w:ascii="宋体" w:hAnsi="宋体" w:cs="宋体"/>
                <w:bCs/>
                <w:kern w:val="0"/>
                <w:szCs w:val="21"/>
              </w:rPr>
            </w:pPr>
          </w:p>
        </w:tc>
      </w:tr>
      <w:tr w14:paraId="6D88CC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469A8C92">
            <w:pPr>
              <w:widowControl/>
              <w:adjustRightInd w:val="0"/>
              <w:snapToGrid w:val="0"/>
              <w:spacing w:line="300" w:lineRule="exact"/>
              <w:jc w:val="center"/>
              <w:rPr>
                <w:rFonts w:hint="eastAsia" w:ascii="宋体" w:hAnsi="宋体" w:cs="宋体"/>
                <w:bCs/>
                <w:kern w:val="0"/>
                <w:szCs w:val="21"/>
              </w:rPr>
            </w:pPr>
          </w:p>
        </w:tc>
        <w:tc>
          <w:tcPr>
            <w:tcW w:w="417" w:type="pct"/>
            <w:vAlign w:val="center"/>
          </w:tcPr>
          <w:p w14:paraId="320F92E8">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w:t>
            </w:r>
            <w:r>
              <w:rPr>
                <w:rFonts w:ascii="宋体" w:hAnsi="宋体" w:cs="宋体"/>
                <w:bCs/>
                <w:kern w:val="0"/>
                <w:szCs w:val="21"/>
              </w:rPr>
              <w:t>5</w:t>
            </w:r>
          </w:p>
        </w:tc>
        <w:tc>
          <w:tcPr>
            <w:tcW w:w="895" w:type="pct"/>
            <w:vAlign w:val="center"/>
          </w:tcPr>
          <w:p w14:paraId="1A83AE44">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管线沿线</w:t>
            </w:r>
          </w:p>
        </w:tc>
        <w:tc>
          <w:tcPr>
            <w:tcW w:w="1011" w:type="pct"/>
            <w:vAlign w:val="center"/>
          </w:tcPr>
          <w:p w14:paraId="48C13454">
            <w:pPr>
              <w:widowControl/>
              <w:adjustRightInd w:val="0"/>
              <w:snapToGrid w:val="0"/>
              <w:spacing w:line="300" w:lineRule="exact"/>
              <w:jc w:val="center"/>
              <w:rPr>
                <w:rFonts w:hint="eastAsia" w:ascii="宋体" w:hAnsi="宋体" w:cs="宋体"/>
                <w:bCs/>
                <w:kern w:val="0"/>
                <w:szCs w:val="21"/>
              </w:rPr>
            </w:pPr>
            <w:bookmarkStart w:id="431" w:name="OLE_LINK248"/>
            <w:r>
              <w:rPr>
                <w:rFonts w:hint="eastAsia" w:ascii="宋体" w:hAnsi="宋体" w:cs="宋体"/>
                <w:bCs/>
                <w:szCs w:val="21"/>
              </w:rPr>
              <w:t>44°10'59.41"</w:t>
            </w:r>
            <w:bookmarkEnd w:id="431"/>
          </w:p>
        </w:tc>
        <w:tc>
          <w:tcPr>
            <w:tcW w:w="952" w:type="pct"/>
            <w:vAlign w:val="center"/>
          </w:tcPr>
          <w:p w14:paraId="37015B40">
            <w:pPr>
              <w:widowControl/>
              <w:adjustRightInd w:val="0"/>
              <w:snapToGrid w:val="0"/>
              <w:spacing w:line="300" w:lineRule="exact"/>
              <w:jc w:val="center"/>
              <w:rPr>
                <w:rFonts w:hint="eastAsia" w:ascii="宋体" w:hAnsi="宋体" w:cs="宋体"/>
                <w:bCs/>
                <w:kern w:val="0"/>
                <w:szCs w:val="21"/>
              </w:rPr>
            </w:pPr>
            <w:bookmarkStart w:id="432" w:name="OLE_LINK249"/>
            <w:r>
              <w:rPr>
                <w:rFonts w:hint="eastAsia" w:ascii="宋体" w:hAnsi="宋体" w:cs="宋体"/>
                <w:bCs/>
                <w:szCs w:val="21"/>
              </w:rPr>
              <w:t>89°9'38.07"</w:t>
            </w:r>
            <w:bookmarkEnd w:id="432"/>
          </w:p>
        </w:tc>
        <w:tc>
          <w:tcPr>
            <w:tcW w:w="556" w:type="pct"/>
            <w:vMerge w:val="continue"/>
            <w:vAlign w:val="center"/>
          </w:tcPr>
          <w:p w14:paraId="4A166CD5">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595A0543">
            <w:pPr>
              <w:widowControl/>
              <w:adjustRightInd w:val="0"/>
              <w:snapToGrid w:val="0"/>
              <w:spacing w:line="300" w:lineRule="exact"/>
              <w:jc w:val="center"/>
              <w:rPr>
                <w:rFonts w:hint="eastAsia" w:ascii="宋体" w:hAnsi="宋体" w:cs="宋体"/>
                <w:kern w:val="0"/>
                <w:szCs w:val="21"/>
              </w:rPr>
            </w:pPr>
          </w:p>
        </w:tc>
      </w:tr>
      <w:tr w14:paraId="3AA40E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34082FF0">
            <w:pPr>
              <w:widowControl/>
              <w:adjustRightInd w:val="0"/>
              <w:snapToGrid w:val="0"/>
              <w:spacing w:line="300" w:lineRule="exact"/>
              <w:jc w:val="center"/>
              <w:rPr>
                <w:rFonts w:hint="eastAsia" w:ascii="宋体" w:hAnsi="宋体" w:cs="宋体"/>
                <w:bCs/>
                <w:kern w:val="0"/>
                <w:szCs w:val="21"/>
              </w:rPr>
            </w:pPr>
          </w:p>
        </w:tc>
        <w:tc>
          <w:tcPr>
            <w:tcW w:w="417" w:type="pct"/>
            <w:vAlign w:val="center"/>
          </w:tcPr>
          <w:p w14:paraId="3923ECB8">
            <w:pPr>
              <w:widowControl/>
              <w:adjustRightInd w:val="0"/>
              <w:snapToGrid w:val="0"/>
              <w:spacing w:line="300" w:lineRule="exact"/>
              <w:jc w:val="center"/>
              <w:rPr>
                <w:rFonts w:hint="eastAsia" w:ascii="宋体" w:hAnsi="宋体" w:cs="宋体"/>
                <w:bCs/>
                <w:kern w:val="0"/>
                <w:szCs w:val="21"/>
              </w:rPr>
            </w:pPr>
            <w:r>
              <w:rPr>
                <w:rFonts w:ascii="宋体" w:hAnsi="宋体" w:cs="宋体"/>
                <w:bCs/>
                <w:kern w:val="0"/>
                <w:szCs w:val="21"/>
              </w:rPr>
              <w:t>T</w:t>
            </w:r>
            <w:r>
              <w:rPr>
                <w:rFonts w:hint="eastAsia" w:ascii="宋体" w:hAnsi="宋体" w:cs="宋体"/>
                <w:bCs/>
                <w:kern w:val="0"/>
                <w:szCs w:val="21"/>
              </w:rPr>
              <w:t>6</w:t>
            </w:r>
          </w:p>
        </w:tc>
        <w:tc>
          <w:tcPr>
            <w:tcW w:w="895" w:type="pct"/>
            <w:vAlign w:val="top"/>
          </w:tcPr>
          <w:p w14:paraId="323D2337">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6E7CBCAF">
            <w:pPr>
              <w:widowControl/>
              <w:adjustRightInd w:val="0"/>
              <w:snapToGrid w:val="0"/>
              <w:spacing w:line="300" w:lineRule="exact"/>
              <w:jc w:val="center"/>
              <w:rPr>
                <w:rFonts w:hint="eastAsia" w:ascii="宋体" w:hAnsi="宋体" w:cs="宋体"/>
                <w:bCs/>
                <w:kern w:val="0"/>
                <w:szCs w:val="21"/>
              </w:rPr>
            </w:pPr>
            <w:bookmarkStart w:id="433" w:name="OLE_LINK247"/>
            <w:r>
              <w:rPr>
                <w:rFonts w:hint="eastAsia" w:ascii="宋体" w:hAnsi="宋体" w:cs="宋体"/>
                <w:bCs/>
                <w:szCs w:val="21"/>
              </w:rPr>
              <w:t>44°11'48.47"</w:t>
            </w:r>
            <w:bookmarkEnd w:id="433"/>
          </w:p>
        </w:tc>
        <w:tc>
          <w:tcPr>
            <w:tcW w:w="952" w:type="pct"/>
            <w:vAlign w:val="center"/>
          </w:tcPr>
          <w:p w14:paraId="425F7F42">
            <w:pPr>
              <w:widowControl/>
              <w:adjustRightInd w:val="0"/>
              <w:snapToGrid w:val="0"/>
              <w:spacing w:line="300" w:lineRule="exact"/>
              <w:jc w:val="center"/>
              <w:rPr>
                <w:rFonts w:hint="eastAsia" w:ascii="宋体" w:hAnsi="宋体" w:cs="宋体"/>
                <w:bCs/>
                <w:kern w:val="0"/>
                <w:szCs w:val="21"/>
              </w:rPr>
            </w:pPr>
            <w:bookmarkStart w:id="434" w:name="OLE_LINK246"/>
            <w:r>
              <w:rPr>
                <w:rFonts w:hint="eastAsia" w:ascii="宋体" w:hAnsi="宋体" w:cs="宋体"/>
                <w:bCs/>
                <w:szCs w:val="21"/>
              </w:rPr>
              <w:t>89°9'37.76"</w:t>
            </w:r>
            <w:bookmarkEnd w:id="434"/>
          </w:p>
        </w:tc>
        <w:tc>
          <w:tcPr>
            <w:tcW w:w="556" w:type="pct"/>
            <w:vMerge w:val="restart"/>
            <w:vAlign w:val="center"/>
          </w:tcPr>
          <w:p w14:paraId="64A1E037">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表层样</w:t>
            </w:r>
          </w:p>
        </w:tc>
        <w:tc>
          <w:tcPr>
            <w:tcW w:w="774" w:type="pct"/>
            <w:vMerge w:val="restart"/>
            <w:vAlign w:val="center"/>
          </w:tcPr>
          <w:p w14:paraId="312384A2">
            <w:pPr>
              <w:widowControl/>
              <w:adjustRightInd w:val="0"/>
              <w:snapToGrid w:val="0"/>
              <w:spacing w:line="300" w:lineRule="exact"/>
              <w:jc w:val="center"/>
              <w:rPr>
                <w:rFonts w:hint="eastAsia" w:ascii="宋体" w:hAnsi="宋体" w:cs="宋体"/>
                <w:kern w:val="0"/>
                <w:szCs w:val="21"/>
              </w:rPr>
            </w:pPr>
            <w:r>
              <w:rPr>
                <w:rFonts w:ascii="宋体" w:hAnsi="宋体" w:cs="宋体"/>
                <w:kern w:val="0"/>
                <w:szCs w:val="21"/>
              </w:rPr>
              <w:t>0</w:t>
            </w:r>
            <w:r>
              <w:rPr>
                <w:rFonts w:hint="eastAsia" w:ascii="宋体" w:hAnsi="宋体" w:cs="宋体"/>
                <w:kern w:val="0"/>
                <w:szCs w:val="21"/>
              </w:rPr>
              <w:t>～</w:t>
            </w:r>
            <w:r>
              <w:rPr>
                <w:rFonts w:ascii="宋体" w:hAnsi="宋体" w:cs="宋体"/>
                <w:kern w:val="0"/>
                <w:szCs w:val="21"/>
              </w:rPr>
              <w:t>0.2m</w:t>
            </w:r>
            <w:r>
              <w:rPr>
                <w:rFonts w:hint="eastAsia" w:ascii="宋体" w:hAnsi="宋体" w:cs="宋体"/>
                <w:kern w:val="0"/>
                <w:szCs w:val="21"/>
              </w:rPr>
              <w:t>处取样</w:t>
            </w:r>
          </w:p>
        </w:tc>
      </w:tr>
      <w:tr w14:paraId="74EC1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42DA660F">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4F8A3560">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T7</w:t>
            </w:r>
          </w:p>
        </w:tc>
        <w:tc>
          <w:tcPr>
            <w:tcW w:w="895" w:type="pct"/>
            <w:vAlign w:val="top"/>
          </w:tcPr>
          <w:p w14:paraId="042E7B3F">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063ACB6D">
            <w:pPr>
              <w:widowControl/>
              <w:adjustRightInd w:val="0"/>
              <w:snapToGrid w:val="0"/>
              <w:spacing w:line="300" w:lineRule="exact"/>
              <w:jc w:val="center"/>
              <w:rPr>
                <w:rFonts w:hint="eastAsia" w:ascii="宋体" w:hAnsi="宋体" w:cs="宋体"/>
                <w:bCs/>
                <w:kern w:val="0"/>
                <w:szCs w:val="21"/>
              </w:rPr>
            </w:pPr>
            <w:bookmarkStart w:id="435" w:name="OLE_LINK244"/>
            <w:r>
              <w:rPr>
                <w:rFonts w:hint="eastAsia" w:ascii="宋体" w:hAnsi="宋体" w:cs="宋体"/>
                <w:bCs/>
                <w:szCs w:val="21"/>
              </w:rPr>
              <w:t>44°11'45.41"</w:t>
            </w:r>
            <w:bookmarkEnd w:id="435"/>
          </w:p>
        </w:tc>
        <w:tc>
          <w:tcPr>
            <w:tcW w:w="952" w:type="pct"/>
            <w:vAlign w:val="center"/>
          </w:tcPr>
          <w:p w14:paraId="189AB62B">
            <w:pPr>
              <w:widowControl/>
              <w:adjustRightInd w:val="0"/>
              <w:snapToGrid w:val="0"/>
              <w:spacing w:line="300" w:lineRule="exact"/>
              <w:jc w:val="center"/>
              <w:rPr>
                <w:rFonts w:hint="eastAsia" w:ascii="宋体" w:hAnsi="宋体" w:cs="宋体"/>
                <w:bCs/>
                <w:kern w:val="0"/>
                <w:szCs w:val="21"/>
              </w:rPr>
            </w:pPr>
            <w:bookmarkStart w:id="436" w:name="OLE_LINK245"/>
            <w:r>
              <w:rPr>
                <w:rFonts w:hint="eastAsia" w:ascii="宋体" w:hAnsi="宋体" w:cs="宋体"/>
                <w:bCs/>
                <w:szCs w:val="21"/>
              </w:rPr>
              <w:t>89°9'40.31"</w:t>
            </w:r>
            <w:bookmarkEnd w:id="436"/>
          </w:p>
        </w:tc>
        <w:tc>
          <w:tcPr>
            <w:tcW w:w="556" w:type="pct"/>
            <w:vMerge w:val="continue"/>
            <w:vAlign w:val="center"/>
          </w:tcPr>
          <w:p w14:paraId="024B517D">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1E81CEED">
            <w:pPr>
              <w:widowControl/>
              <w:adjustRightInd w:val="0"/>
              <w:snapToGrid w:val="0"/>
              <w:spacing w:line="300" w:lineRule="exact"/>
              <w:jc w:val="center"/>
              <w:rPr>
                <w:rFonts w:hint="eastAsia" w:ascii="宋体" w:hAnsi="宋体" w:cs="宋体"/>
                <w:kern w:val="0"/>
                <w:szCs w:val="21"/>
              </w:rPr>
            </w:pPr>
          </w:p>
        </w:tc>
      </w:tr>
      <w:tr w14:paraId="596E6B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20E85106">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0B792455">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T8</w:t>
            </w:r>
          </w:p>
        </w:tc>
        <w:tc>
          <w:tcPr>
            <w:tcW w:w="895" w:type="pct"/>
            <w:vAlign w:val="top"/>
          </w:tcPr>
          <w:p w14:paraId="4173797E">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06089B7D">
            <w:pPr>
              <w:widowControl/>
              <w:adjustRightInd w:val="0"/>
              <w:snapToGrid w:val="0"/>
              <w:spacing w:line="300" w:lineRule="exact"/>
              <w:jc w:val="center"/>
              <w:rPr>
                <w:rFonts w:hint="eastAsia" w:ascii="宋体" w:hAnsi="宋体" w:cs="宋体"/>
                <w:bCs/>
                <w:kern w:val="0"/>
                <w:szCs w:val="21"/>
              </w:rPr>
            </w:pPr>
            <w:bookmarkStart w:id="437" w:name="OLE_LINK242"/>
            <w:r>
              <w:rPr>
                <w:rFonts w:hint="eastAsia" w:ascii="宋体" w:hAnsi="宋体" w:cs="宋体"/>
                <w:bCs/>
                <w:szCs w:val="21"/>
              </w:rPr>
              <w:t>44°11'46.62"</w:t>
            </w:r>
            <w:bookmarkEnd w:id="437"/>
          </w:p>
        </w:tc>
        <w:tc>
          <w:tcPr>
            <w:tcW w:w="952" w:type="pct"/>
            <w:vAlign w:val="center"/>
          </w:tcPr>
          <w:p w14:paraId="1341AD2E">
            <w:pPr>
              <w:widowControl/>
              <w:adjustRightInd w:val="0"/>
              <w:snapToGrid w:val="0"/>
              <w:spacing w:line="300" w:lineRule="exact"/>
              <w:jc w:val="center"/>
              <w:rPr>
                <w:rFonts w:hint="eastAsia" w:ascii="宋体" w:hAnsi="宋体" w:cs="宋体"/>
                <w:bCs/>
                <w:kern w:val="0"/>
                <w:szCs w:val="21"/>
              </w:rPr>
            </w:pPr>
            <w:bookmarkStart w:id="438" w:name="OLE_LINK243"/>
            <w:r>
              <w:rPr>
                <w:rFonts w:hint="eastAsia" w:ascii="宋体" w:hAnsi="宋体" w:cs="宋体"/>
                <w:bCs/>
                <w:szCs w:val="21"/>
              </w:rPr>
              <w:t>89°9'37.79"</w:t>
            </w:r>
            <w:bookmarkEnd w:id="438"/>
          </w:p>
        </w:tc>
        <w:tc>
          <w:tcPr>
            <w:tcW w:w="556" w:type="pct"/>
            <w:vMerge w:val="continue"/>
            <w:vAlign w:val="center"/>
          </w:tcPr>
          <w:p w14:paraId="599D7BFA">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09A9FD7D">
            <w:pPr>
              <w:widowControl/>
              <w:adjustRightInd w:val="0"/>
              <w:snapToGrid w:val="0"/>
              <w:spacing w:line="300" w:lineRule="exact"/>
              <w:jc w:val="center"/>
              <w:rPr>
                <w:rFonts w:hint="eastAsia" w:ascii="宋体" w:hAnsi="宋体" w:cs="宋体"/>
                <w:kern w:val="0"/>
                <w:szCs w:val="21"/>
              </w:rPr>
            </w:pPr>
          </w:p>
        </w:tc>
      </w:tr>
      <w:tr w14:paraId="6A6F9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7C2B0EBC">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1AE12C06">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T9</w:t>
            </w:r>
          </w:p>
        </w:tc>
        <w:tc>
          <w:tcPr>
            <w:tcW w:w="895" w:type="pct"/>
            <w:vAlign w:val="top"/>
          </w:tcPr>
          <w:p w14:paraId="4B62A10B">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井场内</w:t>
            </w:r>
          </w:p>
        </w:tc>
        <w:tc>
          <w:tcPr>
            <w:tcW w:w="1011" w:type="pct"/>
            <w:vAlign w:val="center"/>
          </w:tcPr>
          <w:p w14:paraId="21C90C0C">
            <w:pPr>
              <w:widowControl/>
              <w:adjustRightInd w:val="0"/>
              <w:snapToGrid w:val="0"/>
              <w:spacing w:line="300" w:lineRule="exact"/>
              <w:jc w:val="center"/>
              <w:rPr>
                <w:rFonts w:hint="eastAsia" w:ascii="宋体" w:hAnsi="宋体" w:cs="宋体"/>
                <w:bCs/>
                <w:kern w:val="0"/>
                <w:szCs w:val="21"/>
              </w:rPr>
            </w:pPr>
            <w:bookmarkStart w:id="439" w:name="OLE_LINK240"/>
            <w:r>
              <w:rPr>
                <w:rFonts w:hint="eastAsia" w:ascii="宋体" w:hAnsi="宋体" w:cs="宋体"/>
                <w:bCs/>
                <w:szCs w:val="21"/>
              </w:rPr>
              <w:t>44°11'43.79"</w:t>
            </w:r>
            <w:bookmarkEnd w:id="439"/>
          </w:p>
        </w:tc>
        <w:tc>
          <w:tcPr>
            <w:tcW w:w="952" w:type="pct"/>
            <w:vAlign w:val="center"/>
          </w:tcPr>
          <w:p w14:paraId="38DFF529">
            <w:pPr>
              <w:widowControl/>
              <w:adjustRightInd w:val="0"/>
              <w:snapToGrid w:val="0"/>
              <w:spacing w:line="300" w:lineRule="exact"/>
              <w:jc w:val="center"/>
              <w:rPr>
                <w:rFonts w:hint="eastAsia" w:ascii="宋体" w:hAnsi="宋体" w:cs="宋体"/>
                <w:bCs/>
                <w:kern w:val="0"/>
                <w:szCs w:val="21"/>
              </w:rPr>
            </w:pPr>
            <w:bookmarkStart w:id="440" w:name="OLE_LINK241"/>
            <w:r>
              <w:rPr>
                <w:rFonts w:hint="eastAsia" w:ascii="宋体" w:hAnsi="宋体" w:cs="宋体"/>
                <w:bCs/>
                <w:szCs w:val="21"/>
              </w:rPr>
              <w:t>89°9'40.67"</w:t>
            </w:r>
            <w:bookmarkEnd w:id="440"/>
          </w:p>
        </w:tc>
        <w:tc>
          <w:tcPr>
            <w:tcW w:w="556" w:type="pct"/>
            <w:vMerge w:val="continue"/>
            <w:vAlign w:val="center"/>
          </w:tcPr>
          <w:p w14:paraId="02CD06B5">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0E86F4F2">
            <w:pPr>
              <w:widowControl/>
              <w:adjustRightInd w:val="0"/>
              <w:snapToGrid w:val="0"/>
              <w:spacing w:line="300" w:lineRule="exact"/>
              <w:jc w:val="center"/>
              <w:rPr>
                <w:rFonts w:hint="eastAsia" w:ascii="宋体" w:hAnsi="宋体" w:cs="宋体"/>
                <w:kern w:val="0"/>
                <w:szCs w:val="21"/>
              </w:rPr>
            </w:pPr>
          </w:p>
        </w:tc>
      </w:tr>
      <w:tr w14:paraId="168B5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56A65422">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45F670CC">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T10</w:t>
            </w:r>
          </w:p>
        </w:tc>
        <w:tc>
          <w:tcPr>
            <w:tcW w:w="895" w:type="pct"/>
            <w:vAlign w:val="center"/>
          </w:tcPr>
          <w:p w14:paraId="1A5210C9">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管线沿线</w:t>
            </w:r>
          </w:p>
        </w:tc>
        <w:tc>
          <w:tcPr>
            <w:tcW w:w="1011" w:type="pct"/>
            <w:vAlign w:val="center"/>
          </w:tcPr>
          <w:p w14:paraId="595ABE38">
            <w:pPr>
              <w:widowControl/>
              <w:adjustRightInd w:val="0"/>
              <w:snapToGrid w:val="0"/>
              <w:spacing w:line="300" w:lineRule="exact"/>
              <w:jc w:val="center"/>
              <w:rPr>
                <w:rFonts w:hint="eastAsia" w:ascii="宋体" w:hAnsi="宋体" w:cs="宋体"/>
                <w:bCs/>
                <w:kern w:val="0"/>
                <w:szCs w:val="21"/>
              </w:rPr>
            </w:pPr>
            <w:bookmarkStart w:id="441" w:name="OLE_LINK238"/>
            <w:r>
              <w:rPr>
                <w:rFonts w:hint="eastAsia" w:ascii="宋体" w:hAnsi="宋体" w:cs="宋体"/>
                <w:bCs/>
                <w:szCs w:val="21"/>
              </w:rPr>
              <w:t>44°10'14.30"</w:t>
            </w:r>
            <w:bookmarkEnd w:id="441"/>
          </w:p>
        </w:tc>
        <w:tc>
          <w:tcPr>
            <w:tcW w:w="952" w:type="pct"/>
            <w:vAlign w:val="center"/>
          </w:tcPr>
          <w:p w14:paraId="094043F6">
            <w:pPr>
              <w:widowControl/>
              <w:adjustRightInd w:val="0"/>
              <w:snapToGrid w:val="0"/>
              <w:spacing w:line="300" w:lineRule="exact"/>
              <w:jc w:val="center"/>
              <w:rPr>
                <w:rFonts w:hint="eastAsia" w:ascii="宋体" w:hAnsi="宋体" w:cs="宋体"/>
                <w:bCs/>
                <w:kern w:val="0"/>
                <w:szCs w:val="21"/>
              </w:rPr>
            </w:pPr>
            <w:bookmarkStart w:id="442" w:name="OLE_LINK239"/>
            <w:r>
              <w:rPr>
                <w:rFonts w:hint="eastAsia" w:ascii="宋体" w:hAnsi="宋体" w:cs="宋体"/>
                <w:bCs/>
                <w:szCs w:val="21"/>
              </w:rPr>
              <w:t>89°9'55.02"</w:t>
            </w:r>
            <w:bookmarkEnd w:id="442"/>
          </w:p>
        </w:tc>
        <w:tc>
          <w:tcPr>
            <w:tcW w:w="556" w:type="pct"/>
            <w:vMerge w:val="continue"/>
            <w:vAlign w:val="center"/>
          </w:tcPr>
          <w:p w14:paraId="017BF123">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0ADE8B1C">
            <w:pPr>
              <w:widowControl/>
              <w:adjustRightInd w:val="0"/>
              <w:snapToGrid w:val="0"/>
              <w:spacing w:line="300" w:lineRule="exact"/>
              <w:jc w:val="center"/>
              <w:rPr>
                <w:rFonts w:hint="eastAsia" w:ascii="宋体" w:hAnsi="宋体" w:cs="宋体"/>
                <w:kern w:val="0"/>
                <w:szCs w:val="21"/>
              </w:rPr>
            </w:pPr>
          </w:p>
        </w:tc>
      </w:tr>
      <w:tr w14:paraId="51261B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restart"/>
            <w:vAlign w:val="center"/>
          </w:tcPr>
          <w:p w14:paraId="7AB86776">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占地范围外</w:t>
            </w:r>
          </w:p>
        </w:tc>
        <w:tc>
          <w:tcPr>
            <w:tcW w:w="417" w:type="pct"/>
            <w:vAlign w:val="top"/>
          </w:tcPr>
          <w:p w14:paraId="0F660BF3">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T11</w:t>
            </w:r>
          </w:p>
        </w:tc>
        <w:tc>
          <w:tcPr>
            <w:tcW w:w="895" w:type="pct"/>
            <w:vAlign w:val="center"/>
          </w:tcPr>
          <w:p w14:paraId="58E51EB3">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井场外</w:t>
            </w:r>
          </w:p>
        </w:tc>
        <w:tc>
          <w:tcPr>
            <w:tcW w:w="1011" w:type="pct"/>
            <w:vAlign w:val="center"/>
          </w:tcPr>
          <w:p w14:paraId="68D7A66C">
            <w:pPr>
              <w:widowControl/>
              <w:adjustRightInd w:val="0"/>
              <w:snapToGrid w:val="0"/>
              <w:spacing w:line="300" w:lineRule="exact"/>
              <w:jc w:val="center"/>
              <w:rPr>
                <w:rFonts w:hint="eastAsia" w:ascii="宋体" w:hAnsi="宋体" w:cs="宋体"/>
                <w:bCs/>
                <w:kern w:val="0"/>
                <w:szCs w:val="21"/>
              </w:rPr>
            </w:pPr>
            <w:bookmarkStart w:id="443" w:name="OLE_LINK236"/>
            <w:r>
              <w:rPr>
                <w:rFonts w:hint="eastAsia" w:ascii="宋体" w:hAnsi="宋体" w:cs="宋体"/>
                <w:bCs/>
                <w:szCs w:val="21"/>
              </w:rPr>
              <w:t>44°11'44.73"</w:t>
            </w:r>
            <w:bookmarkEnd w:id="443"/>
          </w:p>
        </w:tc>
        <w:tc>
          <w:tcPr>
            <w:tcW w:w="952" w:type="pct"/>
            <w:vAlign w:val="center"/>
          </w:tcPr>
          <w:p w14:paraId="34185E91">
            <w:pPr>
              <w:widowControl/>
              <w:adjustRightInd w:val="0"/>
              <w:snapToGrid w:val="0"/>
              <w:spacing w:line="300" w:lineRule="exact"/>
              <w:jc w:val="center"/>
              <w:rPr>
                <w:rFonts w:hint="eastAsia" w:ascii="宋体" w:hAnsi="宋体" w:cs="宋体"/>
                <w:bCs/>
                <w:kern w:val="0"/>
                <w:szCs w:val="21"/>
              </w:rPr>
            </w:pPr>
            <w:bookmarkStart w:id="444" w:name="OLE_LINK237"/>
            <w:r>
              <w:rPr>
                <w:rFonts w:hint="eastAsia" w:ascii="宋体" w:hAnsi="宋体" w:cs="宋体"/>
                <w:bCs/>
                <w:szCs w:val="21"/>
              </w:rPr>
              <w:t>89°9'34.56"</w:t>
            </w:r>
            <w:bookmarkEnd w:id="444"/>
          </w:p>
        </w:tc>
        <w:tc>
          <w:tcPr>
            <w:tcW w:w="556" w:type="pct"/>
            <w:vMerge w:val="restart"/>
            <w:vAlign w:val="center"/>
          </w:tcPr>
          <w:p w14:paraId="25F0B8A5">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表层样</w:t>
            </w:r>
          </w:p>
        </w:tc>
        <w:tc>
          <w:tcPr>
            <w:tcW w:w="774" w:type="pct"/>
            <w:vMerge w:val="restart"/>
            <w:vAlign w:val="center"/>
          </w:tcPr>
          <w:p w14:paraId="1EE84EDC">
            <w:pPr>
              <w:widowControl/>
              <w:adjustRightInd w:val="0"/>
              <w:snapToGrid w:val="0"/>
              <w:spacing w:line="300" w:lineRule="exact"/>
              <w:rPr>
                <w:rFonts w:hint="eastAsia" w:ascii="宋体" w:hAnsi="宋体" w:cs="宋体"/>
                <w:bCs/>
                <w:kern w:val="0"/>
                <w:szCs w:val="21"/>
              </w:rPr>
            </w:pPr>
            <w:r>
              <w:rPr>
                <w:rFonts w:ascii="宋体" w:hAnsi="宋体" w:cs="宋体"/>
                <w:kern w:val="0"/>
                <w:szCs w:val="21"/>
              </w:rPr>
              <w:t>0</w:t>
            </w:r>
            <w:r>
              <w:rPr>
                <w:rFonts w:hint="eastAsia" w:ascii="宋体" w:hAnsi="宋体" w:cs="宋体"/>
                <w:kern w:val="0"/>
                <w:szCs w:val="21"/>
              </w:rPr>
              <w:t>～</w:t>
            </w:r>
            <w:r>
              <w:rPr>
                <w:rFonts w:ascii="宋体" w:hAnsi="宋体" w:cs="宋体"/>
                <w:kern w:val="0"/>
                <w:szCs w:val="21"/>
              </w:rPr>
              <w:t>0.2m</w:t>
            </w:r>
            <w:r>
              <w:rPr>
                <w:rFonts w:hint="eastAsia" w:ascii="宋体" w:hAnsi="宋体" w:cs="宋体"/>
                <w:kern w:val="0"/>
                <w:szCs w:val="21"/>
              </w:rPr>
              <w:t>处取样</w:t>
            </w:r>
          </w:p>
        </w:tc>
      </w:tr>
      <w:tr w14:paraId="33C765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3DF02B1C">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41B2A83D">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T12</w:t>
            </w:r>
          </w:p>
        </w:tc>
        <w:tc>
          <w:tcPr>
            <w:tcW w:w="895" w:type="pct"/>
            <w:vAlign w:val="top"/>
          </w:tcPr>
          <w:p w14:paraId="7DED088B">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井场外</w:t>
            </w:r>
          </w:p>
        </w:tc>
        <w:tc>
          <w:tcPr>
            <w:tcW w:w="1011" w:type="pct"/>
            <w:vAlign w:val="center"/>
          </w:tcPr>
          <w:p w14:paraId="096DBB47">
            <w:pPr>
              <w:widowControl/>
              <w:adjustRightInd w:val="0"/>
              <w:snapToGrid w:val="0"/>
              <w:spacing w:line="300" w:lineRule="exact"/>
              <w:jc w:val="center"/>
              <w:rPr>
                <w:rFonts w:hint="eastAsia" w:ascii="宋体" w:hAnsi="宋体" w:cs="宋体"/>
                <w:bCs/>
                <w:kern w:val="0"/>
                <w:szCs w:val="21"/>
              </w:rPr>
            </w:pPr>
            <w:bookmarkStart w:id="445" w:name="OLE_LINK234"/>
            <w:r>
              <w:rPr>
                <w:rFonts w:hint="eastAsia" w:ascii="宋体" w:hAnsi="宋体" w:cs="宋体"/>
                <w:bCs/>
                <w:szCs w:val="21"/>
              </w:rPr>
              <w:t>44°11'49.16"</w:t>
            </w:r>
            <w:bookmarkEnd w:id="445"/>
          </w:p>
        </w:tc>
        <w:tc>
          <w:tcPr>
            <w:tcW w:w="952" w:type="pct"/>
            <w:vAlign w:val="center"/>
          </w:tcPr>
          <w:p w14:paraId="51B65328">
            <w:pPr>
              <w:widowControl/>
              <w:adjustRightInd w:val="0"/>
              <w:snapToGrid w:val="0"/>
              <w:spacing w:line="300" w:lineRule="exact"/>
              <w:jc w:val="center"/>
              <w:rPr>
                <w:rFonts w:hint="eastAsia" w:ascii="宋体" w:hAnsi="宋体" w:cs="宋体"/>
                <w:bCs/>
                <w:kern w:val="0"/>
                <w:szCs w:val="21"/>
              </w:rPr>
            </w:pPr>
            <w:bookmarkStart w:id="446" w:name="OLE_LINK235"/>
            <w:r>
              <w:rPr>
                <w:rFonts w:hint="eastAsia" w:ascii="宋体" w:hAnsi="宋体" w:cs="宋体"/>
                <w:bCs/>
                <w:szCs w:val="21"/>
              </w:rPr>
              <w:t>89°9'41.44"</w:t>
            </w:r>
            <w:bookmarkEnd w:id="446"/>
          </w:p>
        </w:tc>
        <w:tc>
          <w:tcPr>
            <w:tcW w:w="556" w:type="pct"/>
            <w:vMerge w:val="continue"/>
            <w:vAlign w:val="center"/>
          </w:tcPr>
          <w:p w14:paraId="5AA1007E">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6D9CCF3E">
            <w:pPr>
              <w:widowControl/>
              <w:adjustRightInd w:val="0"/>
              <w:snapToGrid w:val="0"/>
              <w:spacing w:line="300" w:lineRule="exact"/>
              <w:rPr>
                <w:rFonts w:hint="eastAsia" w:ascii="宋体" w:hAnsi="宋体" w:cs="宋体"/>
                <w:kern w:val="0"/>
                <w:szCs w:val="21"/>
              </w:rPr>
            </w:pPr>
          </w:p>
        </w:tc>
      </w:tr>
      <w:tr w14:paraId="1EC3D6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039A2380">
            <w:pPr>
              <w:widowControl/>
              <w:adjustRightInd w:val="0"/>
              <w:snapToGrid w:val="0"/>
              <w:spacing w:line="300" w:lineRule="exact"/>
              <w:jc w:val="center"/>
              <w:rPr>
                <w:rFonts w:hint="eastAsia" w:ascii="宋体" w:hAnsi="宋体" w:cs="宋体"/>
                <w:bCs/>
                <w:kern w:val="0"/>
                <w:szCs w:val="21"/>
              </w:rPr>
            </w:pPr>
            <w:bookmarkStart w:id="447" w:name="_Hlk165969957"/>
          </w:p>
        </w:tc>
        <w:tc>
          <w:tcPr>
            <w:tcW w:w="417" w:type="pct"/>
            <w:vAlign w:val="top"/>
          </w:tcPr>
          <w:p w14:paraId="4B50A2CA">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T13</w:t>
            </w:r>
          </w:p>
        </w:tc>
        <w:tc>
          <w:tcPr>
            <w:tcW w:w="895" w:type="pct"/>
            <w:vAlign w:val="top"/>
          </w:tcPr>
          <w:p w14:paraId="6F820F8C">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井场外</w:t>
            </w:r>
          </w:p>
        </w:tc>
        <w:tc>
          <w:tcPr>
            <w:tcW w:w="1011" w:type="pct"/>
            <w:vAlign w:val="center"/>
          </w:tcPr>
          <w:p w14:paraId="6B9B6AD6">
            <w:pPr>
              <w:widowControl/>
              <w:adjustRightInd w:val="0"/>
              <w:snapToGrid w:val="0"/>
              <w:spacing w:line="300" w:lineRule="exact"/>
              <w:jc w:val="center"/>
              <w:rPr>
                <w:rFonts w:hint="eastAsia" w:ascii="宋体" w:hAnsi="宋体" w:cs="宋体"/>
                <w:bCs/>
                <w:kern w:val="0"/>
                <w:szCs w:val="21"/>
              </w:rPr>
            </w:pPr>
            <w:bookmarkStart w:id="448" w:name="OLE_LINK232"/>
            <w:r>
              <w:rPr>
                <w:rFonts w:hint="eastAsia" w:ascii="宋体" w:hAnsi="宋体" w:cs="宋体"/>
                <w:bCs/>
                <w:szCs w:val="21"/>
              </w:rPr>
              <w:t>44°11'39.81"</w:t>
            </w:r>
            <w:bookmarkEnd w:id="448"/>
          </w:p>
        </w:tc>
        <w:tc>
          <w:tcPr>
            <w:tcW w:w="952" w:type="pct"/>
            <w:vAlign w:val="center"/>
          </w:tcPr>
          <w:p w14:paraId="445E930C">
            <w:pPr>
              <w:widowControl/>
              <w:adjustRightInd w:val="0"/>
              <w:snapToGrid w:val="0"/>
              <w:spacing w:line="300" w:lineRule="exact"/>
              <w:jc w:val="center"/>
              <w:rPr>
                <w:rFonts w:hint="eastAsia" w:ascii="宋体" w:hAnsi="宋体" w:cs="宋体"/>
                <w:bCs/>
                <w:kern w:val="0"/>
                <w:szCs w:val="21"/>
              </w:rPr>
            </w:pPr>
            <w:bookmarkStart w:id="449" w:name="OLE_LINK233"/>
            <w:r>
              <w:rPr>
                <w:rFonts w:hint="eastAsia" w:ascii="宋体" w:hAnsi="宋体" w:cs="宋体"/>
                <w:bCs/>
                <w:szCs w:val="21"/>
              </w:rPr>
              <w:t>89°9'45.50"</w:t>
            </w:r>
            <w:bookmarkEnd w:id="449"/>
          </w:p>
        </w:tc>
        <w:tc>
          <w:tcPr>
            <w:tcW w:w="556" w:type="pct"/>
            <w:vMerge w:val="continue"/>
            <w:vAlign w:val="center"/>
          </w:tcPr>
          <w:p w14:paraId="7B3BFE36">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47944910">
            <w:pPr>
              <w:widowControl/>
              <w:adjustRightInd w:val="0"/>
              <w:snapToGrid w:val="0"/>
              <w:spacing w:line="300" w:lineRule="exact"/>
              <w:rPr>
                <w:rFonts w:hint="eastAsia" w:ascii="宋体" w:hAnsi="宋体" w:cs="宋体"/>
                <w:kern w:val="0"/>
                <w:szCs w:val="21"/>
              </w:rPr>
            </w:pPr>
          </w:p>
        </w:tc>
      </w:tr>
      <w:bookmarkEnd w:id="447"/>
      <w:tr w14:paraId="47FCB0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5A196CC8">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1C6F2C52">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T14</w:t>
            </w:r>
          </w:p>
        </w:tc>
        <w:tc>
          <w:tcPr>
            <w:tcW w:w="895" w:type="pct"/>
            <w:vAlign w:val="center"/>
          </w:tcPr>
          <w:p w14:paraId="7003FC56">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管线沿线外</w:t>
            </w:r>
          </w:p>
        </w:tc>
        <w:tc>
          <w:tcPr>
            <w:tcW w:w="1011" w:type="pct"/>
            <w:vAlign w:val="center"/>
          </w:tcPr>
          <w:p w14:paraId="63F45212">
            <w:pPr>
              <w:widowControl/>
              <w:adjustRightInd w:val="0"/>
              <w:snapToGrid w:val="0"/>
              <w:spacing w:line="300" w:lineRule="exact"/>
              <w:jc w:val="center"/>
              <w:rPr>
                <w:rFonts w:hint="eastAsia" w:ascii="宋体" w:hAnsi="宋体" w:cs="宋体"/>
                <w:bCs/>
                <w:kern w:val="0"/>
                <w:szCs w:val="21"/>
              </w:rPr>
            </w:pPr>
            <w:bookmarkStart w:id="450" w:name="OLE_LINK230"/>
            <w:r>
              <w:rPr>
                <w:rFonts w:hint="eastAsia" w:ascii="宋体" w:hAnsi="宋体" w:cs="宋体"/>
                <w:bCs/>
                <w:szCs w:val="21"/>
              </w:rPr>
              <w:t>44°11'7.58"</w:t>
            </w:r>
            <w:bookmarkEnd w:id="450"/>
          </w:p>
        </w:tc>
        <w:tc>
          <w:tcPr>
            <w:tcW w:w="952" w:type="pct"/>
            <w:vAlign w:val="center"/>
          </w:tcPr>
          <w:p w14:paraId="2EFD6CDC">
            <w:pPr>
              <w:widowControl/>
              <w:adjustRightInd w:val="0"/>
              <w:snapToGrid w:val="0"/>
              <w:spacing w:line="300" w:lineRule="exact"/>
              <w:jc w:val="center"/>
              <w:rPr>
                <w:rFonts w:hint="eastAsia" w:ascii="宋体" w:hAnsi="宋体" w:cs="宋体"/>
                <w:bCs/>
                <w:kern w:val="0"/>
                <w:szCs w:val="21"/>
              </w:rPr>
            </w:pPr>
            <w:bookmarkStart w:id="451" w:name="OLE_LINK231"/>
            <w:r>
              <w:rPr>
                <w:rFonts w:hint="eastAsia" w:ascii="宋体" w:hAnsi="宋体" w:cs="宋体"/>
                <w:bCs/>
                <w:szCs w:val="21"/>
              </w:rPr>
              <w:t>89°9'50.45"</w:t>
            </w:r>
            <w:bookmarkEnd w:id="451"/>
          </w:p>
        </w:tc>
        <w:tc>
          <w:tcPr>
            <w:tcW w:w="556" w:type="pct"/>
            <w:vMerge w:val="continue"/>
            <w:vAlign w:val="center"/>
          </w:tcPr>
          <w:p w14:paraId="4B45F21D">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5566133B">
            <w:pPr>
              <w:widowControl/>
              <w:adjustRightInd w:val="0"/>
              <w:snapToGrid w:val="0"/>
              <w:spacing w:line="300" w:lineRule="exact"/>
              <w:rPr>
                <w:rFonts w:hint="eastAsia" w:ascii="宋体" w:hAnsi="宋体" w:cs="宋体"/>
                <w:kern w:val="0"/>
                <w:szCs w:val="21"/>
              </w:rPr>
            </w:pPr>
          </w:p>
        </w:tc>
      </w:tr>
      <w:tr w14:paraId="6A6C3B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44053D97">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181890BE">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T15</w:t>
            </w:r>
          </w:p>
        </w:tc>
        <w:tc>
          <w:tcPr>
            <w:tcW w:w="895" w:type="pct"/>
            <w:vAlign w:val="top"/>
          </w:tcPr>
          <w:p w14:paraId="0175760F">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管线沿线外</w:t>
            </w:r>
          </w:p>
        </w:tc>
        <w:tc>
          <w:tcPr>
            <w:tcW w:w="1011" w:type="pct"/>
            <w:vAlign w:val="center"/>
          </w:tcPr>
          <w:p w14:paraId="123ED74C">
            <w:pPr>
              <w:widowControl/>
              <w:adjustRightInd w:val="0"/>
              <w:snapToGrid w:val="0"/>
              <w:spacing w:line="300" w:lineRule="exact"/>
              <w:jc w:val="center"/>
              <w:rPr>
                <w:rFonts w:hint="eastAsia" w:ascii="宋体" w:hAnsi="宋体" w:cs="宋体"/>
                <w:bCs/>
                <w:kern w:val="0"/>
                <w:szCs w:val="21"/>
              </w:rPr>
            </w:pPr>
            <w:bookmarkStart w:id="452" w:name="OLE_LINK228"/>
            <w:r>
              <w:rPr>
                <w:rFonts w:hint="eastAsia" w:ascii="宋体" w:hAnsi="宋体" w:cs="宋体"/>
                <w:bCs/>
                <w:szCs w:val="21"/>
              </w:rPr>
              <w:t>44°10'48.02"</w:t>
            </w:r>
            <w:bookmarkEnd w:id="452"/>
          </w:p>
        </w:tc>
        <w:tc>
          <w:tcPr>
            <w:tcW w:w="952" w:type="pct"/>
            <w:vAlign w:val="center"/>
          </w:tcPr>
          <w:p w14:paraId="0FD63AC8">
            <w:pPr>
              <w:widowControl/>
              <w:adjustRightInd w:val="0"/>
              <w:snapToGrid w:val="0"/>
              <w:spacing w:line="300" w:lineRule="exact"/>
              <w:jc w:val="center"/>
              <w:rPr>
                <w:rFonts w:hint="eastAsia" w:ascii="宋体" w:hAnsi="宋体" w:cs="宋体"/>
                <w:bCs/>
                <w:kern w:val="0"/>
                <w:szCs w:val="21"/>
              </w:rPr>
            </w:pPr>
            <w:bookmarkStart w:id="453" w:name="OLE_LINK229"/>
            <w:r>
              <w:rPr>
                <w:rFonts w:hint="eastAsia" w:ascii="宋体" w:hAnsi="宋体" w:cs="宋体"/>
                <w:bCs/>
                <w:szCs w:val="21"/>
              </w:rPr>
              <w:t>89°9'21.17"</w:t>
            </w:r>
            <w:bookmarkEnd w:id="453"/>
          </w:p>
        </w:tc>
        <w:tc>
          <w:tcPr>
            <w:tcW w:w="556" w:type="pct"/>
            <w:vMerge w:val="continue"/>
            <w:vAlign w:val="center"/>
          </w:tcPr>
          <w:p w14:paraId="2899C42A">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2E07559D">
            <w:pPr>
              <w:widowControl/>
              <w:adjustRightInd w:val="0"/>
              <w:snapToGrid w:val="0"/>
              <w:spacing w:line="300" w:lineRule="exact"/>
              <w:rPr>
                <w:rFonts w:hint="eastAsia" w:ascii="宋体" w:hAnsi="宋体" w:cs="宋体"/>
                <w:kern w:val="0"/>
                <w:szCs w:val="21"/>
              </w:rPr>
            </w:pPr>
          </w:p>
        </w:tc>
      </w:tr>
      <w:tr w14:paraId="3D250A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vMerge w:val="continue"/>
            <w:vAlign w:val="center"/>
          </w:tcPr>
          <w:p w14:paraId="553DBA96">
            <w:pPr>
              <w:widowControl/>
              <w:adjustRightInd w:val="0"/>
              <w:snapToGrid w:val="0"/>
              <w:spacing w:line="300" w:lineRule="exact"/>
              <w:jc w:val="center"/>
              <w:rPr>
                <w:rFonts w:hint="eastAsia" w:ascii="宋体" w:hAnsi="宋体" w:cs="宋体"/>
                <w:bCs/>
                <w:kern w:val="0"/>
                <w:szCs w:val="21"/>
              </w:rPr>
            </w:pPr>
          </w:p>
        </w:tc>
        <w:tc>
          <w:tcPr>
            <w:tcW w:w="417" w:type="pct"/>
            <w:vAlign w:val="top"/>
          </w:tcPr>
          <w:p w14:paraId="3C2BEFB3">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T16</w:t>
            </w:r>
          </w:p>
        </w:tc>
        <w:tc>
          <w:tcPr>
            <w:tcW w:w="895" w:type="pct"/>
            <w:vAlign w:val="top"/>
          </w:tcPr>
          <w:p w14:paraId="7C976C62">
            <w:pPr>
              <w:widowControl/>
              <w:adjustRightInd w:val="0"/>
              <w:snapToGrid w:val="0"/>
              <w:spacing w:line="300" w:lineRule="exact"/>
              <w:jc w:val="center"/>
              <w:rPr>
                <w:rFonts w:hint="eastAsia" w:ascii="宋体" w:hAnsi="宋体" w:cs="宋体"/>
                <w:bCs/>
                <w:kern w:val="0"/>
                <w:szCs w:val="21"/>
              </w:rPr>
            </w:pPr>
            <w:r>
              <w:rPr>
                <w:rFonts w:hint="eastAsia" w:ascii="宋体" w:hAnsi="宋体" w:cs="宋体"/>
                <w:bCs/>
                <w:kern w:val="0"/>
                <w:szCs w:val="21"/>
              </w:rPr>
              <w:t>管线沿线外</w:t>
            </w:r>
          </w:p>
        </w:tc>
        <w:tc>
          <w:tcPr>
            <w:tcW w:w="1011" w:type="pct"/>
            <w:vAlign w:val="center"/>
          </w:tcPr>
          <w:p w14:paraId="5825DAF2">
            <w:pPr>
              <w:widowControl/>
              <w:adjustRightInd w:val="0"/>
              <w:snapToGrid w:val="0"/>
              <w:spacing w:line="300" w:lineRule="exact"/>
              <w:jc w:val="center"/>
              <w:rPr>
                <w:rFonts w:hint="eastAsia" w:ascii="宋体" w:hAnsi="宋体" w:cs="宋体"/>
                <w:bCs/>
                <w:kern w:val="0"/>
                <w:szCs w:val="21"/>
              </w:rPr>
            </w:pPr>
            <w:bookmarkStart w:id="454" w:name="OLE_LINK226"/>
            <w:r>
              <w:rPr>
                <w:rFonts w:hint="eastAsia" w:ascii="宋体" w:hAnsi="宋体" w:cs="宋体"/>
                <w:bCs/>
                <w:szCs w:val="21"/>
              </w:rPr>
              <w:t>44°10'30.25"</w:t>
            </w:r>
            <w:bookmarkEnd w:id="454"/>
          </w:p>
        </w:tc>
        <w:tc>
          <w:tcPr>
            <w:tcW w:w="952" w:type="pct"/>
            <w:vAlign w:val="center"/>
          </w:tcPr>
          <w:p w14:paraId="3F4D4CC2">
            <w:pPr>
              <w:widowControl/>
              <w:adjustRightInd w:val="0"/>
              <w:snapToGrid w:val="0"/>
              <w:spacing w:line="300" w:lineRule="exact"/>
              <w:jc w:val="center"/>
              <w:rPr>
                <w:rFonts w:hint="eastAsia" w:ascii="宋体" w:hAnsi="宋体" w:cs="宋体"/>
                <w:bCs/>
                <w:kern w:val="0"/>
                <w:szCs w:val="21"/>
              </w:rPr>
            </w:pPr>
            <w:bookmarkStart w:id="455" w:name="OLE_LINK227"/>
            <w:r>
              <w:rPr>
                <w:rFonts w:hint="eastAsia" w:ascii="宋体" w:hAnsi="宋体" w:cs="宋体"/>
                <w:bCs/>
                <w:szCs w:val="21"/>
              </w:rPr>
              <w:t>89°9'45.30"</w:t>
            </w:r>
            <w:bookmarkEnd w:id="455"/>
          </w:p>
        </w:tc>
        <w:tc>
          <w:tcPr>
            <w:tcW w:w="556" w:type="pct"/>
            <w:vMerge w:val="continue"/>
            <w:vAlign w:val="center"/>
          </w:tcPr>
          <w:p w14:paraId="138675F6">
            <w:pPr>
              <w:widowControl/>
              <w:adjustRightInd w:val="0"/>
              <w:snapToGrid w:val="0"/>
              <w:spacing w:line="300" w:lineRule="exact"/>
              <w:jc w:val="center"/>
              <w:rPr>
                <w:rFonts w:hint="eastAsia" w:ascii="宋体" w:hAnsi="宋体" w:cs="宋体"/>
                <w:bCs/>
                <w:kern w:val="0"/>
                <w:szCs w:val="21"/>
              </w:rPr>
            </w:pPr>
          </w:p>
        </w:tc>
        <w:tc>
          <w:tcPr>
            <w:tcW w:w="774" w:type="pct"/>
            <w:vMerge w:val="continue"/>
            <w:vAlign w:val="center"/>
          </w:tcPr>
          <w:p w14:paraId="28681CC9">
            <w:pPr>
              <w:widowControl/>
              <w:adjustRightInd w:val="0"/>
              <w:snapToGrid w:val="0"/>
              <w:spacing w:line="300" w:lineRule="exact"/>
              <w:rPr>
                <w:rFonts w:hint="eastAsia" w:ascii="宋体" w:hAnsi="宋体" w:cs="宋体"/>
                <w:kern w:val="0"/>
                <w:szCs w:val="21"/>
              </w:rPr>
            </w:pPr>
          </w:p>
        </w:tc>
      </w:tr>
    </w:tbl>
    <w:p w14:paraId="4CA3B40A">
      <w:pPr>
        <w:pStyle w:val="117"/>
        <w:ind w:firstLine="0" w:firstLineChars="0"/>
        <w:jc w:val="center"/>
        <w:rPr>
          <w:rFonts w:hint="eastAsia" w:ascii="黑体" w:hAnsi="黑体" w:eastAsia="黑体" w:cs="黑体"/>
          <w:sz w:val="21"/>
          <w:szCs w:val="21"/>
        </w:rPr>
      </w:pPr>
    </w:p>
    <w:p w14:paraId="27A9E48E">
      <w:pPr>
        <w:pStyle w:val="117"/>
        <w:adjustRightInd w:val="0"/>
        <w:snapToGrid w:val="0"/>
        <w:spacing w:line="360" w:lineRule="auto"/>
        <w:ind w:firstLine="0" w:firstLineChars="0"/>
        <w:rPr>
          <w:rFonts w:hint="eastAsia"/>
          <w:highlight w:val="yellow"/>
        </w:rPr>
      </w:pPr>
      <w:r>
        <w:drawing>
          <wp:inline distT="0" distB="0" distL="0" distR="0">
            <wp:extent cx="5543550" cy="364363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543550" cy="3643630"/>
                    </a:xfrm>
                    <a:prstGeom prst="rect">
                      <a:avLst/>
                    </a:prstGeom>
                  </pic:spPr>
                </pic:pic>
              </a:graphicData>
            </a:graphic>
          </wp:inline>
        </w:drawing>
      </w:r>
    </w:p>
    <w:p w14:paraId="3027C190">
      <w:pPr>
        <w:pStyle w:val="117"/>
        <w:ind w:firstLine="0" w:firstLineChars="0"/>
        <w:jc w:val="center"/>
        <w:rPr>
          <w:rFonts w:hint="eastAsia" w:ascii="黑体" w:hAnsi="黑体" w:eastAsia="黑体" w:cs="黑体"/>
          <w:sz w:val="21"/>
          <w:szCs w:val="21"/>
        </w:rPr>
      </w:pPr>
      <w:r>
        <w:rPr>
          <w:rFonts w:hint="eastAsia" w:ascii="黑体" w:hAnsi="黑体" w:eastAsia="黑体" w:cs="黑体"/>
          <w:sz w:val="21"/>
          <w:szCs w:val="21"/>
        </w:rPr>
        <w:t>图4.3-5  土壤监测布点示意图</w:t>
      </w:r>
    </w:p>
    <w:p w14:paraId="47101736">
      <w:pPr>
        <w:pStyle w:val="117"/>
        <w:adjustRightInd w:val="0"/>
        <w:snapToGrid w:val="0"/>
        <w:ind w:firstLine="480"/>
        <w:rPr>
          <w:rFonts w:hint="eastAsia"/>
        </w:rPr>
      </w:pPr>
      <w:r>
        <w:rPr>
          <w:rFonts w:hint="eastAsia"/>
        </w:rPr>
        <w:t>②监测因子</w:t>
      </w:r>
    </w:p>
    <w:p w14:paraId="0D134603">
      <w:pPr>
        <w:pStyle w:val="117"/>
        <w:adjustRightInd w:val="0"/>
        <w:snapToGrid w:val="0"/>
        <w:ind w:firstLine="480"/>
        <w:rPr>
          <w:rFonts w:hint="eastAsia"/>
        </w:rPr>
      </w:pPr>
      <w:r>
        <w:rPr>
          <w:rFonts w:cs="宋体"/>
        </w:rPr>
        <w:t>T</w:t>
      </w:r>
      <w:r>
        <w:rPr>
          <w:rFonts w:hint="eastAsia" w:cs="宋体"/>
        </w:rPr>
        <w:t>7、T10监测因子为</w:t>
      </w:r>
      <w:r>
        <w:rPr>
          <w:rFonts w:hint="eastAsia"/>
        </w:rPr>
        <w:t>：</w:t>
      </w:r>
      <w:bookmarkStart w:id="456" w:name="OLE_LINK362"/>
      <w:r>
        <w:rPr>
          <w:rFonts w:hint="eastAsia"/>
        </w:rPr>
        <w:t>p</w:t>
      </w:r>
      <w:r>
        <w:t>H</w:t>
      </w:r>
      <w:r>
        <w:rPr>
          <w:rFonts w:hint="eastAsia"/>
        </w:rPr>
        <w:t>、</w:t>
      </w:r>
      <w:r>
        <w:t>砷</w:t>
      </w:r>
      <w:r>
        <w:rPr>
          <w:rFonts w:hint="eastAsia"/>
        </w:rPr>
        <w:t>、</w:t>
      </w:r>
      <w:r>
        <w:t>镉</w:t>
      </w:r>
      <w:r>
        <w:rPr>
          <w:rFonts w:hint="eastAsia"/>
        </w:rPr>
        <w:t>、</w:t>
      </w:r>
      <w:r>
        <w:t>六价铬</w:t>
      </w:r>
      <w:r>
        <w:rPr>
          <w:rFonts w:hint="eastAsia"/>
        </w:rPr>
        <w:t>、</w:t>
      </w:r>
      <w:r>
        <w:t>铜</w:t>
      </w:r>
      <w:r>
        <w:rPr>
          <w:rFonts w:hint="eastAsia"/>
        </w:rPr>
        <w:t>、</w:t>
      </w:r>
      <w:r>
        <w:t>铅</w:t>
      </w:r>
      <w:r>
        <w:rPr>
          <w:rFonts w:hint="eastAsia"/>
        </w:rPr>
        <w:t>、</w:t>
      </w:r>
      <w:r>
        <w:t>汞</w:t>
      </w:r>
      <w:r>
        <w:rPr>
          <w:rFonts w:hint="eastAsia"/>
        </w:rPr>
        <w:t>、</w:t>
      </w:r>
      <w:r>
        <w:t>镍</w:t>
      </w:r>
      <w:r>
        <w:rPr>
          <w:rFonts w:hint="eastAsia"/>
        </w:rPr>
        <w:t>、</w:t>
      </w:r>
      <w:r>
        <w:t>四氯化碳</w:t>
      </w:r>
      <w:r>
        <w:rPr>
          <w:rFonts w:hint="eastAsia"/>
        </w:rPr>
        <w:t>、</w:t>
      </w:r>
      <w:r>
        <w:t>氯仿</w:t>
      </w:r>
      <w:r>
        <w:rPr>
          <w:rFonts w:hint="eastAsia"/>
        </w:rPr>
        <w:t>、</w:t>
      </w:r>
      <w:r>
        <w:t>氯甲烷</w:t>
      </w:r>
      <w:r>
        <w:rPr>
          <w:rFonts w:hint="eastAsia"/>
        </w:rPr>
        <w:t>、</w:t>
      </w:r>
      <w:r>
        <w:t>1，1-二氯乙烷</w:t>
      </w:r>
      <w:r>
        <w:rPr>
          <w:rFonts w:hint="eastAsia"/>
        </w:rPr>
        <w:t>、</w:t>
      </w:r>
      <w:r>
        <w:t>1，2-二氯乙烷</w:t>
      </w:r>
      <w:r>
        <w:rPr>
          <w:rFonts w:hint="eastAsia"/>
        </w:rPr>
        <w:t>、</w:t>
      </w:r>
      <w:r>
        <w:t>1，1-二氯乙烯</w:t>
      </w:r>
      <w:r>
        <w:rPr>
          <w:rFonts w:hint="eastAsia"/>
        </w:rPr>
        <w:t>、</w:t>
      </w:r>
      <w:r>
        <w:t>顺-1，2-二氯乙烯</w:t>
      </w:r>
      <w:r>
        <w:rPr>
          <w:rFonts w:hint="eastAsia"/>
        </w:rPr>
        <w:t>、</w:t>
      </w:r>
      <w:r>
        <w:t>反-1，2-二氯乙烯</w:t>
      </w:r>
      <w:r>
        <w:rPr>
          <w:rFonts w:hint="eastAsia"/>
        </w:rPr>
        <w:t>、</w:t>
      </w:r>
      <w:r>
        <w:t>二氯甲烷</w:t>
      </w:r>
      <w:r>
        <w:rPr>
          <w:rFonts w:hint="eastAsia"/>
        </w:rPr>
        <w:t>、</w:t>
      </w:r>
      <w:r>
        <w:t>1，2-二氯丙烷</w:t>
      </w:r>
      <w:r>
        <w:rPr>
          <w:rFonts w:hint="eastAsia"/>
        </w:rPr>
        <w:t>、</w:t>
      </w:r>
      <w:r>
        <w:t>1，1，1，2-四氯乙烷</w:t>
      </w:r>
      <w:r>
        <w:rPr>
          <w:rFonts w:hint="eastAsia"/>
        </w:rPr>
        <w:t>、</w:t>
      </w:r>
      <w:r>
        <w:t>1，1，2，2-四氯乙烷</w:t>
      </w:r>
      <w:r>
        <w:rPr>
          <w:rFonts w:hint="eastAsia"/>
        </w:rPr>
        <w:t>、</w:t>
      </w:r>
      <w:r>
        <w:t>四氯乙烯</w:t>
      </w:r>
      <w:r>
        <w:rPr>
          <w:rFonts w:hint="eastAsia"/>
        </w:rPr>
        <w:t>、</w:t>
      </w:r>
      <w:r>
        <w:t>1，1，1-三氯乙烷</w:t>
      </w:r>
      <w:r>
        <w:rPr>
          <w:rFonts w:hint="eastAsia"/>
        </w:rPr>
        <w:t>、</w:t>
      </w:r>
      <w:r>
        <w:t>1，1，2-三氯乙烷</w:t>
      </w:r>
      <w:r>
        <w:rPr>
          <w:rFonts w:hint="eastAsia"/>
        </w:rPr>
        <w:t>、</w:t>
      </w:r>
      <w:r>
        <w:t>三氯乙烯</w:t>
      </w:r>
      <w:r>
        <w:rPr>
          <w:rFonts w:hint="eastAsia"/>
        </w:rPr>
        <w:t>、</w:t>
      </w:r>
      <w:r>
        <w:t>1，2，3-三氯丙烷</w:t>
      </w:r>
      <w:r>
        <w:rPr>
          <w:rFonts w:hint="eastAsia"/>
        </w:rPr>
        <w:t>、</w:t>
      </w:r>
      <w:r>
        <w:t>氯乙烯</w:t>
      </w:r>
      <w:r>
        <w:rPr>
          <w:rFonts w:hint="eastAsia"/>
        </w:rPr>
        <w:t>、</w:t>
      </w:r>
      <w:r>
        <w:t>苯</w:t>
      </w:r>
      <w:r>
        <w:rPr>
          <w:rFonts w:hint="eastAsia"/>
        </w:rPr>
        <w:t>、</w:t>
      </w:r>
      <w:r>
        <w:t>氯苯</w:t>
      </w:r>
      <w:r>
        <w:rPr>
          <w:rFonts w:hint="eastAsia"/>
        </w:rPr>
        <w:t>、</w:t>
      </w:r>
      <w:r>
        <w:t>1，2-二氯苯</w:t>
      </w:r>
      <w:r>
        <w:rPr>
          <w:rFonts w:hint="eastAsia"/>
        </w:rPr>
        <w:t>、</w:t>
      </w:r>
      <w:r>
        <w:t>1，4-二氯苯</w:t>
      </w:r>
      <w:r>
        <w:rPr>
          <w:rFonts w:hint="eastAsia"/>
        </w:rPr>
        <w:t>、</w:t>
      </w:r>
      <w:r>
        <w:t>乙苯</w:t>
      </w:r>
      <w:r>
        <w:rPr>
          <w:rFonts w:hint="eastAsia"/>
        </w:rPr>
        <w:t>、</w:t>
      </w:r>
      <w:r>
        <w:t>苯乙烯</w:t>
      </w:r>
      <w:r>
        <w:rPr>
          <w:rFonts w:hint="eastAsia"/>
        </w:rPr>
        <w:t>、</w:t>
      </w:r>
      <w:r>
        <w:t>甲苯</w:t>
      </w:r>
      <w:r>
        <w:rPr>
          <w:rFonts w:hint="eastAsia"/>
        </w:rPr>
        <w:t>、</w:t>
      </w:r>
      <w:r>
        <w:t>间二甲苯+对二甲苯</w:t>
      </w:r>
      <w:r>
        <w:rPr>
          <w:rFonts w:hint="eastAsia"/>
        </w:rPr>
        <w:t>、</w:t>
      </w:r>
      <w:r>
        <w:t>邻二甲苯</w:t>
      </w:r>
      <w:r>
        <w:rPr>
          <w:rFonts w:hint="eastAsia"/>
        </w:rPr>
        <w:t>、</w:t>
      </w:r>
      <w:r>
        <w:t>硝基苯</w:t>
      </w:r>
      <w:r>
        <w:rPr>
          <w:rFonts w:hint="eastAsia"/>
        </w:rPr>
        <w:t>、</w:t>
      </w:r>
      <w:r>
        <w:t>苯胺</w:t>
      </w:r>
      <w:r>
        <w:rPr>
          <w:rFonts w:hint="eastAsia"/>
        </w:rPr>
        <w:t>、</w:t>
      </w:r>
      <w:r>
        <w:t>2-氯酚</w:t>
      </w:r>
      <w:r>
        <w:rPr>
          <w:rFonts w:hint="eastAsia"/>
        </w:rPr>
        <w:t>、</w:t>
      </w:r>
      <w:r>
        <w:t>苯并〔a〕蒽</w:t>
      </w:r>
      <w:r>
        <w:rPr>
          <w:rFonts w:hint="eastAsia"/>
        </w:rPr>
        <w:t>、</w:t>
      </w:r>
      <w:r>
        <w:t>苯并〔a〕芘</w:t>
      </w:r>
      <w:r>
        <w:rPr>
          <w:rFonts w:hint="eastAsia"/>
        </w:rPr>
        <w:t>、</w:t>
      </w:r>
      <w:r>
        <w:t>苯并〔b〕荧蒽</w:t>
      </w:r>
      <w:r>
        <w:rPr>
          <w:rFonts w:hint="eastAsia"/>
        </w:rPr>
        <w:t>、</w:t>
      </w:r>
      <w:r>
        <w:t>苯并〔k〕荧蒽</w:t>
      </w:r>
      <w:r>
        <w:rPr>
          <w:rFonts w:hint="eastAsia"/>
        </w:rPr>
        <w:t>、</w:t>
      </w:r>
      <w:r>
        <w:t>䓛</w:t>
      </w:r>
      <w:r>
        <w:rPr>
          <w:rFonts w:hint="eastAsia"/>
        </w:rPr>
        <w:t>、</w:t>
      </w:r>
      <w:r>
        <w:t>二苯并〔a，h〕蒽</w:t>
      </w:r>
      <w:r>
        <w:rPr>
          <w:rFonts w:hint="eastAsia"/>
        </w:rPr>
        <w:t>、</w:t>
      </w:r>
      <w:r>
        <w:t>茚并〔1，2，3-cd〕芘</w:t>
      </w:r>
      <w:r>
        <w:rPr>
          <w:rFonts w:hint="eastAsia"/>
        </w:rPr>
        <w:t>、</w:t>
      </w:r>
      <w:r>
        <w:t>萘</w:t>
      </w:r>
      <w:r>
        <w:rPr>
          <w:rFonts w:hint="eastAsia"/>
        </w:rPr>
        <w:t>、石油烃、土壤盐分含量</w:t>
      </w:r>
      <w:bookmarkEnd w:id="456"/>
      <w:r>
        <w:rPr>
          <w:rFonts w:hint="eastAsia"/>
        </w:rPr>
        <w:t>，共计4</w:t>
      </w:r>
      <w:r>
        <w:t>8</w:t>
      </w:r>
      <w:r>
        <w:rPr>
          <w:rFonts w:hint="eastAsia"/>
        </w:rPr>
        <w:t>项。</w:t>
      </w:r>
    </w:p>
    <w:p w14:paraId="37719BAF">
      <w:pPr>
        <w:pStyle w:val="117"/>
        <w:adjustRightInd w:val="0"/>
        <w:snapToGrid w:val="0"/>
        <w:ind w:firstLine="480"/>
        <w:rPr>
          <w:rFonts w:hint="eastAsia"/>
        </w:rPr>
      </w:pPr>
      <w:r>
        <w:rPr>
          <w:rFonts w:hint="eastAsia"/>
        </w:rPr>
        <w:t>T11-T16监测因子为：</w:t>
      </w:r>
      <w:bookmarkStart w:id="457" w:name="OLE_LINK363"/>
      <w:r>
        <w:rPr>
          <w:rFonts w:hint="eastAsia"/>
        </w:rPr>
        <w:t>p</w:t>
      </w:r>
      <w:r>
        <w:t>H</w:t>
      </w:r>
      <w:r>
        <w:rPr>
          <w:rFonts w:hint="eastAsia"/>
        </w:rPr>
        <w:t>、</w:t>
      </w:r>
      <w:r>
        <w:t>砷</w:t>
      </w:r>
      <w:r>
        <w:rPr>
          <w:rFonts w:hint="eastAsia"/>
        </w:rPr>
        <w:t>、</w:t>
      </w:r>
      <w:r>
        <w:t>镉</w:t>
      </w:r>
      <w:r>
        <w:rPr>
          <w:rFonts w:hint="eastAsia"/>
        </w:rPr>
        <w:t>、</w:t>
      </w:r>
      <w:r>
        <w:t>六价铬</w:t>
      </w:r>
      <w:r>
        <w:rPr>
          <w:rFonts w:hint="eastAsia"/>
        </w:rPr>
        <w:t>、</w:t>
      </w:r>
      <w:r>
        <w:t>铜</w:t>
      </w:r>
      <w:r>
        <w:rPr>
          <w:rFonts w:hint="eastAsia"/>
        </w:rPr>
        <w:t>、</w:t>
      </w:r>
      <w:r>
        <w:t>铅</w:t>
      </w:r>
      <w:r>
        <w:rPr>
          <w:rFonts w:hint="eastAsia"/>
        </w:rPr>
        <w:t>、</w:t>
      </w:r>
      <w:r>
        <w:t>汞</w:t>
      </w:r>
      <w:r>
        <w:rPr>
          <w:rFonts w:hint="eastAsia"/>
        </w:rPr>
        <w:t>、</w:t>
      </w:r>
      <w:r>
        <w:t>镍</w:t>
      </w:r>
      <w:r>
        <w:rPr>
          <w:rFonts w:hint="eastAsia"/>
        </w:rPr>
        <w:t>、</w:t>
      </w:r>
      <w:r>
        <w:t>四氯化碳</w:t>
      </w:r>
      <w:r>
        <w:rPr>
          <w:rFonts w:hint="eastAsia"/>
        </w:rPr>
        <w:t>、</w:t>
      </w:r>
      <w:r>
        <w:t>氯仿</w:t>
      </w:r>
      <w:r>
        <w:rPr>
          <w:rFonts w:hint="eastAsia"/>
        </w:rPr>
        <w:t>、</w:t>
      </w:r>
      <w:r>
        <w:t>氯甲烷</w:t>
      </w:r>
      <w:r>
        <w:rPr>
          <w:rFonts w:hint="eastAsia"/>
        </w:rPr>
        <w:t>、</w:t>
      </w:r>
      <w:r>
        <w:t>1，1-二氯乙烷</w:t>
      </w:r>
      <w:r>
        <w:rPr>
          <w:rFonts w:hint="eastAsia"/>
        </w:rPr>
        <w:t>、</w:t>
      </w:r>
      <w:r>
        <w:t>1，2-二氯乙烷</w:t>
      </w:r>
      <w:r>
        <w:rPr>
          <w:rFonts w:hint="eastAsia"/>
        </w:rPr>
        <w:t>、</w:t>
      </w:r>
      <w:r>
        <w:t>1，1-二氯乙烯</w:t>
      </w:r>
      <w:r>
        <w:rPr>
          <w:rFonts w:hint="eastAsia"/>
        </w:rPr>
        <w:t>、</w:t>
      </w:r>
      <w:r>
        <w:t>顺-1，2-二氯乙烯</w:t>
      </w:r>
      <w:r>
        <w:rPr>
          <w:rFonts w:hint="eastAsia"/>
        </w:rPr>
        <w:t>、</w:t>
      </w:r>
      <w:r>
        <w:t>反-1，2-二氯乙烯</w:t>
      </w:r>
      <w:r>
        <w:rPr>
          <w:rFonts w:hint="eastAsia"/>
        </w:rPr>
        <w:t>、</w:t>
      </w:r>
      <w:r>
        <w:t>二氯甲烷</w:t>
      </w:r>
      <w:r>
        <w:rPr>
          <w:rFonts w:hint="eastAsia"/>
        </w:rPr>
        <w:t>、</w:t>
      </w:r>
      <w:r>
        <w:t>1，2-二氯丙烷</w:t>
      </w:r>
      <w:r>
        <w:rPr>
          <w:rFonts w:hint="eastAsia"/>
        </w:rPr>
        <w:t>、</w:t>
      </w:r>
      <w:r>
        <w:t>1，1，1，2-四氯乙烷</w:t>
      </w:r>
      <w:r>
        <w:rPr>
          <w:rFonts w:hint="eastAsia"/>
        </w:rPr>
        <w:t>、</w:t>
      </w:r>
      <w:r>
        <w:t>1，1，2，2-四氯乙烷</w:t>
      </w:r>
      <w:r>
        <w:rPr>
          <w:rFonts w:hint="eastAsia"/>
        </w:rPr>
        <w:t>、</w:t>
      </w:r>
      <w:r>
        <w:t>四氯乙烯</w:t>
      </w:r>
      <w:r>
        <w:rPr>
          <w:rFonts w:hint="eastAsia"/>
        </w:rPr>
        <w:t>、</w:t>
      </w:r>
      <w:r>
        <w:t>1，1，1-三氯乙烷</w:t>
      </w:r>
      <w:r>
        <w:rPr>
          <w:rFonts w:hint="eastAsia"/>
        </w:rPr>
        <w:t>、</w:t>
      </w:r>
      <w:r>
        <w:t>1，1，2-三氯乙烷</w:t>
      </w:r>
      <w:r>
        <w:rPr>
          <w:rFonts w:hint="eastAsia"/>
        </w:rPr>
        <w:t>、</w:t>
      </w:r>
      <w:r>
        <w:t>三氯乙烯</w:t>
      </w:r>
      <w:r>
        <w:rPr>
          <w:rFonts w:hint="eastAsia"/>
        </w:rPr>
        <w:t>、</w:t>
      </w:r>
      <w:r>
        <w:t>1，2，3-三氯丙烷</w:t>
      </w:r>
      <w:r>
        <w:rPr>
          <w:rFonts w:hint="eastAsia"/>
        </w:rPr>
        <w:t>、</w:t>
      </w:r>
      <w:r>
        <w:t>氯乙烯</w:t>
      </w:r>
      <w:r>
        <w:rPr>
          <w:rFonts w:hint="eastAsia"/>
        </w:rPr>
        <w:t>、</w:t>
      </w:r>
      <w:r>
        <w:t>苯</w:t>
      </w:r>
      <w:r>
        <w:rPr>
          <w:rFonts w:hint="eastAsia"/>
        </w:rPr>
        <w:t>、</w:t>
      </w:r>
      <w:r>
        <w:t>氯苯</w:t>
      </w:r>
      <w:r>
        <w:rPr>
          <w:rFonts w:hint="eastAsia"/>
        </w:rPr>
        <w:t>、</w:t>
      </w:r>
      <w:r>
        <w:t>1，2-二氯苯</w:t>
      </w:r>
      <w:r>
        <w:rPr>
          <w:rFonts w:hint="eastAsia"/>
        </w:rPr>
        <w:t>、</w:t>
      </w:r>
      <w:r>
        <w:t>1，4-二氯苯</w:t>
      </w:r>
      <w:r>
        <w:rPr>
          <w:rFonts w:hint="eastAsia"/>
        </w:rPr>
        <w:t>、</w:t>
      </w:r>
      <w:r>
        <w:t>乙苯</w:t>
      </w:r>
      <w:r>
        <w:rPr>
          <w:rFonts w:hint="eastAsia"/>
        </w:rPr>
        <w:t>、</w:t>
      </w:r>
      <w:r>
        <w:t>苯乙烯</w:t>
      </w:r>
      <w:r>
        <w:rPr>
          <w:rFonts w:hint="eastAsia"/>
        </w:rPr>
        <w:t>、</w:t>
      </w:r>
      <w:r>
        <w:t>甲苯</w:t>
      </w:r>
      <w:r>
        <w:rPr>
          <w:rFonts w:hint="eastAsia"/>
        </w:rPr>
        <w:t>、</w:t>
      </w:r>
      <w:r>
        <w:t>间二甲苯+对二甲苯</w:t>
      </w:r>
      <w:r>
        <w:rPr>
          <w:rFonts w:hint="eastAsia"/>
        </w:rPr>
        <w:t>、</w:t>
      </w:r>
      <w:r>
        <w:t>邻二甲苯</w:t>
      </w:r>
      <w:r>
        <w:rPr>
          <w:rFonts w:hint="eastAsia"/>
        </w:rPr>
        <w:t>、</w:t>
      </w:r>
      <w:r>
        <w:t>硝基苯</w:t>
      </w:r>
      <w:r>
        <w:rPr>
          <w:rFonts w:hint="eastAsia"/>
        </w:rPr>
        <w:t>、</w:t>
      </w:r>
      <w:r>
        <w:t>苯胺</w:t>
      </w:r>
      <w:r>
        <w:rPr>
          <w:rFonts w:hint="eastAsia"/>
        </w:rPr>
        <w:t>、</w:t>
      </w:r>
      <w:r>
        <w:t>2-氯酚</w:t>
      </w:r>
      <w:r>
        <w:rPr>
          <w:rFonts w:hint="eastAsia"/>
        </w:rPr>
        <w:t>、</w:t>
      </w:r>
      <w:r>
        <w:t>苯并〔a〕蒽</w:t>
      </w:r>
      <w:r>
        <w:rPr>
          <w:rFonts w:hint="eastAsia"/>
        </w:rPr>
        <w:t>、</w:t>
      </w:r>
      <w:r>
        <w:t>苯并〔a〕芘</w:t>
      </w:r>
      <w:r>
        <w:rPr>
          <w:rFonts w:hint="eastAsia"/>
        </w:rPr>
        <w:t>、</w:t>
      </w:r>
      <w:r>
        <w:t>苯并〔b〕荧蒽</w:t>
      </w:r>
      <w:r>
        <w:rPr>
          <w:rFonts w:hint="eastAsia"/>
        </w:rPr>
        <w:t>、</w:t>
      </w:r>
      <w:r>
        <w:t>苯并〔k〕荧蒽</w:t>
      </w:r>
      <w:r>
        <w:rPr>
          <w:rFonts w:hint="eastAsia"/>
        </w:rPr>
        <w:t>、</w:t>
      </w:r>
      <w:r>
        <w:t>䓛</w:t>
      </w:r>
      <w:r>
        <w:rPr>
          <w:rFonts w:hint="eastAsia"/>
        </w:rPr>
        <w:t>、</w:t>
      </w:r>
      <w:r>
        <w:t>二苯并〔a，h〕蒽</w:t>
      </w:r>
      <w:r>
        <w:rPr>
          <w:rFonts w:hint="eastAsia"/>
        </w:rPr>
        <w:t>、</w:t>
      </w:r>
      <w:r>
        <w:t>茚并〔1，2，3-cd〕芘</w:t>
      </w:r>
      <w:r>
        <w:rPr>
          <w:rFonts w:hint="eastAsia"/>
        </w:rPr>
        <w:t>、</w:t>
      </w:r>
      <w:r>
        <w:t>萘</w:t>
      </w:r>
      <w:r>
        <w:rPr>
          <w:rFonts w:hint="eastAsia"/>
        </w:rPr>
        <w:t>、石油烃、土壤盐分含量</w:t>
      </w:r>
      <w:bookmarkEnd w:id="457"/>
      <w:r>
        <w:rPr>
          <w:rFonts w:hint="eastAsia"/>
        </w:rPr>
        <w:t>、铬、锌。</w:t>
      </w:r>
    </w:p>
    <w:p w14:paraId="25DF7FFB">
      <w:pPr>
        <w:pStyle w:val="117"/>
        <w:adjustRightInd w:val="0"/>
        <w:snapToGrid w:val="0"/>
        <w:ind w:firstLine="480"/>
        <w:rPr>
          <w:rFonts w:hint="eastAsia"/>
        </w:rPr>
      </w:pPr>
      <w:r>
        <w:rPr>
          <w:rFonts w:hint="eastAsia"/>
        </w:rPr>
        <w:t>其余监测因子：</w:t>
      </w:r>
      <w:r>
        <w:t>pH</w:t>
      </w:r>
      <w:r>
        <w:rPr>
          <w:rFonts w:hint="eastAsia"/>
        </w:rPr>
        <w:t>、砷、镉、六价铬、铜、铅、汞、镍、四氯化碳、氯仿、氯甲烷、</w:t>
      </w:r>
      <w:r>
        <w:t>1</w:t>
      </w:r>
      <w:r>
        <w:rPr>
          <w:rFonts w:hint="eastAsia"/>
        </w:rPr>
        <w:t>，</w:t>
      </w:r>
      <w:r>
        <w:t>1-</w:t>
      </w:r>
      <w:r>
        <w:rPr>
          <w:rFonts w:hint="eastAsia"/>
        </w:rPr>
        <w:t>二氯乙烷、</w:t>
      </w:r>
      <w:r>
        <w:t>1</w:t>
      </w:r>
      <w:r>
        <w:rPr>
          <w:rFonts w:hint="eastAsia"/>
        </w:rPr>
        <w:t>，</w:t>
      </w:r>
      <w:r>
        <w:t>2-</w:t>
      </w:r>
      <w:r>
        <w:rPr>
          <w:rFonts w:hint="eastAsia"/>
        </w:rPr>
        <w:t>二氯乙烷、</w:t>
      </w:r>
      <w:r>
        <w:t>1</w:t>
      </w:r>
      <w:r>
        <w:rPr>
          <w:rFonts w:hint="eastAsia"/>
        </w:rPr>
        <w:t>，</w:t>
      </w:r>
      <w:r>
        <w:t>1-</w:t>
      </w:r>
      <w:r>
        <w:rPr>
          <w:rFonts w:hint="eastAsia"/>
        </w:rPr>
        <w:t>二氯乙烯、顺</w:t>
      </w:r>
      <w:r>
        <w:t>-1</w:t>
      </w:r>
      <w:r>
        <w:rPr>
          <w:rFonts w:hint="eastAsia"/>
        </w:rPr>
        <w:t>，</w:t>
      </w:r>
      <w:r>
        <w:t>2-</w:t>
      </w:r>
      <w:r>
        <w:rPr>
          <w:rFonts w:hint="eastAsia"/>
        </w:rPr>
        <w:t>二氯乙烯、反</w:t>
      </w:r>
      <w:r>
        <w:t>-1</w:t>
      </w:r>
      <w:r>
        <w:rPr>
          <w:rFonts w:hint="eastAsia"/>
        </w:rPr>
        <w:t>，</w:t>
      </w:r>
      <w:r>
        <w:t>2-</w:t>
      </w:r>
      <w:r>
        <w:rPr>
          <w:rFonts w:hint="eastAsia"/>
        </w:rPr>
        <w:t>二氯乙烯、二氯甲烷、</w:t>
      </w:r>
      <w:r>
        <w:t>1</w:t>
      </w:r>
      <w:r>
        <w:rPr>
          <w:rFonts w:hint="eastAsia"/>
        </w:rPr>
        <w:t>，</w:t>
      </w:r>
      <w:r>
        <w:t>2-</w:t>
      </w:r>
      <w:r>
        <w:rPr>
          <w:rFonts w:hint="eastAsia"/>
        </w:rPr>
        <w:t>二氯丙烷、</w:t>
      </w:r>
      <w:r>
        <w:t>1</w:t>
      </w:r>
      <w:r>
        <w:rPr>
          <w:rFonts w:hint="eastAsia"/>
        </w:rPr>
        <w:t>，</w:t>
      </w:r>
      <w:r>
        <w:t>1</w:t>
      </w:r>
      <w:r>
        <w:rPr>
          <w:rFonts w:hint="eastAsia"/>
        </w:rPr>
        <w:t>，</w:t>
      </w:r>
      <w:r>
        <w:t>1</w:t>
      </w:r>
      <w:r>
        <w:rPr>
          <w:rFonts w:hint="eastAsia"/>
        </w:rPr>
        <w:t>，</w:t>
      </w:r>
      <w:r>
        <w:t>2-</w:t>
      </w:r>
      <w:r>
        <w:rPr>
          <w:rFonts w:hint="eastAsia"/>
        </w:rPr>
        <w:t>四氯乙烷、</w:t>
      </w:r>
      <w:r>
        <w:t>1</w:t>
      </w:r>
      <w:r>
        <w:rPr>
          <w:rFonts w:hint="eastAsia"/>
        </w:rPr>
        <w:t>，</w:t>
      </w:r>
      <w:r>
        <w:t>1</w:t>
      </w:r>
      <w:r>
        <w:rPr>
          <w:rFonts w:hint="eastAsia"/>
        </w:rPr>
        <w:t>，</w:t>
      </w:r>
      <w:r>
        <w:t>2</w:t>
      </w:r>
      <w:r>
        <w:rPr>
          <w:rFonts w:hint="eastAsia"/>
        </w:rPr>
        <w:t>，</w:t>
      </w:r>
      <w:r>
        <w:t>2-</w:t>
      </w:r>
      <w:r>
        <w:rPr>
          <w:rFonts w:hint="eastAsia"/>
        </w:rPr>
        <w:t>四氯乙烷、四氯乙烯、</w:t>
      </w:r>
      <w:r>
        <w:t>1</w:t>
      </w:r>
      <w:r>
        <w:rPr>
          <w:rFonts w:hint="eastAsia"/>
        </w:rPr>
        <w:t>，</w:t>
      </w:r>
      <w:r>
        <w:t>1</w:t>
      </w:r>
      <w:r>
        <w:rPr>
          <w:rFonts w:hint="eastAsia"/>
        </w:rPr>
        <w:t>，</w:t>
      </w:r>
      <w:r>
        <w:t>1-</w:t>
      </w:r>
      <w:r>
        <w:rPr>
          <w:rFonts w:hint="eastAsia"/>
        </w:rPr>
        <w:t>三氯乙烷、</w:t>
      </w:r>
      <w:r>
        <w:t>1</w:t>
      </w:r>
      <w:r>
        <w:rPr>
          <w:rFonts w:hint="eastAsia"/>
        </w:rPr>
        <w:t>，</w:t>
      </w:r>
      <w:r>
        <w:t>1</w:t>
      </w:r>
      <w:r>
        <w:rPr>
          <w:rFonts w:hint="eastAsia"/>
        </w:rPr>
        <w:t>，</w:t>
      </w:r>
      <w:r>
        <w:t>2-</w:t>
      </w:r>
      <w:r>
        <w:rPr>
          <w:rFonts w:hint="eastAsia"/>
        </w:rPr>
        <w:t>三氯乙烷、三氯乙烯、</w:t>
      </w:r>
      <w:r>
        <w:t>1</w:t>
      </w:r>
      <w:r>
        <w:rPr>
          <w:rFonts w:hint="eastAsia"/>
        </w:rPr>
        <w:t>，</w:t>
      </w:r>
      <w:r>
        <w:t>2</w:t>
      </w:r>
      <w:r>
        <w:rPr>
          <w:rFonts w:hint="eastAsia"/>
        </w:rPr>
        <w:t>，</w:t>
      </w:r>
      <w:r>
        <w:t>3-</w:t>
      </w:r>
      <w:r>
        <w:rPr>
          <w:rFonts w:hint="eastAsia"/>
        </w:rPr>
        <w:t>三氯丙烷、氯乙烯、苯、氯苯、</w:t>
      </w:r>
      <w:r>
        <w:t>1</w:t>
      </w:r>
      <w:r>
        <w:rPr>
          <w:rFonts w:hint="eastAsia"/>
        </w:rPr>
        <w:t>，</w:t>
      </w:r>
      <w:r>
        <w:t>2-</w:t>
      </w:r>
      <w:r>
        <w:rPr>
          <w:rFonts w:hint="eastAsia"/>
        </w:rPr>
        <w:t>二氯苯、</w:t>
      </w:r>
      <w:r>
        <w:t>1</w:t>
      </w:r>
      <w:r>
        <w:rPr>
          <w:rFonts w:hint="eastAsia"/>
        </w:rPr>
        <w:t>，</w:t>
      </w:r>
      <w:r>
        <w:t>4-</w:t>
      </w:r>
      <w:r>
        <w:rPr>
          <w:rFonts w:hint="eastAsia"/>
        </w:rPr>
        <w:t>二氯苯、乙苯、苯乙烯、甲苯、间二甲苯</w:t>
      </w:r>
      <w:r>
        <w:t>+</w:t>
      </w:r>
      <w:r>
        <w:rPr>
          <w:rFonts w:hint="eastAsia"/>
        </w:rPr>
        <w:t>对二甲苯、邻二甲苯、硝基苯、</w:t>
      </w:r>
      <w:r>
        <w:t>2-</w:t>
      </w:r>
      <w:r>
        <w:rPr>
          <w:rFonts w:hint="eastAsia"/>
        </w:rPr>
        <w:t>氯酚、苯并〔</w:t>
      </w:r>
      <w:r>
        <w:t>a</w:t>
      </w:r>
      <w:r>
        <w:rPr>
          <w:rFonts w:hint="eastAsia"/>
        </w:rPr>
        <w:t>〕蒽、苯并〔</w:t>
      </w:r>
      <w:r>
        <w:t>a</w:t>
      </w:r>
      <w:r>
        <w:rPr>
          <w:rFonts w:hint="eastAsia"/>
        </w:rPr>
        <w:t>〕芘、苯并〔</w:t>
      </w:r>
      <w:r>
        <w:t>b</w:t>
      </w:r>
      <w:r>
        <w:rPr>
          <w:rFonts w:hint="eastAsia"/>
        </w:rPr>
        <w:t>〕荧蒽、苯并〔</w:t>
      </w:r>
      <w:r>
        <w:t>k</w:t>
      </w:r>
      <w:r>
        <w:rPr>
          <w:rFonts w:hint="eastAsia"/>
        </w:rPr>
        <w:t>〕荧蒽、䓛、二苯并〔</w:t>
      </w:r>
      <w:r>
        <w:t>a</w:t>
      </w:r>
      <w:r>
        <w:rPr>
          <w:rFonts w:hint="eastAsia"/>
        </w:rPr>
        <w:t>，</w:t>
      </w:r>
      <w:r>
        <w:t>h</w:t>
      </w:r>
      <w:r>
        <w:rPr>
          <w:rFonts w:hint="eastAsia"/>
        </w:rPr>
        <w:t>〕蒽、茚并〔</w:t>
      </w:r>
      <w:r>
        <w:t>1</w:t>
      </w:r>
      <w:r>
        <w:rPr>
          <w:rFonts w:hint="eastAsia"/>
        </w:rPr>
        <w:t>，</w:t>
      </w:r>
      <w:r>
        <w:t>2</w:t>
      </w:r>
      <w:r>
        <w:rPr>
          <w:rFonts w:hint="eastAsia"/>
        </w:rPr>
        <w:t>，</w:t>
      </w:r>
      <w:r>
        <w:t>3-cd</w:t>
      </w:r>
      <w:r>
        <w:rPr>
          <w:rFonts w:hint="eastAsia"/>
        </w:rPr>
        <w:t>〕芘、萘、石油烃、土壤盐分含量</w:t>
      </w:r>
    </w:p>
    <w:p w14:paraId="52018B55">
      <w:pPr>
        <w:pStyle w:val="117"/>
        <w:adjustRightInd w:val="0"/>
        <w:snapToGrid w:val="0"/>
        <w:ind w:firstLine="476"/>
        <w:rPr>
          <w:rFonts w:hint="eastAsia"/>
          <w:spacing w:val="-2"/>
        </w:rPr>
      </w:pPr>
      <w:r>
        <w:rPr>
          <w:rFonts w:hint="eastAsia"/>
          <w:spacing w:val="-2"/>
        </w:rPr>
        <w:t>③理化性质调查</w:t>
      </w:r>
    </w:p>
    <w:p w14:paraId="54262B31">
      <w:pPr>
        <w:pStyle w:val="150"/>
        <w:ind w:firstLine="462" w:firstLineChars="196"/>
        <w:rPr>
          <w:rFonts w:hint="eastAsia" w:ascii="宋体" w:hAnsi="宋体"/>
          <w:color w:val="auto"/>
          <w:spacing w:val="-2"/>
        </w:rPr>
      </w:pPr>
      <w:r>
        <w:rPr>
          <w:rFonts w:hint="eastAsia" w:ascii="宋体" w:hAnsi="宋体"/>
          <w:color w:val="auto"/>
          <w:spacing w:val="-2"/>
        </w:rPr>
        <w:t>T2和T5理化性质调查</w:t>
      </w:r>
      <w:r>
        <w:rPr>
          <w:rFonts w:ascii="宋体" w:hAnsi="宋体"/>
          <w:color w:val="auto"/>
          <w:spacing w:val="-2"/>
        </w:rPr>
        <w:t>包括土壤颜色、</w:t>
      </w:r>
      <w:r>
        <w:rPr>
          <w:rFonts w:hint="eastAsia" w:ascii="宋体" w:hAnsi="宋体"/>
          <w:color w:val="auto"/>
          <w:spacing w:val="-2"/>
        </w:rPr>
        <w:t>土壤</w:t>
      </w:r>
      <w:r>
        <w:rPr>
          <w:rFonts w:ascii="宋体" w:hAnsi="宋体"/>
          <w:color w:val="auto"/>
          <w:spacing w:val="-2"/>
        </w:rPr>
        <w:t>结构、土壤质地、</w:t>
      </w:r>
      <w:r>
        <w:rPr>
          <w:rFonts w:hint="eastAsia" w:ascii="宋体" w:hAnsi="宋体"/>
          <w:color w:val="auto"/>
          <w:spacing w:val="-2"/>
        </w:rPr>
        <w:t>砂砾含量、</w:t>
      </w:r>
      <w:r>
        <w:rPr>
          <w:rFonts w:ascii="宋体" w:hAnsi="宋体"/>
          <w:color w:val="auto"/>
          <w:spacing w:val="-2"/>
        </w:rPr>
        <w:t>阳离子交换量、氧化还原电位、饱和导水率、土壤容重、孔隙度。</w:t>
      </w:r>
    </w:p>
    <w:p w14:paraId="6D09DAF8">
      <w:pPr>
        <w:pStyle w:val="117"/>
        <w:ind w:firstLine="480" w:firstLineChars="0"/>
        <w:rPr>
          <w:rFonts w:hint="eastAsia"/>
        </w:rPr>
      </w:pPr>
      <w:r>
        <w:rPr>
          <w:rFonts w:hint="eastAsia"/>
        </w:rPr>
        <w:t>④监测单位及监测时间</w:t>
      </w:r>
    </w:p>
    <w:p w14:paraId="2E22534E">
      <w:pPr>
        <w:pStyle w:val="117"/>
        <w:spacing w:line="480" w:lineRule="exact"/>
        <w:ind w:firstLine="480"/>
        <w:rPr>
          <w:rFonts w:hint="eastAsia"/>
        </w:rPr>
      </w:pPr>
      <w:r>
        <w:rPr>
          <w:rFonts w:hint="eastAsia"/>
        </w:rPr>
        <w:t>采样时间：2024年7月12日。</w:t>
      </w:r>
    </w:p>
    <w:p w14:paraId="4A09319B">
      <w:pPr>
        <w:pStyle w:val="117"/>
        <w:spacing w:line="480" w:lineRule="exact"/>
        <w:ind w:firstLine="480"/>
        <w:rPr>
          <w:rFonts w:hint="eastAsia" w:cs="宋体"/>
          <w:lang w:bidi="ar"/>
        </w:rPr>
      </w:pPr>
      <w:r>
        <w:rPr>
          <w:rFonts w:hint="eastAsia"/>
        </w:rPr>
        <w:t>监测单位：</w:t>
      </w:r>
      <w:bookmarkEnd w:id="422"/>
      <w:r>
        <w:rPr>
          <w:rFonts w:hint="eastAsia"/>
        </w:rPr>
        <w:t>新疆环疆绿源环保科技有限公司。</w:t>
      </w:r>
    </w:p>
    <w:p w14:paraId="14A85D8A">
      <w:pPr>
        <w:pStyle w:val="117"/>
        <w:spacing w:line="480" w:lineRule="exact"/>
        <w:ind w:firstLine="480"/>
        <w:rPr>
          <w:rFonts w:hint="eastAsia"/>
        </w:rPr>
      </w:pPr>
      <w:r>
        <w:rPr>
          <w:rFonts w:hint="eastAsia"/>
        </w:rPr>
        <w:t>⑤评价标准</w:t>
      </w:r>
    </w:p>
    <w:p w14:paraId="1A193ACC">
      <w:pPr>
        <w:pStyle w:val="117"/>
        <w:ind w:firstLine="480"/>
        <w:rPr>
          <w:rFonts w:hint="eastAsia"/>
        </w:rPr>
      </w:pPr>
      <w:r>
        <w:rPr>
          <w:rFonts w:hint="eastAsia"/>
        </w:rPr>
        <w:t>占地范围内土壤各监测因子和占地范围外各监测点石油烃、六价铬和挥发性、半挥发性有机物均执行《土壤环境质量  建设用地土壤污染风险管控标准（试行）》（GB36600-2018）中第二类用地筛选值要求，占地范围外各监测点的重金属及无机物执行《土壤环境质量 农用地土壤污染风险管控标准（试行）》（GB15618-2018）。</w:t>
      </w:r>
    </w:p>
    <w:p w14:paraId="54F15869">
      <w:pPr>
        <w:pStyle w:val="117"/>
        <w:ind w:firstLine="480"/>
        <w:rPr>
          <w:rFonts w:hint="eastAsia"/>
        </w:rPr>
      </w:pPr>
      <w:r>
        <w:rPr>
          <w:rFonts w:hint="eastAsia"/>
        </w:rPr>
        <w:t>⑥评价方法</w:t>
      </w:r>
    </w:p>
    <w:p w14:paraId="49D985BE">
      <w:pPr>
        <w:pStyle w:val="117"/>
        <w:ind w:firstLine="480"/>
        <w:rPr>
          <w:rFonts w:hint="eastAsia"/>
        </w:rPr>
      </w:pPr>
      <w:r>
        <w:t>采用单因子</w:t>
      </w:r>
      <w:r>
        <w:rPr>
          <w:rFonts w:hint="eastAsia"/>
        </w:rPr>
        <w:t>标准</w:t>
      </w:r>
      <w:r>
        <w:t>指数法</w:t>
      </w:r>
      <w:r>
        <w:rPr>
          <w:rFonts w:hint="eastAsia"/>
        </w:rPr>
        <w:t>，计算公式为：</w:t>
      </w:r>
    </w:p>
    <w:p w14:paraId="38EC9C72">
      <w:pPr>
        <w:pStyle w:val="117"/>
        <w:spacing w:line="240" w:lineRule="auto"/>
        <w:ind w:firstLine="480"/>
        <w:jc w:val="center"/>
        <w:rPr>
          <w:rFonts w:hint="eastAsia"/>
          <w:lang w:val="fr-FR"/>
        </w:rPr>
      </w:pPr>
      <w:r>
        <w:rPr>
          <w:lang w:val="fr-FR"/>
        </w:rPr>
        <w:object>
          <v:shape id="_x0000_i1029" o:spt="75" type="#_x0000_t75" style="height:22.45pt;width:62.85pt;" o:ole="t" filled="f" o:preferrelative="t" stroked="f" coordsize="21600,21600">
            <v:path/>
            <v:fill on="f" focussize="0,0"/>
            <v:stroke on="f" joinstyle="miter"/>
            <v:imagedata r:id="rId53" o:title=""/>
            <o:lock v:ext="edit" aspectratio="t"/>
            <w10:wrap type="none"/>
            <w10:anchorlock/>
          </v:shape>
          <o:OLEObject Type="Embed" ProgID="Equation.DSMT4" ShapeID="_x0000_i1029" DrawAspect="Content" ObjectID="_1468075729" r:id="rId52">
            <o:LockedField>false</o:LockedField>
          </o:OLEObject>
        </w:object>
      </w:r>
    </w:p>
    <w:p w14:paraId="683A93C2">
      <w:pPr>
        <w:pStyle w:val="117"/>
        <w:ind w:firstLine="480"/>
        <w:rPr>
          <w:rFonts w:hint="eastAsia"/>
        </w:rPr>
      </w:pPr>
      <w:r>
        <w:rPr>
          <w:rFonts w:hint="eastAsia"/>
        </w:rPr>
        <w:t>式中</w:t>
      </w:r>
      <w:r>
        <w:rPr>
          <w:rFonts w:hint="eastAsia"/>
          <w:lang w:val="fr-FR"/>
        </w:rPr>
        <w:t>：</w:t>
      </w:r>
      <w:r>
        <w:drawing>
          <wp:inline distT="0" distB="0" distL="0" distR="0">
            <wp:extent cx="229870" cy="252730"/>
            <wp:effectExtent l="0" t="0" r="0" b="0"/>
            <wp:docPr id="2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29870" cy="252730"/>
                    </a:xfrm>
                    <a:prstGeom prst="rect">
                      <a:avLst/>
                    </a:prstGeom>
                    <a:noFill/>
                    <a:ln>
                      <a:noFill/>
                    </a:ln>
                  </pic:spPr>
                </pic:pic>
              </a:graphicData>
            </a:graphic>
          </wp:inline>
        </w:drawing>
      </w:r>
      <w:r>
        <w:rPr>
          <w:rFonts w:hint="eastAsia"/>
        </w:rPr>
        <w:t>—单项土壤参数i在j点的标准指数；</w:t>
      </w:r>
    </w:p>
    <w:p w14:paraId="2A436B38">
      <w:pPr>
        <w:pStyle w:val="117"/>
        <w:ind w:firstLine="1132" w:firstLineChars="472"/>
        <w:rPr>
          <w:rFonts w:hint="eastAsia"/>
        </w:rPr>
      </w:pPr>
      <w:r>
        <w:drawing>
          <wp:inline distT="0" distB="0" distL="0" distR="0">
            <wp:extent cx="252730" cy="252730"/>
            <wp:effectExtent l="0" t="0" r="0" b="0"/>
            <wp:docPr id="3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52730" cy="252730"/>
                    </a:xfrm>
                    <a:prstGeom prst="rect">
                      <a:avLst/>
                    </a:prstGeom>
                    <a:noFill/>
                    <a:ln>
                      <a:noFill/>
                    </a:ln>
                  </pic:spPr>
                </pic:pic>
              </a:graphicData>
            </a:graphic>
          </wp:inline>
        </w:drawing>
      </w:r>
      <w:r>
        <w:rPr>
          <w:rFonts w:hint="eastAsia"/>
        </w:rPr>
        <w:t>—土壤参数i在j点的监测浓度，mg/</w:t>
      </w:r>
      <w:r>
        <w:t>L</w:t>
      </w:r>
      <w:r>
        <w:rPr>
          <w:rFonts w:hint="eastAsia"/>
        </w:rPr>
        <w:t>；</w:t>
      </w:r>
    </w:p>
    <w:p w14:paraId="777512D7">
      <w:pPr>
        <w:pStyle w:val="117"/>
        <w:ind w:firstLine="1132" w:firstLineChars="472"/>
        <w:rPr>
          <w:rFonts w:hint="eastAsia"/>
        </w:rPr>
      </w:pPr>
      <w:r>
        <w:drawing>
          <wp:inline distT="0" distB="0" distL="0" distR="0">
            <wp:extent cx="213360" cy="229870"/>
            <wp:effectExtent l="0" t="0" r="0" b="0"/>
            <wp:docPr id="3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13360" cy="229870"/>
                    </a:xfrm>
                    <a:prstGeom prst="rect">
                      <a:avLst/>
                    </a:prstGeom>
                    <a:noFill/>
                    <a:ln>
                      <a:noFill/>
                    </a:ln>
                  </pic:spPr>
                </pic:pic>
              </a:graphicData>
            </a:graphic>
          </wp:inline>
        </w:drawing>
      </w:r>
      <w:r>
        <w:rPr>
          <w:rFonts w:hint="eastAsia"/>
        </w:rPr>
        <w:t>—土壤参数i的土壤环境</w:t>
      </w:r>
      <w:r>
        <w:t>质量标准</w:t>
      </w:r>
      <w:r>
        <w:rPr>
          <w:rFonts w:hint="eastAsia"/>
        </w:rPr>
        <w:t>，mg/</w:t>
      </w:r>
      <w:r>
        <w:t>L</w:t>
      </w:r>
      <w:r>
        <w:rPr>
          <w:rFonts w:hint="eastAsia"/>
        </w:rPr>
        <w:t>。</w:t>
      </w:r>
    </w:p>
    <w:p w14:paraId="6160B797">
      <w:pPr>
        <w:pStyle w:val="117"/>
        <w:ind w:firstLine="480"/>
        <w:rPr>
          <w:rFonts w:hint="eastAsia"/>
        </w:rPr>
      </w:pPr>
      <w:r>
        <w:rPr>
          <w:rFonts w:hint="eastAsia"/>
        </w:rPr>
        <w:t>⑦评价结果</w:t>
      </w:r>
    </w:p>
    <w:p w14:paraId="567014DD">
      <w:pPr>
        <w:pStyle w:val="117"/>
        <w:ind w:firstLine="480"/>
        <w:rPr>
          <w:rFonts w:hint="eastAsia"/>
        </w:rPr>
      </w:pPr>
      <w:r>
        <w:rPr>
          <w:rFonts w:hint="eastAsia"/>
        </w:rPr>
        <w:t>土壤监测及评价结果见表</w:t>
      </w:r>
      <w:r>
        <w:t>4.3</w:t>
      </w:r>
      <w:r>
        <w:rPr>
          <w:rFonts w:hint="eastAsia"/>
        </w:rPr>
        <w:t>-10、表</w:t>
      </w:r>
      <w:r>
        <w:t>4.3</w:t>
      </w:r>
      <w:r>
        <w:rPr>
          <w:rFonts w:hint="eastAsia"/>
        </w:rPr>
        <w:t>-</w:t>
      </w:r>
      <w:r>
        <w:t>1</w:t>
      </w:r>
      <w:r>
        <w:rPr>
          <w:rFonts w:hint="eastAsia"/>
        </w:rPr>
        <w:t>1、表4.3-12和表4.3-13，理化性质调查见表4</w:t>
      </w:r>
      <w:r>
        <w:t>.3</w:t>
      </w:r>
      <w:r>
        <w:rPr>
          <w:rFonts w:hint="eastAsia"/>
        </w:rPr>
        <w:t>-</w:t>
      </w:r>
      <w:r>
        <w:t>1</w:t>
      </w:r>
      <w:r>
        <w:rPr>
          <w:rFonts w:hint="eastAsia"/>
        </w:rPr>
        <w:t>4。</w:t>
      </w:r>
    </w:p>
    <w:p w14:paraId="24DD498A">
      <w:pPr>
        <w:pStyle w:val="117"/>
        <w:adjustRightInd w:val="0"/>
        <w:snapToGrid w:val="0"/>
        <w:ind w:firstLine="0" w:firstLineChars="0"/>
        <w:jc w:val="center"/>
        <w:rPr>
          <w:rFonts w:hint="eastAsia" w:ascii="黑体" w:hAnsi="黑体" w:eastAsia="黑体"/>
          <w:bCs/>
          <w:sz w:val="21"/>
          <w:szCs w:val="21"/>
        </w:rPr>
      </w:pPr>
      <w:r>
        <w:rPr>
          <w:rFonts w:hint="eastAsia" w:ascii="黑体" w:hAnsi="黑体" w:eastAsia="黑体"/>
          <w:bCs/>
          <w:sz w:val="21"/>
          <w:szCs w:val="21"/>
        </w:rPr>
        <w:t>表</w:t>
      </w:r>
      <w:r>
        <w:rPr>
          <w:rFonts w:ascii="黑体" w:hAnsi="黑体" w:eastAsia="黑体"/>
          <w:bCs/>
          <w:sz w:val="21"/>
          <w:szCs w:val="21"/>
        </w:rPr>
        <w:t>4.3</w:t>
      </w:r>
      <w:r>
        <w:rPr>
          <w:rFonts w:hint="eastAsia" w:ascii="黑体" w:hAnsi="黑体" w:eastAsia="黑体"/>
          <w:bCs/>
          <w:sz w:val="21"/>
          <w:szCs w:val="21"/>
        </w:rPr>
        <w:t>-</w:t>
      </w:r>
      <w:r>
        <w:rPr>
          <w:rFonts w:ascii="黑体" w:hAnsi="黑体" w:eastAsia="黑体"/>
          <w:bCs/>
          <w:sz w:val="21"/>
          <w:szCs w:val="21"/>
        </w:rPr>
        <w:t>1</w:t>
      </w:r>
      <w:r>
        <w:rPr>
          <w:rFonts w:hint="eastAsia" w:ascii="黑体" w:hAnsi="黑体" w:eastAsia="黑体"/>
          <w:bCs/>
          <w:sz w:val="21"/>
          <w:szCs w:val="21"/>
        </w:rPr>
        <w:t>0</w:t>
      </w:r>
      <w:r>
        <w:rPr>
          <w:rFonts w:ascii="黑体" w:hAnsi="黑体" w:eastAsia="黑体"/>
          <w:bCs/>
          <w:sz w:val="21"/>
          <w:szCs w:val="21"/>
        </w:rPr>
        <w:t xml:space="preserve">  </w:t>
      </w:r>
      <w:r>
        <w:rPr>
          <w:rFonts w:hint="eastAsia" w:ascii="黑体" w:hAnsi="黑体" w:eastAsia="黑体"/>
          <w:bCs/>
          <w:sz w:val="21"/>
          <w:szCs w:val="21"/>
        </w:rPr>
        <w:t>T7、T10监测点挥发性、半挥发性监测因子监测结果及评价结果一览表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55"/>
        <w:gridCol w:w="2106"/>
        <w:gridCol w:w="1161"/>
        <w:gridCol w:w="1598"/>
        <w:gridCol w:w="1018"/>
        <w:gridCol w:w="1161"/>
        <w:gridCol w:w="1247"/>
      </w:tblGrid>
      <w:tr w14:paraId="0643AC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366" w:type="pct"/>
            <w:vAlign w:val="center"/>
          </w:tcPr>
          <w:p w14:paraId="585AF22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序号</w:t>
            </w:r>
          </w:p>
        </w:tc>
        <w:tc>
          <w:tcPr>
            <w:tcW w:w="1177" w:type="pct"/>
            <w:vAlign w:val="center"/>
          </w:tcPr>
          <w:p w14:paraId="34086C6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名称</w:t>
            </w:r>
          </w:p>
        </w:tc>
        <w:tc>
          <w:tcPr>
            <w:tcW w:w="649" w:type="pct"/>
            <w:vAlign w:val="center"/>
          </w:tcPr>
          <w:p w14:paraId="42347C8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标准限值</w:t>
            </w:r>
          </w:p>
        </w:tc>
        <w:tc>
          <w:tcPr>
            <w:tcW w:w="893" w:type="pct"/>
            <w:vAlign w:val="center"/>
          </w:tcPr>
          <w:p w14:paraId="7299DBD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监测值单位</w:t>
            </w:r>
          </w:p>
        </w:tc>
        <w:tc>
          <w:tcPr>
            <w:tcW w:w="569" w:type="pct"/>
            <w:vAlign w:val="center"/>
          </w:tcPr>
          <w:p w14:paraId="1394E6E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监测值</w:t>
            </w:r>
          </w:p>
        </w:tc>
        <w:tc>
          <w:tcPr>
            <w:tcW w:w="649" w:type="pct"/>
            <w:vAlign w:val="center"/>
          </w:tcPr>
          <w:p w14:paraId="526A431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标准指数</w:t>
            </w:r>
          </w:p>
        </w:tc>
        <w:tc>
          <w:tcPr>
            <w:tcW w:w="697" w:type="pct"/>
            <w:vAlign w:val="center"/>
          </w:tcPr>
          <w:p w14:paraId="519CC52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达标情况</w:t>
            </w:r>
          </w:p>
        </w:tc>
      </w:tr>
      <w:tr w14:paraId="561DA1B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6D33F99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p>
        </w:tc>
        <w:tc>
          <w:tcPr>
            <w:tcW w:w="1177" w:type="pct"/>
            <w:vAlign w:val="center"/>
          </w:tcPr>
          <w:p w14:paraId="7DFB676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四氯化碳</w:t>
            </w:r>
          </w:p>
        </w:tc>
        <w:tc>
          <w:tcPr>
            <w:tcW w:w="649" w:type="pct"/>
            <w:vAlign w:val="center"/>
          </w:tcPr>
          <w:p w14:paraId="30BBC2C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2E2B06D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vAlign w:val="center"/>
          </w:tcPr>
          <w:p w14:paraId="43B2E7D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vAlign w:val="center"/>
          </w:tcPr>
          <w:p w14:paraId="4175B6C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5BF160D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达标</w:t>
            </w:r>
          </w:p>
        </w:tc>
      </w:tr>
      <w:tr w14:paraId="30D6FF5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9D2333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w:t>
            </w:r>
          </w:p>
        </w:tc>
        <w:tc>
          <w:tcPr>
            <w:tcW w:w="1177" w:type="pct"/>
            <w:vAlign w:val="center"/>
          </w:tcPr>
          <w:p w14:paraId="2002916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氯仿</w:t>
            </w:r>
          </w:p>
        </w:tc>
        <w:tc>
          <w:tcPr>
            <w:tcW w:w="649" w:type="pct"/>
            <w:vAlign w:val="center"/>
          </w:tcPr>
          <w:p w14:paraId="1D90010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0.9</w:t>
            </w:r>
          </w:p>
        </w:tc>
        <w:tc>
          <w:tcPr>
            <w:tcW w:w="893" w:type="pct"/>
            <w:vAlign w:val="center"/>
          </w:tcPr>
          <w:p w14:paraId="3883DAE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3572CC8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.1L</w:t>
            </w:r>
          </w:p>
        </w:tc>
        <w:tc>
          <w:tcPr>
            <w:tcW w:w="649" w:type="pct"/>
          </w:tcPr>
          <w:p w14:paraId="101E333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71A061D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8D957B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30DFB3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w:t>
            </w:r>
          </w:p>
        </w:tc>
        <w:tc>
          <w:tcPr>
            <w:tcW w:w="1177" w:type="pct"/>
            <w:vAlign w:val="center"/>
          </w:tcPr>
          <w:p w14:paraId="0A6BC56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氯甲烷</w:t>
            </w:r>
          </w:p>
        </w:tc>
        <w:tc>
          <w:tcPr>
            <w:tcW w:w="649" w:type="pct"/>
            <w:vAlign w:val="center"/>
          </w:tcPr>
          <w:p w14:paraId="637FBD8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37</w:t>
            </w:r>
          </w:p>
        </w:tc>
        <w:tc>
          <w:tcPr>
            <w:tcW w:w="893" w:type="pct"/>
            <w:vAlign w:val="center"/>
          </w:tcPr>
          <w:p w14:paraId="3696D316">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532CD42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.0L</w:t>
            </w:r>
          </w:p>
        </w:tc>
        <w:tc>
          <w:tcPr>
            <w:tcW w:w="649" w:type="pct"/>
          </w:tcPr>
          <w:p w14:paraId="79D48C60">
            <w:pPr>
              <w:adjustRightInd w:val="0"/>
              <w:snapToGrid w:val="0"/>
              <w:spacing w:line="300" w:lineRule="exact"/>
              <w:jc w:val="center"/>
              <w:textAlignment w:val="baseline"/>
              <w:rPr>
                <w:rFonts w:hint="eastAsia" w:ascii="宋体" w:hAnsi="宋体" w:cs="宋体"/>
                <w:kern w:val="0"/>
                <w:szCs w:val="21"/>
              </w:rPr>
            </w:pPr>
          </w:p>
        </w:tc>
        <w:tc>
          <w:tcPr>
            <w:tcW w:w="697" w:type="pct"/>
            <w:vAlign w:val="center"/>
          </w:tcPr>
          <w:p w14:paraId="6A1A2A6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DEFC4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5068DA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4</w:t>
            </w:r>
          </w:p>
        </w:tc>
        <w:tc>
          <w:tcPr>
            <w:tcW w:w="1177" w:type="pct"/>
            <w:vAlign w:val="center"/>
          </w:tcPr>
          <w:p w14:paraId="377408E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1,1-二氯乙烷</w:t>
            </w:r>
          </w:p>
        </w:tc>
        <w:tc>
          <w:tcPr>
            <w:tcW w:w="649" w:type="pct"/>
            <w:vAlign w:val="center"/>
          </w:tcPr>
          <w:p w14:paraId="7986F86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9</w:t>
            </w:r>
          </w:p>
        </w:tc>
        <w:tc>
          <w:tcPr>
            <w:tcW w:w="893" w:type="pct"/>
            <w:vAlign w:val="center"/>
          </w:tcPr>
          <w:p w14:paraId="49F3BFB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270E898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.2L</w:t>
            </w:r>
          </w:p>
        </w:tc>
        <w:tc>
          <w:tcPr>
            <w:tcW w:w="649" w:type="pct"/>
          </w:tcPr>
          <w:p w14:paraId="73BFB74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1CE7A69E">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963BC6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724AB40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1177" w:type="pct"/>
            <w:vAlign w:val="center"/>
          </w:tcPr>
          <w:p w14:paraId="36EA877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1,2-二氯乙烷</w:t>
            </w:r>
          </w:p>
        </w:tc>
        <w:tc>
          <w:tcPr>
            <w:tcW w:w="649" w:type="pct"/>
            <w:vAlign w:val="center"/>
          </w:tcPr>
          <w:p w14:paraId="5E5C400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893" w:type="pct"/>
            <w:vAlign w:val="center"/>
          </w:tcPr>
          <w:p w14:paraId="1411AEFB">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0572838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tcPr>
          <w:p w14:paraId="152C188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57B4AD2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BC46D7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23EE82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w:t>
            </w:r>
          </w:p>
        </w:tc>
        <w:tc>
          <w:tcPr>
            <w:tcW w:w="1177" w:type="pct"/>
            <w:vAlign w:val="center"/>
          </w:tcPr>
          <w:p w14:paraId="125DC16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1,1-二氯乙烯</w:t>
            </w:r>
          </w:p>
        </w:tc>
        <w:tc>
          <w:tcPr>
            <w:tcW w:w="649" w:type="pct"/>
            <w:vAlign w:val="center"/>
          </w:tcPr>
          <w:p w14:paraId="31D0F84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66</w:t>
            </w:r>
          </w:p>
        </w:tc>
        <w:tc>
          <w:tcPr>
            <w:tcW w:w="893" w:type="pct"/>
            <w:vAlign w:val="center"/>
          </w:tcPr>
          <w:p w14:paraId="38D10180">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45335933">
            <w:pPr>
              <w:adjustRightInd w:val="0"/>
              <w:snapToGrid w:val="0"/>
              <w:spacing w:line="300" w:lineRule="exact"/>
              <w:jc w:val="center"/>
              <w:textAlignment w:val="baseline"/>
              <w:rPr>
                <w:rFonts w:hint="eastAsia" w:ascii="宋体" w:hAnsi="宋体" w:cs="宋体"/>
                <w:kern w:val="0"/>
                <w:szCs w:val="21"/>
              </w:rPr>
            </w:pPr>
            <w:r>
              <w:rPr>
                <w:rFonts w:ascii="宋体" w:hAnsi="宋体" w:cs="宋体"/>
                <w:kern w:val="0"/>
                <w:szCs w:val="21"/>
              </w:rPr>
              <w:t>1.0L</w:t>
            </w:r>
          </w:p>
        </w:tc>
        <w:tc>
          <w:tcPr>
            <w:tcW w:w="649" w:type="pct"/>
          </w:tcPr>
          <w:p w14:paraId="5DF1E13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235A56E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4A6F2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9A7C1F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w:t>
            </w:r>
          </w:p>
        </w:tc>
        <w:tc>
          <w:tcPr>
            <w:tcW w:w="1177" w:type="pct"/>
            <w:vAlign w:val="center"/>
          </w:tcPr>
          <w:p w14:paraId="53C853B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顺-1,2-二氯乙烯</w:t>
            </w:r>
          </w:p>
        </w:tc>
        <w:tc>
          <w:tcPr>
            <w:tcW w:w="649" w:type="pct"/>
            <w:vAlign w:val="center"/>
          </w:tcPr>
          <w:p w14:paraId="474004B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596</w:t>
            </w:r>
          </w:p>
        </w:tc>
        <w:tc>
          <w:tcPr>
            <w:tcW w:w="893" w:type="pct"/>
            <w:vAlign w:val="center"/>
          </w:tcPr>
          <w:p w14:paraId="7E01E8F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2A547CE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tcPr>
          <w:p w14:paraId="0648133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7" w:type="pct"/>
            <w:vAlign w:val="center"/>
          </w:tcPr>
          <w:p w14:paraId="1615FD6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7C4872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73AECDD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8</w:t>
            </w:r>
          </w:p>
        </w:tc>
        <w:tc>
          <w:tcPr>
            <w:tcW w:w="1177" w:type="pct"/>
            <w:vAlign w:val="center"/>
          </w:tcPr>
          <w:p w14:paraId="141B51D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反-1,2-二氯乙烯</w:t>
            </w:r>
          </w:p>
        </w:tc>
        <w:tc>
          <w:tcPr>
            <w:tcW w:w="649" w:type="pct"/>
            <w:vAlign w:val="center"/>
          </w:tcPr>
          <w:p w14:paraId="771FDA3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54</w:t>
            </w:r>
          </w:p>
        </w:tc>
        <w:tc>
          <w:tcPr>
            <w:tcW w:w="893" w:type="pct"/>
            <w:vAlign w:val="center"/>
          </w:tcPr>
          <w:p w14:paraId="1C02FE12">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9D9B1B6">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.4L</w:t>
            </w:r>
          </w:p>
        </w:tc>
        <w:tc>
          <w:tcPr>
            <w:tcW w:w="649" w:type="pct"/>
          </w:tcPr>
          <w:p w14:paraId="6F835D4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1D9EFFB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5E0C5D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98229E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9</w:t>
            </w:r>
          </w:p>
        </w:tc>
        <w:tc>
          <w:tcPr>
            <w:tcW w:w="1177" w:type="pct"/>
            <w:vAlign w:val="center"/>
          </w:tcPr>
          <w:p w14:paraId="218D6B7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二氯甲烷</w:t>
            </w:r>
          </w:p>
        </w:tc>
        <w:tc>
          <w:tcPr>
            <w:tcW w:w="649" w:type="pct"/>
            <w:vAlign w:val="center"/>
          </w:tcPr>
          <w:p w14:paraId="4961709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616</w:t>
            </w:r>
          </w:p>
        </w:tc>
        <w:tc>
          <w:tcPr>
            <w:tcW w:w="893" w:type="pct"/>
            <w:vAlign w:val="center"/>
          </w:tcPr>
          <w:p w14:paraId="3A28B342">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671CE7B">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170B26E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1E0BDDF">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801750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5B129AE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10</w:t>
            </w:r>
          </w:p>
        </w:tc>
        <w:tc>
          <w:tcPr>
            <w:tcW w:w="1177" w:type="pct"/>
            <w:vAlign w:val="center"/>
          </w:tcPr>
          <w:p w14:paraId="73CE5D6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1,2-二氯丙烷</w:t>
            </w:r>
          </w:p>
        </w:tc>
        <w:tc>
          <w:tcPr>
            <w:tcW w:w="649" w:type="pct"/>
            <w:vAlign w:val="center"/>
          </w:tcPr>
          <w:p w14:paraId="4EE2E49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893" w:type="pct"/>
            <w:vAlign w:val="center"/>
          </w:tcPr>
          <w:p w14:paraId="7167F4C7">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C266F87">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.1L</w:t>
            </w:r>
          </w:p>
        </w:tc>
        <w:tc>
          <w:tcPr>
            <w:tcW w:w="649" w:type="pct"/>
          </w:tcPr>
          <w:p w14:paraId="299163FD">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9B5A180">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4A4583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AF2887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11</w:t>
            </w:r>
          </w:p>
        </w:tc>
        <w:tc>
          <w:tcPr>
            <w:tcW w:w="1177" w:type="pct"/>
            <w:vAlign w:val="center"/>
          </w:tcPr>
          <w:p w14:paraId="556A4D0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1,1,1,2-四氯乙烷</w:t>
            </w:r>
          </w:p>
        </w:tc>
        <w:tc>
          <w:tcPr>
            <w:tcW w:w="649" w:type="pct"/>
            <w:vAlign w:val="center"/>
          </w:tcPr>
          <w:p w14:paraId="6A19821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10</w:t>
            </w:r>
          </w:p>
        </w:tc>
        <w:tc>
          <w:tcPr>
            <w:tcW w:w="893" w:type="pct"/>
            <w:vAlign w:val="center"/>
          </w:tcPr>
          <w:p w14:paraId="6FA0C54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5BD50F3">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4AD71C12">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395CB54F">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D9814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FD8F88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w:t>
            </w:r>
          </w:p>
        </w:tc>
        <w:tc>
          <w:tcPr>
            <w:tcW w:w="1177" w:type="pct"/>
            <w:vAlign w:val="center"/>
          </w:tcPr>
          <w:p w14:paraId="61C2C52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1,1,2,2-四氯乙烷</w:t>
            </w:r>
          </w:p>
        </w:tc>
        <w:tc>
          <w:tcPr>
            <w:tcW w:w="649" w:type="pct"/>
            <w:vAlign w:val="center"/>
          </w:tcPr>
          <w:p w14:paraId="08135EC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6.8</w:t>
            </w:r>
          </w:p>
        </w:tc>
        <w:tc>
          <w:tcPr>
            <w:tcW w:w="893" w:type="pct"/>
            <w:vAlign w:val="center"/>
          </w:tcPr>
          <w:p w14:paraId="6A272BA4">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7BC21362">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5F6E8A84">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EC4C3C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D6B76C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5E54264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13</w:t>
            </w:r>
          </w:p>
        </w:tc>
        <w:tc>
          <w:tcPr>
            <w:tcW w:w="1177" w:type="pct"/>
            <w:vAlign w:val="center"/>
          </w:tcPr>
          <w:p w14:paraId="5D4CA69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四氯乙烯</w:t>
            </w:r>
          </w:p>
        </w:tc>
        <w:tc>
          <w:tcPr>
            <w:tcW w:w="649" w:type="pct"/>
            <w:vAlign w:val="center"/>
          </w:tcPr>
          <w:p w14:paraId="609ED46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53</w:t>
            </w:r>
          </w:p>
        </w:tc>
        <w:tc>
          <w:tcPr>
            <w:tcW w:w="893" w:type="pct"/>
            <w:vAlign w:val="center"/>
          </w:tcPr>
          <w:p w14:paraId="48484BF0">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18961713">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.4L</w:t>
            </w:r>
          </w:p>
        </w:tc>
        <w:tc>
          <w:tcPr>
            <w:tcW w:w="649" w:type="pct"/>
          </w:tcPr>
          <w:p w14:paraId="50FFE20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03902F19">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794952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2EB94A1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14</w:t>
            </w:r>
          </w:p>
        </w:tc>
        <w:tc>
          <w:tcPr>
            <w:tcW w:w="1177" w:type="pct"/>
            <w:vAlign w:val="center"/>
          </w:tcPr>
          <w:p w14:paraId="155C80B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1,1,1-三氯乙烷</w:t>
            </w:r>
          </w:p>
        </w:tc>
        <w:tc>
          <w:tcPr>
            <w:tcW w:w="649" w:type="pct"/>
            <w:vAlign w:val="center"/>
          </w:tcPr>
          <w:p w14:paraId="18C1D77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840</w:t>
            </w:r>
          </w:p>
        </w:tc>
        <w:tc>
          <w:tcPr>
            <w:tcW w:w="893" w:type="pct"/>
            <w:vAlign w:val="center"/>
          </w:tcPr>
          <w:p w14:paraId="5F7325C0">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5F7C21D2">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.3L</w:t>
            </w:r>
          </w:p>
        </w:tc>
        <w:tc>
          <w:tcPr>
            <w:tcW w:w="649" w:type="pct"/>
          </w:tcPr>
          <w:p w14:paraId="382A64C8">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D693149">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2A98D3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7A2C19D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1177" w:type="pct"/>
            <w:vAlign w:val="center"/>
          </w:tcPr>
          <w:p w14:paraId="08E8514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1,1,2-三氯乙烷</w:t>
            </w:r>
          </w:p>
        </w:tc>
        <w:tc>
          <w:tcPr>
            <w:tcW w:w="649" w:type="pct"/>
            <w:vAlign w:val="center"/>
          </w:tcPr>
          <w:p w14:paraId="5382FA8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62D17F1B">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1A0610E4">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75C2CBB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D0F652F">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B715C0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D9B92A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16</w:t>
            </w:r>
          </w:p>
        </w:tc>
        <w:tc>
          <w:tcPr>
            <w:tcW w:w="1177" w:type="pct"/>
            <w:vAlign w:val="center"/>
          </w:tcPr>
          <w:p w14:paraId="7457084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三氯乙烯</w:t>
            </w:r>
          </w:p>
        </w:tc>
        <w:tc>
          <w:tcPr>
            <w:tcW w:w="649" w:type="pct"/>
            <w:vAlign w:val="center"/>
          </w:tcPr>
          <w:p w14:paraId="49E5A1A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097741F0">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F29457E">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2D5BBA2E">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3302548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D8D37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6E4D0C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17</w:t>
            </w:r>
          </w:p>
        </w:tc>
        <w:tc>
          <w:tcPr>
            <w:tcW w:w="1177" w:type="pct"/>
            <w:vAlign w:val="center"/>
          </w:tcPr>
          <w:p w14:paraId="532A914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1,2,3-三氯丙烷</w:t>
            </w:r>
          </w:p>
        </w:tc>
        <w:tc>
          <w:tcPr>
            <w:tcW w:w="649" w:type="pct"/>
            <w:vAlign w:val="center"/>
          </w:tcPr>
          <w:p w14:paraId="2313231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0.5</w:t>
            </w:r>
          </w:p>
        </w:tc>
        <w:tc>
          <w:tcPr>
            <w:tcW w:w="893" w:type="pct"/>
            <w:vAlign w:val="center"/>
          </w:tcPr>
          <w:p w14:paraId="3036C15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FA4DE9B">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32FCC7A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6837E33">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4E7525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D84F2D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18</w:t>
            </w:r>
          </w:p>
        </w:tc>
        <w:tc>
          <w:tcPr>
            <w:tcW w:w="1177" w:type="pct"/>
            <w:vAlign w:val="center"/>
          </w:tcPr>
          <w:p w14:paraId="0065002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氯乙烯</w:t>
            </w:r>
          </w:p>
        </w:tc>
        <w:tc>
          <w:tcPr>
            <w:tcW w:w="649" w:type="pct"/>
            <w:vAlign w:val="center"/>
          </w:tcPr>
          <w:p w14:paraId="3DC33D5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0.43</w:t>
            </w:r>
          </w:p>
        </w:tc>
        <w:tc>
          <w:tcPr>
            <w:tcW w:w="893" w:type="pct"/>
            <w:vAlign w:val="center"/>
          </w:tcPr>
          <w:p w14:paraId="061531C4">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7622D111">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.0L</w:t>
            </w:r>
          </w:p>
        </w:tc>
        <w:tc>
          <w:tcPr>
            <w:tcW w:w="649" w:type="pct"/>
          </w:tcPr>
          <w:p w14:paraId="30BB611A">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1F88F9E4">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3D7247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94E4AB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19</w:t>
            </w:r>
          </w:p>
        </w:tc>
        <w:tc>
          <w:tcPr>
            <w:tcW w:w="1177" w:type="pct"/>
            <w:vAlign w:val="center"/>
          </w:tcPr>
          <w:p w14:paraId="6B942A8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w:t>
            </w:r>
          </w:p>
        </w:tc>
        <w:tc>
          <w:tcPr>
            <w:tcW w:w="649" w:type="pct"/>
            <w:vAlign w:val="center"/>
          </w:tcPr>
          <w:p w14:paraId="2E30B97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4</w:t>
            </w:r>
          </w:p>
        </w:tc>
        <w:tc>
          <w:tcPr>
            <w:tcW w:w="893" w:type="pct"/>
            <w:vAlign w:val="center"/>
          </w:tcPr>
          <w:p w14:paraId="1E48C3A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886D64D">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.9L</w:t>
            </w:r>
          </w:p>
        </w:tc>
        <w:tc>
          <w:tcPr>
            <w:tcW w:w="649" w:type="pct"/>
          </w:tcPr>
          <w:p w14:paraId="17D832C0">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5C1F9D01">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2B390C6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2F9F327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20</w:t>
            </w:r>
          </w:p>
        </w:tc>
        <w:tc>
          <w:tcPr>
            <w:tcW w:w="1177" w:type="pct"/>
            <w:vAlign w:val="center"/>
          </w:tcPr>
          <w:p w14:paraId="0960BAE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氯苯</w:t>
            </w:r>
          </w:p>
        </w:tc>
        <w:tc>
          <w:tcPr>
            <w:tcW w:w="649" w:type="pct"/>
            <w:vAlign w:val="center"/>
          </w:tcPr>
          <w:p w14:paraId="5EEF136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270</w:t>
            </w:r>
          </w:p>
        </w:tc>
        <w:tc>
          <w:tcPr>
            <w:tcW w:w="893" w:type="pct"/>
            <w:vAlign w:val="center"/>
          </w:tcPr>
          <w:p w14:paraId="14C8F87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7CF0CC16">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3CD2668C">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6EB4DAC1">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276AA01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69DDA0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21</w:t>
            </w:r>
          </w:p>
        </w:tc>
        <w:tc>
          <w:tcPr>
            <w:tcW w:w="1177" w:type="pct"/>
            <w:vAlign w:val="center"/>
          </w:tcPr>
          <w:p w14:paraId="30C14B9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1,2-二氯苯</w:t>
            </w:r>
          </w:p>
        </w:tc>
        <w:tc>
          <w:tcPr>
            <w:tcW w:w="649" w:type="pct"/>
            <w:vAlign w:val="center"/>
          </w:tcPr>
          <w:p w14:paraId="027E3AB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560</w:t>
            </w:r>
          </w:p>
        </w:tc>
        <w:tc>
          <w:tcPr>
            <w:tcW w:w="893" w:type="pct"/>
            <w:vAlign w:val="center"/>
          </w:tcPr>
          <w:p w14:paraId="3F9F94A3">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8160B5B">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30BE803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174AB0BA">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694786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08D82D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22</w:t>
            </w:r>
          </w:p>
        </w:tc>
        <w:tc>
          <w:tcPr>
            <w:tcW w:w="1177" w:type="pct"/>
            <w:vAlign w:val="center"/>
          </w:tcPr>
          <w:p w14:paraId="0FE1CAE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1,4二氯苯</w:t>
            </w:r>
          </w:p>
        </w:tc>
        <w:tc>
          <w:tcPr>
            <w:tcW w:w="649" w:type="pct"/>
            <w:vAlign w:val="center"/>
          </w:tcPr>
          <w:p w14:paraId="6430B98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20</w:t>
            </w:r>
          </w:p>
        </w:tc>
        <w:tc>
          <w:tcPr>
            <w:tcW w:w="893" w:type="pct"/>
            <w:vAlign w:val="center"/>
          </w:tcPr>
          <w:p w14:paraId="3C498AAA">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C597ED0">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4062D059">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9DFB7A2">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81D13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08DBC3E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23</w:t>
            </w:r>
          </w:p>
        </w:tc>
        <w:tc>
          <w:tcPr>
            <w:tcW w:w="1177" w:type="pct"/>
            <w:vAlign w:val="center"/>
          </w:tcPr>
          <w:p w14:paraId="71F6A55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乙苯</w:t>
            </w:r>
          </w:p>
        </w:tc>
        <w:tc>
          <w:tcPr>
            <w:tcW w:w="649" w:type="pct"/>
            <w:vAlign w:val="center"/>
          </w:tcPr>
          <w:p w14:paraId="1E31FE8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7EFF627A">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671DACF">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78E3EDA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5B21BB5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FAA86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E8140D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24</w:t>
            </w:r>
          </w:p>
        </w:tc>
        <w:tc>
          <w:tcPr>
            <w:tcW w:w="1177" w:type="pct"/>
            <w:vAlign w:val="center"/>
          </w:tcPr>
          <w:p w14:paraId="4FA0FB7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苯乙烯</w:t>
            </w:r>
          </w:p>
        </w:tc>
        <w:tc>
          <w:tcPr>
            <w:tcW w:w="649" w:type="pct"/>
            <w:vAlign w:val="center"/>
          </w:tcPr>
          <w:p w14:paraId="6DDC57D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1290</w:t>
            </w:r>
          </w:p>
        </w:tc>
        <w:tc>
          <w:tcPr>
            <w:tcW w:w="893" w:type="pct"/>
            <w:vAlign w:val="center"/>
          </w:tcPr>
          <w:p w14:paraId="3922380F">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70CD5B68">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.1L</w:t>
            </w:r>
          </w:p>
        </w:tc>
        <w:tc>
          <w:tcPr>
            <w:tcW w:w="649" w:type="pct"/>
          </w:tcPr>
          <w:p w14:paraId="11389B52">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3AB5A0D">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038533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6BF9BE2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25</w:t>
            </w:r>
          </w:p>
        </w:tc>
        <w:tc>
          <w:tcPr>
            <w:tcW w:w="1177" w:type="pct"/>
            <w:vAlign w:val="center"/>
          </w:tcPr>
          <w:p w14:paraId="67007E3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甲苯</w:t>
            </w:r>
          </w:p>
        </w:tc>
        <w:tc>
          <w:tcPr>
            <w:tcW w:w="649" w:type="pct"/>
            <w:vAlign w:val="center"/>
          </w:tcPr>
          <w:p w14:paraId="18F7BA1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1200</w:t>
            </w:r>
          </w:p>
        </w:tc>
        <w:tc>
          <w:tcPr>
            <w:tcW w:w="893" w:type="pct"/>
            <w:vAlign w:val="center"/>
          </w:tcPr>
          <w:p w14:paraId="72AB96B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BC2D74F">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.3L</w:t>
            </w:r>
          </w:p>
        </w:tc>
        <w:tc>
          <w:tcPr>
            <w:tcW w:w="649" w:type="pct"/>
          </w:tcPr>
          <w:p w14:paraId="3CCAB4E9">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78B25DC">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C61C4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BDE680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26</w:t>
            </w:r>
          </w:p>
        </w:tc>
        <w:tc>
          <w:tcPr>
            <w:tcW w:w="1177" w:type="pct"/>
            <w:vAlign w:val="center"/>
          </w:tcPr>
          <w:p w14:paraId="2E4AEEE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间二甲苯+对二甲苯</w:t>
            </w:r>
          </w:p>
        </w:tc>
        <w:tc>
          <w:tcPr>
            <w:tcW w:w="649" w:type="pct"/>
            <w:vAlign w:val="center"/>
          </w:tcPr>
          <w:p w14:paraId="0BBCCE0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570</w:t>
            </w:r>
          </w:p>
        </w:tc>
        <w:tc>
          <w:tcPr>
            <w:tcW w:w="893" w:type="pct"/>
            <w:vAlign w:val="center"/>
          </w:tcPr>
          <w:p w14:paraId="65385A13">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DE476F3">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00B41F4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19206F7D">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A46F16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DBF79F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27</w:t>
            </w:r>
          </w:p>
        </w:tc>
        <w:tc>
          <w:tcPr>
            <w:tcW w:w="1177" w:type="pct"/>
            <w:vAlign w:val="center"/>
          </w:tcPr>
          <w:p w14:paraId="55B77F5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邻二甲苯</w:t>
            </w:r>
          </w:p>
        </w:tc>
        <w:tc>
          <w:tcPr>
            <w:tcW w:w="649" w:type="pct"/>
            <w:vAlign w:val="center"/>
          </w:tcPr>
          <w:p w14:paraId="7B9C228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640</w:t>
            </w:r>
          </w:p>
        </w:tc>
        <w:tc>
          <w:tcPr>
            <w:tcW w:w="893" w:type="pct"/>
            <w:vAlign w:val="center"/>
          </w:tcPr>
          <w:p w14:paraId="2FE64E65">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15A4425">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6EF515E8">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B5656A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54041E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EA7C0C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1177" w:type="pct"/>
            <w:vAlign w:val="center"/>
          </w:tcPr>
          <w:p w14:paraId="249A78C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硝基苯</w:t>
            </w:r>
          </w:p>
        </w:tc>
        <w:tc>
          <w:tcPr>
            <w:tcW w:w="649" w:type="pct"/>
            <w:vAlign w:val="center"/>
          </w:tcPr>
          <w:p w14:paraId="5517CA1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76</w:t>
            </w:r>
          </w:p>
        </w:tc>
        <w:tc>
          <w:tcPr>
            <w:tcW w:w="893" w:type="pct"/>
            <w:vAlign w:val="center"/>
          </w:tcPr>
          <w:p w14:paraId="0CB010B3">
            <w:pPr>
              <w:adjustRightInd w:val="0"/>
              <w:snapToGrid w:val="0"/>
              <w:spacing w:line="300" w:lineRule="exact"/>
              <w:jc w:val="center"/>
              <w:rPr>
                <w:rFonts w:hint="eastAsia" w:ascii="宋体" w:hAnsi="宋体" w:cs="宋体"/>
                <w:szCs w:val="21"/>
              </w:rPr>
            </w:pPr>
            <w:r>
              <w:rPr>
                <w:rFonts w:hint="eastAsia" w:ascii="宋体" w:hAnsi="宋体" w:cs="宋体"/>
                <w:kern w:val="0"/>
                <w:szCs w:val="21"/>
              </w:rPr>
              <w:t>mg/kg</w:t>
            </w:r>
          </w:p>
        </w:tc>
        <w:tc>
          <w:tcPr>
            <w:tcW w:w="569" w:type="pct"/>
          </w:tcPr>
          <w:p w14:paraId="597D55AD">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.09L</w:t>
            </w:r>
          </w:p>
        </w:tc>
        <w:tc>
          <w:tcPr>
            <w:tcW w:w="649" w:type="pct"/>
          </w:tcPr>
          <w:p w14:paraId="384CC5F5">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7453285C">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FD845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7D2C940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29</w:t>
            </w:r>
          </w:p>
        </w:tc>
        <w:tc>
          <w:tcPr>
            <w:tcW w:w="1177" w:type="pct"/>
            <w:vAlign w:val="center"/>
          </w:tcPr>
          <w:p w14:paraId="3237C65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苯胺</w:t>
            </w:r>
          </w:p>
        </w:tc>
        <w:tc>
          <w:tcPr>
            <w:tcW w:w="649" w:type="pct"/>
            <w:vAlign w:val="center"/>
          </w:tcPr>
          <w:p w14:paraId="20C0730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260</w:t>
            </w:r>
          </w:p>
        </w:tc>
        <w:tc>
          <w:tcPr>
            <w:tcW w:w="893" w:type="pct"/>
            <w:vAlign w:val="center"/>
          </w:tcPr>
          <w:p w14:paraId="1209F70A">
            <w:pPr>
              <w:adjustRightInd w:val="0"/>
              <w:snapToGrid w:val="0"/>
              <w:spacing w:line="300" w:lineRule="exact"/>
              <w:jc w:val="center"/>
              <w:rPr>
                <w:rFonts w:hint="eastAsia" w:ascii="宋体" w:hAnsi="宋体" w:cs="宋体"/>
                <w:szCs w:val="21"/>
              </w:rPr>
            </w:pPr>
            <w:r>
              <w:rPr>
                <w:rFonts w:hint="eastAsia" w:ascii="宋体" w:hAnsi="宋体" w:cs="宋体"/>
                <w:kern w:val="0"/>
                <w:szCs w:val="21"/>
              </w:rPr>
              <w:t>mg/kg</w:t>
            </w:r>
          </w:p>
        </w:tc>
        <w:tc>
          <w:tcPr>
            <w:tcW w:w="569" w:type="pct"/>
          </w:tcPr>
          <w:p w14:paraId="2356FB26">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.08L</w:t>
            </w:r>
          </w:p>
        </w:tc>
        <w:tc>
          <w:tcPr>
            <w:tcW w:w="649" w:type="pct"/>
          </w:tcPr>
          <w:p w14:paraId="5AEDA357">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69A025D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C7EF7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66EC59C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30</w:t>
            </w:r>
          </w:p>
        </w:tc>
        <w:tc>
          <w:tcPr>
            <w:tcW w:w="1177" w:type="pct"/>
            <w:vAlign w:val="center"/>
          </w:tcPr>
          <w:p w14:paraId="143C6EA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2-氯酚</w:t>
            </w:r>
          </w:p>
        </w:tc>
        <w:tc>
          <w:tcPr>
            <w:tcW w:w="649" w:type="pct"/>
            <w:vAlign w:val="center"/>
          </w:tcPr>
          <w:p w14:paraId="6D6DA3D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2256</w:t>
            </w:r>
          </w:p>
        </w:tc>
        <w:tc>
          <w:tcPr>
            <w:tcW w:w="893" w:type="pct"/>
            <w:vAlign w:val="center"/>
          </w:tcPr>
          <w:p w14:paraId="2233E253">
            <w:pPr>
              <w:adjustRightInd w:val="0"/>
              <w:snapToGrid w:val="0"/>
              <w:spacing w:line="300" w:lineRule="exact"/>
              <w:jc w:val="center"/>
              <w:rPr>
                <w:rFonts w:hint="eastAsia" w:ascii="宋体" w:hAnsi="宋体" w:cs="宋体"/>
                <w:szCs w:val="21"/>
              </w:rPr>
            </w:pPr>
            <w:r>
              <w:rPr>
                <w:rFonts w:hint="eastAsia" w:ascii="宋体" w:hAnsi="宋体" w:cs="宋体"/>
                <w:kern w:val="0"/>
                <w:szCs w:val="21"/>
              </w:rPr>
              <w:t>mg/kg</w:t>
            </w:r>
          </w:p>
        </w:tc>
        <w:tc>
          <w:tcPr>
            <w:tcW w:w="569" w:type="pct"/>
          </w:tcPr>
          <w:p w14:paraId="3B7E5502">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.04L</w:t>
            </w:r>
          </w:p>
        </w:tc>
        <w:tc>
          <w:tcPr>
            <w:tcW w:w="649" w:type="pct"/>
          </w:tcPr>
          <w:p w14:paraId="788FF2C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562DB2C">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9CA9F6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2DD9C12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31</w:t>
            </w:r>
          </w:p>
        </w:tc>
        <w:tc>
          <w:tcPr>
            <w:tcW w:w="1177" w:type="pct"/>
            <w:vAlign w:val="center"/>
          </w:tcPr>
          <w:p w14:paraId="15D333C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苯并[a]蒽</w:t>
            </w:r>
          </w:p>
        </w:tc>
        <w:tc>
          <w:tcPr>
            <w:tcW w:w="649" w:type="pct"/>
            <w:vAlign w:val="center"/>
          </w:tcPr>
          <w:p w14:paraId="62755D5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4B8B81F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206B282">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15FAF8C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58268BB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E8491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D522DE6">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32</w:t>
            </w:r>
          </w:p>
        </w:tc>
        <w:tc>
          <w:tcPr>
            <w:tcW w:w="1177" w:type="pct"/>
            <w:vAlign w:val="center"/>
          </w:tcPr>
          <w:p w14:paraId="64B7B794">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苯并[a]芘</w:t>
            </w:r>
          </w:p>
        </w:tc>
        <w:tc>
          <w:tcPr>
            <w:tcW w:w="649" w:type="pct"/>
            <w:vAlign w:val="center"/>
          </w:tcPr>
          <w:p w14:paraId="770A9F9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6D99B3EE">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C989B56">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458BFF0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6C429CE">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069FF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4ECA5CBA">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33</w:t>
            </w:r>
          </w:p>
        </w:tc>
        <w:tc>
          <w:tcPr>
            <w:tcW w:w="1177" w:type="pct"/>
            <w:vAlign w:val="center"/>
          </w:tcPr>
          <w:p w14:paraId="44543CA3">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苯并[b]荧蒽</w:t>
            </w:r>
          </w:p>
        </w:tc>
        <w:tc>
          <w:tcPr>
            <w:tcW w:w="649" w:type="pct"/>
            <w:vAlign w:val="center"/>
          </w:tcPr>
          <w:p w14:paraId="6EA716B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1B1FAB6C">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9001D96">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.2L</w:t>
            </w:r>
          </w:p>
        </w:tc>
        <w:tc>
          <w:tcPr>
            <w:tcW w:w="649" w:type="pct"/>
          </w:tcPr>
          <w:p w14:paraId="047BC4A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1B35221A">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3035E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5D7EE38C">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34</w:t>
            </w:r>
          </w:p>
        </w:tc>
        <w:tc>
          <w:tcPr>
            <w:tcW w:w="1177" w:type="pct"/>
            <w:vAlign w:val="center"/>
          </w:tcPr>
          <w:p w14:paraId="67EC6BB1">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苯并[k]荧蒽</w:t>
            </w:r>
          </w:p>
        </w:tc>
        <w:tc>
          <w:tcPr>
            <w:tcW w:w="649" w:type="pct"/>
            <w:vAlign w:val="center"/>
          </w:tcPr>
          <w:p w14:paraId="73EC4C7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151</w:t>
            </w:r>
          </w:p>
        </w:tc>
        <w:tc>
          <w:tcPr>
            <w:tcW w:w="893" w:type="pct"/>
            <w:vAlign w:val="center"/>
          </w:tcPr>
          <w:p w14:paraId="4B3EC2BB">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1C154AD">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30DA5B6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43F116C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F7A1BE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03540E42">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35</w:t>
            </w:r>
          </w:p>
        </w:tc>
        <w:tc>
          <w:tcPr>
            <w:tcW w:w="1177" w:type="pct"/>
            <w:vAlign w:val="center"/>
          </w:tcPr>
          <w:p w14:paraId="4AB3B3AC">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䓛</w:t>
            </w:r>
          </w:p>
        </w:tc>
        <w:tc>
          <w:tcPr>
            <w:tcW w:w="649" w:type="pct"/>
            <w:vAlign w:val="center"/>
          </w:tcPr>
          <w:p w14:paraId="6B00A21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1293</w:t>
            </w:r>
          </w:p>
        </w:tc>
        <w:tc>
          <w:tcPr>
            <w:tcW w:w="893" w:type="pct"/>
            <w:vAlign w:val="center"/>
          </w:tcPr>
          <w:p w14:paraId="1256CCE2">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6FEB812">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14E8465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2DDF02C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06BDD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6A8C582F">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36</w:t>
            </w:r>
          </w:p>
        </w:tc>
        <w:tc>
          <w:tcPr>
            <w:tcW w:w="1177" w:type="pct"/>
            <w:vAlign w:val="center"/>
          </w:tcPr>
          <w:p w14:paraId="251FEDED">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二苯并[a,h]蒽</w:t>
            </w:r>
          </w:p>
        </w:tc>
        <w:tc>
          <w:tcPr>
            <w:tcW w:w="649" w:type="pct"/>
            <w:vAlign w:val="center"/>
          </w:tcPr>
          <w:p w14:paraId="54F7515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2EF7A7C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DEC7A32">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2418C880">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65D0A58C">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CB2EA1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152CABEE">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37</w:t>
            </w:r>
          </w:p>
        </w:tc>
        <w:tc>
          <w:tcPr>
            <w:tcW w:w="1177" w:type="pct"/>
            <w:vAlign w:val="center"/>
          </w:tcPr>
          <w:p w14:paraId="6DCC8819">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茚并[1,2,3-cd]芘</w:t>
            </w:r>
          </w:p>
        </w:tc>
        <w:tc>
          <w:tcPr>
            <w:tcW w:w="649" w:type="pct"/>
            <w:vAlign w:val="center"/>
          </w:tcPr>
          <w:p w14:paraId="5A8E219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19AB7719">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204BA5E">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6A6EA281">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315D207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7A1872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6" w:type="pct"/>
            <w:vAlign w:val="center"/>
          </w:tcPr>
          <w:p w14:paraId="56CA658B">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38</w:t>
            </w:r>
          </w:p>
        </w:tc>
        <w:tc>
          <w:tcPr>
            <w:tcW w:w="1177" w:type="pct"/>
            <w:vAlign w:val="center"/>
          </w:tcPr>
          <w:p w14:paraId="2DA65765">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萘</w:t>
            </w:r>
          </w:p>
        </w:tc>
        <w:tc>
          <w:tcPr>
            <w:tcW w:w="649" w:type="pct"/>
            <w:vAlign w:val="center"/>
          </w:tcPr>
          <w:p w14:paraId="6173859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70</w:t>
            </w:r>
          </w:p>
        </w:tc>
        <w:tc>
          <w:tcPr>
            <w:tcW w:w="893" w:type="pct"/>
            <w:vAlign w:val="center"/>
          </w:tcPr>
          <w:p w14:paraId="27DA0CF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733112C9">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.09L</w:t>
            </w:r>
          </w:p>
        </w:tc>
        <w:tc>
          <w:tcPr>
            <w:tcW w:w="649" w:type="pct"/>
          </w:tcPr>
          <w:p w14:paraId="3CAA90CC">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7" w:type="pct"/>
            <w:vAlign w:val="center"/>
          </w:tcPr>
          <w:p w14:paraId="7681AB9C">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bl>
    <w:p w14:paraId="4BB56F69">
      <w:pPr>
        <w:pStyle w:val="117"/>
        <w:adjustRightInd w:val="0"/>
        <w:snapToGrid w:val="0"/>
        <w:ind w:firstLine="0" w:firstLineChars="0"/>
        <w:jc w:val="center"/>
        <w:rPr>
          <w:rFonts w:hint="eastAsia" w:ascii="黑体" w:hAnsi="黑体" w:eastAsia="黑体"/>
          <w:bCs/>
          <w:sz w:val="21"/>
          <w:szCs w:val="21"/>
        </w:rPr>
      </w:pPr>
      <w:r>
        <w:rPr>
          <w:rFonts w:hint="eastAsia" w:ascii="黑体" w:hAnsi="黑体" w:eastAsia="黑体"/>
          <w:bCs/>
          <w:sz w:val="21"/>
          <w:szCs w:val="21"/>
        </w:rPr>
        <w:t>表</w:t>
      </w:r>
      <w:r>
        <w:rPr>
          <w:rFonts w:ascii="黑体" w:hAnsi="黑体" w:eastAsia="黑体"/>
          <w:bCs/>
          <w:sz w:val="21"/>
          <w:szCs w:val="21"/>
        </w:rPr>
        <w:t>4.3</w:t>
      </w:r>
      <w:r>
        <w:rPr>
          <w:rFonts w:hint="eastAsia" w:ascii="黑体" w:hAnsi="黑体" w:eastAsia="黑体"/>
          <w:bCs/>
          <w:sz w:val="21"/>
          <w:szCs w:val="21"/>
        </w:rPr>
        <w:t>-</w:t>
      </w:r>
      <w:r>
        <w:rPr>
          <w:rFonts w:ascii="黑体" w:hAnsi="黑体" w:eastAsia="黑体"/>
          <w:bCs/>
          <w:sz w:val="21"/>
          <w:szCs w:val="21"/>
        </w:rPr>
        <w:t>1</w:t>
      </w:r>
      <w:r>
        <w:rPr>
          <w:rFonts w:hint="eastAsia" w:ascii="黑体" w:hAnsi="黑体" w:eastAsia="黑体"/>
          <w:bCs/>
          <w:sz w:val="21"/>
          <w:szCs w:val="21"/>
        </w:rPr>
        <w:t>1</w:t>
      </w:r>
      <w:r>
        <w:rPr>
          <w:rFonts w:ascii="黑体" w:hAnsi="黑体" w:eastAsia="黑体"/>
          <w:bCs/>
          <w:sz w:val="21"/>
          <w:szCs w:val="21"/>
        </w:rPr>
        <w:t xml:space="preserve">  </w:t>
      </w:r>
      <w:r>
        <w:rPr>
          <w:rFonts w:hint="eastAsia" w:ascii="黑体" w:hAnsi="黑体" w:eastAsia="黑体"/>
          <w:bCs/>
          <w:sz w:val="21"/>
          <w:szCs w:val="21"/>
        </w:rPr>
        <w:t>其余监测点挥发性、半挥发性监测因子监测结果及评价结果一览表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58"/>
        <w:gridCol w:w="2106"/>
        <w:gridCol w:w="1161"/>
        <w:gridCol w:w="1598"/>
        <w:gridCol w:w="1018"/>
        <w:gridCol w:w="1161"/>
        <w:gridCol w:w="1244"/>
      </w:tblGrid>
      <w:tr w14:paraId="7BD1C12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368" w:type="pct"/>
            <w:vAlign w:val="center"/>
          </w:tcPr>
          <w:p w14:paraId="0A7FF49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序号</w:t>
            </w:r>
          </w:p>
        </w:tc>
        <w:tc>
          <w:tcPr>
            <w:tcW w:w="1177" w:type="pct"/>
            <w:vAlign w:val="center"/>
          </w:tcPr>
          <w:p w14:paraId="69D7692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名称</w:t>
            </w:r>
          </w:p>
        </w:tc>
        <w:tc>
          <w:tcPr>
            <w:tcW w:w="649" w:type="pct"/>
            <w:vAlign w:val="center"/>
          </w:tcPr>
          <w:p w14:paraId="07EAA3C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标准限值</w:t>
            </w:r>
          </w:p>
        </w:tc>
        <w:tc>
          <w:tcPr>
            <w:tcW w:w="893" w:type="pct"/>
            <w:vAlign w:val="center"/>
          </w:tcPr>
          <w:p w14:paraId="4F9A37F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监测值单位</w:t>
            </w:r>
          </w:p>
        </w:tc>
        <w:tc>
          <w:tcPr>
            <w:tcW w:w="569" w:type="pct"/>
            <w:vAlign w:val="center"/>
          </w:tcPr>
          <w:p w14:paraId="6A614EA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监测值</w:t>
            </w:r>
          </w:p>
        </w:tc>
        <w:tc>
          <w:tcPr>
            <w:tcW w:w="649" w:type="pct"/>
            <w:vAlign w:val="center"/>
          </w:tcPr>
          <w:p w14:paraId="321238C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标准指数</w:t>
            </w:r>
          </w:p>
        </w:tc>
        <w:tc>
          <w:tcPr>
            <w:tcW w:w="696" w:type="pct"/>
            <w:vAlign w:val="center"/>
          </w:tcPr>
          <w:p w14:paraId="0019E0C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达标情况</w:t>
            </w:r>
          </w:p>
        </w:tc>
      </w:tr>
      <w:tr w14:paraId="6834E9C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8EC0D9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p>
        </w:tc>
        <w:tc>
          <w:tcPr>
            <w:tcW w:w="1177" w:type="pct"/>
            <w:vAlign w:val="center"/>
          </w:tcPr>
          <w:p w14:paraId="52D1933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四氯化碳</w:t>
            </w:r>
          </w:p>
        </w:tc>
        <w:tc>
          <w:tcPr>
            <w:tcW w:w="649" w:type="pct"/>
            <w:vAlign w:val="center"/>
          </w:tcPr>
          <w:p w14:paraId="4D08DA5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67AD8BD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vAlign w:val="center"/>
          </w:tcPr>
          <w:p w14:paraId="07DA3BC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vAlign w:val="center"/>
          </w:tcPr>
          <w:p w14:paraId="5A3318A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7544B73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达标</w:t>
            </w:r>
          </w:p>
        </w:tc>
      </w:tr>
      <w:tr w14:paraId="3D05DF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50F977C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w:t>
            </w:r>
          </w:p>
        </w:tc>
        <w:tc>
          <w:tcPr>
            <w:tcW w:w="1177" w:type="pct"/>
            <w:vAlign w:val="center"/>
          </w:tcPr>
          <w:p w14:paraId="0D75944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氯仿</w:t>
            </w:r>
          </w:p>
        </w:tc>
        <w:tc>
          <w:tcPr>
            <w:tcW w:w="649" w:type="pct"/>
            <w:vAlign w:val="center"/>
          </w:tcPr>
          <w:p w14:paraId="72C6CA2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0.9</w:t>
            </w:r>
          </w:p>
        </w:tc>
        <w:tc>
          <w:tcPr>
            <w:tcW w:w="893" w:type="pct"/>
            <w:vAlign w:val="center"/>
          </w:tcPr>
          <w:p w14:paraId="4F4609E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4CF653D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.1L</w:t>
            </w:r>
          </w:p>
        </w:tc>
        <w:tc>
          <w:tcPr>
            <w:tcW w:w="649" w:type="pct"/>
          </w:tcPr>
          <w:p w14:paraId="20FBE53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7A94E443">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92C84B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255CAA7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w:t>
            </w:r>
          </w:p>
        </w:tc>
        <w:tc>
          <w:tcPr>
            <w:tcW w:w="1177" w:type="pct"/>
            <w:vAlign w:val="center"/>
          </w:tcPr>
          <w:p w14:paraId="6F05479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氯甲烷</w:t>
            </w:r>
          </w:p>
        </w:tc>
        <w:tc>
          <w:tcPr>
            <w:tcW w:w="649" w:type="pct"/>
            <w:vAlign w:val="center"/>
          </w:tcPr>
          <w:p w14:paraId="38983EF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37</w:t>
            </w:r>
          </w:p>
        </w:tc>
        <w:tc>
          <w:tcPr>
            <w:tcW w:w="893" w:type="pct"/>
            <w:vAlign w:val="center"/>
          </w:tcPr>
          <w:p w14:paraId="43B3DB0D">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65E7555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.0L</w:t>
            </w:r>
          </w:p>
        </w:tc>
        <w:tc>
          <w:tcPr>
            <w:tcW w:w="649" w:type="pct"/>
          </w:tcPr>
          <w:p w14:paraId="76C1DFB7">
            <w:pPr>
              <w:adjustRightInd w:val="0"/>
              <w:snapToGrid w:val="0"/>
              <w:spacing w:line="300" w:lineRule="exact"/>
              <w:jc w:val="center"/>
              <w:textAlignment w:val="baseline"/>
              <w:rPr>
                <w:rFonts w:hint="eastAsia" w:ascii="宋体" w:hAnsi="宋体" w:cs="宋体"/>
                <w:kern w:val="0"/>
                <w:szCs w:val="21"/>
              </w:rPr>
            </w:pPr>
          </w:p>
        </w:tc>
        <w:tc>
          <w:tcPr>
            <w:tcW w:w="696" w:type="pct"/>
            <w:vAlign w:val="center"/>
          </w:tcPr>
          <w:p w14:paraId="06B06C04">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767B0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BECEB5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4</w:t>
            </w:r>
          </w:p>
        </w:tc>
        <w:tc>
          <w:tcPr>
            <w:tcW w:w="1177" w:type="pct"/>
            <w:vAlign w:val="center"/>
          </w:tcPr>
          <w:p w14:paraId="4B0E9BD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1,1-二氯乙烷</w:t>
            </w:r>
          </w:p>
        </w:tc>
        <w:tc>
          <w:tcPr>
            <w:tcW w:w="649" w:type="pct"/>
            <w:vAlign w:val="center"/>
          </w:tcPr>
          <w:p w14:paraId="0A7E4CF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9</w:t>
            </w:r>
          </w:p>
        </w:tc>
        <w:tc>
          <w:tcPr>
            <w:tcW w:w="893" w:type="pct"/>
            <w:vAlign w:val="center"/>
          </w:tcPr>
          <w:p w14:paraId="2A5B9E3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17D1487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.2L</w:t>
            </w:r>
          </w:p>
        </w:tc>
        <w:tc>
          <w:tcPr>
            <w:tcW w:w="649" w:type="pct"/>
          </w:tcPr>
          <w:p w14:paraId="52D60F0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790BDE9A">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5034EE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FE4866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1177" w:type="pct"/>
            <w:vAlign w:val="center"/>
          </w:tcPr>
          <w:p w14:paraId="3D05930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1,2-二氯乙烷</w:t>
            </w:r>
          </w:p>
        </w:tc>
        <w:tc>
          <w:tcPr>
            <w:tcW w:w="649" w:type="pct"/>
            <w:vAlign w:val="center"/>
          </w:tcPr>
          <w:p w14:paraId="19E683C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893" w:type="pct"/>
            <w:vAlign w:val="center"/>
          </w:tcPr>
          <w:p w14:paraId="3B5A5C62">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1496F57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tcPr>
          <w:p w14:paraId="7E52C1B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47DEAF99">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51B85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2AF606D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w:t>
            </w:r>
          </w:p>
        </w:tc>
        <w:tc>
          <w:tcPr>
            <w:tcW w:w="1177" w:type="pct"/>
            <w:vAlign w:val="center"/>
          </w:tcPr>
          <w:p w14:paraId="3B70948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1,1-二氯乙烯</w:t>
            </w:r>
          </w:p>
        </w:tc>
        <w:tc>
          <w:tcPr>
            <w:tcW w:w="649" w:type="pct"/>
            <w:vAlign w:val="center"/>
          </w:tcPr>
          <w:p w14:paraId="68FE207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66</w:t>
            </w:r>
          </w:p>
        </w:tc>
        <w:tc>
          <w:tcPr>
            <w:tcW w:w="893" w:type="pct"/>
            <w:vAlign w:val="center"/>
          </w:tcPr>
          <w:p w14:paraId="7831060B">
            <w:pPr>
              <w:adjustRightInd w:val="0"/>
              <w:snapToGrid w:val="0"/>
              <w:spacing w:line="300" w:lineRule="exact"/>
              <w:jc w:val="center"/>
              <w:textAlignment w:val="baseline"/>
              <w:rPr>
                <w:rFonts w:hint="eastAsia" w:ascii="宋体" w:hAnsi="宋体" w:cs="宋体"/>
                <w:szCs w:val="21"/>
              </w:rPr>
            </w:pPr>
            <w:r>
              <w:rPr>
                <w:rFonts w:hint="eastAsia" w:ascii="宋体" w:hAnsi="宋体" w:cs="宋体"/>
                <w:kern w:val="0"/>
                <w:szCs w:val="21"/>
              </w:rPr>
              <w:t>μg/kg</w:t>
            </w:r>
          </w:p>
        </w:tc>
        <w:tc>
          <w:tcPr>
            <w:tcW w:w="569" w:type="pct"/>
          </w:tcPr>
          <w:p w14:paraId="0BC1BB67">
            <w:pPr>
              <w:adjustRightInd w:val="0"/>
              <w:snapToGrid w:val="0"/>
              <w:spacing w:line="300" w:lineRule="exact"/>
              <w:jc w:val="center"/>
              <w:textAlignment w:val="baseline"/>
              <w:rPr>
                <w:rFonts w:hint="eastAsia" w:ascii="宋体" w:hAnsi="宋体" w:cs="宋体"/>
                <w:kern w:val="0"/>
                <w:szCs w:val="21"/>
              </w:rPr>
            </w:pPr>
            <w:r>
              <w:rPr>
                <w:rFonts w:ascii="宋体" w:hAnsi="宋体" w:cs="宋体"/>
                <w:kern w:val="0"/>
                <w:szCs w:val="21"/>
              </w:rPr>
              <w:t>1.0L</w:t>
            </w:r>
          </w:p>
        </w:tc>
        <w:tc>
          <w:tcPr>
            <w:tcW w:w="649" w:type="pct"/>
          </w:tcPr>
          <w:p w14:paraId="223F050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66AFE61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2F633B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0BDC9A3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w:t>
            </w:r>
          </w:p>
        </w:tc>
        <w:tc>
          <w:tcPr>
            <w:tcW w:w="1177" w:type="pct"/>
            <w:vAlign w:val="center"/>
          </w:tcPr>
          <w:p w14:paraId="29145A3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顺-1,2-二氯乙烯</w:t>
            </w:r>
          </w:p>
        </w:tc>
        <w:tc>
          <w:tcPr>
            <w:tcW w:w="649" w:type="pct"/>
            <w:vAlign w:val="center"/>
          </w:tcPr>
          <w:p w14:paraId="0CD4BE1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596</w:t>
            </w:r>
          </w:p>
        </w:tc>
        <w:tc>
          <w:tcPr>
            <w:tcW w:w="893" w:type="pct"/>
            <w:vAlign w:val="center"/>
          </w:tcPr>
          <w:p w14:paraId="588DBD0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μg/kg</w:t>
            </w:r>
          </w:p>
        </w:tc>
        <w:tc>
          <w:tcPr>
            <w:tcW w:w="569" w:type="pct"/>
          </w:tcPr>
          <w:p w14:paraId="509A216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w:t>
            </w:r>
            <w:r>
              <w:rPr>
                <w:rFonts w:ascii="宋体" w:hAnsi="宋体" w:cs="宋体"/>
                <w:kern w:val="0"/>
                <w:szCs w:val="21"/>
              </w:rPr>
              <w:t>.3L</w:t>
            </w:r>
          </w:p>
        </w:tc>
        <w:tc>
          <w:tcPr>
            <w:tcW w:w="649" w:type="pct"/>
          </w:tcPr>
          <w:p w14:paraId="4400D83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w:t>
            </w:r>
          </w:p>
        </w:tc>
        <w:tc>
          <w:tcPr>
            <w:tcW w:w="696" w:type="pct"/>
            <w:vAlign w:val="center"/>
          </w:tcPr>
          <w:p w14:paraId="6F73A7B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E69B6C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A2A75F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8</w:t>
            </w:r>
          </w:p>
        </w:tc>
        <w:tc>
          <w:tcPr>
            <w:tcW w:w="1177" w:type="pct"/>
            <w:vAlign w:val="center"/>
          </w:tcPr>
          <w:p w14:paraId="49FBEB4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反-1,2-二氯乙烯</w:t>
            </w:r>
          </w:p>
        </w:tc>
        <w:tc>
          <w:tcPr>
            <w:tcW w:w="649" w:type="pct"/>
            <w:vAlign w:val="center"/>
          </w:tcPr>
          <w:p w14:paraId="607CFFB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54</w:t>
            </w:r>
          </w:p>
        </w:tc>
        <w:tc>
          <w:tcPr>
            <w:tcW w:w="893" w:type="pct"/>
            <w:vAlign w:val="center"/>
          </w:tcPr>
          <w:p w14:paraId="366C01C7">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88CFC64">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.4L</w:t>
            </w:r>
          </w:p>
        </w:tc>
        <w:tc>
          <w:tcPr>
            <w:tcW w:w="649" w:type="pct"/>
          </w:tcPr>
          <w:p w14:paraId="03BB850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4BEA812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88ECB7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8966CB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9</w:t>
            </w:r>
          </w:p>
        </w:tc>
        <w:tc>
          <w:tcPr>
            <w:tcW w:w="1177" w:type="pct"/>
            <w:vAlign w:val="center"/>
          </w:tcPr>
          <w:p w14:paraId="7DD5F37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二氯甲烷</w:t>
            </w:r>
          </w:p>
        </w:tc>
        <w:tc>
          <w:tcPr>
            <w:tcW w:w="649" w:type="pct"/>
            <w:vAlign w:val="center"/>
          </w:tcPr>
          <w:p w14:paraId="13E9D22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616</w:t>
            </w:r>
          </w:p>
        </w:tc>
        <w:tc>
          <w:tcPr>
            <w:tcW w:w="893" w:type="pct"/>
            <w:vAlign w:val="center"/>
          </w:tcPr>
          <w:p w14:paraId="0C310029">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EDFE961">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7F0908D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18A477A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4DCFC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1921260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10</w:t>
            </w:r>
          </w:p>
        </w:tc>
        <w:tc>
          <w:tcPr>
            <w:tcW w:w="1177" w:type="pct"/>
            <w:vAlign w:val="center"/>
          </w:tcPr>
          <w:p w14:paraId="27BC5CD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1,2-二氯丙烷</w:t>
            </w:r>
          </w:p>
        </w:tc>
        <w:tc>
          <w:tcPr>
            <w:tcW w:w="649" w:type="pct"/>
            <w:vAlign w:val="center"/>
          </w:tcPr>
          <w:p w14:paraId="00437C5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w:t>
            </w:r>
          </w:p>
        </w:tc>
        <w:tc>
          <w:tcPr>
            <w:tcW w:w="893" w:type="pct"/>
            <w:vAlign w:val="center"/>
          </w:tcPr>
          <w:p w14:paraId="38056787">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26164AF">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.1L</w:t>
            </w:r>
          </w:p>
        </w:tc>
        <w:tc>
          <w:tcPr>
            <w:tcW w:w="649" w:type="pct"/>
          </w:tcPr>
          <w:p w14:paraId="2D60701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67B9902D">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B8BA80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CCC683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11</w:t>
            </w:r>
          </w:p>
        </w:tc>
        <w:tc>
          <w:tcPr>
            <w:tcW w:w="1177" w:type="pct"/>
            <w:vAlign w:val="center"/>
          </w:tcPr>
          <w:p w14:paraId="08C5F90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1,1,1,2-四氯乙烷</w:t>
            </w:r>
          </w:p>
        </w:tc>
        <w:tc>
          <w:tcPr>
            <w:tcW w:w="649" w:type="pct"/>
            <w:vAlign w:val="center"/>
          </w:tcPr>
          <w:p w14:paraId="2DEFDB4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10</w:t>
            </w:r>
          </w:p>
        </w:tc>
        <w:tc>
          <w:tcPr>
            <w:tcW w:w="893" w:type="pct"/>
            <w:vAlign w:val="center"/>
          </w:tcPr>
          <w:p w14:paraId="65BC5383">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4DCBA2F">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22DF5EA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6E3E6A94">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242F5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67B9DC8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w:t>
            </w:r>
          </w:p>
        </w:tc>
        <w:tc>
          <w:tcPr>
            <w:tcW w:w="1177" w:type="pct"/>
            <w:vAlign w:val="center"/>
          </w:tcPr>
          <w:p w14:paraId="604ED62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1,1,2,2-四氯乙烷</w:t>
            </w:r>
          </w:p>
        </w:tc>
        <w:tc>
          <w:tcPr>
            <w:tcW w:w="649" w:type="pct"/>
            <w:vAlign w:val="center"/>
          </w:tcPr>
          <w:p w14:paraId="4B797FB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6.8</w:t>
            </w:r>
          </w:p>
        </w:tc>
        <w:tc>
          <w:tcPr>
            <w:tcW w:w="893" w:type="pct"/>
            <w:vAlign w:val="center"/>
          </w:tcPr>
          <w:p w14:paraId="0F254D26">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50D7117">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0FB8415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2AB08DF7">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63809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6DE0691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13</w:t>
            </w:r>
          </w:p>
        </w:tc>
        <w:tc>
          <w:tcPr>
            <w:tcW w:w="1177" w:type="pct"/>
            <w:vAlign w:val="center"/>
          </w:tcPr>
          <w:p w14:paraId="552CB72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四氯乙烯</w:t>
            </w:r>
          </w:p>
        </w:tc>
        <w:tc>
          <w:tcPr>
            <w:tcW w:w="649" w:type="pct"/>
            <w:vAlign w:val="center"/>
          </w:tcPr>
          <w:p w14:paraId="2F7C241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53</w:t>
            </w:r>
          </w:p>
        </w:tc>
        <w:tc>
          <w:tcPr>
            <w:tcW w:w="893" w:type="pct"/>
            <w:vAlign w:val="center"/>
          </w:tcPr>
          <w:p w14:paraId="48828CE2">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536388DA">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.4L</w:t>
            </w:r>
          </w:p>
        </w:tc>
        <w:tc>
          <w:tcPr>
            <w:tcW w:w="649" w:type="pct"/>
          </w:tcPr>
          <w:p w14:paraId="2C85E95D">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28566A4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27A2B7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EC98AD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14</w:t>
            </w:r>
          </w:p>
        </w:tc>
        <w:tc>
          <w:tcPr>
            <w:tcW w:w="1177" w:type="pct"/>
            <w:vAlign w:val="center"/>
          </w:tcPr>
          <w:p w14:paraId="14E038F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1,1,1-三氯乙烷</w:t>
            </w:r>
          </w:p>
        </w:tc>
        <w:tc>
          <w:tcPr>
            <w:tcW w:w="649" w:type="pct"/>
            <w:vAlign w:val="center"/>
          </w:tcPr>
          <w:p w14:paraId="78F6341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840</w:t>
            </w:r>
          </w:p>
        </w:tc>
        <w:tc>
          <w:tcPr>
            <w:tcW w:w="893" w:type="pct"/>
            <w:vAlign w:val="center"/>
          </w:tcPr>
          <w:p w14:paraId="1838764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491F20D8">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.3L</w:t>
            </w:r>
          </w:p>
        </w:tc>
        <w:tc>
          <w:tcPr>
            <w:tcW w:w="649" w:type="pct"/>
          </w:tcPr>
          <w:p w14:paraId="4A3BD32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741FC94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47353F1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23E18F2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1177" w:type="pct"/>
            <w:vAlign w:val="center"/>
          </w:tcPr>
          <w:p w14:paraId="1F3DA3B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1,1,2-三氯乙烷</w:t>
            </w:r>
          </w:p>
        </w:tc>
        <w:tc>
          <w:tcPr>
            <w:tcW w:w="649" w:type="pct"/>
            <w:vAlign w:val="center"/>
          </w:tcPr>
          <w:p w14:paraId="1ABF489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3751059A">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A50ADA0">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4421B44F">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5C0F04BA">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77E978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60C2484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16</w:t>
            </w:r>
          </w:p>
        </w:tc>
        <w:tc>
          <w:tcPr>
            <w:tcW w:w="1177" w:type="pct"/>
            <w:vAlign w:val="center"/>
          </w:tcPr>
          <w:p w14:paraId="185C578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三氯乙烯</w:t>
            </w:r>
          </w:p>
        </w:tc>
        <w:tc>
          <w:tcPr>
            <w:tcW w:w="649" w:type="pct"/>
            <w:vAlign w:val="center"/>
          </w:tcPr>
          <w:p w14:paraId="2996168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7DEA2B80">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1B93C922">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0F97EC1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5249779D">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14914B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E87F98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17</w:t>
            </w:r>
          </w:p>
        </w:tc>
        <w:tc>
          <w:tcPr>
            <w:tcW w:w="1177" w:type="pct"/>
            <w:vAlign w:val="center"/>
          </w:tcPr>
          <w:p w14:paraId="417D521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1,2,3-三氯丙烷</w:t>
            </w:r>
          </w:p>
        </w:tc>
        <w:tc>
          <w:tcPr>
            <w:tcW w:w="649" w:type="pct"/>
            <w:vAlign w:val="center"/>
          </w:tcPr>
          <w:p w14:paraId="7FC31B4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0.5</w:t>
            </w:r>
          </w:p>
        </w:tc>
        <w:tc>
          <w:tcPr>
            <w:tcW w:w="893" w:type="pct"/>
            <w:vAlign w:val="center"/>
          </w:tcPr>
          <w:p w14:paraId="7AFAC50A">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16604DA">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41D4C82E">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1B107444">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A77A19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4BABA8C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18</w:t>
            </w:r>
          </w:p>
        </w:tc>
        <w:tc>
          <w:tcPr>
            <w:tcW w:w="1177" w:type="pct"/>
            <w:vAlign w:val="center"/>
          </w:tcPr>
          <w:p w14:paraId="137702B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氯乙烯</w:t>
            </w:r>
          </w:p>
        </w:tc>
        <w:tc>
          <w:tcPr>
            <w:tcW w:w="649" w:type="pct"/>
            <w:vAlign w:val="center"/>
          </w:tcPr>
          <w:p w14:paraId="57B0A65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0.43</w:t>
            </w:r>
          </w:p>
        </w:tc>
        <w:tc>
          <w:tcPr>
            <w:tcW w:w="893" w:type="pct"/>
            <w:vAlign w:val="center"/>
          </w:tcPr>
          <w:p w14:paraId="2EEAFCE0">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7F3F4F8">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.0L</w:t>
            </w:r>
          </w:p>
        </w:tc>
        <w:tc>
          <w:tcPr>
            <w:tcW w:w="649" w:type="pct"/>
          </w:tcPr>
          <w:p w14:paraId="35098E88">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4AADD95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2C5B28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2A7F068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19</w:t>
            </w:r>
          </w:p>
        </w:tc>
        <w:tc>
          <w:tcPr>
            <w:tcW w:w="1177" w:type="pct"/>
            <w:vAlign w:val="center"/>
          </w:tcPr>
          <w:p w14:paraId="662A5FB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w:t>
            </w:r>
          </w:p>
        </w:tc>
        <w:tc>
          <w:tcPr>
            <w:tcW w:w="649" w:type="pct"/>
            <w:vAlign w:val="center"/>
          </w:tcPr>
          <w:p w14:paraId="02A757F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4</w:t>
            </w:r>
          </w:p>
        </w:tc>
        <w:tc>
          <w:tcPr>
            <w:tcW w:w="893" w:type="pct"/>
            <w:vAlign w:val="center"/>
          </w:tcPr>
          <w:p w14:paraId="68E72A39">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74BB816">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.9L</w:t>
            </w:r>
          </w:p>
        </w:tc>
        <w:tc>
          <w:tcPr>
            <w:tcW w:w="649" w:type="pct"/>
          </w:tcPr>
          <w:p w14:paraId="7EE1D345">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872EF82">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B89E64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4028655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20</w:t>
            </w:r>
          </w:p>
        </w:tc>
        <w:tc>
          <w:tcPr>
            <w:tcW w:w="1177" w:type="pct"/>
            <w:vAlign w:val="center"/>
          </w:tcPr>
          <w:p w14:paraId="68C436C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氯苯</w:t>
            </w:r>
          </w:p>
        </w:tc>
        <w:tc>
          <w:tcPr>
            <w:tcW w:w="649" w:type="pct"/>
            <w:vAlign w:val="center"/>
          </w:tcPr>
          <w:p w14:paraId="4A768CB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270</w:t>
            </w:r>
          </w:p>
        </w:tc>
        <w:tc>
          <w:tcPr>
            <w:tcW w:w="893" w:type="pct"/>
            <w:vAlign w:val="center"/>
          </w:tcPr>
          <w:p w14:paraId="4102390E">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D53945F">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5A6FC286">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0C86697F">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A6EB7C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14552EE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21</w:t>
            </w:r>
          </w:p>
        </w:tc>
        <w:tc>
          <w:tcPr>
            <w:tcW w:w="1177" w:type="pct"/>
            <w:vAlign w:val="center"/>
          </w:tcPr>
          <w:p w14:paraId="22F440D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1,2-二氯苯</w:t>
            </w:r>
          </w:p>
        </w:tc>
        <w:tc>
          <w:tcPr>
            <w:tcW w:w="649" w:type="pct"/>
            <w:vAlign w:val="center"/>
          </w:tcPr>
          <w:p w14:paraId="0F681615">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560</w:t>
            </w:r>
          </w:p>
        </w:tc>
        <w:tc>
          <w:tcPr>
            <w:tcW w:w="893" w:type="pct"/>
            <w:vAlign w:val="center"/>
          </w:tcPr>
          <w:p w14:paraId="2723C9EB">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3060F3E">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3A839351">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64B76370">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AACEC2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48DED7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22</w:t>
            </w:r>
          </w:p>
        </w:tc>
        <w:tc>
          <w:tcPr>
            <w:tcW w:w="1177" w:type="pct"/>
            <w:vAlign w:val="center"/>
          </w:tcPr>
          <w:p w14:paraId="43DBDEB3">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1,4二氯苯</w:t>
            </w:r>
          </w:p>
        </w:tc>
        <w:tc>
          <w:tcPr>
            <w:tcW w:w="649" w:type="pct"/>
            <w:vAlign w:val="center"/>
          </w:tcPr>
          <w:p w14:paraId="64FB4527">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20</w:t>
            </w:r>
          </w:p>
        </w:tc>
        <w:tc>
          <w:tcPr>
            <w:tcW w:w="893" w:type="pct"/>
            <w:vAlign w:val="center"/>
          </w:tcPr>
          <w:p w14:paraId="1698D7FD">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0A2D131">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.5L</w:t>
            </w:r>
          </w:p>
        </w:tc>
        <w:tc>
          <w:tcPr>
            <w:tcW w:w="649" w:type="pct"/>
          </w:tcPr>
          <w:p w14:paraId="013FF4D5">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0DA0536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C349B1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6EC48C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23</w:t>
            </w:r>
          </w:p>
        </w:tc>
        <w:tc>
          <w:tcPr>
            <w:tcW w:w="1177" w:type="pct"/>
            <w:vAlign w:val="center"/>
          </w:tcPr>
          <w:p w14:paraId="21B1E4A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乙苯</w:t>
            </w:r>
          </w:p>
        </w:tc>
        <w:tc>
          <w:tcPr>
            <w:tcW w:w="649" w:type="pct"/>
            <w:vAlign w:val="center"/>
          </w:tcPr>
          <w:p w14:paraId="409D77A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893" w:type="pct"/>
            <w:vAlign w:val="center"/>
          </w:tcPr>
          <w:p w14:paraId="740499E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F9161B9">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375EED92">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4FCCBB27">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21198CC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092E859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24</w:t>
            </w:r>
          </w:p>
        </w:tc>
        <w:tc>
          <w:tcPr>
            <w:tcW w:w="1177" w:type="pct"/>
            <w:vAlign w:val="center"/>
          </w:tcPr>
          <w:p w14:paraId="58C8C42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苯乙烯</w:t>
            </w:r>
          </w:p>
        </w:tc>
        <w:tc>
          <w:tcPr>
            <w:tcW w:w="649" w:type="pct"/>
            <w:vAlign w:val="center"/>
          </w:tcPr>
          <w:p w14:paraId="291A107E">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1290</w:t>
            </w:r>
          </w:p>
        </w:tc>
        <w:tc>
          <w:tcPr>
            <w:tcW w:w="893" w:type="pct"/>
            <w:vAlign w:val="center"/>
          </w:tcPr>
          <w:p w14:paraId="67F78312">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1D6C2674">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.1L</w:t>
            </w:r>
          </w:p>
        </w:tc>
        <w:tc>
          <w:tcPr>
            <w:tcW w:w="649" w:type="pct"/>
          </w:tcPr>
          <w:p w14:paraId="590BEC9B">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980E68D">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BDA9C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6C3BB60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25</w:t>
            </w:r>
          </w:p>
        </w:tc>
        <w:tc>
          <w:tcPr>
            <w:tcW w:w="1177" w:type="pct"/>
            <w:vAlign w:val="center"/>
          </w:tcPr>
          <w:p w14:paraId="49C2A8F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甲苯</w:t>
            </w:r>
          </w:p>
        </w:tc>
        <w:tc>
          <w:tcPr>
            <w:tcW w:w="649" w:type="pct"/>
            <w:vAlign w:val="center"/>
          </w:tcPr>
          <w:p w14:paraId="4BD9132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1200</w:t>
            </w:r>
          </w:p>
        </w:tc>
        <w:tc>
          <w:tcPr>
            <w:tcW w:w="893" w:type="pct"/>
            <w:vAlign w:val="center"/>
          </w:tcPr>
          <w:p w14:paraId="61BF9514">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DC71409">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.3L</w:t>
            </w:r>
          </w:p>
        </w:tc>
        <w:tc>
          <w:tcPr>
            <w:tcW w:w="649" w:type="pct"/>
          </w:tcPr>
          <w:p w14:paraId="295842BC">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A04F93E">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CC8C26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CAA716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26</w:t>
            </w:r>
          </w:p>
        </w:tc>
        <w:tc>
          <w:tcPr>
            <w:tcW w:w="1177" w:type="pct"/>
            <w:vAlign w:val="center"/>
          </w:tcPr>
          <w:p w14:paraId="71CDC1B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间二甲苯+对二甲苯</w:t>
            </w:r>
          </w:p>
        </w:tc>
        <w:tc>
          <w:tcPr>
            <w:tcW w:w="649" w:type="pct"/>
            <w:vAlign w:val="center"/>
          </w:tcPr>
          <w:p w14:paraId="7D8CFA3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570</w:t>
            </w:r>
          </w:p>
        </w:tc>
        <w:tc>
          <w:tcPr>
            <w:tcW w:w="893" w:type="pct"/>
            <w:vAlign w:val="center"/>
          </w:tcPr>
          <w:p w14:paraId="246727E8">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472BDBC">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60E58F97">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61C279D5">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2C6485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CD619E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27</w:t>
            </w:r>
          </w:p>
        </w:tc>
        <w:tc>
          <w:tcPr>
            <w:tcW w:w="1177" w:type="pct"/>
            <w:vAlign w:val="center"/>
          </w:tcPr>
          <w:p w14:paraId="7CAD30F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邻二甲苯</w:t>
            </w:r>
          </w:p>
        </w:tc>
        <w:tc>
          <w:tcPr>
            <w:tcW w:w="649" w:type="pct"/>
            <w:vAlign w:val="center"/>
          </w:tcPr>
          <w:p w14:paraId="1B3DA4A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640</w:t>
            </w:r>
          </w:p>
        </w:tc>
        <w:tc>
          <w:tcPr>
            <w:tcW w:w="893" w:type="pct"/>
            <w:vAlign w:val="center"/>
          </w:tcPr>
          <w:p w14:paraId="26E2FBAE">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CDE0798">
            <w:pPr>
              <w:adjustRightInd w:val="0"/>
              <w:snapToGrid w:val="0"/>
              <w:spacing w:line="300" w:lineRule="exact"/>
              <w:jc w:val="center"/>
              <w:rPr>
                <w:rFonts w:hint="eastAsia" w:ascii="宋体" w:hAnsi="宋体" w:cs="宋体"/>
                <w:szCs w:val="21"/>
              </w:rPr>
            </w:pPr>
            <w:r>
              <w:rPr>
                <w:rFonts w:hint="eastAsia" w:ascii="宋体" w:hAnsi="宋体" w:cs="宋体"/>
                <w:szCs w:val="21"/>
              </w:rPr>
              <w:t>1</w:t>
            </w:r>
            <w:r>
              <w:rPr>
                <w:rFonts w:ascii="宋体" w:hAnsi="宋体" w:cs="宋体"/>
                <w:szCs w:val="21"/>
              </w:rPr>
              <w:t>.2L</w:t>
            </w:r>
          </w:p>
        </w:tc>
        <w:tc>
          <w:tcPr>
            <w:tcW w:w="649" w:type="pct"/>
          </w:tcPr>
          <w:p w14:paraId="1CD633B4">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608A4001">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3B464A3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BD32E7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28</w:t>
            </w:r>
          </w:p>
        </w:tc>
        <w:tc>
          <w:tcPr>
            <w:tcW w:w="1177" w:type="pct"/>
            <w:vAlign w:val="center"/>
          </w:tcPr>
          <w:p w14:paraId="6FAA6FC8">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硝基苯</w:t>
            </w:r>
          </w:p>
        </w:tc>
        <w:tc>
          <w:tcPr>
            <w:tcW w:w="649" w:type="pct"/>
            <w:vAlign w:val="center"/>
          </w:tcPr>
          <w:p w14:paraId="788F42D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76</w:t>
            </w:r>
          </w:p>
        </w:tc>
        <w:tc>
          <w:tcPr>
            <w:tcW w:w="893" w:type="pct"/>
            <w:vAlign w:val="center"/>
          </w:tcPr>
          <w:p w14:paraId="2B051830">
            <w:pPr>
              <w:adjustRightInd w:val="0"/>
              <w:snapToGrid w:val="0"/>
              <w:spacing w:line="300" w:lineRule="exact"/>
              <w:jc w:val="center"/>
              <w:rPr>
                <w:rFonts w:hint="eastAsia" w:ascii="宋体" w:hAnsi="宋体" w:cs="宋体"/>
                <w:szCs w:val="21"/>
              </w:rPr>
            </w:pPr>
            <w:r>
              <w:rPr>
                <w:rFonts w:hint="eastAsia" w:ascii="宋体" w:hAnsi="宋体" w:cs="宋体"/>
                <w:kern w:val="0"/>
                <w:szCs w:val="21"/>
              </w:rPr>
              <w:t>mg/kg</w:t>
            </w:r>
          </w:p>
        </w:tc>
        <w:tc>
          <w:tcPr>
            <w:tcW w:w="569" w:type="pct"/>
          </w:tcPr>
          <w:p w14:paraId="7D7DC5AC">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.09L</w:t>
            </w:r>
          </w:p>
        </w:tc>
        <w:tc>
          <w:tcPr>
            <w:tcW w:w="649" w:type="pct"/>
          </w:tcPr>
          <w:p w14:paraId="5D15485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14848746">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0B9A4B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129A0C4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29</w:t>
            </w:r>
          </w:p>
        </w:tc>
        <w:tc>
          <w:tcPr>
            <w:tcW w:w="1177" w:type="pct"/>
            <w:vAlign w:val="center"/>
          </w:tcPr>
          <w:p w14:paraId="3AD4DF2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2-氯酚</w:t>
            </w:r>
          </w:p>
        </w:tc>
        <w:tc>
          <w:tcPr>
            <w:tcW w:w="649" w:type="pct"/>
            <w:vAlign w:val="center"/>
          </w:tcPr>
          <w:p w14:paraId="13817DDD">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2256</w:t>
            </w:r>
          </w:p>
        </w:tc>
        <w:tc>
          <w:tcPr>
            <w:tcW w:w="893" w:type="pct"/>
            <w:vAlign w:val="center"/>
          </w:tcPr>
          <w:p w14:paraId="69C63E94">
            <w:pPr>
              <w:adjustRightInd w:val="0"/>
              <w:snapToGrid w:val="0"/>
              <w:spacing w:line="300" w:lineRule="exact"/>
              <w:jc w:val="center"/>
              <w:rPr>
                <w:rFonts w:hint="eastAsia" w:ascii="宋体" w:hAnsi="宋体" w:cs="宋体"/>
                <w:szCs w:val="21"/>
              </w:rPr>
            </w:pPr>
            <w:r>
              <w:rPr>
                <w:rFonts w:hint="eastAsia" w:ascii="宋体" w:hAnsi="宋体" w:cs="宋体"/>
                <w:kern w:val="0"/>
                <w:szCs w:val="21"/>
              </w:rPr>
              <w:t>mg/kg</w:t>
            </w:r>
          </w:p>
        </w:tc>
        <w:tc>
          <w:tcPr>
            <w:tcW w:w="569" w:type="pct"/>
          </w:tcPr>
          <w:p w14:paraId="755BB5EA">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.04L</w:t>
            </w:r>
          </w:p>
        </w:tc>
        <w:tc>
          <w:tcPr>
            <w:tcW w:w="649" w:type="pct"/>
          </w:tcPr>
          <w:p w14:paraId="5A5EBF67">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7FE1B3BF">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924013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3CF0E3E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30</w:t>
            </w:r>
          </w:p>
        </w:tc>
        <w:tc>
          <w:tcPr>
            <w:tcW w:w="1177" w:type="pct"/>
            <w:vAlign w:val="center"/>
          </w:tcPr>
          <w:p w14:paraId="00643CE9">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苯并[a]蒽</w:t>
            </w:r>
          </w:p>
        </w:tc>
        <w:tc>
          <w:tcPr>
            <w:tcW w:w="649" w:type="pct"/>
            <w:vAlign w:val="center"/>
          </w:tcPr>
          <w:p w14:paraId="20817344">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212FA929">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C794743">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13AFA61E">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5484790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5480C00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54FAEF6">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31</w:t>
            </w:r>
          </w:p>
        </w:tc>
        <w:tc>
          <w:tcPr>
            <w:tcW w:w="1177" w:type="pct"/>
            <w:vAlign w:val="center"/>
          </w:tcPr>
          <w:p w14:paraId="0CF809AF">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szCs w:val="21"/>
              </w:rPr>
              <w:t>苯并[a]芘</w:t>
            </w:r>
          </w:p>
        </w:tc>
        <w:tc>
          <w:tcPr>
            <w:tcW w:w="649" w:type="pct"/>
            <w:vAlign w:val="center"/>
          </w:tcPr>
          <w:p w14:paraId="22982AD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42B0FACF">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1A92BC94">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0A594A64">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1E87A2E4">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0797932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6A536CAF">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32</w:t>
            </w:r>
          </w:p>
        </w:tc>
        <w:tc>
          <w:tcPr>
            <w:tcW w:w="1177" w:type="pct"/>
            <w:vAlign w:val="center"/>
          </w:tcPr>
          <w:p w14:paraId="1D7D72DB">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苯并[b]荧蒽</w:t>
            </w:r>
          </w:p>
        </w:tc>
        <w:tc>
          <w:tcPr>
            <w:tcW w:w="649" w:type="pct"/>
            <w:vAlign w:val="center"/>
          </w:tcPr>
          <w:p w14:paraId="70AC0A02">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1308CF63">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5408C8BA">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.2L</w:t>
            </w:r>
          </w:p>
        </w:tc>
        <w:tc>
          <w:tcPr>
            <w:tcW w:w="649" w:type="pct"/>
          </w:tcPr>
          <w:p w14:paraId="70097783">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63AC4AB">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1D360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5CF47656">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33</w:t>
            </w:r>
          </w:p>
        </w:tc>
        <w:tc>
          <w:tcPr>
            <w:tcW w:w="1177" w:type="pct"/>
            <w:vAlign w:val="center"/>
          </w:tcPr>
          <w:p w14:paraId="296CAC2B">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苯并[k]荧蒽</w:t>
            </w:r>
          </w:p>
        </w:tc>
        <w:tc>
          <w:tcPr>
            <w:tcW w:w="649" w:type="pct"/>
            <w:vAlign w:val="center"/>
          </w:tcPr>
          <w:p w14:paraId="4915A8D0">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151</w:t>
            </w:r>
          </w:p>
        </w:tc>
        <w:tc>
          <w:tcPr>
            <w:tcW w:w="893" w:type="pct"/>
            <w:vAlign w:val="center"/>
          </w:tcPr>
          <w:p w14:paraId="5EFA206F">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CBB193E">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70C42DF9">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1248A1E">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2A62BEC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05302357">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34</w:t>
            </w:r>
          </w:p>
        </w:tc>
        <w:tc>
          <w:tcPr>
            <w:tcW w:w="1177" w:type="pct"/>
            <w:vAlign w:val="center"/>
          </w:tcPr>
          <w:p w14:paraId="22C88252">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䓛</w:t>
            </w:r>
          </w:p>
        </w:tc>
        <w:tc>
          <w:tcPr>
            <w:tcW w:w="649" w:type="pct"/>
            <w:vAlign w:val="center"/>
          </w:tcPr>
          <w:p w14:paraId="013C42BC">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1293</w:t>
            </w:r>
          </w:p>
        </w:tc>
        <w:tc>
          <w:tcPr>
            <w:tcW w:w="893" w:type="pct"/>
            <w:vAlign w:val="center"/>
          </w:tcPr>
          <w:p w14:paraId="7FD8C996">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3ABA6E8A">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1D2F6A7E">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F152CC1">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6462EB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293EC4BF">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35</w:t>
            </w:r>
          </w:p>
        </w:tc>
        <w:tc>
          <w:tcPr>
            <w:tcW w:w="1177" w:type="pct"/>
            <w:vAlign w:val="center"/>
          </w:tcPr>
          <w:p w14:paraId="680E9A0B">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二苯并[a,h]蒽</w:t>
            </w:r>
          </w:p>
        </w:tc>
        <w:tc>
          <w:tcPr>
            <w:tcW w:w="649" w:type="pct"/>
            <w:vAlign w:val="center"/>
          </w:tcPr>
          <w:p w14:paraId="13387CDA">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791A7D66">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0849B9D4">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0F6AB297">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0B5203A8">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7086B1E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41EC5CD9">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36</w:t>
            </w:r>
          </w:p>
        </w:tc>
        <w:tc>
          <w:tcPr>
            <w:tcW w:w="1177" w:type="pct"/>
            <w:vAlign w:val="center"/>
          </w:tcPr>
          <w:p w14:paraId="23B2D9A9">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茚并[1,2,3-cd]芘</w:t>
            </w:r>
          </w:p>
        </w:tc>
        <w:tc>
          <w:tcPr>
            <w:tcW w:w="649" w:type="pct"/>
            <w:vAlign w:val="center"/>
          </w:tcPr>
          <w:p w14:paraId="1F54E04B">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15</w:t>
            </w:r>
          </w:p>
        </w:tc>
        <w:tc>
          <w:tcPr>
            <w:tcW w:w="893" w:type="pct"/>
            <w:vAlign w:val="center"/>
          </w:tcPr>
          <w:p w14:paraId="162D640E">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66643983">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.1L</w:t>
            </w:r>
          </w:p>
        </w:tc>
        <w:tc>
          <w:tcPr>
            <w:tcW w:w="649" w:type="pct"/>
          </w:tcPr>
          <w:p w14:paraId="2DFF3AEC">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3842B87">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r w14:paraId="111181B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 w:type="pct"/>
            <w:vAlign w:val="center"/>
          </w:tcPr>
          <w:p w14:paraId="7A64FA22">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37</w:t>
            </w:r>
          </w:p>
        </w:tc>
        <w:tc>
          <w:tcPr>
            <w:tcW w:w="1177" w:type="pct"/>
            <w:vAlign w:val="center"/>
          </w:tcPr>
          <w:p w14:paraId="0EDCE22A">
            <w:pPr>
              <w:adjustRightInd w:val="0"/>
              <w:snapToGrid w:val="0"/>
              <w:spacing w:line="300" w:lineRule="exact"/>
              <w:jc w:val="center"/>
              <w:textAlignment w:val="baseline"/>
              <w:rPr>
                <w:rFonts w:hint="eastAsia" w:ascii="宋体" w:hAnsi="宋体" w:cs="宋体"/>
                <w:szCs w:val="21"/>
              </w:rPr>
            </w:pPr>
            <w:r>
              <w:rPr>
                <w:rFonts w:hint="eastAsia" w:ascii="宋体" w:hAnsi="宋体" w:cs="宋体"/>
                <w:szCs w:val="21"/>
              </w:rPr>
              <w:t>萘</w:t>
            </w:r>
          </w:p>
        </w:tc>
        <w:tc>
          <w:tcPr>
            <w:tcW w:w="649" w:type="pct"/>
            <w:vAlign w:val="center"/>
          </w:tcPr>
          <w:p w14:paraId="4ADD29D1">
            <w:pPr>
              <w:adjustRightInd w:val="0"/>
              <w:snapToGri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70</w:t>
            </w:r>
          </w:p>
        </w:tc>
        <w:tc>
          <w:tcPr>
            <w:tcW w:w="893" w:type="pct"/>
            <w:vAlign w:val="center"/>
          </w:tcPr>
          <w:p w14:paraId="219A187C">
            <w:pPr>
              <w:adjustRightInd w:val="0"/>
              <w:snapToGrid w:val="0"/>
              <w:spacing w:line="300" w:lineRule="exact"/>
              <w:jc w:val="center"/>
              <w:rPr>
                <w:rFonts w:hint="eastAsia" w:ascii="宋体" w:hAnsi="宋体" w:cs="宋体"/>
                <w:szCs w:val="21"/>
              </w:rPr>
            </w:pPr>
            <w:r>
              <w:rPr>
                <w:rFonts w:hint="eastAsia" w:ascii="宋体" w:hAnsi="宋体" w:cs="宋体"/>
                <w:kern w:val="0"/>
                <w:szCs w:val="21"/>
              </w:rPr>
              <w:t>μg/kg</w:t>
            </w:r>
          </w:p>
        </w:tc>
        <w:tc>
          <w:tcPr>
            <w:tcW w:w="569" w:type="pct"/>
          </w:tcPr>
          <w:p w14:paraId="2FAA138E">
            <w:pPr>
              <w:adjustRightInd w:val="0"/>
              <w:snapToGrid w:val="0"/>
              <w:spacing w:line="300" w:lineRule="exact"/>
              <w:jc w:val="center"/>
              <w:rPr>
                <w:rFonts w:hint="eastAsia" w:ascii="宋体" w:hAnsi="宋体" w:cs="宋体"/>
                <w:szCs w:val="21"/>
              </w:rPr>
            </w:pPr>
            <w:r>
              <w:rPr>
                <w:rFonts w:hint="eastAsia" w:ascii="宋体" w:hAnsi="宋体" w:cs="宋体"/>
                <w:szCs w:val="21"/>
              </w:rPr>
              <w:t>0</w:t>
            </w:r>
            <w:r>
              <w:rPr>
                <w:rFonts w:ascii="宋体" w:hAnsi="宋体" w:cs="宋体"/>
                <w:szCs w:val="21"/>
              </w:rPr>
              <w:t>.09L</w:t>
            </w:r>
          </w:p>
        </w:tc>
        <w:tc>
          <w:tcPr>
            <w:tcW w:w="649" w:type="pct"/>
          </w:tcPr>
          <w:p w14:paraId="2ABD0581">
            <w:pPr>
              <w:adjustRightInd w:val="0"/>
              <w:snapToGrid w:val="0"/>
              <w:spacing w:line="300" w:lineRule="exact"/>
              <w:jc w:val="center"/>
              <w:rPr>
                <w:rFonts w:hint="eastAsia" w:ascii="宋体" w:hAnsi="宋体" w:cs="宋体"/>
                <w:szCs w:val="21"/>
              </w:rPr>
            </w:pPr>
            <w:r>
              <w:rPr>
                <w:rFonts w:hint="eastAsia" w:ascii="宋体" w:hAnsi="宋体" w:cs="宋体"/>
                <w:szCs w:val="21"/>
              </w:rPr>
              <w:t>/</w:t>
            </w:r>
          </w:p>
        </w:tc>
        <w:tc>
          <w:tcPr>
            <w:tcW w:w="696" w:type="pct"/>
            <w:vAlign w:val="center"/>
          </w:tcPr>
          <w:p w14:paraId="3088F451">
            <w:pPr>
              <w:adjustRightInd w:val="0"/>
              <w:snapToGrid w:val="0"/>
              <w:spacing w:line="300" w:lineRule="exact"/>
              <w:jc w:val="center"/>
              <w:rPr>
                <w:rFonts w:hint="eastAsia" w:ascii="宋体" w:hAnsi="宋体" w:cs="宋体"/>
                <w:szCs w:val="21"/>
              </w:rPr>
            </w:pPr>
            <w:r>
              <w:rPr>
                <w:rFonts w:hint="eastAsia" w:ascii="宋体" w:hAnsi="宋体" w:cs="宋体"/>
                <w:kern w:val="0"/>
                <w:szCs w:val="21"/>
              </w:rPr>
              <w:t>达标</w:t>
            </w:r>
          </w:p>
        </w:tc>
      </w:tr>
    </w:tbl>
    <w:p w14:paraId="04B49347">
      <w:pPr>
        <w:ind w:firstLine="197" w:firstLineChars="94"/>
        <w:jc w:val="center"/>
        <w:rPr>
          <w:rFonts w:hint="eastAsia" w:ascii="黑体" w:hAnsi="黑体" w:eastAsia="黑体"/>
          <w:bCs/>
          <w:szCs w:val="21"/>
        </w:rPr>
      </w:pPr>
    </w:p>
    <w:p w14:paraId="056BACE5">
      <w:pPr>
        <w:ind w:firstLine="197" w:firstLineChars="94"/>
        <w:jc w:val="center"/>
        <w:rPr>
          <w:rFonts w:hint="eastAsia" w:ascii="黑体" w:hAnsi="黑体" w:eastAsia="黑体"/>
          <w:bCs/>
          <w:szCs w:val="21"/>
        </w:rPr>
        <w:sectPr>
          <w:pgSz w:w="11906" w:h="16838"/>
          <w:pgMar w:top="1418" w:right="1588" w:bottom="1418" w:left="1588" w:header="1020" w:footer="1020" w:gutter="0"/>
          <w:cols w:space="720" w:num="1"/>
          <w:docGrid w:type="lines" w:linePitch="312" w:charSpace="0"/>
        </w:sectPr>
      </w:pPr>
    </w:p>
    <w:p w14:paraId="76C72C33">
      <w:pPr>
        <w:ind w:firstLine="197" w:firstLineChars="94"/>
        <w:jc w:val="center"/>
        <w:rPr>
          <w:rFonts w:hint="eastAsia" w:ascii="黑体" w:hAnsi="黑体" w:eastAsia="黑体"/>
          <w:bCs/>
          <w:szCs w:val="21"/>
        </w:rPr>
      </w:pPr>
      <w:r>
        <w:rPr>
          <w:rFonts w:hint="eastAsia" w:ascii="黑体" w:hAnsi="黑体" w:eastAsia="黑体"/>
          <w:bCs/>
          <w:szCs w:val="21"/>
        </w:rPr>
        <w:t>表</w:t>
      </w:r>
      <w:r>
        <w:rPr>
          <w:rFonts w:ascii="黑体" w:hAnsi="黑体" w:eastAsia="黑体"/>
          <w:bCs/>
          <w:szCs w:val="21"/>
        </w:rPr>
        <w:t>4.3</w:t>
      </w:r>
      <w:r>
        <w:rPr>
          <w:rFonts w:hint="eastAsia" w:ascii="黑体" w:hAnsi="黑体" w:eastAsia="黑体"/>
          <w:bCs/>
          <w:szCs w:val="21"/>
        </w:rPr>
        <w:t>-</w:t>
      </w:r>
      <w:r>
        <w:rPr>
          <w:rFonts w:ascii="黑体" w:hAnsi="黑体" w:eastAsia="黑体"/>
          <w:bCs/>
          <w:szCs w:val="21"/>
        </w:rPr>
        <w:t>1</w:t>
      </w:r>
      <w:r>
        <w:rPr>
          <w:rFonts w:hint="eastAsia" w:ascii="黑体" w:hAnsi="黑体" w:eastAsia="黑体"/>
          <w:bCs/>
          <w:szCs w:val="21"/>
        </w:rPr>
        <w:t>2</w:t>
      </w:r>
      <w:r>
        <w:rPr>
          <w:rFonts w:ascii="黑体" w:hAnsi="黑体" w:eastAsia="黑体"/>
          <w:bCs/>
          <w:szCs w:val="21"/>
        </w:rPr>
        <w:t xml:space="preserve">  监测结果及评价结果一览表</w:t>
      </w:r>
    </w:p>
    <w:tbl>
      <w:tblPr>
        <w:tblStyle w:val="51"/>
        <w:tblW w:w="498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6"/>
        <w:gridCol w:w="1595"/>
        <w:gridCol w:w="1294"/>
        <w:gridCol w:w="865"/>
        <w:gridCol w:w="862"/>
        <w:gridCol w:w="1152"/>
        <w:gridCol w:w="1237"/>
        <w:gridCol w:w="1067"/>
        <w:gridCol w:w="1254"/>
        <w:gridCol w:w="1152"/>
        <w:gridCol w:w="8"/>
        <w:gridCol w:w="860"/>
        <w:gridCol w:w="1164"/>
        <w:gridCol w:w="1104"/>
        <w:gridCol w:w="8"/>
      </w:tblGrid>
      <w:tr w14:paraId="32DB8D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9" w:type="pct"/>
            <w:vMerge w:val="restart"/>
            <w:shd w:val="clear" w:color="auto" w:fill="auto"/>
            <w:vAlign w:val="center"/>
          </w:tcPr>
          <w:p w14:paraId="7B2049BB">
            <w:pPr>
              <w:widowControl/>
              <w:jc w:val="center"/>
              <w:rPr>
                <w:rFonts w:hint="eastAsia" w:ascii="宋体" w:hAnsi="宋体" w:cs="宋体"/>
                <w:kern w:val="0"/>
                <w:szCs w:val="21"/>
              </w:rPr>
            </w:pPr>
            <w:r>
              <w:rPr>
                <w:rFonts w:hint="eastAsia" w:ascii="宋体" w:hAnsi="宋体" w:cs="宋体"/>
                <w:kern w:val="0"/>
                <w:szCs w:val="21"/>
              </w:rPr>
              <w:t>序号</w:t>
            </w:r>
          </w:p>
        </w:tc>
        <w:tc>
          <w:tcPr>
            <w:tcW w:w="562" w:type="pct"/>
            <w:vMerge w:val="restart"/>
            <w:shd w:val="clear" w:color="auto" w:fill="auto"/>
            <w:vAlign w:val="center"/>
          </w:tcPr>
          <w:p w14:paraId="20B974F6">
            <w:pPr>
              <w:widowControl/>
              <w:jc w:val="center"/>
              <w:rPr>
                <w:rFonts w:hint="eastAsia" w:ascii="宋体" w:hAnsi="宋体" w:cs="宋体"/>
                <w:kern w:val="0"/>
                <w:szCs w:val="21"/>
              </w:rPr>
            </w:pPr>
            <w:r>
              <w:rPr>
                <w:rFonts w:hint="eastAsia" w:ascii="宋体" w:hAnsi="宋体" w:cs="宋体"/>
                <w:kern w:val="0"/>
                <w:szCs w:val="21"/>
              </w:rPr>
              <w:t>名称</w:t>
            </w:r>
          </w:p>
        </w:tc>
        <w:tc>
          <w:tcPr>
            <w:tcW w:w="456" w:type="pct"/>
            <w:vMerge w:val="restart"/>
            <w:shd w:val="clear" w:color="auto" w:fill="auto"/>
            <w:vAlign w:val="center"/>
          </w:tcPr>
          <w:p w14:paraId="05C8B5BF">
            <w:pPr>
              <w:widowControl/>
              <w:jc w:val="center"/>
              <w:rPr>
                <w:rFonts w:hint="eastAsia" w:ascii="宋体" w:hAnsi="宋体" w:cs="宋体"/>
                <w:kern w:val="0"/>
                <w:szCs w:val="21"/>
              </w:rPr>
            </w:pPr>
            <w:r>
              <w:rPr>
                <w:rFonts w:hint="eastAsia" w:ascii="宋体" w:hAnsi="宋体" w:cs="宋体"/>
                <w:kern w:val="0"/>
                <w:szCs w:val="21"/>
              </w:rPr>
              <w:t>标准限值（mg/kg）</w:t>
            </w:r>
          </w:p>
        </w:tc>
        <w:tc>
          <w:tcPr>
            <w:tcW w:w="305" w:type="pct"/>
            <w:vMerge w:val="restart"/>
            <w:shd w:val="clear" w:color="auto" w:fill="auto"/>
            <w:vAlign w:val="center"/>
          </w:tcPr>
          <w:p w14:paraId="7FF11296">
            <w:pPr>
              <w:widowControl/>
              <w:jc w:val="center"/>
              <w:rPr>
                <w:rFonts w:hint="eastAsia" w:ascii="宋体" w:hAnsi="宋体" w:cs="宋体"/>
                <w:kern w:val="0"/>
                <w:szCs w:val="21"/>
              </w:rPr>
            </w:pPr>
            <w:r>
              <w:rPr>
                <w:rFonts w:hint="eastAsia" w:ascii="宋体" w:hAnsi="宋体" w:cs="宋体"/>
                <w:kern w:val="0"/>
                <w:szCs w:val="21"/>
              </w:rPr>
              <w:t>监测值单位</w:t>
            </w:r>
          </w:p>
        </w:tc>
        <w:tc>
          <w:tcPr>
            <w:tcW w:w="1146" w:type="pct"/>
            <w:gridSpan w:val="3"/>
            <w:shd w:val="clear" w:color="auto" w:fill="auto"/>
            <w:vAlign w:val="center"/>
          </w:tcPr>
          <w:p w14:paraId="5E62F927">
            <w:pPr>
              <w:widowControl/>
              <w:jc w:val="center"/>
              <w:rPr>
                <w:rFonts w:hint="eastAsia" w:ascii="宋体" w:hAnsi="宋体" w:cs="宋体"/>
                <w:kern w:val="0"/>
                <w:szCs w:val="21"/>
              </w:rPr>
            </w:pPr>
            <w:r>
              <w:rPr>
                <w:rFonts w:hint="eastAsia" w:ascii="宋体" w:hAnsi="宋体" w:cs="宋体"/>
                <w:kern w:val="0"/>
                <w:szCs w:val="21"/>
              </w:rPr>
              <w:t>0m～0.5m</w:t>
            </w:r>
          </w:p>
        </w:tc>
        <w:tc>
          <w:tcPr>
            <w:tcW w:w="1227" w:type="pct"/>
            <w:gridSpan w:val="4"/>
            <w:shd w:val="clear" w:color="auto" w:fill="auto"/>
            <w:vAlign w:val="center"/>
          </w:tcPr>
          <w:p w14:paraId="15FD4654">
            <w:pPr>
              <w:widowControl/>
              <w:jc w:val="center"/>
              <w:rPr>
                <w:rFonts w:hint="eastAsia" w:ascii="宋体" w:hAnsi="宋体" w:cs="宋体"/>
                <w:kern w:val="0"/>
                <w:szCs w:val="21"/>
              </w:rPr>
            </w:pPr>
            <w:r>
              <w:rPr>
                <w:rFonts w:hint="eastAsia" w:ascii="宋体" w:hAnsi="宋体" w:cs="宋体"/>
                <w:kern w:val="0"/>
                <w:szCs w:val="21"/>
              </w:rPr>
              <w:t>0.5m～1.5m</w:t>
            </w:r>
          </w:p>
        </w:tc>
        <w:tc>
          <w:tcPr>
            <w:tcW w:w="1105" w:type="pct"/>
            <w:gridSpan w:val="4"/>
            <w:shd w:val="clear" w:color="auto" w:fill="auto"/>
            <w:vAlign w:val="center"/>
          </w:tcPr>
          <w:p w14:paraId="307FD357">
            <w:pPr>
              <w:widowControl/>
              <w:jc w:val="center"/>
              <w:rPr>
                <w:rFonts w:hint="eastAsia" w:ascii="宋体" w:hAnsi="宋体" w:cs="宋体"/>
                <w:kern w:val="0"/>
                <w:szCs w:val="21"/>
              </w:rPr>
            </w:pPr>
            <w:r>
              <w:rPr>
                <w:rFonts w:hint="eastAsia" w:ascii="宋体" w:hAnsi="宋体" w:cs="宋体"/>
                <w:kern w:val="0"/>
                <w:szCs w:val="21"/>
              </w:rPr>
              <w:t>1.5m～3m</w:t>
            </w:r>
          </w:p>
        </w:tc>
      </w:tr>
      <w:tr w14:paraId="1275AB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vMerge w:val="continue"/>
            <w:vAlign w:val="center"/>
          </w:tcPr>
          <w:p w14:paraId="2BD98366">
            <w:pPr>
              <w:widowControl/>
              <w:jc w:val="center"/>
              <w:rPr>
                <w:rFonts w:hint="eastAsia" w:ascii="宋体" w:hAnsi="宋体" w:cs="宋体"/>
                <w:kern w:val="0"/>
                <w:szCs w:val="21"/>
              </w:rPr>
            </w:pPr>
          </w:p>
        </w:tc>
        <w:tc>
          <w:tcPr>
            <w:tcW w:w="562" w:type="pct"/>
            <w:vMerge w:val="continue"/>
            <w:vAlign w:val="center"/>
          </w:tcPr>
          <w:p w14:paraId="52929D92">
            <w:pPr>
              <w:widowControl/>
              <w:jc w:val="center"/>
              <w:rPr>
                <w:rFonts w:hint="eastAsia" w:ascii="宋体" w:hAnsi="宋体" w:cs="宋体"/>
                <w:kern w:val="0"/>
                <w:szCs w:val="21"/>
              </w:rPr>
            </w:pPr>
          </w:p>
        </w:tc>
        <w:tc>
          <w:tcPr>
            <w:tcW w:w="456" w:type="pct"/>
            <w:vMerge w:val="continue"/>
            <w:vAlign w:val="center"/>
          </w:tcPr>
          <w:p w14:paraId="5DB3C8BF">
            <w:pPr>
              <w:widowControl/>
              <w:jc w:val="center"/>
              <w:rPr>
                <w:rFonts w:hint="eastAsia" w:ascii="宋体" w:hAnsi="宋体" w:cs="宋体"/>
                <w:kern w:val="0"/>
                <w:szCs w:val="21"/>
              </w:rPr>
            </w:pPr>
          </w:p>
        </w:tc>
        <w:tc>
          <w:tcPr>
            <w:tcW w:w="305" w:type="pct"/>
            <w:vMerge w:val="continue"/>
            <w:vAlign w:val="center"/>
          </w:tcPr>
          <w:p w14:paraId="55293801">
            <w:pPr>
              <w:widowControl/>
              <w:jc w:val="center"/>
              <w:rPr>
                <w:rFonts w:hint="eastAsia" w:ascii="宋体" w:hAnsi="宋体" w:cs="宋体"/>
                <w:kern w:val="0"/>
                <w:szCs w:val="21"/>
              </w:rPr>
            </w:pPr>
          </w:p>
        </w:tc>
        <w:tc>
          <w:tcPr>
            <w:tcW w:w="304" w:type="pct"/>
            <w:shd w:val="clear" w:color="auto" w:fill="auto"/>
            <w:vAlign w:val="center"/>
          </w:tcPr>
          <w:p w14:paraId="2956586E">
            <w:pPr>
              <w:widowControl/>
              <w:jc w:val="center"/>
              <w:rPr>
                <w:rFonts w:hint="eastAsia" w:ascii="宋体" w:hAnsi="宋体" w:cs="宋体"/>
                <w:kern w:val="0"/>
                <w:szCs w:val="21"/>
              </w:rPr>
            </w:pPr>
            <w:r>
              <w:rPr>
                <w:rFonts w:hint="eastAsia" w:ascii="宋体" w:hAnsi="宋体" w:cs="宋体"/>
                <w:kern w:val="0"/>
                <w:szCs w:val="21"/>
              </w:rPr>
              <w:t>监测值</w:t>
            </w:r>
          </w:p>
        </w:tc>
        <w:tc>
          <w:tcPr>
            <w:tcW w:w="406" w:type="pct"/>
            <w:shd w:val="clear" w:color="auto" w:fill="auto"/>
            <w:vAlign w:val="center"/>
          </w:tcPr>
          <w:p w14:paraId="708B342C">
            <w:pPr>
              <w:widowControl/>
              <w:jc w:val="center"/>
              <w:rPr>
                <w:rFonts w:hint="eastAsia" w:ascii="宋体" w:hAnsi="宋体" w:cs="宋体"/>
                <w:kern w:val="0"/>
                <w:szCs w:val="21"/>
              </w:rPr>
            </w:pPr>
            <w:r>
              <w:rPr>
                <w:rFonts w:hint="eastAsia" w:ascii="宋体" w:hAnsi="宋体" w:cs="宋体"/>
                <w:kern w:val="0"/>
                <w:szCs w:val="21"/>
              </w:rPr>
              <w:t>标准指数</w:t>
            </w:r>
          </w:p>
        </w:tc>
        <w:tc>
          <w:tcPr>
            <w:tcW w:w="436" w:type="pct"/>
            <w:shd w:val="clear" w:color="auto" w:fill="auto"/>
            <w:vAlign w:val="center"/>
          </w:tcPr>
          <w:p w14:paraId="275D6F60">
            <w:pPr>
              <w:widowControl/>
              <w:jc w:val="center"/>
              <w:rPr>
                <w:rFonts w:hint="eastAsia" w:ascii="宋体" w:hAnsi="宋体" w:cs="宋体"/>
                <w:kern w:val="0"/>
                <w:szCs w:val="21"/>
              </w:rPr>
            </w:pPr>
            <w:r>
              <w:rPr>
                <w:rFonts w:hint="eastAsia" w:ascii="宋体" w:hAnsi="宋体" w:cs="宋体"/>
                <w:kern w:val="0"/>
                <w:szCs w:val="21"/>
              </w:rPr>
              <w:t>达标情况</w:t>
            </w:r>
          </w:p>
        </w:tc>
        <w:tc>
          <w:tcPr>
            <w:tcW w:w="376" w:type="pct"/>
            <w:shd w:val="clear" w:color="auto" w:fill="auto"/>
            <w:vAlign w:val="center"/>
          </w:tcPr>
          <w:p w14:paraId="46868539">
            <w:pPr>
              <w:widowControl/>
              <w:jc w:val="center"/>
              <w:rPr>
                <w:rFonts w:hint="eastAsia" w:ascii="宋体" w:hAnsi="宋体" w:cs="宋体"/>
                <w:kern w:val="0"/>
                <w:szCs w:val="21"/>
              </w:rPr>
            </w:pPr>
            <w:r>
              <w:rPr>
                <w:rFonts w:hint="eastAsia" w:ascii="宋体" w:hAnsi="宋体" w:cs="宋体"/>
                <w:kern w:val="0"/>
                <w:szCs w:val="21"/>
              </w:rPr>
              <w:t>监测值</w:t>
            </w:r>
          </w:p>
        </w:tc>
        <w:tc>
          <w:tcPr>
            <w:tcW w:w="442" w:type="pct"/>
            <w:shd w:val="clear" w:color="auto" w:fill="auto"/>
            <w:vAlign w:val="center"/>
          </w:tcPr>
          <w:p w14:paraId="31B1C342">
            <w:pPr>
              <w:widowControl/>
              <w:jc w:val="center"/>
              <w:rPr>
                <w:rFonts w:hint="eastAsia" w:ascii="宋体" w:hAnsi="宋体" w:cs="宋体"/>
                <w:kern w:val="0"/>
                <w:szCs w:val="21"/>
              </w:rPr>
            </w:pPr>
            <w:r>
              <w:rPr>
                <w:rFonts w:hint="eastAsia" w:ascii="宋体" w:hAnsi="宋体" w:cs="宋体"/>
                <w:kern w:val="0"/>
                <w:szCs w:val="21"/>
              </w:rPr>
              <w:t>标准指数</w:t>
            </w:r>
          </w:p>
        </w:tc>
        <w:tc>
          <w:tcPr>
            <w:tcW w:w="406" w:type="pct"/>
            <w:shd w:val="clear" w:color="auto" w:fill="auto"/>
            <w:vAlign w:val="center"/>
          </w:tcPr>
          <w:p w14:paraId="0B9C95DE">
            <w:pPr>
              <w:widowControl/>
              <w:jc w:val="center"/>
              <w:rPr>
                <w:rFonts w:hint="eastAsia" w:ascii="宋体" w:hAnsi="宋体" w:cs="宋体"/>
                <w:kern w:val="0"/>
                <w:szCs w:val="21"/>
              </w:rPr>
            </w:pPr>
            <w:r>
              <w:rPr>
                <w:rFonts w:hint="eastAsia" w:ascii="宋体" w:hAnsi="宋体" w:cs="宋体"/>
                <w:kern w:val="0"/>
                <w:szCs w:val="21"/>
              </w:rPr>
              <w:t>达标情况</w:t>
            </w:r>
          </w:p>
        </w:tc>
        <w:tc>
          <w:tcPr>
            <w:tcW w:w="306" w:type="pct"/>
            <w:gridSpan w:val="2"/>
            <w:shd w:val="clear" w:color="auto" w:fill="auto"/>
            <w:vAlign w:val="center"/>
          </w:tcPr>
          <w:p w14:paraId="112E25CA">
            <w:pPr>
              <w:widowControl/>
              <w:jc w:val="center"/>
              <w:rPr>
                <w:rFonts w:hint="eastAsia" w:ascii="宋体" w:hAnsi="宋体" w:cs="宋体"/>
                <w:kern w:val="0"/>
                <w:szCs w:val="21"/>
              </w:rPr>
            </w:pPr>
            <w:r>
              <w:rPr>
                <w:rFonts w:hint="eastAsia" w:ascii="宋体" w:hAnsi="宋体" w:cs="宋体"/>
                <w:kern w:val="0"/>
                <w:szCs w:val="21"/>
              </w:rPr>
              <w:t>监测值</w:t>
            </w:r>
          </w:p>
        </w:tc>
        <w:tc>
          <w:tcPr>
            <w:tcW w:w="410" w:type="pct"/>
            <w:shd w:val="clear" w:color="auto" w:fill="auto"/>
            <w:vAlign w:val="center"/>
          </w:tcPr>
          <w:p w14:paraId="326C7C71">
            <w:pPr>
              <w:widowControl/>
              <w:jc w:val="center"/>
              <w:rPr>
                <w:rFonts w:hint="eastAsia" w:ascii="宋体" w:hAnsi="宋体" w:cs="宋体"/>
                <w:kern w:val="0"/>
                <w:szCs w:val="21"/>
              </w:rPr>
            </w:pPr>
            <w:r>
              <w:rPr>
                <w:rFonts w:hint="eastAsia" w:ascii="宋体" w:hAnsi="宋体" w:cs="宋体"/>
                <w:kern w:val="0"/>
                <w:szCs w:val="21"/>
              </w:rPr>
              <w:t>标准指数</w:t>
            </w:r>
          </w:p>
        </w:tc>
        <w:tc>
          <w:tcPr>
            <w:tcW w:w="389" w:type="pct"/>
            <w:shd w:val="clear" w:color="auto" w:fill="auto"/>
            <w:vAlign w:val="center"/>
          </w:tcPr>
          <w:p w14:paraId="06EECE86">
            <w:pPr>
              <w:widowControl/>
              <w:jc w:val="center"/>
              <w:rPr>
                <w:rFonts w:hint="eastAsia" w:ascii="宋体" w:hAnsi="宋体" w:cs="宋体"/>
                <w:kern w:val="0"/>
                <w:szCs w:val="21"/>
              </w:rPr>
            </w:pPr>
            <w:r>
              <w:rPr>
                <w:rFonts w:hint="eastAsia" w:ascii="宋体" w:hAnsi="宋体" w:cs="宋体"/>
                <w:kern w:val="0"/>
                <w:szCs w:val="21"/>
              </w:rPr>
              <w:t>达标情况</w:t>
            </w:r>
          </w:p>
        </w:tc>
      </w:tr>
      <w:tr w14:paraId="1EBEE2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15"/>
            <w:shd w:val="clear" w:color="auto" w:fill="auto"/>
            <w:vAlign w:val="center"/>
          </w:tcPr>
          <w:p w14:paraId="4740DF2F">
            <w:pPr>
              <w:widowControl/>
              <w:jc w:val="center"/>
              <w:rPr>
                <w:rFonts w:hint="eastAsia" w:ascii="宋体" w:hAnsi="宋体" w:cs="宋体"/>
                <w:kern w:val="0"/>
                <w:szCs w:val="21"/>
              </w:rPr>
            </w:pPr>
            <w:r>
              <w:rPr>
                <w:rFonts w:hint="eastAsia" w:ascii="宋体" w:hAnsi="宋体" w:cs="宋体"/>
                <w:kern w:val="0"/>
                <w:szCs w:val="21"/>
              </w:rPr>
              <w:t>T1</w:t>
            </w:r>
          </w:p>
        </w:tc>
      </w:tr>
      <w:tr w14:paraId="5FB981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BEF297D">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61177DEB">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5D469495">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77BF0DC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77FF8C8">
            <w:pPr>
              <w:widowControl/>
              <w:jc w:val="center"/>
              <w:rPr>
                <w:rFonts w:hint="eastAsia" w:ascii="宋体" w:hAnsi="宋体" w:cs="宋体"/>
                <w:kern w:val="0"/>
                <w:szCs w:val="21"/>
              </w:rPr>
            </w:pPr>
            <w:r>
              <w:rPr>
                <w:rFonts w:hint="eastAsia" w:ascii="宋体" w:hAnsi="宋体" w:cs="宋体"/>
                <w:kern w:val="0"/>
                <w:szCs w:val="21"/>
              </w:rPr>
              <w:t>0.065</w:t>
            </w:r>
          </w:p>
        </w:tc>
        <w:tc>
          <w:tcPr>
            <w:tcW w:w="406" w:type="pct"/>
            <w:shd w:val="clear" w:color="auto" w:fill="auto"/>
            <w:vAlign w:val="center"/>
          </w:tcPr>
          <w:p w14:paraId="0378161C">
            <w:pPr>
              <w:widowControl/>
              <w:jc w:val="center"/>
              <w:rPr>
                <w:rFonts w:hint="eastAsia" w:ascii="宋体" w:hAnsi="宋体" w:cs="宋体"/>
                <w:kern w:val="0"/>
                <w:szCs w:val="21"/>
              </w:rPr>
            </w:pPr>
            <w:r>
              <w:rPr>
                <w:rFonts w:hint="eastAsia" w:ascii="宋体" w:hAnsi="宋体"/>
                <w:szCs w:val="21"/>
              </w:rPr>
              <w:t>0.0017</w:t>
            </w:r>
          </w:p>
        </w:tc>
        <w:tc>
          <w:tcPr>
            <w:tcW w:w="436" w:type="pct"/>
            <w:shd w:val="clear" w:color="auto" w:fill="auto"/>
            <w:vAlign w:val="center"/>
          </w:tcPr>
          <w:p w14:paraId="30F4D09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AF409D3">
            <w:pPr>
              <w:widowControl/>
              <w:jc w:val="center"/>
              <w:rPr>
                <w:rFonts w:hint="eastAsia" w:ascii="宋体" w:hAnsi="宋体" w:cs="宋体"/>
                <w:kern w:val="0"/>
                <w:szCs w:val="21"/>
              </w:rPr>
            </w:pPr>
            <w:r>
              <w:rPr>
                <w:rFonts w:hint="eastAsia" w:ascii="宋体" w:hAnsi="宋体" w:cs="宋体"/>
                <w:kern w:val="0"/>
                <w:szCs w:val="21"/>
              </w:rPr>
              <w:t>0.061</w:t>
            </w:r>
          </w:p>
        </w:tc>
        <w:tc>
          <w:tcPr>
            <w:tcW w:w="442" w:type="pct"/>
            <w:shd w:val="clear" w:color="auto" w:fill="auto"/>
            <w:vAlign w:val="center"/>
          </w:tcPr>
          <w:p w14:paraId="3F29C7FB">
            <w:pPr>
              <w:widowControl/>
              <w:jc w:val="center"/>
              <w:rPr>
                <w:rFonts w:hint="eastAsia" w:ascii="宋体" w:hAnsi="宋体" w:cs="宋体"/>
                <w:kern w:val="0"/>
                <w:szCs w:val="21"/>
              </w:rPr>
            </w:pPr>
            <w:r>
              <w:rPr>
                <w:rFonts w:hint="eastAsia" w:ascii="宋体" w:hAnsi="宋体"/>
                <w:szCs w:val="21"/>
              </w:rPr>
              <w:t>0.0016</w:t>
            </w:r>
          </w:p>
        </w:tc>
        <w:tc>
          <w:tcPr>
            <w:tcW w:w="406" w:type="pct"/>
            <w:shd w:val="clear" w:color="auto" w:fill="auto"/>
            <w:vAlign w:val="center"/>
          </w:tcPr>
          <w:p w14:paraId="40E9CA5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404437F">
            <w:pPr>
              <w:widowControl/>
              <w:jc w:val="center"/>
              <w:rPr>
                <w:rFonts w:hint="eastAsia" w:ascii="宋体" w:hAnsi="宋体" w:cs="宋体"/>
                <w:kern w:val="0"/>
                <w:szCs w:val="21"/>
              </w:rPr>
            </w:pPr>
            <w:r>
              <w:rPr>
                <w:rFonts w:hint="eastAsia" w:ascii="宋体" w:hAnsi="宋体" w:cs="宋体"/>
                <w:kern w:val="0"/>
                <w:szCs w:val="21"/>
              </w:rPr>
              <w:t>0.059</w:t>
            </w:r>
          </w:p>
        </w:tc>
        <w:tc>
          <w:tcPr>
            <w:tcW w:w="410" w:type="pct"/>
            <w:shd w:val="clear" w:color="auto" w:fill="auto"/>
            <w:vAlign w:val="center"/>
          </w:tcPr>
          <w:p w14:paraId="129E3B74">
            <w:pPr>
              <w:widowControl/>
              <w:jc w:val="center"/>
              <w:rPr>
                <w:rFonts w:hint="eastAsia" w:ascii="宋体" w:hAnsi="宋体" w:cs="宋体"/>
                <w:kern w:val="0"/>
                <w:szCs w:val="21"/>
              </w:rPr>
            </w:pPr>
            <w:r>
              <w:rPr>
                <w:rFonts w:hint="eastAsia" w:ascii="宋体" w:hAnsi="宋体"/>
                <w:szCs w:val="21"/>
              </w:rPr>
              <w:t>0.0016</w:t>
            </w:r>
          </w:p>
        </w:tc>
        <w:tc>
          <w:tcPr>
            <w:tcW w:w="389" w:type="pct"/>
            <w:shd w:val="clear" w:color="auto" w:fill="auto"/>
            <w:vAlign w:val="center"/>
          </w:tcPr>
          <w:p w14:paraId="5B5B7C39">
            <w:pPr>
              <w:widowControl/>
              <w:jc w:val="center"/>
              <w:rPr>
                <w:rFonts w:hint="eastAsia" w:ascii="宋体" w:hAnsi="宋体" w:cs="宋体"/>
                <w:kern w:val="0"/>
                <w:szCs w:val="21"/>
              </w:rPr>
            </w:pPr>
            <w:r>
              <w:rPr>
                <w:rFonts w:hint="eastAsia" w:ascii="宋体" w:hAnsi="宋体" w:cs="宋体"/>
                <w:kern w:val="0"/>
                <w:szCs w:val="21"/>
              </w:rPr>
              <w:t>达标</w:t>
            </w:r>
          </w:p>
        </w:tc>
      </w:tr>
      <w:tr w14:paraId="4EFCF4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FCD3F93">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100CB7CE">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52F425AA">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7B55BDB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35B7F27">
            <w:pPr>
              <w:widowControl/>
              <w:jc w:val="center"/>
              <w:rPr>
                <w:rFonts w:hint="eastAsia" w:ascii="宋体" w:hAnsi="宋体" w:cs="宋体"/>
                <w:kern w:val="0"/>
                <w:szCs w:val="21"/>
              </w:rPr>
            </w:pPr>
            <w:r>
              <w:rPr>
                <w:rFonts w:hint="eastAsia" w:ascii="宋体" w:hAnsi="宋体" w:cs="宋体"/>
                <w:kern w:val="0"/>
                <w:szCs w:val="21"/>
              </w:rPr>
              <w:t>8.90</w:t>
            </w:r>
          </w:p>
        </w:tc>
        <w:tc>
          <w:tcPr>
            <w:tcW w:w="406" w:type="pct"/>
            <w:shd w:val="clear" w:color="auto" w:fill="auto"/>
            <w:vAlign w:val="center"/>
          </w:tcPr>
          <w:p w14:paraId="0829D037">
            <w:pPr>
              <w:widowControl/>
              <w:jc w:val="center"/>
              <w:rPr>
                <w:rFonts w:hint="eastAsia" w:ascii="宋体" w:hAnsi="宋体" w:cs="宋体"/>
                <w:kern w:val="0"/>
                <w:szCs w:val="21"/>
              </w:rPr>
            </w:pPr>
            <w:r>
              <w:rPr>
                <w:rFonts w:hint="eastAsia" w:ascii="宋体" w:hAnsi="宋体"/>
                <w:szCs w:val="21"/>
              </w:rPr>
              <w:t>0.1483</w:t>
            </w:r>
          </w:p>
        </w:tc>
        <w:tc>
          <w:tcPr>
            <w:tcW w:w="436" w:type="pct"/>
            <w:shd w:val="clear" w:color="auto" w:fill="auto"/>
            <w:vAlign w:val="center"/>
          </w:tcPr>
          <w:p w14:paraId="472587AD">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5D2CC72">
            <w:pPr>
              <w:widowControl/>
              <w:jc w:val="center"/>
              <w:rPr>
                <w:rFonts w:hint="eastAsia" w:ascii="宋体" w:hAnsi="宋体" w:cs="宋体"/>
                <w:kern w:val="0"/>
                <w:szCs w:val="21"/>
              </w:rPr>
            </w:pPr>
            <w:r>
              <w:rPr>
                <w:rFonts w:hint="eastAsia" w:ascii="宋体" w:hAnsi="宋体" w:cs="宋体"/>
                <w:kern w:val="0"/>
                <w:szCs w:val="21"/>
              </w:rPr>
              <w:t>9.52</w:t>
            </w:r>
          </w:p>
        </w:tc>
        <w:tc>
          <w:tcPr>
            <w:tcW w:w="442" w:type="pct"/>
            <w:shd w:val="clear" w:color="auto" w:fill="auto"/>
            <w:vAlign w:val="center"/>
          </w:tcPr>
          <w:p w14:paraId="02F9E7AB">
            <w:pPr>
              <w:widowControl/>
              <w:jc w:val="center"/>
              <w:rPr>
                <w:rFonts w:hint="eastAsia" w:ascii="宋体" w:hAnsi="宋体" w:cs="宋体"/>
                <w:kern w:val="0"/>
                <w:szCs w:val="21"/>
              </w:rPr>
            </w:pPr>
            <w:r>
              <w:rPr>
                <w:rFonts w:hint="eastAsia" w:ascii="宋体" w:hAnsi="宋体"/>
                <w:szCs w:val="21"/>
              </w:rPr>
              <w:t>0.1587</w:t>
            </w:r>
          </w:p>
        </w:tc>
        <w:tc>
          <w:tcPr>
            <w:tcW w:w="406" w:type="pct"/>
            <w:shd w:val="clear" w:color="auto" w:fill="auto"/>
            <w:vAlign w:val="center"/>
          </w:tcPr>
          <w:p w14:paraId="48392BB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44EE5D8">
            <w:pPr>
              <w:widowControl/>
              <w:jc w:val="center"/>
              <w:rPr>
                <w:rFonts w:hint="eastAsia" w:ascii="宋体" w:hAnsi="宋体" w:cs="宋体"/>
                <w:kern w:val="0"/>
                <w:szCs w:val="21"/>
              </w:rPr>
            </w:pPr>
            <w:r>
              <w:rPr>
                <w:rFonts w:hint="eastAsia" w:ascii="宋体" w:hAnsi="宋体" w:cs="宋体"/>
                <w:kern w:val="0"/>
                <w:szCs w:val="21"/>
              </w:rPr>
              <w:t>7.71</w:t>
            </w:r>
          </w:p>
        </w:tc>
        <w:tc>
          <w:tcPr>
            <w:tcW w:w="410" w:type="pct"/>
            <w:shd w:val="clear" w:color="auto" w:fill="auto"/>
            <w:vAlign w:val="center"/>
          </w:tcPr>
          <w:p w14:paraId="71D4828E">
            <w:pPr>
              <w:widowControl/>
              <w:jc w:val="center"/>
              <w:rPr>
                <w:rFonts w:hint="eastAsia" w:ascii="宋体" w:hAnsi="宋体" w:cs="宋体"/>
                <w:kern w:val="0"/>
                <w:szCs w:val="21"/>
              </w:rPr>
            </w:pPr>
            <w:r>
              <w:rPr>
                <w:rFonts w:hint="eastAsia" w:ascii="宋体" w:hAnsi="宋体"/>
                <w:szCs w:val="21"/>
              </w:rPr>
              <w:t>0.1285</w:t>
            </w:r>
          </w:p>
        </w:tc>
        <w:tc>
          <w:tcPr>
            <w:tcW w:w="389" w:type="pct"/>
            <w:shd w:val="clear" w:color="auto" w:fill="auto"/>
            <w:vAlign w:val="center"/>
          </w:tcPr>
          <w:p w14:paraId="00A181CB">
            <w:pPr>
              <w:widowControl/>
              <w:jc w:val="center"/>
              <w:rPr>
                <w:rFonts w:hint="eastAsia" w:ascii="宋体" w:hAnsi="宋体" w:cs="宋体"/>
                <w:kern w:val="0"/>
                <w:szCs w:val="21"/>
              </w:rPr>
            </w:pPr>
            <w:r>
              <w:rPr>
                <w:rFonts w:hint="eastAsia" w:ascii="宋体" w:hAnsi="宋体" w:cs="宋体"/>
                <w:kern w:val="0"/>
                <w:szCs w:val="21"/>
              </w:rPr>
              <w:t>达标</w:t>
            </w:r>
          </w:p>
        </w:tc>
      </w:tr>
      <w:tr w14:paraId="26E34D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D8D8E45">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5A97B9CB">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09BF7A97">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11CE9E2B">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E968AA6">
            <w:pPr>
              <w:widowControl/>
              <w:jc w:val="center"/>
              <w:rPr>
                <w:rFonts w:hint="eastAsia" w:ascii="宋体" w:hAnsi="宋体" w:cs="宋体"/>
                <w:kern w:val="0"/>
                <w:szCs w:val="21"/>
              </w:rPr>
            </w:pPr>
            <w:r>
              <w:rPr>
                <w:rFonts w:hint="eastAsia" w:ascii="宋体" w:hAnsi="宋体" w:cs="宋体"/>
                <w:kern w:val="0"/>
                <w:szCs w:val="21"/>
              </w:rPr>
              <w:t>5.0</w:t>
            </w:r>
          </w:p>
        </w:tc>
        <w:tc>
          <w:tcPr>
            <w:tcW w:w="406" w:type="pct"/>
            <w:shd w:val="clear" w:color="auto" w:fill="auto"/>
            <w:vAlign w:val="center"/>
          </w:tcPr>
          <w:p w14:paraId="3051D088">
            <w:pPr>
              <w:widowControl/>
              <w:jc w:val="center"/>
              <w:rPr>
                <w:rFonts w:hint="eastAsia" w:ascii="宋体" w:hAnsi="宋体" w:cs="宋体"/>
                <w:kern w:val="0"/>
                <w:szCs w:val="21"/>
              </w:rPr>
            </w:pPr>
            <w:r>
              <w:rPr>
                <w:rFonts w:hint="eastAsia" w:ascii="宋体" w:hAnsi="宋体"/>
                <w:szCs w:val="21"/>
              </w:rPr>
              <w:t>0.0063</w:t>
            </w:r>
          </w:p>
        </w:tc>
        <w:tc>
          <w:tcPr>
            <w:tcW w:w="436" w:type="pct"/>
            <w:shd w:val="clear" w:color="auto" w:fill="auto"/>
            <w:vAlign w:val="center"/>
          </w:tcPr>
          <w:p w14:paraId="4DB9BD2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99A99DF">
            <w:pPr>
              <w:widowControl/>
              <w:jc w:val="center"/>
              <w:rPr>
                <w:rFonts w:hint="eastAsia" w:ascii="宋体" w:hAnsi="宋体" w:cs="宋体"/>
                <w:kern w:val="0"/>
                <w:szCs w:val="21"/>
              </w:rPr>
            </w:pPr>
            <w:r>
              <w:rPr>
                <w:rFonts w:hint="eastAsia" w:ascii="宋体" w:hAnsi="宋体" w:cs="宋体"/>
                <w:kern w:val="0"/>
                <w:szCs w:val="21"/>
              </w:rPr>
              <w:t>10.7</w:t>
            </w:r>
          </w:p>
        </w:tc>
        <w:tc>
          <w:tcPr>
            <w:tcW w:w="442" w:type="pct"/>
            <w:shd w:val="clear" w:color="auto" w:fill="auto"/>
            <w:vAlign w:val="center"/>
          </w:tcPr>
          <w:p w14:paraId="6B0DE0E4">
            <w:pPr>
              <w:widowControl/>
              <w:jc w:val="center"/>
              <w:rPr>
                <w:rFonts w:hint="eastAsia" w:ascii="宋体" w:hAnsi="宋体" w:cs="宋体"/>
                <w:kern w:val="0"/>
                <w:szCs w:val="21"/>
              </w:rPr>
            </w:pPr>
            <w:r>
              <w:rPr>
                <w:rFonts w:hint="eastAsia" w:ascii="宋体" w:hAnsi="宋体"/>
                <w:szCs w:val="21"/>
              </w:rPr>
              <w:t>0.0134</w:t>
            </w:r>
          </w:p>
        </w:tc>
        <w:tc>
          <w:tcPr>
            <w:tcW w:w="406" w:type="pct"/>
            <w:shd w:val="clear" w:color="auto" w:fill="auto"/>
            <w:vAlign w:val="center"/>
          </w:tcPr>
          <w:p w14:paraId="0E7985B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70B6CC2">
            <w:pPr>
              <w:widowControl/>
              <w:jc w:val="center"/>
              <w:rPr>
                <w:rFonts w:hint="eastAsia" w:ascii="宋体" w:hAnsi="宋体" w:cs="宋体"/>
                <w:kern w:val="0"/>
                <w:szCs w:val="21"/>
              </w:rPr>
            </w:pPr>
            <w:r>
              <w:rPr>
                <w:rFonts w:hint="eastAsia" w:ascii="宋体" w:hAnsi="宋体" w:cs="宋体"/>
                <w:kern w:val="0"/>
                <w:szCs w:val="21"/>
              </w:rPr>
              <w:t>7.2</w:t>
            </w:r>
          </w:p>
        </w:tc>
        <w:tc>
          <w:tcPr>
            <w:tcW w:w="410" w:type="pct"/>
            <w:shd w:val="clear" w:color="auto" w:fill="auto"/>
            <w:vAlign w:val="center"/>
          </w:tcPr>
          <w:p w14:paraId="3C583FEB">
            <w:pPr>
              <w:widowControl/>
              <w:jc w:val="center"/>
              <w:rPr>
                <w:rFonts w:hint="eastAsia" w:ascii="宋体" w:hAnsi="宋体" w:cs="宋体"/>
                <w:kern w:val="0"/>
                <w:szCs w:val="21"/>
              </w:rPr>
            </w:pPr>
            <w:r>
              <w:rPr>
                <w:rFonts w:hint="eastAsia" w:ascii="宋体" w:hAnsi="宋体"/>
                <w:szCs w:val="21"/>
              </w:rPr>
              <w:t>0.0090</w:t>
            </w:r>
          </w:p>
        </w:tc>
        <w:tc>
          <w:tcPr>
            <w:tcW w:w="389" w:type="pct"/>
            <w:shd w:val="clear" w:color="auto" w:fill="auto"/>
            <w:vAlign w:val="center"/>
          </w:tcPr>
          <w:p w14:paraId="2098F45D">
            <w:pPr>
              <w:widowControl/>
              <w:jc w:val="center"/>
              <w:rPr>
                <w:rFonts w:hint="eastAsia" w:ascii="宋体" w:hAnsi="宋体" w:cs="宋体"/>
                <w:kern w:val="0"/>
                <w:szCs w:val="21"/>
              </w:rPr>
            </w:pPr>
            <w:r>
              <w:rPr>
                <w:rFonts w:hint="eastAsia" w:ascii="宋体" w:hAnsi="宋体" w:cs="宋体"/>
                <w:kern w:val="0"/>
                <w:szCs w:val="21"/>
              </w:rPr>
              <w:t>达标</w:t>
            </w:r>
          </w:p>
        </w:tc>
      </w:tr>
      <w:tr w14:paraId="5EA223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90EFD0D">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4F0ED10F">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067717AD">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21D3F88E">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BF3159C">
            <w:pPr>
              <w:widowControl/>
              <w:jc w:val="center"/>
              <w:rPr>
                <w:rFonts w:hint="eastAsia" w:ascii="宋体" w:hAnsi="宋体" w:cs="宋体"/>
                <w:kern w:val="0"/>
                <w:szCs w:val="21"/>
              </w:rPr>
            </w:pPr>
            <w:r>
              <w:rPr>
                <w:rFonts w:hint="eastAsia" w:ascii="宋体" w:hAnsi="宋体" w:cs="宋体"/>
                <w:kern w:val="0"/>
                <w:szCs w:val="21"/>
              </w:rPr>
              <w:t>1.00</w:t>
            </w:r>
          </w:p>
        </w:tc>
        <w:tc>
          <w:tcPr>
            <w:tcW w:w="406" w:type="pct"/>
            <w:shd w:val="clear" w:color="auto" w:fill="auto"/>
            <w:vAlign w:val="center"/>
          </w:tcPr>
          <w:p w14:paraId="1790DA17">
            <w:pPr>
              <w:widowControl/>
              <w:jc w:val="center"/>
              <w:rPr>
                <w:rFonts w:hint="eastAsia" w:ascii="宋体" w:hAnsi="宋体" w:cs="宋体"/>
                <w:kern w:val="0"/>
                <w:szCs w:val="21"/>
              </w:rPr>
            </w:pPr>
            <w:r>
              <w:rPr>
                <w:rFonts w:hint="eastAsia" w:ascii="宋体" w:hAnsi="宋体"/>
                <w:szCs w:val="21"/>
              </w:rPr>
              <w:t>0.0154</w:t>
            </w:r>
          </w:p>
        </w:tc>
        <w:tc>
          <w:tcPr>
            <w:tcW w:w="436" w:type="pct"/>
            <w:shd w:val="clear" w:color="auto" w:fill="auto"/>
            <w:vAlign w:val="center"/>
          </w:tcPr>
          <w:p w14:paraId="2B0B64B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F23C1CE">
            <w:pPr>
              <w:widowControl/>
              <w:jc w:val="center"/>
              <w:rPr>
                <w:rFonts w:hint="eastAsia" w:ascii="宋体" w:hAnsi="宋体" w:cs="宋体"/>
                <w:kern w:val="0"/>
                <w:szCs w:val="21"/>
              </w:rPr>
            </w:pPr>
            <w:r>
              <w:rPr>
                <w:rFonts w:hint="eastAsia" w:ascii="宋体" w:hAnsi="宋体" w:cs="宋体"/>
                <w:kern w:val="0"/>
                <w:szCs w:val="21"/>
              </w:rPr>
              <w:t>1.09</w:t>
            </w:r>
          </w:p>
        </w:tc>
        <w:tc>
          <w:tcPr>
            <w:tcW w:w="442" w:type="pct"/>
            <w:shd w:val="clear" w:color="auto" w:fill="auto"/>
            <w:vAlign w:val="center"/>
          </w:tcPr>
          <w:p w14:paraId="49CEE94E">
            <w:pPr>
              <w:widowControl/>
              <w:jc w:val="center"/>
              <w:rPr>
                <w:rFonts w:hint="eastAsia" w:ascii="宋体" w:hAnsi="宋体" w:cs="宋体"/>
                <w:kern w:val="0"/>
                <w:szCs w:val="21"/>
              </w:rPr>
            </w:pPr>
            <w:r>
              <w:rPr>
                <w:rFonts w:hint="eastAsia" w:ascii="宋体" w:hAnsi="宋体"/>
                <w:szCs w:val="21"/>
              </w:rPr>
              <w:t>0.0168</w:t>
            </w:r>
          </w:p>
        </w:tc>
        <w:tc>
          <w:tcPr>
            <w:tcW w:w="406" w:type="pct"/>
            <w:shd w:val="clear" w:color="auto" w:fill="auto"/>
            <w:vAlign w:val="center"/>
          </w:tcPr>
          <w:p w14:paraId="21D93DB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62149EF">
            <w:pPr>
              <w:widowControl/>
              <w:jc w:val="center"/>
              <w:rPr>
                <w:rFonts w:hint="eastAsia" w:ascii="宋体" w:hAnsi="宋体" w:cs="宋体"/>
                <w:kern w:val="0"/>
                <w:szCs w:val="21"/>
              </w:rPr>
            </w:pPr>
            <w:r>
              <w:rPr>
                <w:rFonts w:hint="eastAsia" w:ascii="宋体" w:hAnsi="宋体" w:cs="宋体"/>
                <w:kern w:val="0"/>
                <w:szCs w:val="21"/>
              </w:rPr>
              <w:t>1.27</w:t>
            </w:r>
          </w:p>
        </w:tc>
        <w:tc>
          <w:tcPr>
            <w:tcW w:w="410" w:type="pct"/>
            <w:shd w:val="clear" w:color="auto" w:fill="auto"/>
            <w:vAlign w:val="center"/>
          </w:tcPr>
          <w:p w14:paraId="661E0EFE">
            <w:pPr>
              <w:widowControl/>
              <w:jc w:val="center"/>
              <w:rPr>
                <w:rFonts w:hint="eastAsia" w:ascii="宋体" w:hAnsi="宋体" w:cs="宋体"/>
                <w:kern w:val="0"/>
                <w:szCs w:val="21"/>
              </w:rPr>
            </w:pPr>
            <w:r>
              <w:rPr>
                <w:rFonts w:hint="eastAsia" w:ascii="宋体" w:hAnsi="宋体"/>
                <w:szCs w:val="21"/>
              </w:rPr>
              <w:t>0.0195</w:t>
            </w:r>
          </w:p>
        </w:tc>
        <w:tc>
          <w:tcPr>
            <w:tcW w:w="389" w:type="pct"/>
            <w:shd w:val="clear" w:color="auto" w:fill="auto"/>
            <w:vAlign w:val="center"/>
          </w:tcPr>
          <w:p w14:paraId="2A3216D1">
            <w:pPr>
              <w:widowControl/>
              <w:jc w:val="center"/>
              <w:rPr>
                <w:rFonts w:hint="eastAsia" w:ascii="宋体" w:hAnsi="宋体" w:cs="宋体"/>
                <w:kern w:val="0"/>
                <w:szCs w:val="21"/>
              </w:rPr>
            </w:pPr>
            <w:r>
              <w:rPr>
                <w:rFonts w:hint="eastAsia" w:ascii="宋体" w:hAnsi="宋体" w:cs="宋体"/>
                <w:kern w:val="0"/>
                <w:szCs w:val="21"/>
              </w:rPr>
              <w:t>达标</w:t>
            </w:r>
          </w:p>
        </w:tc>
      </w:tr>
      <w:tr w14:paraId="5F01A5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D266185">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1477D19C">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53B0FA2E">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477A8C8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36D09E1">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4920CE7C">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0A9E4B6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5BF9EE2">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533F3697">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3B1E2DAD">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FCB1221">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7C832C04">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4F3C7FDA">
            <w:pPr>
              <w:widowControl/>
              <w:jc w:val="center"/>
              <w:rPr>
                <w:rFonts w:hint="eastAsia" w:ascii="宋体" w:hAnsi="宋体" w:cs="宋体"/>
                <w:kern w:val="0"/>
                <w:szCs w:val="21"/>
              </w:rPr>
            </w:pPr>
            <w:r>
              <w:rPr>
                <w:rFonts w:hint="eastAsia" w:ascii="宋体" w:hAnsi="宋体" w:cs="宋体"/>
                <w:kern w:val="0"/>
                <w:szCs w:val="21"/>
              </w:rPr>
              <w:t>达标</w:t>
            </w:r>
          </w:p>
        </w:tc>
      </w:tr>
      <w:tr w14:paraId="4A4ABB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D30B798">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31003CE1">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712C4479">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4A4BD3C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A07B8C7">
            <w:pPr>
              <w:widowControl/>
              <w:jc w:val="center"/>
              <w:rPr>
                <w:rFonts w:hint="eastAsia" w:ascii="宋体" w:hAnsi="宋体" w:cs="宋体"/>
                <w:kern w:val="0"/>
                <w:szCs w:val="21"/>
              </w:rPr>
            </w:pPr>
            <w:r>
              <w:rPr>
                <w:rFonts w:hint="eastAsia" w:ascii="宋体" w:hAnsi="宋体" w:cs="宋体"/>
                <w:kern w:val="0"/>
                <w:szCs w:val="21"/>
              </w:rPr>
              <w:t>14</w:t>
            </w:r>
          </w:p>
        </w:tc>
        <w:tc>
          <w:tcPr>
            <w:tcW w:w="406" w:type="pct"/>
            <w:shd w:val="clear" w:color="auto" w:fill="auto"/>
            <w:vAlign w:val="center"/>
          </w:tcPr>
          <w:p w14:paraId="75489B6F">
            <w:pPr>
              <w:widowControl/>
              <w:jc w:val="center"/>
              <w:rPr>
                <w:rFonts w:hint="eastAsia" w:ascii="宋体" w:hAnsi="宋体" w:cs="宋体"/>
                <w:kern w:val="0"/>
                <w:szCs w:val="21"/>
              </w:rPr>
            </w:pPr>
            <w:r>
              <w:rPr>
                <w:rFonts w:hint="eastAsia" w:ascii="宋体" w:hAnsi="宋体"/>
                <w:szCs w:val="21"/>
              </w:rPr>
              <w:t>0.0008</w:t>
            </w:r>
          </w:p>
        </w:tc>
        <w:tc>
          <w:tcPr>
            <w:tcW w:w="436" w:type="pct"/>
            <w:shd w:val="clear" w:color="auto" w:fill="auto"/>
            <w:vAlign w:val="center"/>
          </w:tcPr>
          <w:p w14:paraId="7D7FD5CD">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C3A09A4">
            <w:pPr>
              <w:widowControl/>
              <w:jc w:val="center"/>
              <w:rPr>
                <w:rFonts w:hint="eastAsia" w:ascii="宋体" w:hAnsi="宋体" w:cs="宋体"/>
                <w:kern w:val="0"/>
                <w:szCs w:val="21"/>
              </w:rPr>
            </w:pPr>
            <w:r>
              <w:rPr>
                <w:rFonts w:hint="eastAsia" w:ascii="宋体" w:hAnsi="宋体" w:cs="宋体"/>
                <w:kern w:val="0"/>
                <w:szCs w:val="21"/>
              </w:rPr>
              <w:t>20</w:t>
            </w:r>
          </w:p>
        </w:tc>
        <w:tc>
          <w:tcPr>
            <w:tcW w:w="442" w:type="pct"/>
            <w:shd w:val="clear" w:color="auto" w:fill="auto"/>
            <w:vAlign w:val="center"/>
          </w:tcPr>
          <w:p w14:paraId="4990AF45">
            <w:pPr>
              <w:widowControl/>
              <w:jc w:val="center"/>
              <w:rPr>
                <w:rFonts w:hint="eastAsia" w:ascii="宋体" w:hAnsi="宋体" w:cs="宋体"/>
                <w:kern w:val="0"/>
                <w:szCs w:val="21"/>
              </w:rPr>
            </w:pPr>
            <w:r>
              <w:rPr>
                <w:rFonts w:hint="eastAsia" w:ascii="宋体" w:hAnsi="宋体"/>
                <w:szCs w:val="21"/>
              </w:rPr>
              <w:t>0.0011</w:t>
            </w:r>
          </w:p>
        </w:tc>
        <w:tc>
          <w:tcPr>
            <w:tcW w:w="406" w:type="pct"/>
            <w:shd w:val="clear" w:color="auto" w:fill="auto"/>
            <w:vAlign w:val="center"/>
          </w:tcPr>
          <w:p w14:paraId="4EA0C9F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971427B">
            <w:pPr>
              <w:widowControl/>
              <w:jc w:val="center"/>
              <w:rPr>
                <w:rFonts w:hint="eastAsia" w:ascii="宋体" w:hAnsi="宋体" w:cs="宋体"/>
                <w:kern w:val="0"/>
                <w:szCs w:val="21"/>
              </w:rPr>
            </w:pPr>
            <w:r>
              <w:rPr>
                <w:rFonts w:hint="eastAsia" w:ascii="宋体" w:hAnsi="宋体" w:cs="宋体"/>
                <w:kern w:val="0"/>
                <w:szCs w:val="21"/>
              </w:rPr>
              <w:t>15</w:t>
            </w:r>
          </w:p>
        </w:tc>
        <w:tc>
          <w:tcPr>
            <w:tcW w:w="410" w:type="pct"/>
            <w:shd w:val="clear" w:color="auto" w:fill="auto"/>
            <w:vAlign w:val="center"/>
          </w:tcPr>
          <w:p w14:paraId="5910272C">
            <w:pPr>
              <w:widowControl/>
              <w:jc w:val="center"/>
              <w:rPr>
                <w:rFonts w:hint="eastAsia" w:ascii="宋体" w:hAnsi="宋体" w:cs="宋体"/>
                <w:kern w:val="0"/>
                <w:szCs w:val="21"/>
              </w:rPr>
            </w:pPr>
            <w:r>
              <w:rPr>
                <w:rFonts w:hint="eastAsia" w:ascii="宋体" w:hAnsi="宋体"/>
                <w:szCs w:val="21"/>
              </w:rPr>
              <w:t>0.0008</w:t>
            </w:r>
          </w:p>
        </w:tc>
        <w:tc>
          <w:tcPr>
            <w:tcW w:w="389" w:type="pct"/>
            <w:shd w:val="clear" w:color="auto" w:fill="auto"/>
            <w:vAlign w:val="center"/>
          </w:tcPr>
          <w:p w14:paraId="5BBBAF8E">
            <w:pPr>
              <w:widowControl/>
              <w:jc w:val="center"/>
              <w:rPr>
                <w:rFonts w:hint="eastAsia" w:ascii="宋体" w:hAnsi="宋体" w:cs="宋体"/>
                <w:kern w:val="0"/>
                <w:szCs w:val="21"/>
              </w:rPr>
            </w:pPr>
            <w:r>
              <w:rPr>
                <w:rFonts w:hint="eastAsia" w:ascii="宋体" w:hAnsi="宋体" w:cs="宋体"/>
                <w:kern w:val="0"/>
                <w:szCs w:val="21"/>
              </w:rPr>
              <w:t>达标</w:t>
            </w:r>
          </w:p>
        </w:tc>
      </w:tr>
      <w:tr w14:paraId="485B1D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01ADE35">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11CB766A">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458A8E35">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6F7E6EF4">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0736F77">
            <w:pPr>
              <w:widowControl/>
              <w:jc w:val="center"/>
              <w:rPr>
                <w:rFonts w:hint="eastAsia" w:ascii="宋体" w:hAnsi="宋体" w:cs="宋体"/>
                <w:kern w:val="0"/>
                <w:szCs w:val="21"/>
              </w:rPr>
            </w:pPr>
            <w:r>
              <w:rPr>
                <w:rFonts w:hint="eastAsia" w:ascii="宋体" w:hAnsi="宋体" w:cs="宋体"/>
                <w:kern w:val="0"/>
                <w:szCs w:val="21"/>
              </w:rPr>
              <w:t>38</w:t>
            </w:r>
          </w:p>
        </w:tc>
        <w:tc>
          <w:tcPr>
            <w:tcW w:w="406" w:type="pct"/>
            <w:shd w:val="clear" w:color="auto" w:fill="auto"/>
            <w:vAlign w:val="center"/>
          </w:tcPr>
          <w:p w14:paraId="47880691">
            <w:pPr>
              <w:widowControl/>
              <w:jc w:val="center"/>
              <w:rPr>
                <w:rFonts w:hint="eastAsia" w:ascii="宋体" w:hAnsi="宋体" w:cs="宋体"/>
                <w:kern w:val="0"/>
                <w:szCs w:val="21"/>
              </w:rPr>
            </w:pPr>
            <w:r>
              <w:rPr>
                <w:rFonts w:hint="eastAsia" w:ascii="宋体" w:hAnsi="宋体"/>
                <w:szCs w:val="21"/>
              </w:rPr>
              <w:t>0.0422</w:t>
            </w:r>
          </w:p>
        </w:tc>
        <w:tc>
          <w:tcPr>
            <w:tcW w:w="436" w:type="pct"/>
            <w:shd w:val="clear" w:color="auto" w:fill="auto"/>
            <w:vAlign w:val="center"/>
          </w:tcPr>
          <w:p w14:paraId="4870B673">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7144873">
            <w:pPr>
              <w:widowControl/>
              <w:jc w:val="center"/>
              <w:rPr>
                <w:rFonts w:hint="eastAsia" w:ascii="宋体" w:hAnsi="宋体" w:cs="宋体"/>
                <w:kern w:val="0"/>
                <w:szCs w:val="21"/>
              </w:rPr>
            </w:pPr>
            <w:r>
              <w:rPr>
                <w:rFonts w:hint="eastAsia" w:ascii="宋体" w:hAnsi="宋体" w:cs="宋体"/>
                <w:kern w:val="0"/>
                <w:szCs w:val="21"/>
              </w:rPr>
              <w:t>35</w:t>
            </w:r>
          </w:p>
        </w:tc>
        <w:tc>
          <w:tcPr>
            <w:tcW w:w="442" w:type="pct"/>
            <w:shd w:val="clear" w:color="auto" w:fill="auto"/>
            <w:vAlign w:val="center"/>
          </w:tcPr>
          <w:p w14:paraId="502C221E">
            <w:pPr>
              <w:widowControl/>
              <w:jc w:val="center"/>
              <w:rPr>
                <w:rFonts w:hint="eastAsia" w:ascii="宋体" w:hAnsi="宋体" w:cs="宋体"/>
                <w:kern w:val="0"/>
                <w:szCs w:val="21"/>
              </w:rPr>
            </w:pPr>
            <w:r>
              <w:rPr>
                <w:rFonts w:hint="eastAsia" w:ascii="宋体" w:hAnsi="宋体"/>
                <w:szCs w:val="21"/>
              </w:rPr>
              <w:t>0.0389</w:t>
            </w:r>
          </w:p>
        </w:tc>
        <w:tc>
          <w:tcPr>
            <w:tcW w:w="406" w:type="pct"/>
            <w:shd w:val="clear" w:color="auto" w:fill="auto"/>
            <w:vAlign w:val="center"/>
          </w:tcPr>
          <w:p w14:paraId="4825B78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9FEC60E">
            <w:pPr>
              <w:widowControl/>
              <w:jc w:val="center"/>
              <w:rPr>
                <w:rFonts w:hint="eastAsia" w:ascii="宋体" w:hAnsi="宋体" w:cs="宋体"/>
                <w:kern w:val="0"/>
                <w:szCs w:val="21"/>
              </w:rPr>
            </w:pPr>
            <w:r>
              <w:rPr>
                <w:rFonts w:hint="eastAsia" w:ascii="宋体" w:hAnsi="宋体" w:cs="宋体"/>
                <w:kern w:val="0"/>
                <w:szCs w:val="21"/>
              </w:rPr>
              <w:t>31</w:t>
            </w:r>
          </w:p>
        </w:tc>
        <w:tc>
          <w:tcPr>
            <w:tcW w:w="410" w:type="pct"/>
            <w:shd w:val="clear" w:color="auto" w:fill="auto"/>
            <w:vAlign w:val="center"/>
          </w:tcPr>
          <w:p w14:paraId="6E00E545">
            <w:pPr>
              <w:widowControl/>
              <w:jc w:val="center"/>
              <w:rPr>
                <w:rFonts w:hint="eastAsia" w:ascii="宋体" w:hAnsi="宋体" w:cs="宋体"/>
                <w:kern w:val="0"/>
                <w:szCs w:val="21"/>
              </w:rPr>
            </w:pPr>
            <w:r>
              <w:rPr>
                <w:rFonts w:hint="eastAsia" w:ascii="宋体" w:hAnsi="宋体"/>
                <w:szCs w:val="21"/>
              </w:rPr>
              <w:t>0.0344</w:t>
            </w:r>
          </w:p>
        </w:tc>
        <w:tc>
          <w:tcPr>
            <w:tcW w:w="389" w:type="pct"/>
            <w:shd w:val="clear" w:color="auto" w:fill="auto"/>
            <w:vAlign w:val="center"/>
          </w:tcPr>
          <w:p w14:paraId="33686E45">
            <w:pPr>
              <w:widowControl/>
              <w:jc w:val="center"/>
              <w:rPr>
                <w:rFonts w:hint="eastAsia" w:ascii="宋体" w:hAnsi="宋体" w:cs="宋体"/>
                <w:kern w:val="0"/>
                <w:szCs w:val="21"/>
              </w:rPr>
            </w:pPr>
            <w:r>
              <w:rPr>
                <w:rFonts w:hint="eastAsia" w:ascii="宋体" w:hAnsi="宋体" w:cs="宋体"/>
                <w:kern w:val="0"/>
                <w:szCs w:val="21"/>
              </w:rPr>
              <w:t>达标</w:t>
            </w:r>
          </w:p>
        </w:tc>
      </w:tr>
      <w:tr w14:paraId="1E811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A8BF3FD">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161C1697">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4E9B64FD">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3A7E1859">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278F164">
            <w:pPr>
              <w:widowControl/>
              <w:jc w:val="center"/>
              <w:rPr>
                <w:rFonts w:hint="eastAsia" w:ascii="宋体" w:hAnsi="宋体" w:cs="宋体"/>
                <w:kern w:val="0"/>
                <w:szCs w:val="21"/>
              </w:rPr>
            </w:pPr>
            <w:r>
              <w:rPr>
                <w:rFonts w:hint="eastAsia" w:ascii="宋体" w:hAnsi="宋体" w:cs="宋体"/>
                <w:kern w:val="0"/>
                <w:szCs w:val="21"/>
              </w:rPr>
              <w:t>38</w:t>
            </w:r>
          </w:p>
        </w:tc>
        <w:tc>
          <w:tcPr>
            <w:tcW w:w="406" w:type="pct"/>
            <w:shd w:val="clear" w:color="auto" w:fill="auto"/>
            <w:vAlign w:val="center"/>
          </w:tcPr>
          <w:p w14:paraId="44D141C0">
            <w:pPr>
              <w:widowControl/>
              <w:jc w:val="center"/>
              <w:rPr>
                <w:rFonts w:hint="eastAsia" w:ascii="宋体" w:hAnsi="宋体" w:cs="宋体"/>
                <w:kern w:val="0"/>
                <w:szCs w:val="21"/>
              </w:rPr>
            </w:pPr>
            <w:r>
              <w:rPr>
                <w:rFonts w:hint="eastAsia" w:ascii="宋体" w:hAnsi="宋体"/>
                <w:szCs w:val="21"/>
              </w:rPr>
              <w:t>0.0084</w:t>
            </w:r>
          </w:p>
        </w:tc>
        <w:tc>
          <w:tcPr>
            <w:tcW w:w="436" w:type="pct"/>
            <w:shd w:val="clear" w:color="auto" w:fill="auto"/>
            <w:vAlign w:val="center"/>
          </w:tcPr>
          <w:p w14:paraId="2AD433F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9DAAD67">
            <w:pPr>
              <w:widowControl/>
              <w:jc w:val="center"/>
              <w:rPr>
                <w:rFonts w:hint="eastAsia" w:ascii="宋体" w:hAnsi="宋体" w:cs="宋体"/>
                <w:kern w:val="0"/>
                <w:szCs w:val="21"/>
              </w:rPr>
            </w:pPr>
            <w:r>
              <w:rPr>
                <w:rFonts w:hint="eastAsia" w:ascii="宋体" w:hAnsi="宋体" w:cs="宋体"/>
                <w:kern w:val="0"/>
                <w:szCs w:val="21"/>
              </w:rPr>
              <w:t>37</w:t>
            </w:r>
          </w:p>
        </w:tc>
        <w:tc>
          <w:tcPr>
            <w:tcW w:w="442" w:type="pct"/>
            <w:shd w:val="clear" w:color="auto" w:fill="auto"/>
            <w:vAlign w:val="center"/>
          </w:tcPr>
          <w:p w14:paraId="453B0902">
            <w:pPr>
              <w:widowControl/>
              <w:jc w:val="center"/>
              <w:rPr>
                <w:rFonts w:hint="eastAsia" w:ascii="宋体" w:hAnsi="宋体" w:cs="宋体"/>
                <w:kern w:val="0"/>
                <w:szCs w:val="21"/>
              </w:rPr>
            </w:pPr>
            <w:r>
              <w:rPr>
                <w:rFonts w:hint="eastAsia" w:ascii="宋体" w:hAnsi="宋体"/>
                <w:szCs w:val="21"/>
              </w:rPr>
              <w:t>0.0082</w:t>
            </w:r>
          </w:p>
        </w:tc>
        <w:tc>
          <w:tcPr>
            <w:tcW w:w="406" w:type="pct"/>
            <w:shd w:val="clear" w:color="auto" w:fill="auto"/>
            <w:vAlign w:val="center"/>
          </w:tcPr>
          <w:p w14:paraId="04D55B3C">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819C78B">
            <w:pPr>
              <w:widowControl/>
              <w:jc w:val="center"/>
              <w:rPr>
                <w:rFonts w:hint="eastAsia" w:ascii="宋体" w:hAnsi="宋体" w:cs="宋体"/>
                <w:kern w:val="0"/>
                <w:szCs w:val="21"/>
              </w:rPr>
            </w:pPr>
            <w:r>
              <w:rPr>
                <w:rFonts w:hint="eastAsia" w:ascii="宋体" w:hAnsi="宋体" w:cs="宋体"/>
                <w:kern w:val="0"/>
                <w:szCs w:val="21"/>
              </w:rPr>
              <w:t>43</w:t>
            </w:r>
          </w:p>
        </w:tc>
        <w:tc>
          <w:tcPr>
            <w:tcW w:w="410" w:type="pct"/>
            <w:shd w:val="clear" w:color="auto" w:fill="auto"/>
            <w:vAlign w:val="center"/>
          </w:tcPr>
          <w:p w14:paraId="6008E28E">
            <w:pPr>
              <w:widowControl/>
              <w:jc w:val="center"/>
              <w:rPr>
                <w:rFonts w:hint="eastAsia" w:ascii="宋体" w:hAnsi="宋体" w:cs="宋体"/>
                <w:kern w:val="0"/>
                <w:szCs w:val="21"/>
              </w:rPr>
            </w:pPr>
            <w:r>
              <w:rPr>
                <w:rFonts w:hint="eastAsia" w:ascii="宋体" w:hAnsi="宋体"/>
                <w:szCs w:val="21"/>
              </w:rPr>
              <w:t>0.0096</w:t>
            </w:r>
          </w:p>
        </w:tc>
        <w:tc>
          <w:tcPr>
            <w:tcW w:w="389" w:type="pct"/>
            <w:shd w:val="clear" w:color="auto" w:fill="auto"/>
            <w:vAlign w:val="center"/>
          </w:tcPr>
          <w:p w14:paraId="4FE8513A">
            <w:pPr>
              <w:widowControl/>
              <w:jc w:val="center"/>
              <w:rPr>
                <w:rFonts w:hint="eastAsia" w:ascii="宋体" w:hAnsi="宋体" w:cs="宋体"/>
                <w:kern w:val="0"/>
                <w:szCs w:val="21"/>
              </w:rPr>
            </w:pPr>
            <w:r>
              <w:rPr>
                <w:rFonts w:hint="eastAsia" w:ascii="宋体" w:hAnsi="宋体" w:cs="宋体"/>
                <w:kern w:val="0"/>
                <w:szCs w:val="21"/>
              </w:rPr>
              <w:t>达标</w:t>
            </w:r>
          </w:p>
        </w:tc>
      </w:tr>
      <w:tr w14:paraId="6E1CA0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8680CA3">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2AB9B7BC">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31CA7E11">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405312B0">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4E00D2D6">
            <w:pPr>
              <w:widowControl/>
              <w:jc w:val="center"/>
              <w:rPr>
                <w:rFonts w:hint="eastAsia" w:ascii="宋体" w:hAnsi="宋体" w:cs="宋体"/>
                <w:kern w:val="0"/>
                <w:szCs w:val="21"/>
              </w:rPr>
            </w:pPr>
            <w:r>
              <w:rPr>
                <w:rFonts w:hint="eastAsia" w:ascii="宋体" w:hAnsi="宋体" w:cs="宋体"/>
                <w:kern w:val="0"/>
                <w:szCs w:val="21"/>
              </w:rPr>
              <w:t>8.46</w:t>
            </w:r>
          </w:p>
        </w:tc>
        <w:tc>
          <w:tcPr>
            <w:tcW w:w="406" w:type="pct"/>
            <w:shd w:val="clear" w:color="auto" w:fill="auto"/>
            <w:vAlign w:val="center"/>
          </w:tcPr>
          <w:p w14:paraId="10A540F9">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2EBA5325">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3D147F3E">
            <w:pPr>
              <w:widowControl/>
              <w:jc w:val="center"/>
              <w:rPr>
                <w:rFonts w:hint="eastAsia" w:ascii="宋体" w:hAnsi="宋体" w:cs="宋体"/>
                <w:kern w:val="0"/>
                <w:szCs w:val="21"/>
              </w:rPr>
            </w:pPr>
            <w:r>
              <w:rPr>
                <w:rFonts w:hint="eastAsia" w:ascii="宋体" w:hAnsi="宋体" w:cs="宋体"/>
                <w:kern w:val="0"/>
                <w:szCs w:val="21"/>
              </w:rPr>
              <w:t>8.33</w:t>
            </w:r>
          </w:p>
        </w:tc>
        <w:tc>
          <w:tcPr>
            <w:tcW w:w="442" w:type="pct"/>
            <w:shd w:val="clear" w:color="auto" w:fill="auto"/>
            <w:vAlign w:val="center"/>
          </w:tcPr>
          <w:p w14:paraId="56624E54">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1463E06F">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56A5B5B9">
            <w:pPr>
              <w:widowControl/>
              <w:jc w:val="center"/>
              <w:rPr>
                <w:rFonts w:hint="eastAsia" w:ascii="宋体" w:hAnsi="宋体" w:cs="宋体"/>
                <w:kern w:val="0"/>
                <w:szCs w:val="21"/>
              </w:rPr>
            </w:pPr>
            <w:r>
              <w:rPr>
                <w:rFonts w:hint="eastAsia" w:ascii="宋体" w:hAnsi="宋体" w:cs="宋体"/>
                <w:kern w:val="0"/>
                <w:szCs w:val="21"/>
              </w:rPr>
              <w:t>8.50</w:t>
            </w:r>
          </w:p>
        </w:tc>
        <w:tc>
          <w:tcPr>
            <w:tcW w:w="410" w:type="pct"/>
            <w:shd w:val="clear" w:color="auto" w:fill="auto"/>
            <w:vAlign w:val="center"/>
          </w:tcPr>
          <w:p w14:paraId="2E396B46">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6BD539F0">
            <w:pPr>
              <w:widowControl/>
              <w:jc w:val="center"/>
              <w:rPr>
                <w:rFonts w:hint="eastAsia" w:ascii="宋体" w:hAnsi="宋体" w:cs="宋体"/>
                <w:kern w:val="0"/>
                <w:szCs w:val="21"/>
              </w:rPr>
            </w:pPr>
            <w:r>
              <w:rPr>
                <w:rFonts w:hint="eastAsia" w:ascii="宋体" w:hAnsi="宋体" w:cs="宋体"/>
                <w:kern w:val="0"/>
                <w:szCs w:val="21"/>
              </w:rPr>
              <w:t>/</w:t>
            </w:r>
          </w:p>
        </w:tc>
      </w:tr>
      <w:tr w14:paraId="3FCDC2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B425EC4">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1C3A6CD5">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086DE2E0">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7AA56764">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367C5420">
            <w:pPr>
              <w:widowControl/>
              <w:jc w:val="center"/>
              <w:rPr>
                <w:rFonts w:hint="eastAsia" w:ascii="宋体" w:hAnsi="宋体" w:cs="宋体"/>
                <w:kern w:val="0"/>
                <w:szCs w:val="21"/>
              </w:rPr>
            </w:pPr>
            <w:r>
              <w:rPr>
                <w:rFonts w:hint="eastAsia" w:ascii="宋体" w:hAnsi="宋体" w:cs="宋体"/>
                <w:kern w:val="0"/>
                <w:szCs w:val="21"/>
              </w:rPr>
              <w:t>1.4</w:t>
            </w:r>
          </w:p>
        </w:tc>
        <w:tc>
          <w:tcPr>
            <w:tcW w:w="406" w:type="pct"/>
            <w:shd w:val="clear" w:color="auto" w:fill="auto"/>
            <w:vAlign w:val="center"/>
          </w:tcPr>
          <w:p w14:paraId="5AB41F92">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4B2C1CF9">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76605CBD">
            <w:pPr>
              <w:widowControl/>
              <w:jc w:val="center"/>
              <w:rPr>
                <w:rFonts w:hint="eastAsia" w:ascii="宋体" w:hAnsi="宋体" w:cs="宋体"/>
                <w:kern w:val="0"/>
                <w:szCs w:val="21"/>
              </w:rPr>
            </w:pPr>
            <w:r>
              <w:rPr>
                <w:rFonts w:hint="eastAsia" w:ascii="宋体" w:hAnsi="宋体" w:cs="宋体"/>
                <w:kern w:val="0"/>
                <w:szCs w:val="21"/>
              </w:rPr>
              <w:t>1.5</w:t>
            </w:r>
          </w:p>
        </w:tc>
        <w:tc>
          <w:tcPr>
            <w:tcW w:w="442" w:type="pct"/>
            <w:shd w:val="clear" w:color="auto" w:fill="auto"/>
            <w:vAlign w:val="center"/>
          </w:tcPr>
          <w:p w14:paraId="69D2A828">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5189FD24">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35C13C86">
            <w:pPr>
              <w:widowControl/>
              <w:jc w:val="center"/>
              <w:rPr>
                <w:rFonts w:hint="eastAsia" w:ascii="宋体" w:hAnsi="宋体" w:cs="宋体"/>
                <w:kern w:val="0"/>
                <w:szCs w:val="21"/>
              </w:rPr>
            </w:pPr>
            <w:r>
              <w:rPr>
                <w:rFonts w:hint="eastAsia" w:ascii="宋体" w:hAnsi="宋体" w:cs="宋体"/>
                <w:kern w:val="0"/>
                <w:szCs w:val="21"/>
              </w:rPr>
              <w:t>1.6</w:t>
            </w:r>
          </w:p>
        </w:tc>
        <w:tc>
          <w:tcPr>
            <w:tcW w:w="410" w:type="pct"/>
            <w:shd w:val="clear" w:color="auto" w:fill="auto"/>
            <w:vAlign w:val="center"/>
          </w:tcPr>
          <w:p w14:paraId="513BB07A">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79EE2351">
            <w:pPr>
              <w:widowControl/>
              <w:jc w:val="center"/>
              <w:rPr>
                <w:rFonts w:hint="eastAsia" w:ascii="宋体" w:hAnsi="宋体" w:cs="宋体"/>
                <w:kern w:val="0"/>
                <w:szCs w:val="21"/>
              </w:rPr>
            </w:pPr>
            <w:r>
              <w:rPr>
                <w:rFonts w:hint="eastAsia" w:ascii="宋体" w:hAnsi="宋体" w:cs="宋体"/>
                <w:kern w:val="0"/>
                <w:szCs w:val="21"/>
              </w:rPr>
              <w:t>/</w:t>
            </w:r>
          </w:p>
        </w:tc>
      </w:tr>
      <w:tr w14:paraId="577861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15"/>
            <w:shd w:val="clear" w:color="auto" w:fill="auto"/>
            <w:vAlign w:val="center"/>
          </w:tcPr>
          <w:p w14:paraId="1FDF6026">
            <w:pPr>
              <w:widowControl/>
              <w:jc w:val="center"/>
              <w:rPr>
                <w:rFonts w:hint="eastAsia" w:ascii="宋体" w:hAnsi="宋体" w:cs="宋体"/>
                <w:kern w:val="0"/>
                <w:szCs w:val="21"/>
              </w:rPr>
            </w:pPr>
            <w:r>
              <w:rPr>
                <w:rFonts w:hint="eastAsia" w:ascii="宋体" w:hAnsi="宋体" w:cs="宋体"/>
                <w:kern w:val="0"/>
                <w:szCs w:val="21"/>
              </w:rPr>
              <w:t>T2</w:t>
            </w:r>
          </w:p>
        </w:tc>
      </w:tr>
      <w:tr w14:paraId="0C4554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033FCB8">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2572F9BC">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46E3616F">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1C1DCBBF">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E1E31DB">
            <w:pPr>
              <w:widowControl/>
              <w:jc w:val="center"/>
              <w:rPr>
                <w:rFonts w:hint="eastAsia" w:ascii="宋体" w:hAnsi="宋体" w:cs="宋体"/>
                <w:kern w:val="0"/>
                <w:szCs w:val="21"/>
              </w:rPr>
            </w:pPr>
            <w:r>
              <w:rPr>
                <w:rFonts w:hint="eastAsia" w:ascii="宋体" w:hAnsi="宋体" w:cs="宋体"/>
                <w:kern w:val="0"/>
                <w:szCs w:val="21"/>
              </w:rPr>
              <w:t>0.066</w:t>
            </w:r>
          </w:p>
        </w:tc>
        <w:tc>
          <w:tcPr>
            <w:tcW w:w="406" w:type="pct"/>
            <w:shd w:val="clear" w:color="auto" w:fill="auto"/>
            <w:vAlign w:val="center"/>
          </w:tcPr>
          <w:p w14:paraId="276B85BD">
            <w:pPr>
              <w:widowControl/>
              <w:jc w:val="center"/>
              <w:rPr>
                <w:rFonts w:hint="eastAsia" w:ascii="宋体" w:hAnsi="宋体" w:cs="宋体"/>
                <w:kern w:val="0"/>
                <w:szCs w:val="21"/>
              </w:rPr>
            </w:pPr>
            <w:r>
              <w:rPr>
                <w:rFonts w:hint="eastAsia" w:ascii="宋体" w:hAnsi="宋体"/>
                <w:szCs w:val="21"/>
              </w:rPr>
              <w:t>0.0017</w:t>
            </w:r>
          </w:p>
        </w:tc>
        <w:tc>
          <w:tcPr>
            <w:tcW w:w="436" w:type="pct"/>
            <w:shd w:val="clear" w:color="auto" w:fill="auto"/>
            <w:vAlign w:val="center"/>
          </w:tcPr>
          <w:p w14:paraId="62F65BB4">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0290380">
            <w:pPr>
              <w:widowControl/>
              <w:jc w:val="center"/>
              <w:rPr>
                <w:rFonts w:hint="eastAsia" w:ascii="宋体" w:hAnsi="宋体" w:cs="宋体"/>
                <w:kern w:val="0"/>
                <w:szCs w:val="21"/>
              </w:rPr>
            </w:pPr>
            <w:r>
              <w:rPr>
                <w:rFonts w:hint="eastAsia" w:ascii="宋体" w:hAnsi="宋体" w:cs="宋体"/>
                <w:kern w:val="0"/>
                <w:szCs w:val="21"/>
              </w:rPr>
              <w:t>0.074</w:t>
            </w:r>
          </w:p>
        </w:tc>
        <w:tc>
          <w:tcPr>
            <w:tcW w:w="442" w:type="pct"/>
            <w:shd w:val="clear" w:color="auto" w:fill="auto"/>
            <w:vAlign w:val="center"/>
          </w:tcPr>
          <w:p w14:paraId="607809AF">
            <w:pPr>
              <w:widowControl/>
              <w:jc w:val="center"/>
              <w:rPr>
                <w:rFonts w:hint="eastAsia" w:ascii="宋体" w:hAnsi="宋体" w:cs="宋体"/>
                <w:kern w:val="0"/>
                <w:szCs w:val="21"/>
              </w:rPr>
            </w:pPr>
            <w:r>
              <w:rPr>
                <w:rFonts w:hint="eastAsia" w:ascii="宋体" w:hAnsi="宋体"/>
                <w:szCs w:val="21"/>
              </w:rPr>
              <w:t>0.0019</w:t>
            </w:r>
          </w:p>
        </w:tc>
        <w:tc>
          <w:tcPr>
            <w:tcW w:w="406" w:type="pct"/>
            <w:shd w:val="clear" w:color="auto" w:fill="auto"/>
            <w:vAlign w:val="center"/>
          </w:tcPr>
          <w:p w14:paraId="781863A6">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AB3D8C8">
            <w:pPr>
              <w:widowControl/>
              <w:jc w:val="center"/>
              <w:rPr>
                <w:rFonts w:hint="eastAsia" w:ascii="宋体" w:hAnsi="宋体" w:cs="宋体"/>
                <w:kern w:val="0"/>
                <w:szCs w:val="21"/>
              </w:rPr>
            </w:pPr>
            <w:r>
              <w:rPr>
                <w:rFonts w:hint="eastAsia" w:ascii="宋体" w:hAnsi="宋体" w:cs="宋体"/>
                <w:kern w:val="0"/>
                <w:szCs w:val="21"/>
              </w:rPr>
              <w:t>0.089</w:t>
            </w:r>
          </w:p>
        </w:tc>
        <w:tc>
          <w:tcPr>
            <w:tcW w:w="410" w:type="pct"/>
            <w:shd w:val="clear" w:color="auto" w:fill="auto"/>
            <w:vAlign w:val="center"/>
          </w:tcPr>
          <w:p w14:paraId="409045B3">
            <w:pPr>
              <w:widowControl/>
              <w:jc w:val="center"/>
              <w:rPr>
                <w:rFonts w:hint="eastAsia" w:ascii="宋体" w:hAnsi="宋体" w:cs="宋体"/>
                <w:kern w:val="0"/>
                <w:szCs w:val="21"/>
              </w:rPr>
            </w:pPr>
            <w:r>
              <w:rPr>
                <w:rFonts w:hint="eastAsia" w:ascii="宋体" w:hAnsi="宋体"/>
                <w:szCs w:val="21"/>
              </w:rPr>
              <w:t>0.0023</w:t>
            </w:r>
          </w:p>
        </w:tc>
        <w:tc>
          <w:tcPr>
            <w:tcW w:w="389" w:type="pct"/>
            <w:shd w:val="clear" w:color="auto" w:fill="auto"/>
            <w:vAlign w:val="center"/>
          </w:tcPr>
          <w:p w14:paraId="79CEC415">
            <w:pPr>
              <w:widowControl/>
              <w:jc w:val="center"/>
              <w:rPr>
                <w:rFonts w:hint="eastAsia" w:ascii="宋体" w:hAnsi="宋体" w:cs="宋体"/>
                <w:kern w:val="0"/>
                <w:szCs w:val="21"/>
              </w:rPr>
            </w:pPr>
            <w:r>
              <w:rPr>
                <w:rFonts w:hint="eastAsia" w:ascii="宋体" w:hAnsi="宋体" w:cs="宋体"/>
                <w:kern w:val="0"/>
                <w:szCs w:val="21"/>
              </w:rPr>
              <w:t>达标</w:t>
            </w:r>
          </w:p>
        </w:tc>
      </w:tr>
      <w:tr w14:paraId="4979B4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ACADB2D">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334741A3">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4FADE075">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5C88C4F7">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5F9171E">
            <w:pPr>
              <w:widowControl/>
              <w:jc w:val="center"/>
              <w:rPr>
                <w:rFonts w:hint="eastAsia" w:ascii="宋体" w:hAnsi="宋体" w:cs="宋体"/>
                <w:kern w:val="0"/>
                <w:szCs w:val="21"/>
              </w:rPr>
            </w:pPr>
            <w:r>
              <w:rPr>
                <w:rFonts w:hint="eastAsia" w:ascii="宋体" w:hAnsi="宋体" w:cs="宋体"/>
                <w:kern w:val="0"/>
                <w:szCs w:val="21"/>
              </w:rPr>
              <w:t>7.57</w:t>
            </w:r>
          </w:p>
        </w:tc>
        <w:tc>
          <w:tcPr>
            <w:tcW w:w="406" w:type="pct"/>
            <w:shd w:val="clear" w:color="auto" w:fill="auto"/>
            <w:vAlign w:val="center"/>
          </w:tcPr>
          <w:p w14:paraId="3FF89624">
            <w:pPr>
              <w:widowControl/>
              <w:jc w:val="center"/>
              <w:rPr>
                <w:rFonts w:hint="eastAsia" w:ascii="宋体" w:hAnsi="宋体" w:cs="宋体"/>
                <w:kern w:val="0"/>
                <w:szCs w:val="21"/>
              </w:rPr>
            </w:pPr>
            <w:r>
              <w:rPr>
                <w:rFonts w:hint="eastAsia" w:ascii="宋体" w:hAnsi="宋体"/>
                <w:szCs w:val="21"/>
              </w:rPr>
              <w:t>0.1262</w:t>
            </w:r>
          </w:p>
        </w:tc>
        <w:tc>
          <w:tcPr>
            <w:tcW w:w="436" w:type="pct"/>
            <w:shd w:val="clear" w:color="auto" w:fill="auto"/>
            <w:vAlign w:val="center"/>
          </w:tcPr>
          <w:p w14:paraId="3EA4BE6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129D275">
            <w:pPr>
              <w:widowControl/>
              <w:jc w:val="center"/>
              <w:rPr>
                <w:rFonts w:hint="eastAsia" w:ascii="宋体" w:hAnsi="宋体" w:cs="宋体"/>
                <w:kern w:val="0"/>
                <w:szCs w:val="21"/>
              </w:rPr>
            </w:pPr>
            <w:r>
              <w:rPr>
                <w:rFonts w:hint="eastAsia" w:ascii="宋体" w:hAnsi="宋体" w:cs="宋体"/>
                <w:kern w:val="0"/>
                <w:szCs w:val="21"/>
              </w:rPr>
              <w:t>12.0</w:t>
            </w:r>
          </w:p>
        </w:tc>
        <w:tc>
          <w:tcPr>
            <w:tcW w:w="442" w:type="pct"/>
            <w:shd w:val="clear" w:color="auto" w:fill="auto"/>
            <w:vAlign w:val="center"/>
          </w:tcPr>
          <w:p w14:paraId="4C7BA633">
            <w:pPr>
              <w:widowControl/>
              <w:jc w:val="center"/>
              <w:rPr>
                <w:rFonts w:hint="eastAsia" w:ascii="宋体" w:hAnsi="宋体" w:cs="宋体"/>
                <w:kern w:val="0"/>
                <w:szCs w:val="21"/>
              </w:rPr>
            </w:pPr>
            <w:r>
              <w:rPr>
                <w:rFonts w:hint="eastAsia" w:ascii="宋体" w:hAnsi="宋体"/>
                <w:szCs w:val="21"/>
              </w:rPr>
              <w:t>0.2000</w:t>
            </w:r>
          </w:p>
        </w:tc>
        <w:tc>
          <w:tcPr>
            <w:tcW w:w="406" w:type="pct"/>
            <w:shd w:val="clear" w:color="auto" w:fill="auto"/>
            <w:vAlign w:val="center"/>
          </w:tcPr>
          <w:p w14:paraId="3EA3C83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C45EAEF">
            <w:pPr>
              <w:widowControl/>
              <w:jc w:val="center"/>
              <w:rPr>
                <w:rFonts w:hint="eastAsia" w:ascii="宋体" w:hAnsi="宋体" w:cs="宋体"/>
                <w:kern w:val="0"/>
                <w:szCs w:val="21"/>
              </w:rPr>
            </w:pPr>
            <w:r>
              <w:rPr>
                <w:rFonts w:hint="eastAsia" w:ascii="宋体" w:hAnsi="宋体" w:cs="宋体"/>
                <w:kern w:val="0"/>
                <w:szCs w:val="21"/>
              </w:rPr>
              <w:t>10.4</w:t>
            </w:r>
          </w:p>
        </w:tc>
        <w:tc>
          <w:tcPr>
            <w:tcW w:w="410" w:type="pct"/>
            <w:shd w:val="clear" w:color="auto" w:fill="auto"/>
            <w:vAlign w:val="center"/>
          </w:tcPr>
          <w:p w14:paraId="1152A8B2">
            <w:pPr>
              <w:widowControl/>
              <w:jc w:val="center"/>
              <w:rPr>
                <w:rFonts w:hint="eastAsia" w:ascii="宋体" w:hAnsi="宋体" w:cs="宋体"/>
                <w:kern w:val="0"/>
                <w:szCs w:val="21"/>
              </w:rPr>
            </w:pPr>
            <w:r>
              <w:rPr>
                <w:rFonts w:hint="eastAsia" w:ascii="宋体" w:hAnsi="宋体"/>
                <w:szCs w:val="21"/>
              </w:rPr>
              <w:t>0.1733</w:t>
            </w:r>
          </w:p>
        </w:tc>
        <w:tc>
          <w:tcPr>
            <w:tcW w:w="389" w:type="pct"/>
            <w:shd w:val="clear" w:color="auto" w:fill="auto"/>
            <w:vAlign w:val="center"/>
          </w:tcPr>
          <w:p w14:paraId="2B1E6E49">
            <w:pPr>
              <w:widowControl/>
              <w:jc w:val="center"/>
              <w:rPr>
                <w:rFonts w:hint="eastAsia" w:ascii="宋体" w:hAnsi="宋体" w:cs="宋体"/>
                <w:kern w:val="0"/>
                <w:szCs w:val="21"/>
              </w:rPr>
            </w:pPr>
            <w:r>
              <w:rPr>
                <w:rFonts w:hint="eastAsia" w:ascii="宋体" w:hAnsi="宋体" w:cs="宋体"/>
                <w:kern w:val="0"/>
                <w:szCs w:val="21"/>
              </w:rPr>
              <w:t>达标</w:t>
            </w:r>
          </w:p>
        </w:tc>
      </w:tr>
      <w:tr w14:paraId="46B3DA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D00D02C">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033F14EF">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2612CC59">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3A363CA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DC2176E">
            <w:pPr>
              <w:widowControl/>
              <w:jc w:val="center"/>
              <w:rPr>
                <w:rFonts w:hint="eastAsia" w:ascii="宋体" w:hAnsi="宋体" w:cs="宋体"/>
                <w:kern w:val="0"/>
                <w:szCs w:val="21"/>
              </w:rPr>
            </w:pPr>
            <w:r>
              <w:rPr>
                <w:rFonts w:hint="eastAsia" w:ascii="宋体" w:hAnsi="宋体" w:cs="宋体"/>
                <w:kern w:val="0"/>
                <w:szCs w:val="21"/>
              </w:rPr>
              <w:t>9.9</w:t>
            </w:r>
          </w:p>
        </w:tc>
        <w:tc>
          <w:tcPr>
            <w:tcW w:w="406" w:type="pct"/>
            <w:shd w:val="clear" w:color="auto" w:fill="auto"/>
            <w:vAlign w:val="center"/>
          </w:tcPr>
          <w:p w14:paraId="2A09B05A">
            <w:pPr>
              <w:widowControl/>
              <w:jc w:val="center"/>
              <w:rPr>
                <w:rFonts w:hint="eastAsia" w:ascii="宋体" w:hAnsi="宋体" w:cs="宋体"/>
                <w:kern w:val="0"/>
                <w:szCs w:val="21"/>
              </w:rPr>
            </w:pPr>
            <w:r>
              <w:rPr>
                <w:rFonts w:hint="eastAsia" w:ascii="宋体" w:hAnsi="宋体"/>
                <w:szCs w:val="21"/>
              </w:rPr>
              <w:t>0.0124</w:t>
            </w:r>
          </w:p>
        </w:tc>
        <w:tc>
          <w:tcPr>
            <w:tcW w:w="436" w:type="pct"/>
            <w:shd w:val="clear" w:color="auto" w:fill="auto"/>
            <w:vAlign w:val="center"/>
          </w:tcPr>
          <w:p w14:paraId="50BF3AE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3443B7C">
            <w:pPr>
              <w:widowControl/>
              <w:jc w:val="center"/>
              <w:rPr>
                <w:rFonts w:hint="eastAsia" w:ascii="宋体" w:hAnsi="宋体" w:cs="宋体"/>
                <w:kern w:val="0"/>
                <w:szCs w:val="21"/>
              </w:rPr>
            </w:pPr>
            <w:r>
              <w:rPr>
                <w:rFonts w:hint="eastAsia" w:ascii="宋体" w:hAnsi="宋体" w:cs="宋体"/>
                <w:kern w:val="0"/>
                <w:szCs w:val="21"/>
              </w:rPr>
              <w:t>6.0</w:t>
            </w:r>
          </w:p>
        </w:tc>
        <w:tc>
          <w:tcPr>
            <w:tcW w:w="442" w:type="pct"/>
            <w:shd w:val="clear" w:color="auto" w:fill="auto"/>
            <w:vAlign w:val="center"/>
          </w:tcPr>
          <w:p w14:paraId="7BAAF662">
            <w:pPr>
              <w:widowControl/>
              <w:jc w:val="center"/>
              <w:rPr>
                <w:rFonts w:hint="eastAsia" w:ascii="宋体" w:hAnsi="宋体" w:cs="宋体"/>
                <w:kern w:val="0"/>
                <w:szCs w:val="21"/>
              </w:rPr>
            </w:pPr>
            <w:r>
              <w:rPr>
                <w:rFonts w:hint="eastAsia" w:ascii="宋体" w:hAnsi="宋体"/>
                <w:szCs w:val="21"/>
              </w:rPr>
              <w:t>0.0075</w:t>
            </w:r>
          </w:p>
        </w:tc>
        <w:tc>
          <w:tcPr>
            <w:tcW w:w="406" w:type="pct"/>
            <w:shd w:val="clear" w:color="auto" w:fill="auto"/>
            <w:vAlign w:val="center"/>
          </w:tcPr>
          <w:p w14:paraId="68BB14D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C1B9D6C">
            <w:pPr>
              <w:widowControl/>
              <w:jc w:val="center"/>
              <w:rPr>
                <w:rFonts w:hint="eastAsia" w:ascii="宋体" w:hAnsi="宋体" w:cs="宋体"/>
                <w:kern w:val="0"/>
                <w:szCs w:val="21"/>
              </w:rPr>
            </w:pPr>
            <w:r>
              <w:rPr>
                <w:rFonts w:hint="eastAsia" w:ascii="宋体" w:hAnsi="宋体" w:cs="宋体"/>
                <w:kern w:val="0"/>
                <w:szCs w:val="21"/>
              </w:rPr>
              <w:t>2.3</w:t>
            </w:r>
          </w:p>
        </w:tc>
        <w:tc>
          <w:tcPr>
            <w:tcW w:w="410" w:type="pct"/>
            <w:shd w:val="clear" w:color="auto" w:fill="auto"/>
            <w:vAlign w:val="center"/>
          </w:tcPr>
          <w:p w14:paraId="7A733B35">
            <w:pPr>
              <w:widowControl/>
              <w:jc w:val="center"/>
              <w:rPr>
                <w:rFonts w:hint="eastAsia" w:ascii="宋体" w:hAnsi="宋体" w:cs="宋体"/>
                <w:kern w:val="0"/>
                <w:szCs w:val="21"/>
              </w:rPr>
            </w:pPr>
            <w:r>
              <w:rPr>
                <w:rFonts w:hint="eastAsia" w:ascii="宋体" w:hAnsi="宋体"/>
                <w:szCs w:val="21"/>
              </w:rPr>
              <w:t>0.0029</w:t>
            </w:r>
          </w:p>
        </w:tc>
        <w:tc>
          <w:tcPr>
            <w:tcW w:w="389" w:type="pct"/>
            <w:shd w:val="clear" w:color="auto" w:fill="auto"/>
            <w:vAlign w:val="center"/>
          </w:tcPr>
          <w:p w14:paraId="31B34D93">
            <w:pPr>
              <w:widowControl/>
              <w:jc w:val="center"/>
              <w:rPr>
                <w:rFonts w:hint="eastAsia" w:ascii="宋体" w:hAnsi="宋体" w:cs="宋体"/>
                <w:kern w:val="0"/>
                <w:szCs w:val="21"/>
              </w:rPr>
            </w:pPr>
            <w:r>
              <w:rPr>
                <w:rFonts w:hint="eastAsia" w:ascii="宋体" w:hAnsi="宋体" w:cs="宋体"/>
                <w:kern w:val="0"/>
                <w:szCs w:val="21"/>
              </w:rPr>
              <w:t>达标</w:t>
            </w:r>
          </w:p>
        </w:tc>
      </w:tr>
      <w:tr w14:paraId="58FB8B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CDF4D28">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1D9FFCAE">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1DAD7083">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21C20824">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BBF098C">
            <w:pPr>
              <w:widowControl/>
              <w:jc w:val="center"/>
              <w:rPr>
                <w:rFonts w:hint="eastAsia" w:ascii="宋体" w:hAnsi="宋体" w:cs="宋体"/>
                <w:kern w:val="0"/>
                <w:szCs w:val="21"/>
              </w:rPr>
            </w:pPr>
            <w:r>
              <w:rPr>
                <w:rFonts w:hint="eastAsia" w:ascii="宋体" w:hAnsi="宋体" w:cs="宋体"/>
                <w:kern w:val="0"/>
                <w:szCs w:val="21"/>
              </w:rPr>
              <w:t>1.50</w:t>
            </w:r>
          </w:p>
        </w:tc>
        <w:tc>
          <w:tcPr>
            <w:tcW w:w="406" w:type="pct"/>
            <w:shd w:val="clear" w:color="auto" w:fill="auto"/>
            <w:vAlign w:val="center"/>
          </w:tcPr>
          <w:p w14:paraId="5ADE09BD">
            <w:pPr>
              <w:widowControl/>
              <w:jc w:val="center"/>
              <w:rPr>
                <w:rFonts w:hint="eastAsia" w:ascii="宋体" w:hAnsi="宋体" w:cs="宋体"/>
                <w:kern w:val="0"/>
                <w:szCs w:val="21"/>
              </w:rPr>
            </w:pPr>
            <w:r>
              <w:rPr>
                <w:rFonts w:hint="eastAsia" w:ascii="宋体" w:hAnsi="宋体"/>
                <w:szCs w:val="21"/>
              </w:rPr>
              <w:t>0.0231</w:t>
            </w:r>
          </w:p>
        </w:tc>
        <w:tc>
          <w:tcPr>
            <w:tcW w:w="436" w:type="pct"/>
            <w:shd w:val="clear" w:color="auto" w:fill="auto"/>
            <w:vAlign w:val="center"/>
          </w:tcPr>
          <w:p w14:paraId="1328754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226C6B5">
            <w:pPr>
              <w:widowControl/>
              <w:jc w:val="center"/>
              <w:rPr>
                <w:rFonts w:hint="eastAsia" w:ascii="宋体" w:hAnsi="宋体" w:cs="宋体"/>
                <w:kern w:val="0"/>
                <w:szCs w:val="21"/>
              </w:rPr>
            </w:pPr>
            <w:r>
              <w:rPr>
                <w:rFonts w:hint="eastAsia" w:ascii="宋体" w:hAnsi="宋体" w:cs="宋体"/>
                <w:kern w:val="0"/>
                <w:szCs w:val="21"/>
              </w:rPr>
              <w:t>1.30</w:t>
            </w:r>
          </w:p>
        </w:tc>
        <w:tc>
          <w:tcPr>
            <w:tcW w:w="442" w:type="pct"/>
            <w:shd w:val="clear" w:color="auto" w:fill="auto"/>
            <w:vAlign w:val="center"/>
          </w:tcPr>
          <w:p w14:paraId="74A1D8E7">
            <w:pPr>
              <w:widowControl/>
              <w:jc w:val="center"/>
              <w:rPr>
                <w:rFonts w:hint="eastAsia" w:ascii="宋体" w:hAnsi="宋体" w:cs="宋体"/>
                <w:kern w:val="0"/>
                <w:szCs w:val="21"/>
              </w:rPr>
            </w:pPr>
            <w:r>
              <w:rPr>
                <w:rFonts w:hint="eastAsia" w:ascii="宋体" w:hAnsi="宋体"/>
                <w:szCs w:val="21"/>
              </w:rPr>
              <w:t>0.0200</w:t>
            </w:r>
          </w:p>
        </w:tc>
        <w:tc>
          <w:tcPr>
            <w:tcW w:w="406" w:type="pct"/>
            <w:shd w:val="clear" w:color="auto" w:fill="auto"/>
            <w:vAlign w:val="center"/>
          </w:tcPr>
          <w:p w14:paraId="000B1D3E">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56D88CC">
            <w:pPr>
              <w:widowControl/>
              <w:jc w:val="center"/>
              <w:rPr>
                <w:rFonts w:hint="eastAsia" w:ascii="宋体" w:hAnsi="宋体" w:cs="宋体"/>
                <w:kern w:val="0"/>
                <w:szCs w:val="21"/>
              </w:rPr>
            </w:pPr>
            <w:r>
              <w:rPr>
                <w:rFonts w:hint="eastAsia" w:ascii="宋体" w:hAnsi="宋体" w:cs="宋体"/>
                <w:kern w:val="0"/>
                <w:szCs w:val="21"/>
              </w:rPr>
              <w:t>0.67</w:t>
            </w:r>
          </w:p>
        </w:tc>
        <w:tc>
          <w:tcPr>
            <w:tcW w:w="410" w:type="pct"/>
            <w:shd w:val="clear" w:color="auto" w:fill="auto"/>
            <w:vAlign w:val="center"/>
          </w:tcPr>
          <w:p w14:paraId="1625D993">
            <w:pPr>
              <w:widowControl/>
              <w:jc w:val="center"/>
              <w:rPr>
                <w:rFonts w:hint="eastAsia" w:ascii="宋体" w:hAnsi="宋体" w:cs="宋体"/>
                <w:kern w:val="0"/>
                <w:szCs w:val="21"/>
              </w:rPr>
            </w:pPr>
            <w:r>
              <w:rPr>
                <w:rFonts w:hint="eastAsia" w:ascii="宋体" w:hAnsi="宋体"/>
                <w:szCs w:val="21"/>
              </w:rPr>
              <w:t>0.0103</w:t>
            </w:r>
          </w:p>
        </w:tc>
        <w:tc>
          <w:tcPr>
            <w:tcW w:w="389" w:type="pct"/>
            <w:shd w:val="clear" w:color="auto" w:fill="auto"/>
            <w:vAlign w:val="center"/>
          </w:tcPr>
          <w:p w14:paraId="451886E3">
            <w:pPr>
              <w:widowControl/>
              <w:jc w:val="center"/>
              <w:rPr>
                <w:rFonts w:hint="eastAsia" w:ascii="宋体" w:hAnsi="宋体" w:cs="宋体"/>
                <w:kern w:val="0"/>
                <w:szCs w:val="21"/>
              </w:rPr>
            </w:pPr>
            <w:r>
              <w:rPr>
                <w:rFonts w:hint="eastAsia" w:ascii="宋体" w:hAnsi="宋体" w:cs="宋体"/>
                <w:kern w:val="0"/>
                <w:szCs w:val="21"/>
              </w:rPr>
              <w:t>达标</w:t>
            </w:r>
          </w:p>
        </w:tc>
      </w:tr>
      <w:tr w14:paraId="756BBC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533FEA8">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76BD3AA9">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5480581C">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5AC1079B">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A4DB28E">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51C7C4FB">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77DCB163">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88E2BDB">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31356B5E">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6964C3D2">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9B944DA">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339338D0">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31F74055">
            <w:pPr>
              <w:widowControl/>
              <w:jc w:val="center"/>
              <w:rPr>
                <w:rFonts w:hint="eastAsia" w:ascii="宋体" w:hAnsi="宋体" w:cs="宋体"/>
                <w:kern w:val="0"/>
                <w:szCs w:val="21"/>
              </w:rPr>
            </w:pPr>
            <w:r>
              <w:rPr>
                <w:rFonts w:hint="eastAsia" w:ascii="宋体" w:hAnsi="宋体" w:cs="宋体"/>
                <w:kern w:val="0"/>
                <w:szCs w:val="21"/>
              </w:rPr>
              <w:t>达标</w:t>
            </w:r>
          </w:p>
        </w:tc>
      </w:tr>
      <w:tr w14:paraId="30AE73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122702B">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6135F803">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6E78757C">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1E40138E">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B3AEBA8">
            <w:pPr>
              <w:widowControl/>
              <w:jc w:val="center"/>
              <w:rPr>
                <w:rFonts w:hint="eastAsia" w:ascii="宋体" w:hAnsi="宋体" w:cs="宋体"/>
                <w:kern w:val="0"/>
                <w:szCs w:val="21"/>
              </w:rPr>
            </w:pPr>
            <w:r>
              <w:rPr>
                <w:rFonts w:hint="eastAsia" w:ascii="宋体" w:hAnsi="宋体" w:cs="宋体"/>
                <w:kern w:val="0"/>
                <w:szCs w:val="21"/>
              </w:rPr>
              <w:t>16</w:t>
            </w:r>
          </w:p>
        </w:tc>
        <w:tc>
          <w:tcPr>
            <w:tcW w:w="406" w:type="pct"/>
            <w:shd w:val="clear" w:color="auto" w:fill="auto"/>
            <w:vAlign w:val="center"/>
          </w:tcPr>
          <w:p w14:paraId="3E6F40EE">
            <w:pPr>
              <w:widowControl/>
              <w:jc w:val="center"/>
              <w:rPr>
                <w:rFonts w:hint="eastAsia" w:ascii="宋体" w:hAnsi="宋体" w:cs="宋体"/>
                <w:kern w:val="0"/>
                <w:szCs w:val="21"/>
              </w:rPr>
            </w:pPr>
            <w:r>
              <w:rPr>
                <w:rFonts w:hint="eastAsia" w:ascii="宋体" w:hAnsi="宋体"/>
                <w:szCs w:val="21"/>
              </w:rPr>
              <w:t>0.0009</w:t>
            </w:r>
          </w:p>
        </w:tc>
        <w:tc>
          <w:tcPr>
            <w:tcW w:w="436" w:type="pct"/>
            <w:shd w:val="clear" w:color="auto" w:fill="auto"/>
            <w:vAlign w:val="center"/>
          </w:tcPr>
          <w:p w14:paraId="4D1ACD71">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8483FDF">
            <w:pPr>
              <w:widowControl/>
              <w:jc w:val="center"/>
              <w:rPr>
                <w:rFonts w:hint="eastAsia" w:ascii="宋体" w:hAnsi="宋体" w:cs="宋体"/>
                <w:kern w:val="0"/>
                <w:szCs w:val="21"/>
              </w:rPr>
            </w:pPr>
            <w:r>
              <w:rPr>
                <w:rFonts w:hint="eastAsia" w:ascii="宋体" w:hAnsi="宋体" w:cs="宋体"/>
                <w:kern w:val="0"/>
                <w:szCs w:val="21"/>
              </w:rPr>
              <w:t>19</w:t>
            </w:r>
          </w:p>
        </w:tc>
        <w:tc>
          <w:tcPr>
            <w:tcW w:w="442" w:type="pct"/>
            <w:shd w:val="clear" w:color="auto" w:fill="auto"/>
            <w:vAlign w:val="center"/>
          </w:tcPr>
          <w:p w14:paraId="26C6FCFE">
            <w:pPr>
              <w:widowControl/>
              <w:jc w:val="center"/>
              <w:rPr>
                <w:rFonts w:hint="eastAsia" w:ascii="宋体" w:hAnsi="宋体" w:cs="宋体"/>
                <w:kern w:val="0"/>
                <w:szCs w:val="21"/>
              </w:rPr>
            </w:pPr>
            <w:r>
              <w:rPr>
                <w:rFonts w:hint="eastAsia" w:ascii="宋体" w:hAnsi="宋体"/>
                <w:szCs w:val="21"/>
              </w:rPr>
              <w:t>0.0011</w:t>
            </w:r>
          </w:p>
        </w:tc>
        <w:tc>
          <w:tcPr>
            <w:tcW w:w="406" w:type="pct"/>
            <w:shd w:val="clear" w:color="auto" w:fill="auto"/>
            <w:vAlign w:val="center"/>
          </w:tcPr>
          <w:p w14:paraId="3AE471D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8F02F94">
            <w:pPr>
              <w:widowControl/>
              <w:jc w:val="center"/>
              <w:rPr>
                <w:rFonts w:hint="eastAsia" w:ascii="宋体" w:hAnsi="宋体" w:cs="宋体"/>
                <w:kern w:val="0"/>
                <w:szCs w:val="21"/>
              </w:rPr>
            </w:pPr>
            <w:r>
              <w:rPr>
                <w:rFonts w:hint="eastAsia" w:ascii="宋体" w:hAnsi="宋体" w:cs="宋体"/>
                <w:kern w:val="0"/>
                <w:szCs w:val="21"/>
              </w:rPr>
              <w:t>20</w:t>
            </w:r>
          </w:p>
        </w:tc>
        <w:tc>
          <w:tcPr>
            <w:tcW w:w="410" w:type="pct"/>
            <w:shd w:val="clear" w:color="auto" w:fill="auto"/>
            <w:vAlign w:val="center"/>
          </w:tcPr>
          <w:p w14:paraId="615E1EE0">
            <w:pPr>
              <w:widowControl/>
              <w:jc w:val="center"/>
              <w:rPr>
                <w:rFonts w:hint="eastAsia" w:ascii="宋体" w:hAnsi="宋体" w:cs="宋体"/>
                <w:kern w:val="0"/>
                <w:szCs w:val="21"/>
              </w:rPr>
            </w:pPr>
            <w:r>
              <w:rPr>
                <w:rFonts w:hint="eastAsia" w:ascii="宋体" w:hAnsi="宋体"/>
                <w:szCs w:val="21"/>
              </w:rPr>
              <w:t>0.0011</w:t>
            </w:r>
          </w:p>
        </w:tc>
        <w:tc>
          <w:tcPr>
            <w:tcW w:w="389" w:type="pct"/>
            <w:shd w:val="clear" w:color="auto" w:fill="auto"/>
            <w:vAlign w:val="center"/>
          </w:tcPr>
          <w:p w14:paraId="72D3569B">
            <w:pPr>
              <w:widowControl/>
              <w:jc w:val="center"/>
              <w:rPr>
                <w:rFonts w:hint="eastAsia" w:ascii="宋体" w:hAnsi="宋体" w:cs="宋体"/>
                <w:kern w:val="0"/>
                <w:szCs w:val="21"/>
              </w:rPr>
            </w:pPr>
            <w:r>
              <w:rPr>
                <w:rFonts w:hint="eastAsia" w:ascii="宋体" w:hAnsi="宋体" w:cs="宋体"/>
                <w:kern w:val="0"/>
                <w:szCs w:val="21"/>
              </w:rPr>
              <w:t>达标</w:t>
            </w:r>
          </w:p>
        </w:tc>
      </w:tr>
      <w:tr w14:paraId="40C755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F8BB456">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1D921804">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08B023F4">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685FFA97">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51D607A">
            <w:pPr>
              <w:widowControl/>
              <w:jc w:val="center"/>
              <w:rPr>
                <w:rFonts w:hint="eastAsia" w:ascii="宋体" w:hAnsi="宋体" w:cs="宋体"/>
                <w:kern w:val="0"/>
                <w:szCs w:val="21"/>
              </w:rPr>
            </w:pPr>
            <w:r>
              <w:rPr>
                <w:rFonts w:hint="eastAsia" w:ascii="宋体" w:hAnsi="宋体" w:cs="宋体"/>
                <w:kern w:val="0"/>
                <w:szCs w:val="21"/>
              </w:rPr>
              <w:t>29</w:t>
            </w:r>
          </w:p>
        </w:tc>
        <w:tc>
          <w:tcPr>
            <w:tcW w:w="406" w:type="pct"/>
            <w:shd w:val="clear" w:color="auto" w:fill="auto"/>
            <w:vAlign w:val="center"/>
          </w:tcPr>
          <w:p w14:paraId="130AF832">
            <w:pPr>
              <w:widowControl/>
              <w:jc w:val="center"/>
              <w:rPr>
                <w:rFonts w:hint="eastAsia" w:ascii="宋体" w:hAnsi="宋体" w:cs="宋体"/>
                <w:kern w:val="0"/>
                <w:szCs w:val="21"/>
              </w:rPr>
            </w:pPr>
            <w:r>
              <w:rPr>
                <w:rFonts w:hint="eastAsia" w:ascii="宋体" w:hAnsi="宋体"/>
                <w:szCs w:val="21"/>
              </w:rPr>
              <w:t>0.0322</w:t>
            </w:r>
          </w:p>
        </w:tc>
        <w:tc>
          <w:tcPr>
            <w:tcW w:w="436" w:type="pct"/>
            <w:shd w:val="clear" w:color="auto" w:fill="auto"/>
            <w:vAlign w:val="center"/>
          </w:tcPr>
          <w:p w14:paraId="26E061C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913809C">
            <w:pPr>
              <w:widowControl/>
              <w:jc w:val="center"/>
              <w:rPr>
                <w:rFonts w:hint="eastAsia" w:ascii="宋体" w:hAnsi="宋体" w:cs="宋体"/>
                <w:kern w:val="0"/>
                <w:szCs w:val="21"/>
              </w:rPr>
            </w:pPr>
            <w:r>
              <w:rPr>
                <w:rFonts w:hint="eastAsia" w:ascii="宋体" w:hAnsi="宋体" w:cs="宋体"/>
                <w:kern w:val="0"/>
                <w:szCs w:val="21"/>
              </w:rPr>
              <w:t>39</w:t>
            </w:r>
          </w:p>
        </w:tc>
        <w:tc>
          <w:tcPr>
            <w:tcW w:w="442" w:type="pct"/>
            <w:shd w:val="clear" w:color="auto" w:fill="auto"/>
            <w:vAlign w:val="center"/>
          </w:tcPr>
          <w:p w14:paraId="4C39A36F">
            <w:pPr>
              <w:widowControl/>
              <w:jc w:val="center"/>
              <w:rPr>
                <w:rFonts w:hint="eastAsia" w:ascii="宋体" w:hAnsi="宋体" w:cs="宋体"/>
                <w:kern w:val="0"/>
                <w:szCs w:val="21"/>
              </w:rPr>
            </w:pPr>
            <w:r>
              <w:rPr>
                <w:rFonts w:hint="eastAsia" w:ascii="宋体" w:hAnsi="宋体"/>
                <w:szCs w:val="21"/>
              </w:rPr>
              <w:t>0.0433</w:t>
            </w:r>
          </w:p>
        </w:tc>
        <w:tc>
          <w:tcPr>
            <w:tcW w:w="406" w:type="pct"/>
            <w:shd w:val="clear" w:color="auto" w:fill="auto"/>
            <w:vAlign w:val="center"/>
          </w:tcPr>
          <w:p w14:paraId="5A3FAD1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7E04E67">
            <w:pPr>
              <w:widowControl/>
              <w:jc w:val="center"/>
              <w:rPr>
                <w:rFonts w:hint="eastAsia" w:ascii="宋体" w:hAnsi="宋体" w:cs="宋体"/>
                <w:kern w:val="0"/>
                <w:szCs w:val="21"/>
              </w:rPr>
            </w:pPr>
            <w:r>
              <w:rPr>
                <w:rFonts w:hint="eastAsia" w:ascii="宋体" w:hAnsi="宋体" w:cs="宋体"/>
                <w:kern w:val="0"/>
                <w:szCs w:val="21"/>
              </w:rPr>
              <w:t>37</w:t>
            </w:r>
          </w:p>
        </w:tc>
        <w:tc>
          <w:tcPr>
            <w:tcW w:w="410" w:type="pct"/>
            <w:shd w:val="clear" w:color="auto" w:fill="auto"/>
            <w:vAlign w:val="center"/>
          </w:tcPr>
          <w:p w14:paraId="532CB9B5">
            <w:pPr>
              <w:widowControl/>
              <w:jc w:val="center"/>
              <w:rPr>
                <w:rFonts w:hint="eastAsia" w:ascii="宋体" w:hAnsi="宋体" w:cs="宋体"/>
                <w:kern w:val="0"/>
                <w:szCs w:val="21"/>
              </w:rPr>
            </w:pPr>
            <w:r>
              <w:rPr>
                <w:rFonts w:hint="eastAsia" w:ascii="宋体" w:hAnsi="宋体"/>
                <w:szCs w:val="21"/>
              </w:rPr>
              <w:t>0.0411</w:t>
            </w:r>
          </w:p>
        </w:tc>
        <w:tc>
          <w:tcPr>
            <w:tcW w:w="389" w:type="pct"/>
            <w:shd w:val="clear" w:color="auto" w:fill="auto"/>
            <w:vAlign w:val="center"/>
          </w:tcPr>
          <w:p w14:paraId="75DD2AFE">
            <w:pPr>
              <w:widowControl/>
              <w:jc w:val="center"/>
              <w:rPr>
                <w:rFonts w:hint="eastAsia" w:ascii="宋体" w:hAnsi="宋体" w:cs="宋体"/>
                <w:kern w:val="0"/>
                <w:szCs w:val="21"/>
              </w:rPr>
            </w:pPr>
            <w:r>
              <w:rPr>
                <w:rFonts w:hint="eastAsia" w:ascii="宋体" w:hAnsi="宋体" w:cs="宋体"/>
                <w:kern w:val="0"/>
                <w:szCs w:val="21"/>
              </w:rPr>
              <w:t>达标</w:t>
            </w:r>
          </w:p>
        </w:tc>
      </w:tr>
      <w:tr w14:paraId="03250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A187F9E">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58E49A94">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550AF2DC">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2013CC9F">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29DBC6A">
            <w:pPr>
              <w:widowControl/>
              <w:jc w:val="center"/>
              <w:rPr>
                <w:rFonts w:hint="eastAsia" w:ascii="宋体" w:hAnsi="宋体" w:cs="宋体"/>
                <w:kern w:val="0"/>
                <w:szCs w:val="21"/>
              </w:rPr>
            </w:pPr>
            <w:r>
              <w:rPr>
                <w:rFonts w:hint="eastAsia" w:ascii="宋体" w:hAnsi="宋体" w:cs="宋体"/>
                <w:kern w:val="0"/>
                <w:szCs w:val="21"/>
              </w:rPr>
              <w:t>14</w:t>
            </w:r>
          </w:p>
        </w:tc>
        <w:tc>
          <w:tcPr>
            <w:tcW w:w="406" w:type="pct"/>
            <w:shd w:val="clear" w:color="auto" w:fill="auto"/>
            <w:vAlign w:val="center"/>
          </w:tcPr>
          <w:p w14:paraId="68520160">
            <w:pPr>
              <w:widowControl/>
              <w:jc w:val="center"/>
              <w:rPr>
                <w:rFonts w:hint="eastAsia" w:ascii="宋体" w:hAnsi="宋体" w:cs="宋体"/>
                <w:kern w:val="0"/>
                <w:szCs w:val="21"/>
              </w:rPr>
            </w:pPr>
            <w:r>
              <w:rPr>
                <w:rFonts w:hint="eastAsia" w:ascii="宋体" w:hAnsi="宋体"/>
                <w:szCs w:val="21"/>
              </w:rPr>
              <w:t>0.0031</w:t>
            </w:r>
          </w:p>
        </w:tc>
        <w:tc>
          <w:tcPr>
            <w:tcW w:w="436" w:type="pct"/>
            <w:shd w:val="clear" w:color="auto" w:fill="auto"/>
            <w:vAlign w:val="center"/>
          </w:tcPr>
          <w:p w14:paraId="2D0BBC0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63957EC">
            <w:pPr>
              <w:widowControl/>
              <w:jc w:val="center"/>
              <w:rPr>
                <w:rFonts w:hint="eastAsia" w:ascii="宋体" w:hAnsi="宋体" w:cs="宋体"/>
                <w:kern w:val="0"/>
                <w:szCs w:val="21"/>
              </w:rPr>
            </w:pPr>
            <w:r>
              <w:rPr>
                <w:rFonts w:hint="eastAsia" w:ascii="宋体" w:hAnsi="宋体" w:cs="宋体"/>
                <w:kern w:val="0"/>
                <w:szCs w:val="21"/>
              </w:rPr>
              <w:t>10</w:t>
            </w:r>
          </w:p>
        </w:tc>
        <w:tc>
          <w:tcPr>
            <w:tcW w:w="442" w:type="pct"/>
            <w:shd w:val="clear" w:color="auto" w:fill="auto"/>
            <w:vAlign w:val="center"/>
          </w:tcPr>
          <w:p w14:paraId="50EECA7B">
            <w:pPr>
              <w:widowControl/>
              <w:jc w:val="center"/>
              <w:rPr>
                <w:rFonts w:hint="eastAsia" w:ascii="宋体" w:hAnsi="宋体" w:cs="宋体"/>
                <w:kern w:val="0"/>
                <w:szCs w:val="21"/>
              </w:rPr>
            </w:pPr>
            <w:r>
              <w:rPr>
                <w:rFonts w:hint="eastAsia" w:ascii="宋体" w:hAnsi="宋体"/>
                <w:szCs w:val="21"/>
              </w:rPr>
              <w:t>0.0022</w:t>
            </w:r>
          </w:p>
        </w:tc>
        <w:tc>
          <w:tcPr>
            <w:tcW w:w="406" w:type="pct"/>
            <w:shd w:val="clear" w:color="auto" w:fill="auto"/>
            <w:vAlign w:val="center"/>
          </w:tcPr>
          <w:p w14:paraId="73DAB10A">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7C6BD1A">
            <w:pPr>
              <w:widowControl/>
              <w:jc w:val="center"/>
              <w:rPr>
                <w:rFonts w:hint="eastAsia" w:ascii="宋体" w:hAnsi="宋体" w:cs="宋体"/>
                <w:kern w:val="0"/>
                <w:szCs w:val="21"/>
              </w:rPr>
            </w:pPr>
            <w:r>
              <w:rPr>
                <w:rFonts w:hint="eastAsia" w:ascii="宋体" w:hAnsi="宋体" w:cs="宋体"/>
                <w:kern w:val="0"/>
                <w:szCs w:val="21"/>
              </w:rPr>
              <w:t>10</w:t>
            </w:r>
          </w:p>
        </w:tc>
        <w:tc>
          <w:tcPr>
            <w:tcW w:w="410" w:type="pct"/>
            <w:shd w:val="clear" w:color="auto" w:fill="auto"/>
            <w:vAlign w:val="center"/>
          </w:tcPr>
          <w:p w14:paraId="0E515AA7">
            <w:pPr>
              <w:widowControl/>
              <w:jc w:val="center"/>
              <w:rPr>
                <w:rFonts w:hint="eastAsia" w:ascii="宋体" w:hAnsi="宋体" w:cs="宋体"/>
                <w:kern w:val="0"/>
                <w:szCs w:val="21"/>
              </w:rPr>
            </w:pPr>
            <w:r>
              <w:rPr>
                <w:rFonts w:hint="eastAsia" w:ascii="宋体" w:hAnsi="宋体"/>
                <w:szCs w:val="21"/>
              </w:rPr>
              <w:t>0.0022</w:t>
            </w:r>
          </w:p>
        </w:tc>
        <w:tc>
          <w:tcPr>
            <w:tcW w:w="389" w:type="pct"/>
            <w:shd w:val="clear" w:color="auto" w:fill="auto"/>
            <w:vAlign w:val="center"/>
          </w:tcPr>
          <w:p w14:paraId="620F61BA">
            <w:pPr>
              <w:widowControl/>
              <w:jc w:val="center"/>
              <w:rPr>
                <w:rFonts w:hint="eastAsia" w:ascii="宋体" w:hAnsi="宋体" w:cs="宋体"/>
                <w:kern w:val="0"/>
                <w:szCs w:val="21"/>
              </w:rPr>
            </w:pPr>
            <w:r>
              <w:rPr>
                <w:rFonts w:hint="eastAsia" w:ascii="宋体" w:hAnsi="宋体" w:cs="宋体"/>
                <w:kern w:val="0"/>
                <w:szCs w:val="21"/>
              </w:rPr>
              <w:t>达标</w:t>
            </w:r>
          </w:p>
        </w:tc>
      </w:tr>
      <w:tr w14:paraId="07A7DB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F27481F">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6106B424">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5939A29E">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13206390">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5C984ED2">
            <w:pPr>
              <w:widowControl/>
              <w:jc w:val="center"/>
              <w:rPr>
                <w:rFonts w:hint="eastAsia" w:ascii="宋体" w:hAnsi="宋体" w:cs="宋体"/>
                <w:kern w:val="0"/>
                <w:szCs w:val="21"/>
              </w:rPr>
            </w:pPr>
            <w:r>
              <w:rPr>
                <w:rFonts w:hint="eastAsia" w:ascii="宋体" w:hAnsi="宋体" w:cs="宋体"/>
                <w:kern w:val="0"/>
                <w:szCs w:val="21"/>
              </w:rPr>
              <w:t>8.80</w:t>
            </w:r>
          </w:p>
        </w:tc>
        <w:tc>
          <w:tcPr>
            <w:tcW w:w="406" w:type="pct"/>
            <w:shd w:val="clear" w:color="auto" w:fill="auto"/>
            <w:vAlign w:val="center"/>
          </w:tcPr>
          <w:p w14:paraId="5A14C161">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694B8013">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107D50F1">
            <w:pPr>
              <w:widowControl/>
              <w:jc w:val="center"/>
              <w:rPr>
                <w:rFonts w:hint="eastAsia" w:ascii="宋体" w:hAnsi="宋体" w:cs="宋体"/>
                <w:kern w:val="0"/>
                <w:szCs w:val="21"/>
              </w:rPr>
            </w:pPr>
            <w:r>
              <w:rPr>
                <w:rFonts w:hint="eastAsia" w:ascii="宋体" w:hAnsi="宋体" w:cs="宋体"/>
                <w:kern w:val="0"/>
                <w:szCs w:val="21"/>
              </w:rPr>
              <w:t>8.66</w:t>
            </w:r>
          </w:p>
        </w:tc>
        <w:tc>
          <w:tcPr>
            <w:tcW w:w="442" w:type="pct"/>
            <w:shd w:val="clear" w:color="auto" w:fill="auto"/>
            <w:vAlign w:val="center"/>
          </w:tcPr>
          <w:p w14:paraId="3296E094">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61325BFD">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63FFEB06">
            <w:pPr>
              <w:widowControl/>
              <w:jc w:val="center"/>
              <w:rPr>
                <w:rFonts w:hint="eastAsia" w:ascii="宋体" w:hAnsi="宋体" w:cs="宋体"/>
                <w:kern w:val="0"/>
                <w:szCs w:val="21"/>
              </w:rPr>
            </w:pPr>
            <w:r>
              <w:rPr>
                <w:rFonts w:hint="eastAsia" w:ascii="宋体" w:hAnsi="宋体" w:cs="宋体"/>
                <w:kern w:val="0"/>
                <w:szCs w:val="21"/>
              </w:rPr>
              <w:t>8.46</w:t>
            </w:r>
          </w:p>
        </w:tc>
        <w:tc>
          <w:tcPr>
            <w:tcW w:w="410" w:type="pct"/>
            <w:shd w:val="clear" w:color="auto" w:fill="auto"/>
            <w:vAlign w:val="center"/>
          </w:tcPr>
          <w:p w14:paraId="6BE83785">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46A6CA33">
            <w:pPr>
              <w:widowControl/>
              <w:jc w:val="center"/>
              <w:rPr>
                <w:rFonts w:hint="eastAsia" w:ascii="宋体" w:hAnsi="宋体" w:cs="宋体"/>
                <w:kern w:val="0"/>
                <w:szCs w:val="21"/>
              </w:rPr>
            </w:pPr>
            <w:r>
              <w:rPr>
                <w:rFonts w:hint="eastAsia" w:ascii="宋体" w:hAnsi="宋体" w:cs="宋体"/>
                <w:kern w:val="0"/>
                <w:szCs w:val="21"/>
              </w:rPr>
              <w:t>/</w:t>
            </w:r>
          </w:p>
        </w:tc>
      </w:tr>
      <w:tr w14:paraId="3342A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D8E10DF">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5E2A2855">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125A1F3F">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266D699D">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4E796894">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22ADC69E">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7FA94E7F">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1D3559B2">
            <w:pPr>
              <w:widowControl/>
              <w:jc w:val="center"/>
              <w:rPr>
                <w:rFonts w:hint="eastAsia" w:ascii="宋体" w:hAnsi="宋体" w:cs="宋体"/>
                <w:kern w:val="0"/>
                <w:szCs w:val="21"/>
              </w:rPr>
            </w:pPr>
            <w:r>
              <w:rPr>
                <w:rFonts w:hint="eastAsia" w:ascii="宋体" w:hAnsi="宋体" w:cs="宋体"/>
                <w:kern w:val="0"/>
                <w:szCs w:val="21"/>
              </w:rPr>
              <w:t>2.2</w:t>
            </w:r>
          </w:p>
        </w:tc>
        <w:tc>
          <w:tcPr>
            <w:tcW w:w="442" w:type="pct"/>
            <w:shd w:val="clear" w:color="auto" w:fill="auto"/>
            <w:vAlign w:val="center"/>
          </w:tcPr>
          <w:p w14:paraId="22BEC95F">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0C4014D6">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116C089F">
            <w:pPr>
              <w:widowControl/>
              <w:jc w:val="center"/>
              <w:rPr>
                <w:rFonts w:hint="eastAsia" w:ascii="宋体" w:hAnsi="宋体" w:cs="宋体"/>
                <w:kern w:val="0"/>
                <w:szCs w:val="21"/>
              </w:rPr>
            </w:pPr>
            <w:r>
              <w:rPr>
                <w:rFonts w:hint="eastAsia" w:ascii="宋体" w:hAnsi="宋体" w:cs="宋体"/>
                <w:kern w:val="0"/>
                <w:szCs w:val="21"/>
              </w:rPr>
              <w:t>2.4</w:t>
            </w:r>
          </w:p>
        </w:tc>
        <w:tc>
          <w:tcPr>
            <w:tcW w:w="410" w:type="pct"/>
            <w:shd w:val="clear" w:color="auto" w:fill="auto"/>
            <w:vAlign w:val="center"/>
          </w:tcPr>
          <w:p w14:paraId="78937C0C">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4D0AD2B8">
            <w:pPr>
              <w:widowControl/>
              <w:jc w:val="center"/>
              <w:rPr>
                <w:rFonts w:hint="eastAsia" w:ascii="宋体" w:hAnsi="宋体" w:cs="宋体"/>
                <w:kern w:val="0"/>
                <w:szCs w:val="21"/>
              </w:rPr>
            </w:pPr>
            <w:r>
              <w:rPr>
                <w:rFonts w:hint="eastAsia" w:ascii="宋体" w:hAnsi="宋体" w:cs="宋体"/>
                <w:kern w:val="0"/>
                <w:szCs w:val="21"/>
              </w:rPr>
              <w:t>/</w:t>
            </w:r>
          </w:p>
        </w:tc>
      </w:tr>
      <w:tr w14:paraId="7C49F0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15"/>
            <w:shd w:val="clear" w:color="auto" w:fill="auto"/>
            <w:vAlign w:val="center"/>
          </w:tcPr>
          <w:p w14:paraId="1F398256">
            <w:pPr>
              <w:widowControl/>
              <w:jc w:val="center"/>
              <w:rPr>
                <w:rFonts w:hint="eastAsia" w:ascii="宋体" w:hAnsi="宋体" w:cs="宋体"/>
                <w:kern w:val="0"/>
                <w:szCs w:val="21"/>
              </w:rPr>
            </w:pPr>
            <w:r>
              <w:rPr>
                <w:rFonts w:hint="eastAsia" w:ascii="宋体" w:hAnsi="宋体" w:cs="宋体"/>
                <w:kern w:val="0"/>
                <w:szCs w:val="21"/>
              </w:rPr>
              <w:t>T3</w:t>
            </w:r>
          </w:p>
        </w:tc>
      </w:tr>
      <w:tr w14:paraId="24ED69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B9BBDAF">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60C8A722">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0CC0A4E9">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55834527">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800C016">
            <w:pPr>
              <w:widowControl/>
              <w:jc w:val="center"/>
              <w:rPr>
                <w:rFonts w:hint="eastAsia" w:ascii="宋体" w:hAnsi="宋体" w:cs="宋体"/>
                <w:kern w:val="0"/>
                <w:szCs w:val="21"/>
              </w:rPr>
            </w:pPr>
            <w:r>
              <w:rPr>
                <w:rFonts w:hint="eastAsia" w:ascii="宋体" w:hAnsi="宋体" w:cs="宋体"/>
                <w:kern w:val="0"/>
                <w:szCs w:val="21"/>
              </w:rPr>
              <w:t>0.069</w:t>
            </w:r>
          </w:p>
        </w:tc>
        <w:tc>
          <w:tcPr>
            <w:tcW w:w="406" w:type="pct"/>
            <w:shd w:val="clear" w:color="auto" w:fill="auto"/>
            <w:vAlign w:val="center"/>
          </w:tcPr>
          <w:p w14:paraId="3FD5DA71">
            <w:pPr>
              <w:widowControl/>
              <w:jc w:val="center"/>
              <w:rPr>
                <w:rFonts w:hint="eastAsia" w:ascii="宋体" w:hAnsi="宋体" w:cs="宋体"/>
                <w:kern w:val="0"/>
                <w:szCs w:val="21"/>
              </w:rPr>
            </w:pPr>
            <w:r>
              <w:rPr>
                <w:rFonts w:hint="eastAsia" w:ascii="宋体" w:hAnsi="宋体"/>
                <w:szCs w:val="21"/>
              </w:rPr>
              <w:t>0.0018</w:t>
            </w:r>
          </w:p>
        </w:tc>
        <w:tc>
          <w:tcPr>
            <w:tcW w:w="436" w:type="pct"/>
            <w:shd w:val="clear" w:color="auto" w:fill="auto"/>
            <w:vAlign w:val="center"/>
          </w:tcPr>
          <w:p w14:paraId="0A2A01B6">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89062BC">
            <w:pPr>
              <w:widowControl/>
              <w:jc w:val="center"/>
              <w:rPr>
                <w:rFonts w:hint="eastAsia" w:ascii="宋体" w:hAnsi="宋体" w:cs="宋体"/>
                <w:kern w:val="0"/>
                <w:szCs w:val="21"/>
              </w:rPr>
            </w:pPr>
            <w:r>
              <w:rPr>
                <w:rFonts w:hint="eastAsia" w:ascii="宋体" w:hAnsi="宋体" w:cs="宋体"/>
                <w:kern w:val="0"/>
                <w:szCs w:val="21"/>
              </w:rPr>
              <w:t>0.074</w:t>
            </w:r>
          </w:p>
        </w:tc>
        <w:tc>
          <w:tcPr>
            <w:tcW w:w="442" w:type="pct"/>
            <w:shd w:val="clear" w:color="auto" w:fill="auto"/>
            <w:vAlign w:val="center"/>
          </w:tcPr>
          <w:p w14:paraId="262881F1">
            <w:pPr>
              <w:widowControl/>
              <w:jc w:val="center"/>
              <w:rPr>
                <w:rFonts w:hint="eastAsia" w:ascii="宋体" w:hAnsi="宋体" w:cs="宋体"/>
                <w:kern w:val="0"/>
                <w:szCs w:val="21"/>
              </w:rPr>
            </w:pPr>
            <w:r>
              <w:rPr>
                <w:rFonts w:hint="eastAsia" w:ascii="宋体" w:hAnsi="宋体"/>
                <w:szCs w:val="21"/>
              </w:rPr>
              <w:t>0.0019</w:t>
            </w:r>
          </w:p>
        </w:tc>
        <w:tc>
          <w:tcPr>
            <w:tcW w:w="406" w:type="pct"/>
            <w:shd w:val="clear" w:color="auto" w:fill="auto"/>
            <w:vAlign w:val="center"/>
          </w:tcPr>
          <w:p w14:paraId="7B0DC480">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A386D6A">
            <w:pPr>
              <w:widowControl/>
              <w:jc w:val="center"/>
              <w:rPr>
                <w:rFonts w:hint="eastAsia" w:ascii="宋体" w:hAnsi="宋体" w:cs="宋体"/>
                <w:kern w:val="0"/>
                <w:szCs w:val="21"/>
              </w:rPr>
            </w:pPr>
            <w:r>
              <w:rPr>
                <w:rFonts w:hint="eastAsia" w:ascii="宋体" w:hAnsi="宋体" w:cs="宋体"/>
                <w:kern w:val="0"/>
                <w:szCs w:val="21"/>
              </w:rPr>
              <w:t>0.067</w:t>
            </w:r>
          </w:p>
        </w:tc>
        <w:tc>
          <w:tcPr>
            <w:tcW w:w="410" w:type="pct"/>
            <w:shd w:val="clear" w:color="auto" w:fill="auto"/>
            <w:vAlign w:val="center"/>
          </w:tcPr>
          <w:p w14:paraId="41CA72B8">
            <w:pPr>
              <w:widowControl/>
              <w:jc w:val="center"/>
              <w:rPr>
                <w:rFonts w:hint="eastAsia" w:ascii="宋体" w:hAnsi="宋体" w:cs="宋体"/>
                <w:kern w:val="0"/>
                <w:szCs w:val="21"/>
              </w:rPr>
            </w:pPr>
            <w:r>
              <w:rPr>
                <w:rFonts w:hint="eastAsia" w:ascii="宋体" w:hAnsi="宋体"/>
                <w:szCs w:val="21"/>
              </w:rPr>
              <w:t>0.0018</w:t>
            </w:r>
          </w:p>
        </w:tc>
        <w:tc>
          <w:tcPr>
            <w:tcW w:w="389" w:type="pct"/>
            <w:shd w:val="clear" w:color="auto" w:fill="auto"/>
            <w:vAlign w:val="center"/>
          </w:tcPr>
          <w:p w14:paraId="0E9FD650">
            <w:pPr>
              <w:widowControl/>
              <w:jc w:val="center"/>
              <w:rPr>
                <w:rFonts w:hint="eastAsia" w:ascii="宋体" w:hAnsi="宋体" w:cs="宋体"/>
                <w:kern w:val="0"/>
                <w:szCs w:val="21"/>
              </w:rPr>
            </w:pPr>
            <w:r>
              <w:rPr>
                <w:rFonts w:hint="eastAsia" w:ascii="宋体" w:hAnsi="宋体" w:cs="宋体"/>
                <w:kern w:val="0"/>
                <w:szCs w:val="21"/>
              </w:rPr>
              <w:t>达标</w:t>
            </w:r>
          </w:p>
        </w:tc>
      </w:tr>
      <w:tr w14:paraId="30A25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3043DD3">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14C49402">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546EC7B9">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38F0EA7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D606E91">
            <w:pPr>
              <w:widowControl/>
              <w:jc w:val="center"/>
              <w:rPr>
                <w:rFonts w:hint="eastAsia" w:ascii="宋体" w:hAnsi="宋体" w:cs="宋体"/>
                <w:kern w:val="0"/>
                <w:szCs w:val="21"/>
              </w:rPr>
            </w:pPr>
            <w:r>
              <w:rPr>
                <w:rFonts w:hint="eastAsia" w:ascii="宋体" w:hAnsi="宋体" w:cs="宋体"/>
                <w:kern w:val="0"/>
                <w:szCs w:val="21"/>
              </w:rPr>
              <w:t>10.8</w:t>
            </w:r>
          </w:p>
        </w:tc>
        <w:tc>
          <w:tcPr>
            <w:tcW w:w="406" w:type="pct"/>
            <w:shd w:val="clear" w:color="auto" w:fill="auto"/>
            <w:vAlign w:val="center"/>
          </w:tcPr>
          <w:p w14:paraId="477E6A25">
            <w:pPr>
              <w:widowControl/>
              <w:jc w:val="center"/>
              <w:rPr>
                <w:rFonts w:hint="eastAsia" w:ascii="宋体" w:hAnsi="宋体" w:cs="宋体"/>
                <w:kern w:val="0"/>
                <w:szCs w:val="21"/>
              </w:rPr>
            </w:pPr>
            <w:r>
              <w:rPr>
                <w:rFonts w:hint="eastAsia" w:ascii="宋体" w:hAnsi="宋体"/>
                <w:szCs w:val="21"/>
              </w:rPr>
              <w:t>0.1800</w:t>
            </w:r>
          </w:p>
        </w:tc>
        <w:tc>
          <w:tcPr>
            <w:tcW w:w="436" w:type="pct"/>
            <w:shd w:val="clear" w:color="auto" w:fill="auto"/>
            <w:vAlign w:val="center"/>
          </w:tcPr>
          <w:p w14:paraId="57BAF37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A1C11C0">
            <w:pPr>
              <w:widowControl/>
              <w:jc w:val="center"/>
              <w:rPr>
                <w:rFonts w:hint="eastAsia" w:ascii="宋体" w:hAnsi="宋体" w:cs="宋体"/>
                <w:kern w:val="0"/>
                <w:szCs w:val="21"/>
              </w:rPr>
            </w:pPr>
            <w:r>
              <w:rPr>
                <w:rFonts w:hint="eastAsia" w:ascii="宋体" w:hAnsi="宋体" w:cs="宋体"/>
                <w:kern w:val="0"/>
                <w:szCs w:val="21"/>
              </w:rPr>
              <w:t>8.37</w:t>
            </w:r>
          </w:p>
        </w:tc>
        <w:tc>
          <w:tcPr>
            <w:tcW w:w="442" w:type="pct"/>
            <w:shd w:val="clear" w:color="auto" w:fill="auto"/>
            <w:vAlign w:val="center"/>
          </w:tcPr>
          <w:p w14:paraId="61E1B895">
            <w:pPr>
              <w:widowControl/>
              <w:jc w:val="center"/>
              <w:rPr>
                <w:rFonts w:hint="eastAsia" w:ascii="宋体" w:hAnsi="宋体" w:cs="宋体"/>
                <w:kern w:val="0"/>
                <w:szCs w:val="21"/>
              </w:rPr>
            </w:pPr>
            <w:r>
              <w:rPr>
                <w:rFonts w:hint="eastAsia" w:ascii="宋体" w:hAnsi="宋体"/>
                <w:szCs w:val="21"/>
              </w:rPr>
              <w:t>0.1395</w:t>
            </w:r>
          </w:p>
        </w:tc>
        <w:tc>
          <w:tcPr>
            <w:tcW w:w="406" w:type="pct"/>
            <w:shd w:val="clear" w:color="auto" w:fill="auto"/>
            <w:vAlign w:val="center"/>
          </w:tcPr>
          <w:p w14:paraId="2B73110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862399F">
            <w:pPr>
              <w:widowControl/>
              <w:jc w:val="center"/>
              <w:rPr>
                <w:rFonts w:hint="eastAsia" w:ascii="宋体" w:hAnsi="宋体" w:cs="宋体"/>
                <w:kern w:val="0"/>
                <w:szCs w:val="21"/>
              </w:rPr>
            </w:pPr>
            <w:r>
              <w:rPr>
                <w:rFonts w:hint="eastAsia" w:ascii="宋体" w:hAnsi="宋体" w:cs="宋体"/>
                <w:kern w:val="0"/>
                <w:szCs w:val="21"/>
              </w:rPr>
              <w:t>9.87</w:t>
            </w:r>
          </w:p>
        </w:tc>
        <w:tc>
          <w:tcPr>
            <w:tcW w:w="410" w:type="pct"/>
            <w:shd w:val="clear" w:color="auto" w:fill="auto"/>
            <w:vAlign w:val="center"/>
          </w:tcPr>
          <w:p w14:paraId="6B498C69">
            <w:pPr>
              <w:widowControl/>
              <w:jc w:val="center"/>
              <w:rPr>
                <w:rFonts w:hint="eastAsia" w:ascii="宋体" w:hAnsi="宋体" w:cs="宋体"/>
                <w:kern w:val="0"/>
                <w:szCs w:val="21"/>
              </w:rPr>
            </w:pPr>
            <w:r>
              <w:rPr>
                <w:rFonts w:hint="eastAsia" w:ascii="宋体" w:hAnsi="宋体"/>
                <w:szCs w:val="21"/>
              </w:rPr>
              <w:t>0.1645</w:t>
            </w:r>
          </w:p>
        </w:tc>
        <w:tc>
          <w:tcPr>
            <w:tcW w:w="389" w:type="pct"/>
            <w:shd w:val="clear" w:color="auto" w:fill="auto"/>
            <w:vAlign w:val="center"/>
          </w:tcPr>
          <w:p w14:paraId="7F9C7786">
            <w:pPr>
              <w:widowControl/>
              <w:jc w:val="center"/>
              <w:rPr>
                <w:rFonts w:hint="eastAsia" w:ascii="宋体" w:hAnsi="宋体" w:cs="宋体"/>
                <w:kern w:val="0"/>
                <w:szCs w:val="21"/>
              </w:rPr>
            </w:pPr>
            <w:r>
              <w:rPr>
                <w:rFonts w:hint="eastAsia" w:ascii="宋体" w:hAnsi="宋体" w:cs="宋体"/>
                <w:kern w:val="0"/>
                <w:szCs w:val="21"/>
              </w:rPr>
              <w:t>达标</w:t>
            </w:r>
          </w:p>
        </w:tc>
      </w:tr>
      <w:tr w14:paraId="5E8D88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F329396">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3254CE4A">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7A7ABCD4">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51AB09F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9A98FB6">
            <w:pPr>
              <w:widowControl/>
              <w:jc w:val="center"/>
              <w:rPr>
                <w:rFonts w:hint="eastAsia" w:ascii="宋体" w:hAnsi="宋体" w:cs="宋体"/>
                <w:kern w:val="0"/>
                <w:szCs w:val="21"/>
              </w:rPr>
            </w:pPr>
            <w:r>
              <w:rPr>
                <w:rFonts w:hint="eastAsia" w:ascii="宋体" w:hAnsi="宋体" w:cs="宋体"/>
                <w:kern w:val="0"/>
                <w:szCs w:val="21"/>
              </w:rPr>
              <w:t>2.4</w:t>
            </w:r>
          </w:p>
        </w:tc>
        <w:tc>
          <w:tcPr>
            <w:tcW w:w="406" w:type="pct"/>
            <w:shd w:val="clear" w:color="auto" w:fill="auto"/>
            <w:vAlign w:val="center"/>
          </w:tcPr>
          <w:p w14:paraId="68FB0A30">
            <w:pPr>
              <w:widowControl/>
              <w:jc w:val="center"/>
              <w:rPr>
                <w:rFonts w:hint="eastAsia" w:ascii="宋体" w:hAnsi="宋体" w:cs="宋体"/>
                <w:kern w:val="0"/>
                <w:szCs w:val="21"/>
              </w:rPr>
            </w:pPr>
            <w:r>
              <w:rPr>
                <w:rFonts w:hint="eastAsia" w:ascii="宋体" w:hAnsi="宋体"/>
                <w:szCs w:val="21"/>
              </w:rPr>
              <w:t>0.0030</w:t>
            </w:r>
          </w:p>
        </w:tc>
        <w:tc>
          <w:tcPr>
            <w:tcW w:w="436" w:type="pct"/>
            <w:shd w:val="clear" w:color="auto" w:fill="auto"/>
            <w:vAlign w:val="center"/>
          </w:tcPr>
          <w:p w14:paraId="01C2C1D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791EB08">
            <w:pPr>
              <w:widowControl/>
              <w:jc w:val="center"/>
              <w:rPr>
                <w:rFonts w:hint="eastAsia" w:ascii="宋体" w:hAnsi="宋体" w:cs="宋体"/>
                <w:kern w:val="0"/>
                <w:szCs w:val="21"/>
              </w:rPr>
            </w:pPr>
            <w:r>
              <w:rPr>
                <w:rFonts w:hint="eastAsia" w:ascii="宋体" w:hAnsi="宋体" w:cs="宋体"/>
                <w:kern w:val="0"/>
                <w:szCs w:val="21"/>
              </w:rPr>
              <w:t>2.8</w:t>
            </w:r>
          </w:p>
        </w:tc>
        <w:tc>
          <w:tcPr>
            <w:tcW w:w="442" w:type="pct"/>
            <w:shd w:val="clear" w:color="auto" w:fill="auto"/>
            <w:vAlign w:val="center"/>
          </w:tcPr>
          <w:p w14:paraId="23F25AAA">
            <w:pPr>
              <w:widowControl/>
              <w:jc w:val="center"/>
              <w:rPr>
                <w:rFonts w:hint="eastAsia" w:ascii="宋体" w:hAnsi="宋体" w:cs="宋体"/>
                <w:kern w:val="0"/>
                <w:szCs w:val="21"/>
              </w:rPr>
            </w:pPr>
            <w:r>
              <w:rPr>
                <w:rFonts w:hint="eastAsia" w:ascii="宋体" w:hAnsi="宋体"/>
                <w:szCs w:val="21"/>
              </w:rPr>
              <w:t>0.0035</w:t>
            </w:r>
          </w:p>
        </w:tc>
        <w:tc>
          <w:tcPr>
            <w:tcW w:w="406" w:type="pct"/>
            <w:shd w:val="clear" w:color="auto" w:fill="auto"/>
            <w:vAlign w:val="center"/>
          </w:tcPr>
          <w:p w14:paraId="238D048D">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3F45210">
            <w:pPr>
              <w:widowControl/>
              <w:jc w:val="center"/>
              <w:rPr>
                <w:rFonts w:hint="eastAsia" w:ascii="宋体" w:hAnsi="宋体" w:cs="宋体"/>
                <w:kern w:val="0"/>
                <w:szCs w:val="21"/>
              </w:rPr>
            </w:pPr>
            <w:r>
              <w:rPr>
                <w:rFonts w:hint="eastAsia" w:ascii="宋体" w:hAnsi="宋体" w:cs="宋体"/>
                <w:kern w:val="0"/>
                <w:szCs w:val="21"/>
              </w:rPr>
              <w:t>4.7</w:t>
            </w:r>
          </w:p>
        </w:tc>
        <w:tc>
          <w:tcPr>
            <w:tcW w:w="410" w:type="pct"/>
            <w:shd w:val="clear" w:color="auto" w:fill="auto"/>
            <w:vAlign w:val="center"/>
          </w:tcPr>
          <w:p w14:paraId="7EFD1C88">
            <w:pPr>
              <w:widowControl/>
              <w:jc w:val="center"/>
              <w:rPr>
                <w:rFonts w:hint="eastAsia" w:ascii="宋体" w:hAnsi="宋体" w:cs="宋体"/>
                <w:kern w:val="0"/>
                <w:szCs w:val="21"/>
              </w:rPr>
            </w:pPr>
            <w:r>
              <w:rPr>
                <w:rFonts w:hint="eastAsia" w:ascii="宋体" w:hAnsi="宋体"/>
                <w:szCs w:val="21"/>
              </w:rPr>
              <w:t>0.0059</w:t>
            </w:r>
          </w:p>
        </w:tc>
        <w:tc>
          <w:tcPr>
            <w:tcW w:w="389" w:type="pct"/>
            <w:shd w:val="clear" w:color="auto" w:fill="auto"/>
            <w:vAlign w:val="center"/>
          </w:tcPr>
          <w:p w14:paraId="4F3C7CD3">
            <w:pPr>
              <w:widowControl/>
              <w:jc w:val="center"/>
              <w:rPr>
                <w:rFonts w:hint="eastAsia" w:ascii="宋体" w:hAnsi="宋体" w:cs="宋体"/>
                <w:kern w:val="0"/>
                <w:szCs w:val="21"/>
              </w:rPr>
            </w:pPr>
            <w:r>
              <w:rPr>
                <w:rFonts w:hint="eastAsia" w:ascii="宋体" w:hAnsi="宋体" w:cs="宋体"/>
                <w:kern w:val="0"/>
                <w:szCs w:val="21"/>
              </w:rPr>
              <w:t>达标</w:t>
            </w:r>
          </w:p>
        </w:tc>
      </w:tr>
      <w:tr w14:paraId="2E2E17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6B620B8">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44121C1E">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05CD8CAF">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399ACAA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25C26AF">
            <w:pPr>
              <w:widowControl/>
              <w:jc w:val="center"/>
              <w:rPr>
                <w:rFonts w:hint="eastAsia" w:ascii="宋体" w:hAnsi="宋体" w:cs="宋体"/>
                <w:kern w:val="0"/>
                <w:szCs w:val="21"/>
              </w:rPr>
            </w:pPr>
            <w:r>
              <w:rPr>
                <w:rFonts w:hint="eastAsia" w:ascii="宋体" w:hAnsi="宋体" w:cs="宋体"/>
                <w:kern w:val="0"/>
                <w:szCs w:val="21"/>
              </w:rPr>
              <w:t>0.83</w:t>
            </w:r>
          </w:p>
        </w:tc>
        <w:tc>
          <w:tcPr>
            <w:tcW w:w="406" w:type="pct"/>
            <w:shd w:val="clear" w:color="auto" w:fill="auto"/>
            <w:vAlign w:val="center"/>
          </w:tcPr>
          <w:p w14:paraId="2444B0C9">
            <w:pPr>
              <w:widowControl/>
              <w:jc w:val="center"/>
              <w:rPr>
                <w:rFonts w:hint="eastAsia" w:ascii="宋体" w:hAnsi="宋体" w:cs="宋体"/>
                <w:kern w:val="0"/>
                <w:szCs w:val="21"/>
              </w:rPr>
            </w:pPr>
            <w:r>
              <w:rPr>
                <w:rFonts w:hint="eastAsia" w:ascii="宋体" w:hAnsi="宋体"/>
                <w:szCs w:val="21"/>
              </w:rPr>
              <w:t>0.0128</w:t>
            </w:r>
          </w:p>
        </w:tc>
        <w:tc>
          <w:tcPr>
            <w:tcW w:w="436" w:type="pct"/>
            <w:shd w:val="clear" w:color="auto" w:fill="auto"/>
            <w:vAlign w:val="center"/>
          </w:tcPr>
          <w:p w14:paraId="7A3EE51C">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9E86F10">
            <w:pPr>
              <w:widowControl/>
              <w:jc w:val="center"/>
              <w:rPr>
                <w:rFonts w:hint="eastAsia" w:ascii="宋体" w:hAnsi="宋体" w:cs="宋体"/>
                <w:kern w:val="0"/>
                <w:szCs w:val="21"/>
              </w:rPr>
            </w:pPr>
            <w:r>
              <w:rPr>
                <w:rFonts w:hint="eastAsia" w:ascii="宋体" w:hAnsi="宋体" w:cs="宋体"/>
                <w:kern w:val="0"/>
                <w:szCs w:val="21"/>
              </w:rPr>
              <w:t>0.54</w:t>
            </w:r>
          </w:p>
        </w:tc>
        <w:tc>
          <w:tcPr>
            <w:tcW w:w="442" w:type="pct"/>
            <w:shd w:val="clear" w:color="auto" w:fill="auto"/>
            <w:vAlign w:val="center"/>
          </w:tcPr>
          <w:p w14:paraId="44F99772">
            <w:pPr>
              <w:widowControl/>
              <w:jc w:val="center"/>
              <w:rPr>
                <w:rFonts w:hint="eastAsia" w:ascii="宋体" w:hAnsi="宋体" w:cs="宋体"/>
                <w:kern w:val="0"/>
                <w:szCs w:val="21"/>
              </w:rPr>
            </w:pPr>
            <w:r>
              <w:rPr>
                <w:rFonts w:hint="eastAsia" w:ascii="宋体" w:hAnsi="宋体"/>
                <w:szCs w:val="21"/>
              </w:rPr>
              <w:t>0.0083</w:t>
            </w:r>
          </w:p>
        </w:tc>
        <w:tc>
          <w:tcPr>
            <w:tcW w:w="406" w:type="pct"/>
            <w:shd w:val="clear" w:color="auto" w:fill="auto"/>
            <w:vAlign w:val="center"/>
          </w:tcPr>
          <w:p w14:paraId="3633DA10">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E4175FE">
            <w:pPr>
              <w:widowControl/>
              <w:jc w:val="center"/>
              <w:rPr>
                <w:rFonts w:hint="eastAsia" w:ascii="宋体" w:hAnsi="宋体" w:cs="宋体"/>
                <w:kern w:val="0"/>
                <w:szCs w:val="21"/>
              </w:rPr>
            </w:pPr>
            <w:r>
              <w:rPr>
                <w:rFonts w:hint="eastAsia" w:ascii="宋体" w:hAnsi="宋体" w:cs="宋体"/>
                <w:kern w:val="0"/>
                <w:szCs w:val="21"/>
              </w:rPr>
              <w:t>0.92</w:t>
            </w:r>
          </w:p>
        </w:tc>
        <w:tc>
          <w:tcPr>
            <w:tcW w:w="410" w:type="pct"/>
            <w:shd w:val="clear" w:color="auto" w:fill="auto"/>
            <w:vAlign w:val="center"/>
          </w:tcPr>
          <w:p w14:paraId="30589DD7">
            <w:pPr>
              <w:widowControl/>
              <w:jc w:val="center"/>
              <w:rPr>
                <w:rFonts w:hint="eastAsia" w:ascii="宋体" w:hAnsi="宋体" w:cs="宋体"/>
                <w:kern w:val="0"/>
                <w:szCs w:val="21"/>
              </w:rPr>
            </w:pPr>
            <w:r>
              <w:rPr>
                <w:rFonts w:hint="eastAsia" w:ascii="宋体" w:hAnsi="宋体"/>
                <w:szCs w:val="21"/>
              </w:rPr>
              <w:t>0.0142</w:t>
            </w:r>
          </w:p>
        </w:tc>
        <w:tc>
          <w:tcPr>
            <w:tcW w:w="389" w:type="pct"/>
            <w:shd w:val="clear" w:color="auto" w:fill="auto"/>
            <w:vAlign w:val="center"/>
          </w:tcPr>
          <w:p w14:paraId="52AC11A7">
            <w:pPr>
              <w:widowControl/>
              <w:jc w:val="center"/>
              <w:rPr>
                <w:rFonts w:hint="eastAsia" w:ascii="宋体" w:hAnsi="宋体" w:cs="宋体"/>
                <w:kern w:val="0"/>
                <w:szCs w:val="21"/>
              </w:rPr>
            </w:pPr>
            <w:r>
              <w:rPr>
                <w:rFonts w:hint="eastAsia" w:ascii="宋体" w:hAnsi="宋体" w:cs="宋体"/>
                <w:kern w:val="0"/>
                <w:szCs w:val="21"/>
              </w:rPr>
              <w:t>达标</w:t>
            </w:r>
          </w:p>
        </w:tc>
      </w:tr>
      <w:tr w14:paraId="7DC3B5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94D1471">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5D15F92F">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2F055A84">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7B6E36A4">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E3336BA">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1DC74EDF">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0229779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BDC8BC8">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26EB418A">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2A3E195A">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B5F4E34">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0247DB14">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19AC3040">
            <w:pPr>
              <w:widowControl/>
              <w:jc w:val="center"/>
              <w:rPr>
                <w:rFonts w:hint="eastAsia" w:ascii="宋体" w:hAnsi="宋体" w:cs="宋体"/>
                <w:kern w:val="0"/>
                <w:szCs w:val="21"/>
              </w:rPr>
            </w:pPr>
            <w:r>
              <w:rPr>
                <w:rFonts w:hint="eastAsia" w:ascii="宋体" w:hAnsi="宋体" w:cs="宋体"/>
                <w:kern w:val="0"/>
                <w:szCs w:val="21"/>
              </w:rPr>
              <w:t>达标</w:t>
            </w:r>
          </w:p>
        </w:tc>
      </w:tr>
      <w:tr w14:paraId="4D8053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825F296">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42D84560">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7DEA4864">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1FE82056">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72D4E66">
            <w:pPr>
              <w:widowControl/>
              <w:jc w:val="center"/>
              <w:rPr>
                <w:rFonts w:hint="eastAsia" w:ascii="宋体" w:hAnsi="宋体" w:cs="宋体"/>
                <w:kern w:val="0"/>
                <w:szCs w:val="21"/>
              </w:rPr>
            </w:pPr>
            <w:r>
              <w:rPr>
                <w:rFonts w:hint="eastAsia" w:ascii="宋体" w:hAnsi="宋体" w:cs="宋体"/>
                <w:kern w:val="0"/>
                <w:szCs w:val="21"/>
              </w:rPr>
              <w:t>8</w:t>
            </w:r>
          </w:p>
        </w:tc>
        <w:tc>
          <w:tcPr>
            <w:tcW w:w="406" w:type="pct"/>
            <w:shd w:val="clear" w:color="auto" w:fill="auto"/>
            <w:vAlign w:val="center"/>
          </w:tcPr>
          <w:p w14:paraId="102559A7">
            <w:pPr>
              <w:widowControl/>
              <w:jc w:val="center"/>
              <w:rPr>
                <w:rFonts w:hint="eastAsia" w:ascii="宋体" w:hAnsi="宋体" w:cs="宋体"/>
                <w:kern w:val="0"/>
                <w:szCs w:val="21"/>
              </w:rPr>
            </w:pPr>
            <w:r>
              <w:rPr>
                <w:rFonts w:hint="eastAsia" w:ascii="宋体" w:hAnsi="宋体"/>
                <w:szCs w:val="21"/>
              </w:rPr>
              <w:t>0.0004</w:t>
            </w:r>
          </w:p>
        </w:tc>
        <w:tc>
          <w:tcPr>
            <w:tcW w:w="436" w:type="pct"/>
            <w:shd w:val="clear" w:color="auto" w:fill="auto"/>
            <w:vAlign w:val="center"/>
          </w:tcPr>
          <w:p w14:paraId="03ED10CC">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8AA0D45">
            <w:pPr>
              <w:widowControl/>
              <w:jc w:val="center"/>
              <w:rPr>
                <w:rFonts w:hint="eastAsia" w:ascii="宋体" w:hAnsi="宋体" w:cs="宋体"/>
                <w:kern w:val="0"/>
                <w:szCs w:val="21"/>
              </w:rPr>
            </w:pPr>
            <w:r>
              <w:rPr>
                <w:rFonts w:hint="eastAsia" w:ascii="宋体" w:hAnsi="宋体" w:cs="宋体"/>
                <w:kern w:val="0"/>
                <w:szCs w:val="21"/>
              </w:rPr>
              <w:t>11</w:t>
            </w:r>
          </w:p>
        </w:tc>
        <w:tc>
          <w:tcPr>
            <w:tcW w:w="442" w:type="pct"/>
            <w:shd w:val="clear" w:color="auto" w:fill="auto"/>
            <w:vAlign w:val="center"/>
          </w:tcPr>
          <w:p w14:paraId="6ECBDB84">
            <w:pPr>
              <w:widowControl/>
              <w:jc w:val="center"/>
              <w:rPr>
                <w:rFonts w:hint="eastAsia" w:ascii="宋体" w:hAnsi="宋体" w:cs="宋体"/>
                <w:kern w:val="0"/>
                <w:szCs w:val="21"/>
              </w:rPr>
            </w:pPr>
            <w:r>
              <w:rPr>
                <w:rFonts w:hint="eastAsia" w:ascii="宋体" w:hAnsi="宋体"/>
                <w:szCs w:val="21"/>
              </w:rPr>
              <w:t>0.0006</w:t>
            </w:r>
          </w:p>
        </w:tc>
        <w:tc>
          <w:tcPr>
            <w:tcW w:w="406" w:type="pct"/>
            <w:shd w:val="clear" w:color="auto" w:fill="auto"/>
            <w:vAlign w:val="center"/>
          </w:tcPr>
          <w:p w14:paraId="1DB153C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6E8112C">
            <w:pPr>
              <w:widowControl/>
              <w:jc w:val="center"/>
              <w:rPr>
                <w:rFonts w:hint="eastAsia" w:ascii="宋体" w:hAnsi="宋体" w:cs="宋体"/>
                <w:kern w:val="0"/>
                <w:szCs w:val="21"/>
              </w:rPr>
            </w:pPr>
            <w:r>
              <w:rPr>
                <w:rFonts w:hint="eastAsia" w:ascii="宋体" w:hAnsi="宋体" w:cs="宋体"/>
                <w:kern w:val="0"/>
                <w:szCs w:val="21"/>
              </w:rPr>
              <w:t>7</w:t>
            </w:r>
          </w:p>
        </w:tc>
        <w:tc>
          <w:tcPr>
            <w:tcW w:w="410" w:type="pct"/>
            <w:shd w:val="clear" w:color="auto" w:fill="auto"/>
            <w:vAlign w:val="center"/>
          </w:tcPr>
          <w:p w14:paraId="7FE7A5F0">
            <w:pPr>
              <w:widowControl/>
              <w:jc w:val="center"/>
              <w:rPr>
                <w:rFonts w:hint="eastAsia" w:ascii="宋体" w:hAnsi="宋体" w:cs="宋体"/>
                <w:kern w:val="0"/>
                <w:szCs w:val="21"/>
              </w:rPr>
            </w:pPr>
            <w:r>
              <w:rPr>
                <w:rFonts w:hint="eastAsia" w:ascii="宋体" w:hAnsi="宋体"/>
                <w:szCs w:val="21"/>
              </w:rPr>
              <w:t>0.0004</w:t>
            </w:r>
          </w:p>
        </w:tc>
        <w:tc>
          <w:tcPr>
            <w:tcW w:w="389" w:type="pct"/>
            <w:shd w:val="clear" w:color="auto" w:fill="auto"/>
            <w:vAlign w:val="center"/>
          </w:tcPr>
          <w:p w14:paraId="74D5EA09">
            <w:pPr>
              <w:widowControl/>
              <w:jc w:val="center"/>
              <w:rPr>
                <w:rFonts w:hint="eastAsia" w:ascii="宋体" w:hAnsi="宋体" w:cs="宋体"/>
                <w:kern w:val="0"/>
                <w:szCs w:val="21"/>
              </w:rPr>
            </w:pPr>
            <w:r>
              <w:rPr>
                <w:rFonts w:hint="eastAsia" w:ascii="宋体" w:hAnsi="宋体" w:cs="宋体"/>
                <w:kern w:val="0"/>
                <w:szCs w:val="21"/>
              </w:rPr>
              <w:t>达标</w:t>
            </w:r>
          </w:p>
        </w:tc>
      </w:tr>
      <w:tr w14:paraId="2E94B6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F05D0EE">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2D2D13C7">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355C808D">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38BC7119">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04B97B0">
            <w:pPr>
              <w:widowControl/>
              <w:jc w:val="center"/>
              <w:rPr>
                <w:rFonts w:hint="eastAsia" w:ascii="宋体" w:hAnsi="宋体" w:cs="宋体"/>
                <w:kern w:val="0"/>
                <w:szCs w:val="21"/>
              </w:rPr>
            </w:pPr>
            <w:r>
              <w:rPr>
                <w:rFonts w:hint="eastAsia" w:ascii="宋体" w:hAnsi="宋体" w:cs="宋体"/>
                <w:kern w:val="0"/>
                <w:szCs w:val="21"/>
              </w:rPr>
              <w:t>19</w:t>
            </w:r>
          </w:p>
        </w:tc>
        <w:tc>
          <w:tcPr>
            <w:tcW w:w="406" w:type="pct"/>
            <w:shd w:val="clear" w:color="auto" w:fill="auto"/>
            <w:vAlign w:val="center"/>
          </w:tcPr>
          <w:p w14:paraId="5F06F8FA">
            <w:pPr>
              <w:widowControl/>
              <w:jc w:val="center"/>
              <w:rPr>
                <w:rFonts w:hint="eastAsia" w:ascii="宋体" w:hAnsi="宋体" w:cs="宋体"/>
                <w:kern w:val="0"/>
                <w:szCs w:val="21"/>
              </w:rPr>
            </w:pPr>
            <w:r>
              <w:rPr>
                <w:rFonts w:hint="eastAsia" w:ascii="宋体" w:hAnsi="宋体"/>
                <w:szCs w:val="21"/>
              </w:rPr>
              <w:t>0.0211</w:t>
            </w:r>
          </w:p>
        </w:tc>
        <w:tc>
          <w:tcPr>
            <w:tcW w:w="436" w:type="pct"/>
            <w:shd w:val="clear" w:color="auto" w:fill="auto"/>
            <w:vAlign w:val="center"/>
          </w:tcPr>
          <w:p w14:paraId="298A77F2">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402852AF">
            <w:pPr>
              <w:widowControl/>
              <w:jc w:val="center"/>
              <w:rPr>
                <w:rFonts w:hint="eastAsia" w:ascii="宋体" w:hAnsi="宋体" w:cs="宋体"/>
                <w:kern w:val="0"/>
                <w:szCs w:val="21"/>
              </w:rPr>
            </w:pPr>
            <w:r>
              <w:rPr>
                <w:rFonts w:hint="eastAsia" w:ascii="宋体" w:hAnsi="宋体" w:cs="宋体"/>
                <w:kern w:val="0"/>
                <w:szCs w:val="21"/>
              </w:rPr>
              <w:t>25</w:t>
            </w:r>
          </w:p>
        </w:tc>
        <w:tc>
          <w:tcPr>
            <w:tcW w:w="442" w:type="pct"/>
            <w:shd w:val="clear" w:color="auto" w:fill="auto"/>
            <w:vAlign w:val="center"/>
          </w:tcPr>
          <w:p w14:paraId="65F8E042">
            <w:pPr>
              <w:widowControl/>
              <w:jc w:val="center"/>
              <w:rPr>
                <w:rFonts w:hint="eastAsia" w:ascii="宋体" w:hAnsi="宋体" w:cs="宋体"/>
                <w:kern w:val="0"/>
                <w:szCs w:val="21"/>
              </w:rPr>
            </w:pPr>
            <w:r>
              <w:rPr>
                <w:rFonts w:hint="eastAsia" w:ascii="宋体" w:hAnsi="宋体"/>
                <w:szCs w:val="21"/>
              </w:rPr>
              <w:t>0.0278</w:t>
            </w:r>
          </w:p>
        </w:tc>
        <w:tc>
          <w:tcPr>
            <w:tcW w:w="406" w:type="pct"/>
            <w:shd w:val="clear" w:color="auto" w:fill="auto"/>
            <w:vAlign w:val="center"/>
          </w:tcPr>
          <w:p w14:paraId="17C0384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43B5EF2">
            <w:pPr>
              <w:widowControl/>
              <w:jc w:val="center"/>
              <w:rPr>
                <w:rFonts w:hint="eastAsia" w:ascii="宋体" w:hAnsi="宋体" w:cs="宋体"/>
                <w:kern w:val="0"/>
                <w:szCs w:val="21"/>
              </w:rPr>
            </w:pPr>
            <w:r>
              <w:rPr>
                <w:rFonts w:hint="eastAsia" w:ascii="宋体" w:hAnsi="宋体" w:cs="宋体"/>
                <w:kern w:val="0"/>
                <w:szCs w:val="21"/>
              </w:rPr>
              <w:t>15</w:t>
            </w:r>
          </w:p>
        </w:tc>
        <w:tc>
          <w:tcPr>
            <w:tcW w:w="410" w:type="pct"/>
            <w:shd w:val="clear" w:color="auto" w:fill="auto"/>
            <w:vAlign w:val="center"/>
          </w:tcPr>
          <w:p w14:paraId="34B64660">
            <w:pPr>
              <w:widowControl/>
              <w:jc w:val="center"/>
              <w:rPr>
                <w:rFonts w:hint="eastAsia" w:ascii="宋体" w:hAnsi="宋体" w:cs="宋体"/>
                <w:kern w:val="0"/>
                <w:szCs w:val="21"/>
              </w:rPr>
            </w:pPr>
            <w:r>
              <w:rPr>
                <w:rFonts w:hint="eastAsia" w:ascii="宋体" w:hAnsi="宋体"/>
                <w:szCs w:val="21"/>
              </w:rPr>
              <w:t>0.0167</w:t>
            </w:r>
          </w:p>
        </w:tc>
        <w:tc>
          <w:tcPr>
            <w:tcW w:w="389" w:type="pct"/>
            <w:shd w:val="clear" w:color="auto" w:fill="auto"/>
            <w:vAlign w:val="center"/>
          </w:tcPr>
          <w:p w14:paraId="4FB6B042">
            <w:pPr>
              <w:widowControl/>
              <w:jc w:val="center"/>
              <w:rPr>
                <w:rFonts w:hint="eastAsia" w:ascii="宋体" w:hAnsi="宋体" w:cs="宋体"/>
                <w:kern w:val="0"/>
                <w:szCs w:val="21"/>
              </w:rPr>
            </w:pPr>
            <w:r>
              <w:rPr>
                <w:rFonts w:hint="eastAsia" w:ascii="宋体" w:hAnsi="宋体" w:cs="宋体"/>
                <w:kern w:val="0"/>
                <w:szCs w:val="21"/>
              </w:rPr>
              <w:t>达标</w:t>
            </w:r>
          </w:p>
        </w:tc>
      </w:tr>
      <w:tr w14:paraId="15F40A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A2D4D78">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5701B82E">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78039067">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3BC7BB8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870EF8B">
            <w:pPr>
              <w:widowControl/>
              <w:jc w:val="center"/>
              <w:rPr>
                <w:rFonts w:hint="eastAsia" w:ascii="宋体" w:hAnsi="宋体" w:cs="宋体"/>
                <w:kern w:val="0"/>
                <w:szCs w:val="21"/>
              </w:rPr>
            </w:pPr>
            <w:r>
              <w:rPr>
                <w:rFonts w:hint="eastAsia" w:ascii="宋体" w:hAnsi="宋体" w:cs="宋体"/>
                <w:kern w:val="0"/>
                <w:szCs w:val="21"/>
              </w:rPr>
              <w:t>8</w:t>
            </w:r>
          </w:p>
        </w:tc>
        <w:tc>
          <w:tcPr>
            <w:tcW w:w="406" w:type="pct"/>
            <w:shd w:val="clear" w:color="auto" w:fill="auto"/>
            <w:vAlign w:val="center"/>
          </w:tcPr>
          <w:p w14:paraId="1FA2A3BB">
            <w:pPr>
              <w:widowControl/>
              <w:jc w:val="center"/>
              <w:rPr>
                <w:rFonts w:hint="eastAsia" w:ascii="宋体" w:hAnsi="宋体" w:cs="宋体"/>
                <w:kern w:val="0"/>
                <w:szCs w:val="21"/>
              </w:rPr>
            </w:pPr>
            <w:r>
              <w:rPr>
                <w:rFonts w:hint="eastAsia" w:ascii="宋体" w:hAnsi="宋体"/>
                <w:szCs w:val="21"/>
              </w:rPr>
              <w:t>0.0018</w:t>
            </w:r>
          </w:p>
        </w:tc>
        <w:tc>
          <w:tcPr>
            <w:tcW w:w="436" w:type="pct"/>
            <w:shd w:val="clear" w:color="auto" w:fill="auto"/>
            <w:vAlign w:val="center"/>
          </w:tcPr>
          <w:p w14:paraId="3D6FF6B4">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B5832F5">
            <w:pPr>
              <w:widowControl/>
              <w:jc w:val="center"/>
              <w:rPr>
                <w:rFonts w:hint="eastAsia" w:ascii="宋体" w:hAnsi="宋体" w:cs="宋体"/>
                <w:kern w:val="0"/>
                <w:szCs w:val="21"/>
              </w:rPr>
            </w:pPr>
            <w:r>
              <w:rPr>
                <w:rFonts w:hint="eastAsia" w:ascii="宋体" w:hAnsi="宋体" w:cs="宋体"/>
                <w:kern w:val="0"/>
                <w:szCs w:val="21"/>
              </w:rPr>
              <w:t>9</w:t>
            </w:r>
          </w:p>
        </w:tc>
        <w:tc>
          <w:tcPr>
            <w:tcW w:w="442" w:type="pct"/>
            <w:shd w:val="clear" w:color="auto" w:fill="auto"/>
            <w:vAlign w:val="center"/>
          </w:tcPr>
          <w:p w14:paraId="51A79321">
            <w:pPr>
              <w:widowControl/>
              <w:jc w:val="center"/>
              <w:rPr>
                <w:rFonts w:hint="eastAsia" w:ascii="宋体" w:hAnsi="宋体" w:cs="宋体"/>
                <w:kern w:val="0"/>
                <w:szCs w:val="21"/>
              </w:rPr>
            </w:pPr>
            <w:r>
              <w:rPr>
                <w:rFonts w:hint="eastAsia" w:ascii="宋体" w:hAnsi="宋体"/>
                <w:szCs w:val="21"/>
              </w:rPr>
              <w:t>0.0020</w:t>
            </w:r>
          </w:p>
        </w:tc>
        <w:tc>
          <w:tcPr>
            <w:tcW w:w="406" w:type="pct"/>
            <w:shd w:val="clear" w:color="auto" w:fill="auto"/>
            <w:vAlign w:val="center"/>
          </w:tcPr>
          <w:p w14:paraId="24C446A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8D87E6B">
            <w:pPr>
              <w:widowControl/>
              <w:jc w:val="center"/>
              <w:rPr>
                <w:rFonts w:hint="eastAsia" w:ascii="宋体" w:hAnsi="宋体" w:cs="宋体"/>
                <w:kern w:val="0"/>
                <w:szCs w:val="21"/>
              </w:rPr>
            </w:pPr>
            <w:r>
              <w:rPr>
                <w:rFonts w:hint="eastAsia" w:ascii="宋体" w:hAnsi="宋体" w:cs="宋体"/>
                <w:kern w:val="0"/>
                <w:szCs w:val="21"/>
              </w:rPr>
              <w:t>9</w:t>
            </w:r>
          </w:p>
        </w:tc>
        <w:tc>
          <w:tcPr>
            <w:tcW w:w="410" w:type="pct"/>
            <w:shd w:val="clear" w:color="auto" w:fill="auto"/>
            <w:vAlign w:val="center"/>
          </w:tcPr>
          <w:p w14:paraId="4476965A">
            <w:pPr>
              <w:widowControl/>
              <w:jc w:val="center"/>
              <w:rPr>
                <w:rFonts w:hint="eastAsia" w:ascii="宋体" w:hAnsi="宋体" w:cs="宋体"/>
                <w:kern w:val="0"/>
                <w:szCs w:val="21"/>
              </w:rPr>
            </w:pPr>
            <w:r>
              <w:rPr>
                <w:rFonts w:hint="eastAsia" w:ascii="宋体" w:hAnsi="宋体"/>
                <w:szCs w:val="21"/>
              </w:rPr>
              <w:t>0.0020</w:t>
            </w:r>
          </w:p>
        </w:tc>
        <w:tc>
          <w:tcPr>
            <w:tcW w:w="389" w:type="pct"/>
            <w:shd w:val="clear" w:color="auto" w:fill="auto"/>
            <w:vAlign w:val="center"/>
          </w:tcPr>
          <w:p w14:paraId="1472DF7A">
            <w:pPr>
              <w:widowControl/>
              <w:jc w:val="center"/>
              <w:rPr>
                <w:rFonts w:hint="eastAsia" w:ascii="宋体" w:hAnsi="宋体" w:cs="宋体"/>
                <w:kern w:val="0"/>
                <w:szCs w:val="21"/>
              </w:rPr>
            </w:pPr>
            <w:r>
              <w:rPr>
                <w:rFonts w:hint="eastAsia" w:ascii="宋体" w:hAnsi="宋体" w:cs="宋体"/>
                <w:kern w:val="0"/>
                <w:szCs w:val="21"/>
              </w:rPr>
              <w:t>达标</w:t>
            </w:r>
          </w:p>
        </w:tc>
      </w:tr>
      <w:tr w14:paraId="5A8577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E45F57A">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6CE727E1">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7AF1C56A">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282F7C41">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40BE901F">
            <w:pPr>
              <w:widowControl/>
              <w:jc w:val="center"/>
              <w:rPr>
                <w:rFonts w:hint="eastAsia" w:ascii="宋体" w:hAnsi="宋体" w:cs="宋体"/>
                <w:kern w:val="0"/>
                <w:szCs w:val="21"/>
              </w:rPr>
            </w:pPr>
            <w:r>
              <w:rPr>
                <w:rFonts w:hint="eastAsia" w:ascii="宋体" w:hAnsi="宋体" w:cs="宋体"/>
                <w:kern w:val="0"/>
                <w:szCs w:val="21"/>
              </w:rPr>
              <w:t>8.13</w:t>
            </w:r>
          </w:p>
        </w:tc>
        <w:tc>
          <w:tcPr>
            <w:tcW w:w="406" w:type="pct"/>
            <w:shd w:val="clear" w:color="auto" w:fill="auto"/>
            <w:vAlign w:val="center"/>
          </w:tcPr>
          <w:p w14:paraId="69ABCC2D">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7EC4CF28">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5F4C388D">
            <w:pPr>
              <w:widowControl/>
              <w:jc w:val="center"/>
              <w:rPr>
                <w:rFonts w:hint="eastAsia" w:ascii="宋体" w:hAnsi="宋体" w:cs="宋体"/>
                <w:kern w:val="0"/>
                <w:szCs w:val="21"/>
              </w:rPr>
            </w:pPr>
            <w:r>
              <w:rPr>
                <w:rFonts w:hint="eastAsia" w:ascii="宋体" w:hAnsi="宋体" w:cs="宋体"/>
                <w:kern w:val="0"/>
                <w:szCs w:val="21"/>
              </w:rPr>
              <w:t>8.08</w:t>
            </w:r>
          </w:p>
        </w:tc>
        <w:tc>
          <w:tcPr>
            <w:tcW w:w="442" w:type="pct"/>
            <w:shd w:val="clear" w:color="auto" w:fill="auto"/>
            <w:vAlign w:val="center"/>
          </w:tcPr>
          <w:p w14:paraId="0A225F5B">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63B0C946">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10266A82">
            <w:pPr>
              <w:widowControl/>
              <w:jc w:val="center"/>
              <w:rPr>
                <w:rFonts w:hint="eastAsia" w:ascii="宋体" w:hAnsi="宋体" w:cs="宋体"/>
                <w:kern w:val="0"/>
                <w:szCs w:val="21"/>
              </w:rPr>
            </w:pPr>
            <w:r>
              <w:rPr>
                <w:rFonts w:hint="eastAsia" w:ascii="宋体" w:hAnsi="宋体" w:cs="宋体"/>
                <w:kern w:val="0"/>
                <w:szCs w:val="21"/>
              </w:rPr>
              <w:t>8.20</w:t>
            </w:r>
          </w:p>
        </w:tc>
        <w:tc>
          <w:tcPr>
            <w:tcW w:w="410" w:type="pct"/>
            <w:shd w:val="clear" w:color="auto" w:fill="auto"/>
            <w:vAlign w:val="center"/>
          </w:tcPr>
          <w:p w14:paraId="2CD0BC2B">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5ECF8746">
            <w:pPr>
              <w:widowControl/>
              <w:jc w:val="center"/>
              <w:rPr>
                <w:rFonts w:hint="eastAsia" w:ascii="宋体" w:hAnsi="宋体" w:cs="宋体"/>
                <w:kern w:val="0"/>
                <w:szCs w:val="21"/>
              </w:rPr>
            </w:pPr>
            <w:r>
              <w:rPr>
                <w:rFonts w:hint="eastAsia" w:ascii="宋体" w:hAnsi="宋体" w:cs="宋体"/>
                <w:kern w:val="0"/>
                <w:szCs w:val="21"/>
              </w:rPr>
              <w:t>/</w:t>
            </w:r>
          </w:p>
        </w:tc>
      </w:tr>
      <w:tr w14:paraId="5684D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D453E23">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746DB51B">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2FC9B855">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68B16187">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77F77146">
            <w:pPr>
              <w:widowControl/>
              <w:jc w:val="center"/>
              <w:rPr>
                <w:rFonts w:hint="eastAsia" w:ascii="宋体" w:hAnsi="宋体" w:cs="宋体"/>
                <w:kern w:val="0"/>
                <w:szCs w:val="21"/>
              </w:rPr>
            </w:pPr>
            <w:r>
              <w:rPr>
                <w:rFonts w:hint="eastAsia" w:ascii="宋体" w:hAnsi="宋体" w:cs="宋体"/>
                <w:kern w:val="0"/>
                <w:szCs w:val="21"/>
              </w:rPr>
              <w:t>1.8</w:t>
            </w:r>
          </w:p>
        </w:tc>
        <w:tc>
          <w:tcPr>
            <w:tcW w:w="406" w:type="pct"/>
            <w:shd w:val="clear" w:color="auto" w:fill="auto"/>
            <w:vAlign w:val="center"/>
          </w:tcPr>
          <w:p w14:paraId="6AC18695">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1D550196">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612A89D8">
            <w:pPr>
              <w:widowControl/>
              <w:jc w:val="center"/>
              <w:rPr>
                <w:rFonts w:hint="eastAsia" w:ascii="宋体" w:hAnsi="宋体" w:cs="宋体"/>
                <w:kern w:val="0"/>
                <w:szCs w:val="21"/>
              </w:rPr>
            </w:pPr>
            <w:r>
              <w:rPr>
                <w:rFonts w:hint="eastAsia" w:ascii="宋体" w:hAnsi="宋体" w:cs="宋体"/>
                <w:kern w:val="0"/>
                <w:szCs w:val="21"/>
              </w:rPr>
              <w:t>1.8</w:t>
            </w:r>
          </w:p>
        </w:tc>
        <w:tc>
          <w:tcPr>
            <w:tcW w:w="442" w:type="pct"/>
            <w:shd w:val="clear" w:color="auto" w:fill="auto"/>
            <w:vAlign w:val="center"/>
          </w:tcPr>
          <w:p w14:paraId="37F6FFB5">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19BC8D3C">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7182FF66">
            <w:pPr>
              <w:widowControl/>
              <w:jc w:val="center"/>
              <w:rPr>
                <w:rFonts w:hint="eastAsia" w:ascii="宋体" w:hAnsi="宋体" w:cs="宋体"/>
                <w:kern w:val="0"/>
                <w:szCs w:val="21"/>
              </w:rPr>
            </w:pPr>
            <w:r>
              <w:rPr>
                <w:rFonts w:hint="eastAsia" w:ascii="宋体" w:hAnsi="宋体" w:cs="宋体"/>
                <w:kern w:val="0"/>
                <w:szCs w:val="21"/>
              </w:rPr>
              <w:t>1.7</w:t>
            </w:r>
          </w:p>
        </w:tc>
        <w:tc>
          <w:tcPr>
            <w:tcW w:w="410" w:type="pct"/>
            <w:shd w:val="clear" w:color="auto" w:fill="auto"/>
            <w:vAlign w:val="center"/>
          </w:tcPr>
          <w:p w14:paraId="498CECA2">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3E5ED101">
            <w:pPr>
              <w:widowControl/>
              <w:jc w:val="center"/>
              <w:rPr>
                <w:rFonts w:hint="eastAsia" w:ascii="宋体" w:hAnsi="宋体" w:cs="宋体"/>
                <w:kern w:val="0"/>
                <w:szCs w:val="21"/>
              </w:rPr>
            </w:pPr>
            <w:r>
              <w:rPr>
                <w:rFonts w:hint="eastAsia" w:ascii="宋体" w:hAnsi="宋体" w:cs="宋体"/>
                <w:kern w:val="0"/>
                <w:szCs w:val="21"/>
              </w:rPr>
              <w:t>/</w:t>
            </w:r>
          </w:p>
        </w:tc>
      </w:tr>
      <w:tr w14:paraId="57E952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15"/>
            <w:shd w:val="clear" w:color="auto" w:fill="auto"/>
            <w:vAlign w:val="center"/>
          </w:tcPr>
          <w:p w14:paraId="57D9C1B6">
            <w:pPr>
              <w:widowControl/>
              <w:jc w:val="center"/>
              <w:rPr>
                <w:rFonts w:hint="eastAsia" w:ascii="宋体" w:hAnsi="宋体" w:cs="宋体"/>
                <w:kern w:val="0"/>
                <w:szCs w:val="21"/>
              </w:rPr>
            </w:pPr>
            <w:r>
              <w:rPr>
                <w:rFonts w:hint="eastAsia" w:ascii="宋体" w:hAnsi="宋体" w:cs="宋体"/>
                <w:kern w:val="0"/>
                <w:szCs w:val="21"/>
              </w:rPr>
              <w:t>T4</w:t>
            </w:r>
          </w:p>
        </w:tc>
      </w:tr>
      <w:tr w14:paraId="1E613B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D078FD2">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16252D14">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2B3F1E2D">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2F7569E2">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66BCC28">
            <w:pPr>
              <w:widowControl/>
              <w:jc w:val="center"/>
              <w:rPr>
                <w:rFonts w:hint="eastAsia" w:ascii="宋体" w:hAnsi="宋体" w:cs="宋体"/>
                <w:kern w:val="0"/>
                <w:szCs w:val="21"/>
              </w:rPr>
            </w:pPr>
            <w:r>
              <w:rPr>
                <w:rFonts w:hint="eastAsia" w:ascii="宋体" w:hAnsi="宋体" w:cs="宋体"/>
                <w:kern w:val="0"/>
                <w:szCs w:val="21"/>
              </w:rPr>
              <w:t>0.086</w:t>
            </w:r>
          </w:p>
        </w:tc>
        <w:tc>
          <w:tcPr>
            <w:tcW w:w="406" w:type="pct"/>
            <w:shd w:val="clear" w:color="auto" w:fill="auto"/>
            <w:vAlign w:val="center"/>
          </w:tcPr>
          <w:p w14:paraId="3083F831">
            <w:pPr>
              <w:widowControl/>
              <w:jc w:val="center"/>
              <w:rPr>
                <w:rFonts w:hint="eastAsia" w:ascii="宋体" w:hAnsi="宋体" w:cs="宋体"/>
                <w:kern w:val="0"/>
                <w:szCs w:val="21"/>
              </w:rPr>
            </w:pPr>
            <w:r>
              <w:rPr>
                <w:rFonts w:hint="eastAsia" w:ascii="宋体" w:hAnsi="宋体"/>
                <w:szCs w:val="21"/>
              </w:rPr>
              <w:t>0.0023</w:t>
            </w:r>
          </w:p>
        </w:tc>
        <w:tc>
          <w:tcPr>
            <w:tcW w:w="436" w:type="pct"/>
            <w:shd w:val="clear" w:color="auto" w:fill="auto"/>
            <w:vAlign w:val="center"/>
          </w:tcPr>
          <w:p w14:paraId="51D54B96">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EC1A6E2">
            <w:pPr>
              <w:widowControl/>
              <w:jc w:val="center"/>
              <w:rPr>
                <w:rFonts w:hint="eastAsia" w:ascii="宋体" w:hAnsi="宋体" w:cs="宋体"/>
                <w:kern w:val="0"/>
                <w:szCs w:val="21"/>
              </w:rPr>
            </w:pPr>
            <w:r>
              <w:rPr>
                <w:rFonts w:hint="eastAsia" w:ascii="宋体" w:hAnsi="宋体" w:cs="宋体"/>
                <w:kern w:val="0"/>
                <w:szCs w:val="21"/>
              </w:rPr>
              <w:t>0.091</w:t>
            </w:r>
          </w:p>
        </w:tc>
        <w:tc>
          <w:tcPr>
            <w:tcW w:w="442" w:type="pct"/>
            <w:shd w:val="clear" w:color="auto" w:fill="auto"/>
            <w:vAlign w:val="center"/>
          </w:tcPr>
          <w:p w14:paraId="662C33CB">
            <w:pPr>
              <w:widowControl/>
              <w:jc w:val="center"/>
              <w:rPr>
                <w:rFonts w:hint="eastAsia" w:ascii="宋体" w:hAnsi="宋体" w:cs="宋体"/>
                <w:kern w:val="0"/>
                <w:szCs w:val="21"/>
              </w:rPr>
            </w:pPr>
            <w:r>
              <w:rPr>
                <w:rFonts w:hint="eastAsia" w:ascii="宋体" w:hAnsi="宋体"/>
                <w:szCs w:val="21"/>
              </w:rPr>
              <w:t>0.0024</w:t>
            </w:r>
          </w:p>
        </w:tc>
        <w:tc>
          <w:tcPr>
            <w:tcW w:w="406" w:type="pct"/>
            <w:shd w:val="clear" w:color="auto" w:fill="auto"/>
            <w:vAlign w:val="center"/>
          </w:tcPr>
          <w:p w14:paraId="48CBF126">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2EF290D">
            <w:pPr>
              <w:widowControl/>
              <w:jc w:val="center"/>
              <w:rPr>
                <w:rFonts w:hint="eastAsia" w:ascii="宋体" w:hAnsi="宋体" w:cs="宋体"/>
                <w:kern w:val="0"/>
                <w:szCs w:val="21"/>
              </w:rPr>
            </w:pPr>
            <w:r>
              <w:rPr>
                <w:rFonts w:hint="eastAsia" w:ascii="宋体" w:hAnsi="宋体" w:cs="宋体"/>
                <w:kern w:val="0"/>
                <w:szCs w:val="21"/>
              </w:rPr>
              <w:t>0.078</w:t>
            </w:r>
          </w:p>
        </w:tc>
        <w:tc>
          <w:tcPr>
            <w:tcW w:w="410" w:type="pct"/>
            <w:shd w:val="clear" w:color="auto" w:fill="auto"/>
            <w:vAlign w:val="center"/>
          </w:tcPr>
          <w:p w14:paraId="3C06C74B">
            <w:pPr>
              <w:widowControl/>
              <w:jc w:val="center"/>
              <w:rPr>
                <w:rFonts w:hint="eastAsia" w:ascii="宋体" w:hAnsi="宋体" w:cs="宋体"/>
                <w:kern w:val="0"/>
                <w:szCs w:val="21"/>
              </w:rPr>
            </w:pPr>
            <w:r>
              <w:rPr>
                <w:rFonts w:hint="eastAsia" w:ascii="宋体" w:hAnsi="宋体"/>
                <w:szCs w:val="21"/>
              </w:rPr>
              <w:t>0.0021</w:t>
            </w:r>
          </w:p>
        </w:tc>
        <w:tc>
          <w:tcPr>
            <w:tcW w:w="389" w:type="pct"/>
            <w:shd w:val="clear" w:color="auto" w:fill="auto"/>
            <w:vAlign w:val="center"/>
          </w:tcPr>
          <w:p w14:paraId="6B184D7A">
            <w:pPr>
              <w:widowControl/>
              <w:jc w:val="center"/>
              <w:rPr>
                <w:rFonts w:hint="eastAsia" w:ascii="宋体" w:hAnsi="宋体" w:cs="宋体"/>
                <w:kern w:val="0"/>
                <w:szCs w:val="21"/>
              </w:rPr>
            </w:pPr>
            <w:r>
              <w:rPr>
                <w:rFonts w:hint="eastAsia" w:ascii="宋体" w:hAnsi="宋体" w:cs="宋体"/>
                <w:kern w:val="0"/>
                <w:szCs w:val="21"/>
              </w:rPr>
              <w:t>达标</w:t>
            </w:r>
          </w:p>
        </w:tc>
      </w:tr>
      <w:tr w14:paraId="6FC4DE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32A0E4B">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4F730E24">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0BF24C14">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695D5C4D">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DAAE94A">
            <w:pPr>
              <w:widowControl/>
              <w:jc w:val="center"/>
              <w:rPr>
                <w:rFonts w:hint="eastAsia" w:ascii="宋体" w:hAnsi="宋体" w:cs="宋体"/>
                <w:kern w:val="0"/>
                <w:szCs w:val="21"/>
              </w:rPr>
            </w:pPr>
            <w:r>
              <w:rPr>
                <w:rFonts w:hint="eastAsia" w:ascii="宋体" w:hAnsi="宋体" w:cs="宋体"/>
                <w:kern w:val="0"/>
                <w:szCs w:val="21"/>
              </w:rPr>
              <w:t>8.995</w:t>
            </w:r>
          </w:p>
        </w:tc>
        <w:tc>
          <w:tcPr>
            <w:tcW w:w="406" w:type="pct"/>
            <w:shd w:val="clear" w:color="auto" w:fill="auto"/>
            <w:vAlign w:val="center"/>
          </w:tcPr>
          <w:p w14:paraId="60C48443">
            <w:pPr>
              <w:widowControl/>
              <w:jc w:val="center"/>
              <w:rPr>
                <w:rFonts w:hint="eastAsia" w:ascii="宋体" w:hAnsi="宋体" w:cs="宋体"/>
                <w:kern w:val="0"/>
                <w:szCs w:val="21"/>
              </w:rPr>
            </w:pPr>
            <w:r>
              <w:rPr>
                <w:rFonts w:hint="eastAsia" w:ascii="宋体" w:hAnsi="宋体"/>
                <w:szCs w:val="21"/>
              </w:rPr>
              <w:t>0.1499</w:t>
            </w:r>
          </w:p>
        </w:tc>
        <w:tc>
          <w:tcPr>
            <w:tcW w:w="436" w:type="pct"/>
            <w:shd w:val="clear" w:color="auto" w:fill="auto"/>
            <w:vAlign w:val="center"/>
          </w:tcPr>
          <w:p w14:paraId="6E12EA02">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6A84F9A">
            <w:pPr>
              <w:widowControl/>
              <w:jc w:val="center"/>
              <w:rPr>
                <w:rFonts w:hint="eastAsia" w:ascii="宋体" w:hAnsi="宋体" w:cs="宋体"/>
                <w:kern w:val="0"/>
                <w:szCs w:val="21"/>
              </w:rPr>
            </w:pPr>
            <w:r>
              <w:rPr>
                <w:rFonts w:hint="eastAsia" w:ascii="宋体" w:hAnsi="宋体" w:cs="宋体"/>
                <w:kern w:val="0"/>
                <w:szCs w:val="21"/>
              </w:rPr>
              <w:t>10.4</w:t>
            </w:r>
          </w:p>
        </w:tc>
        <w:tc>
          <w:tcPr>
            <w:tcW w:w="442" w:type="pct"/>
            <w:shd w:val="clear" w:color="auto" w:fill="auto"/>
            <w:vAlign w:val="center"/>
          </w:tcPr>
          <w:p w14:paraId="6202B0F8">
            <w:pPr>
              <w:widowControl/>
              <w:jc w:val="center"/>
              <w:rPr>
                <w:rFonts w:hint="eastAsia" w:ascii="宋体" w:hAnsi="宋体" w:cs="宋体"/>
                <w:kern w:val="0"/>
                <w:szCs w:val="21"/>
              </w:rPr>
            </w:pPr>
            <w:r>
              <w:rPr>
                <w:rFonts w:hint="eastAsia" w:ascii="宋体" w:hAnsi="宋体"/>
                <w:szCs w:val="21"/>
              </w:rPr>
              <w:t>0.1733</w:t>
            </w:r>
          </w:p>
        </w:tc>
        <w:tc>
          <w:tcPr>
            <w:tcW w:w="406" w:type="pct"/>
            <w:shd w:val="clear" w:color="auto" w:fill="auto"/>
            <w:vAlign w:val="center"/>
          </w:tcPr>
          <w:p w14:paraId="1C4BF4C2">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8F98813">
            <w:pPr>
              <w:widowControl/>
              <w:jc w:val="center"/>
              <w:rPr>
                <w:rFonts w:hint="eastAsia" w:ascii="宋体" w:hAnsi="宋体" w:cs="宋体"/>
                <w:kern w:val="0"/>
                <w:szCs w:val="21"/>
              </w:rPr>
            </w:pPr>
            <w:r>
              <w:rPr>
                <w:rFonts w:hint="eastAsia" w:ascii="宋体" w:hAnsi="宋体" w:cs="宋体"/>
                <w:kern w:val="0"/>
                <w:szCs w:val="21"/>
              </w:rPr>
              <w:t>12.4</w:t>
            </w:r>
          </w:p>
        </w:tc>
        <w:tc>
          <w:tcPr>
            <w:tcW w:w="410" w:type="pct"/>
            <w:shd w:val="clear" w:color="auto" w:fill="auto"/>
            <w:vAlign w:val="center"/>
          </w:tcPr>
          <w:p w14:paraId="07E61354">
            <w:pPr>
              <w:widowControl/>
              <w:jc w:val="center"/>
              <w:rPr>
                <w:rFonts w:hint="eastAsia" w:ascii="宋体" w:hAnsi="宋体" w:cs="宋体"/>
                <w:kern w:val="0"/>
                <w:szCs w:val="21"/>
              </w:rPr>
            </w:pPr>
            <w:r>
              <w:rPr>
                <w:rFonts w:hint="eastAsia" w:ascii="宋体" w:hAnsi="宋体"/>
                <w:szCs w:val="21"/>
              </w:rPr>
              <w:t>0.2067</w:t>
            </w:r>
          </w:p>
        </w:tc>
        <w:tc>
          <w:tcPr>
            <w:tcW w:w="389" w:type="pct"/>
            <w:shd w:val="clear" w:color="auto" w:fill="auto"/>
            <w:vAlign w:val="center"/>
          </w:tcPr>
          <w:p w14:paraId="20802980">
            <w:pPr>
              <w:widowControl/>
              <w:jc w:val="center"/>
              <w:rPr>
                <w:rFonts w:hint="eastAsia" w:ascii="宋体" w:hAnsi="宋体" w:cs="宋体"/>
                <w:kern w:val="0"/>
                <w:szCs w:val="21"/>
              </w:rPr>
            </w:pPr>
            <w:r>
              <w:rPr>
                <w:rFonts w:hint="eastAsia" w:ascii="宋体" w:hAnsi="宋体" w:cs="宋体"/>
                <w:kern w:val="0"/>
                <w:szCs w:val="21"/>
              </w:rPr>
              <w:t>达标</w:t>
            </w:r>
          </w:p>
        </w:tc>
      </w:tr>
      <w:tr w14:paraId="553527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EA72D3C">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1E7F4C5D">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14A13F1D">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08FEFF46">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993DBB3">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78602F80">
            <w:pPr>
              <w:widowControl/>
              <w:jc w:val="center"/>
              <w:rPr>
                <w:rFonts w:hint="eastAsia" w:ascii="宋体" w:hAnsi="宋体" w:cs="宋体"/>
                <w:kern w:val="0"/>
                <w:szCs w:val="21"/>
              </w:rPr>
            </w:pPr>
            <w:r>
              <w:rPr>
                <w:rFonts w:hint="eastAsia" w:ascii="宋体" w:hAnsi="宋体"/>
                <w:szCs w:val="21"/>
              </w:rPr>
              <w:t>0.0028</w:t>
            </w:r>
          </w:p>
        </w:tc>
        <w:tc>
          <w:tcPr>
            <w:tcW w:w="436" w:type="pct"/>
            <w:shd w:val="clear" w:color="auto" w:fill="auto"/>
            <w:vAlign w:val="center"/>
          </w:tcPr>
          <w:p w14:paraId="1D0B3AA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2D6344B">
            <w:pPr>
              <w:widowControl/>
              <w:jc w:val="center"/>
              <w:rPr>
                <w:rFonts w:hint="eastAsia" w:ascii="宋体" w:hAnsi="宋体" w:cs="宋体"/>
                <w:kern w:val="0"/>
                <w:szCs w:val="21"/>
              </w:rPr>
            </w:pPr>
            <w:r>
              <w:rPr>
                <w:rFonts w:hint="eastAsia" w:ascii="宋体" w:hAnsi="宋体" w:cs="宋体"/>
                <w:kern w:val="0"/>
                <w:szCs w:val="21"/>
              </w:rPr>
              <w:t>3.9</w:t>
            </w:r>
          </w:p>
        </w:tc>
        <w:tc>
          <w:tcPr>
            <w:tcW w:w="442" w:type="pct"/>
            <w:shd w:val="clear" w:color="auto" w:fill="auto"/>
            <w:vAlign w:val="center"/>
          </w:tcPr>
          <w:p w14:paraId="7EA10559">
            <w:pPr>
              <w:widowControl/>
              <w:jc w:val="center"/>
              <w:rPr>
                <w:rFonts w:hint="eastAsia" w:ascii="宋体" w:hAnsi="宋体" w:cs="宋体"/>
                <w:kern w:val="0"/>
                <w:szCs w:val="21"/>
              </w:rPr>
            </w:pPr>
            <w:r>
              <w:rPr>
                <w:rFonts w:hint="eastAsia" w:ascii="宋体" w:hAnsi="宋体"/>
                <w:szCs w:val="21"/>
              </w:rPr>
              <w:t>0.0049</w:t>
            </w:r>
          </w:p>
        </w:tc>
        <w:tc>
          <w:tcPr>
            <w:tcW w:w="406" w:type="pct"/>
            <w:shd w:val="clear" w:color="auto" w:fill="auto"/>
            <w:vAlign w:val="center"/>
          </w:tcPr>
          <w:p w14:paraId="02571AF3">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2B19A3E">
            <w:pPr>
              <w:widowControl/>
              <w:jc w:val="center"/>
              <w:rPr>
                <w:rFonts w:hint="eastAsia" w:ascii="宋体" w:hAnsi="宋体" w:cs="宋体"/>
                <w:kern w:val="0"/>
                <w:szCs w:val="21"/>
              </w:rPr>
            </w:pPr>
            <w:r>
              <w:rPr>
                <w:rFonts w:hint="eastAsia" w:ascii="宋体" w:hAnsi="宋体" w:cs="宋体"/>
                <w:kern w:val="0"/>
                <w:szCs w:val="21"/>
              </w:rPr>
              <w:t>4.1</w:t>
            </w:r>
          </w:p>
        </w:tc>
        <w:tc>
          <w:tcPr>
            <w:tcW w:w="410" w:type="pct"/>
            <w:shd w:val="clear" w:color="auto" w:fill="auto"/>
            <w:vAlign w:val="center"/>
          </w:tcPr>
          <w:p w14:paraId="52771EAE">
            <w:pPr>
              <w:widowControl/>
              <w:jc w:val="center"/>
              <w:rPr>
                <w:rFonts w:hint="eastAsia" w:ascii="宋体" w:hAnsi="宋体" w:cs="宋体"/>
                <w:kern w:val="0"/>
                <w:szCs w:val="21"/>
              </w:rPr>
            </w:pPr>
            <w:r>
              <w:rPr>
                <w:rFonts w:hint="eastAsia" w:ascii="宋体" w:hAnsi="宋体"/>
                <w:szCs w:val="21"/>
              </w:rPr>
              <w:t>0.0051</w:t>
            </w:r>
          </w:p>
        </w:tc>
        <w:tc>
          <w:tcPr>
            <w:tcW w:w="389" w:type="pct"/>
            <w:shd w:val="clear" w:color="auto" w:fill="auto"/>
            <w:vAlign w:val="center"/>
          </w:tcPr>
          <w:p w14:paraId="3EE0E81B">
            <w:pPr>
              <w:widowControl/>
              <w:jc w:val="center"/>
              <w:rPr>
                <w:rFonts w:hint="eastAsia" w:ascii="宋体" w:hAnsi="宋体" w:cs="宋体"/>
                <w:kern w:val="0"/>
                <w:szCs w:val="21"/>
              </w:rPr>
            </w:pPr>
            <w:r>
              <w:rPr>
                <w:rFonts w:hint="eastAsia" w:ascii="宋体" w:hAnsi="宋体" w:cs="宋体"/>
                <w:kern w:val="0"/>
                <w:szCs w:val="21"/>
              </w:rPr>
              <w:t>达标</w:t>
            </w:r>
          </w:p>
        </w:tc>
      </w:tr>
      <w:tr w14:paraId="2B7BCB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328165B">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63EE8BD4">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51773E13">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6695349E">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51089D0">
            <w:pPr>
              <w:widowControl/>
              <w:jc w:val="center"/>
              <w:rPr>
                <w:rFonts w:hint="eastAsia" w:ascii="宋体" w:hAnsi="宋体" w:cs="宋体"/>
                <w:kern w:val="0"/>
                <w:szCs w:val="21"/>
              </w:rPr>
            </w:pPr>
            <w:r>
              <w:rPr>
                <w:rFonts w:hint="eastAsia" w:ascii="宋体" w:hAnsi="宋体" w:cs="宋体"/>
                <w:kern w:val="0"/>
                <w:szCs w:val="21"/>
              </w:rPr>
              <w:t>0.59</w:t>
            </w:r>
          </w:p>
        </w:tc>
        <w:tc>
          <w:tcPr>
            <w:tcW w:w="406" w:type="pct"/>
            <w:shd w:val="clear" w:color="auto" w:fill="auto"/>
            <w:vAlign w:val="center"/>
          </w:tcPr>
          <w:p w14:paraId="6683A011">
            <w:pPr>
              <w:widowControl/>
              <w:jc w:val="center"/>
              <w:rPr>
                <w:rFonts w:hint="eastAsia" w:ascii="宋体" w:hAnsi="宋体" w:cs="宋体"/>
                <w:kern w:val="0"/>
                <w:szCs w:val="21"/>
              </w:rPr>
            </w:pPr>
            <w:r>
              <w:rPr>
                <w:rFonts w:hint="eastAsia" w:ascii="宋体" w:hAnsi="宋体"/>
                <w:szCs w:val="21"/>
              </w:rPr>
              <w:t>0.0091</w:t>
            </w:r>
          </w:p>
        </w:tc>
        <w:tc>
          <w:tcPr>
            <w:tcW w:w="436" w:type="pct"/>
            <w:shd w:val="clear" w:color="auto" w:fill="auto"/>
            <w:vAlign w:val="center"/>
          </w:tcPr>
          <w:p w14:paraId="62A08C2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442DCE85">
            <w:pPr>
              <w:widowControl/>
              <w:jc w:val="center"/>
              <w:rPr>
                <w:rFonts w:hint="eastAsia" w:ascii="宋体" w:hAnsi="宋体" w:cs="宋体"/>
                <w:kern w:val="0"/>
                <w:szCs w:val="21"/>
              </w:rPr>
            </w:pPr>
            <w:r>
              <w:rPr>
                <w:rFonts w:hint="eastAsia" w:ascii="宋体" w:hAnsi="宋体" w:cs="宋体"/>
                <w:kern w:val="0"/>
                <w:szCs w:val="21"/>
              </w:rPr>
              <w:t>0.83</w:t>
            </w:r>
          </w:p>
        </w:tc>
        <w:tc>
          <w:tcPr>
            <w:tcW w:w="442" w:type="pct"/>
            <w:shd w:val="clear" w:color="auto" w:fill="auto"/>
            <w:vAlign w:val="center"/>
          </w:tcPr>
          <w:p w14:paraId="2C58A50D">
            <w:pPr>
              <w:widowControl/>
              <w:jc w:val="center"/>
              <w:rPr>
                <w:rFonts w:hint="eastAsia" w:ascii="宋体" w:hAnsi="宋体" w:cs="宋体"/>
                <w:kern w:val="0"/>
                <w:szCs w:val="21"/>
              </w:rPr>
            </w:pPr>
            <w:r>
              <w:rPr>
                <w:rFonts w:hint="eastAsia" w:ascii="宋体" w:hAnsi="宋体"/>
                <w:szCs w:val="21"/>
              </w:rPr>
              <w:t>0.0128</w:t>
            </w:r>
          </w:p>
        </w:tc>
        <w:tc>
          <w:tcPr>
            <w:tcW w:w="406" w:type="pct"/>
            <w:shd w:val="clear" w:color="auto" w:fill="auto"/>
            <w:vAlign w:val="center"/>
          </w:tcPr>
          <w:p w14:paraId="5FC0AA4E">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D525038">
            <w:pPr>
              <w:widowControl/>
              <w:jc w:val="center"/>
              <w:rPr>
                <w:rFonts w:hint="eastAsia" w:ascii="宋体" w:hAnsi="宋体" w:cs="宋体"/>
                <w:kern w:val="0"/>
                <w:szCs w:val="21"/>
              </w:rPr>
            </w:pPr>
            <w:r>
              <w:rPr>
                <w:rFonts w:hint="eastAsia" w:ascii="宋体" w:hAnsi="宋体" w:cs="宋体"/>
                <w:kern w:val="0"/>
                <w:szCs w:val="21"/>
              </w:rPr>
              <w:t>0.81</w:t>
            </w:r>
          </w:p>
        </w:tc>
        <w:tc>
          <w:tcPr>
            <w:tcW w:w="410" w:type="pct"/>
            <w:shd w:val="clear" w:color="auto" w:fill="auto"/>
            <w:vAlign w:val="center"/>
          </w:tcPr>
          <w:p w14:paraId="59DC6509">
            <w:pPr>
              <w:widowControl/>
              <w:jc w:val="center"/>
              <w:rPr>
                <w:rFonts w:hint="eastAsia" w:ascii="宋体" w:hAnsi="宋体" w:cs="宋体"/>
                <w:kern w:val="0"/>
                <w:szCs w:val="21"/>
              </w:rPr>
            </w:pPr>
            <w:r>
              <w:rPr>
                <w:rFonts w:hint="eastAsia" w:ascii="宋体" w:hAnsi="宋体"/>
                <w:szCs w:val="21"/>
              </w:rPr>
              <w:t>0.0125</w:t>
            </w:r>
          </w:p>
        </w:tc>
        <w:tc>
          <w:tcPr>
            <w:tcW w:w="389" w:type="pct"/>
            <w:shd w:val="clear" w:color="auto" w:fill="auto"/>
            <w:vAlign w:val="center"/>
          </w:tcPr>
          <w:p w14:paraId="771CEB4C">
            <w:pPr>
              <w:widowControl/>
              <w:jc w:val="center"/>
              <w:rPr>
                <w:rFonts w:hint="eastAsia" w:ascii="宋体" w:hAnsi="宋体" w:cs="宋体"/>
                <w:kern w:val="0"/>
                <w:szCs w:val="21"/>
              </w:rPr>
            </w:pPr>
            <w:r>
              <w:rPr>
                <w:rFonts w:hint="eastAsia" w:ascii="宋体" w:hAnsi="宋体" w:cs="宋体"/>
                <w:kern w:val="0"/>
                <w:szCs w:val="21"/>
              </w:rPr>
              <w:t>达标</w:t>
            </w:r>
          </w:p>
        </w:tc>
      </w:tr>
      <w:tr w14:paraId="549E9B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7380883">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4BAB635B">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090F64C4">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2E996A5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E91CC8C">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4A60E622">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026986F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56A5DD6">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7C9E9A81">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6B9A4DC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9A7DD49">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57E10053">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6DD662F1">
            <w:pPr>
              <w:widowControl/>
              <w:jc w:val="center"/>
              <w:rPr>
                <w:rFonts w:hint="eastAsia" w:ascii="宋体" w:hAnsi="宋体" w:cs="宋体"/>
                <w:kern w:val="0"/>
                <w:szCs w:val="21"/>
              </w:rPr>
            </w:pPr>
            <w:r>
              <w:rPr>
                <w:rFonts w:hint="eastAsia" w:ascii="宋体" w:hAnsi="宋体" w:cs="宋体"/>
                <w:kern w:val="0"/>
                <w:szCs w:val="21"/>
              </w:rPr>
              <w:t>达标</w:t>
            </w:r>
          </w:p>
        </w:tc>
      </w:tr>
      <w:tr w14:paraId="4F5BC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3CEE8F8">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13CC50F5">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204A78D5">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640A553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B736CDA">
            <w:pPr>
              <w:widowControl/>
              <w:jc w:val="center"/>
              <w:rPr>
                <w:rFonts w:hint="eastAsia" w:ascii="宋体" w:hAnsi="宋体" w:cs="宋体"/>
                <w:kern w:val="0"/>
                <w:szCs w:val="21"/>
              </w:rPr>
            </w:pPr>
            <w:r>
              <w:rPr>
                <w:rFonts w:hint="eastAsia" w:ascii="宋体" w:hAnsi="宋体" w:cs="宋体"/>
                <w:kern w:val="0"/>
                <w:szCs w:val="21"/>
              </w:rPr>
              <w:t>13</w:t>
            </w:r>
          </w:p>
        </w:tc>
        <w:tc>
          <w:tcPr>
            <w:tcW w:w="406" w:type="pct"/>
            <w:shd w:val="clear" w:color="auto" w:fill="auto"/>
            <w:vAlign w:val="center"/>
          </w:tcPr>
          <w:p w14:paraId="1623D38B">
            <w:pPr>
              <w:widowControl/>
              <w:jc w:val="center"/>
              <w:rPr>
                <w:rFonts w:hint="eastAsia" w:ascii="宋体" w:hAnsi="宋体" w:cs="宋体"/>
                <w:kern w:val="0"/>
                <w:szCs w:val="21"/>
              </w:rPr>
            </w:pPr>
            <w:r>
              <w:rPr>
                <w:rFonts w:hint="eastAsia" w:ascii="宋体" w:hAnsi="宋体"/>
                <w:szCs w:val="21"/>
              </w:rPr>
              <w:t>0.0007</w:t>
            </w:r>
          </w:p>
        </w:tc>
        <w:tc>
          <w:tcPr>
            <w:tcW w:w="436" w:type="pct"/>
            <w:shd w:val="clear" w:color="auto" w:fill="auto"/>
            <w:vAlign w:val="center"/>
          </w:tcPr>
          <w:p w14:paraId="7777482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617ACAD">
            <w:pPr>
              <w:widowControl/>
              <w:jc w:val="center"/>
              <w:rPr>
                <w:rFonts w:hint="eastAsia" w:ascii="宋体" w:hAnsi="宋体" w:cs="宋体"/>
                <w:kern w:val="0"/>
                <w:szCs w:val="21"/>
              </w:rPr>
            </w:pPr>
            <w:r>
              <w:rPr>
                <w:rFonts w:hint="eastAsia" w:ascii="宋体" w:hAnsi="宋体" w:cs="宋体"/>
                <w:kern w:val="0"/>
                <w:szCs w:val="21"/>
              </w:rPr>
              <w:t>15</w:t>
            </w:r>
          </w:p>
        </w:tc>
        <w:tc>
          <w:tcPr>
            <w:tcW w:w="442" w:type="pct"/>
            <w:shd w:val="clear" w:color="auto" w:fill="auto"/>
            <w:vAlign w:val="center"/>
          </w:tcPr>
          <w:p w14:paraId="45483ECA">
            <w:pPr>
              <w:widowControl/>
              <w:jc w:val="center"/>
              <w:rPr>
                <w:rFonts w:hint="eastAsia" w:ascii="宋体" w:hAnsi="宋体" w:cs="宋体"/>
                <w:kern w:val="0"/>
                <w:szCs w:val="21"/>
              </w:rPr>
            </w:pPr>
            <w:r>
              <w:rPr>
                <w:rFonts w:hint="eastAsia" w:ascii="宋体" w:hAnsi="宋体"/>
                <w:szCs w:val="21"/>
              </w:rPr>
              <w:t>0.0008</w:t>
            </w:r>
          </w:p>
        </w:tc>
        <w:tc>
          <w:tcPr>
            <w:tcW w:w="406" w:type="pct"/>
            <w:shd w:val="clear" w:color="auto" w:fill="auto"/>
            <w:vAlign w:val="center"/>
          </w:tcPr>
          <w:p w14:paraId="7F9DB25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FCF56BF">
            <w:pPr>
              <w:widowControl/>
              <w:jc w:val="center"/>
              <w:rPr>
                <w:rFonts w:hint="eastAsia" w:ascii="宋体" w:hAnsi="宋体" w:cs="宋体"/>
                <w:kern w:val="0"/>
                <w:szCs w:val="21"/>
              </w:rPr>
            </w:pPr>
            <w:r>
              <w:rPr>
                <w:rFonts w:hint="eastAsia" w:ascii="宋体" w:hAnsi="宋体" w:cs="宋体"/>
                <w:kern w:val="0"/>
                <w:szCs w:val="21"/>
              </w:rPr>
              <w:t>10</w:t>
            </w:r>
          </w:p>
        </w:tc>
        <w:tc>
          <w:tcPr>
            <w:tcW w:w="410" w:type="pct"/>
            <w:shd w:val="clear" w:color="auto" w:fill="auto"/>
            <w:vAlign w:val="center"/>
          </w:tcPr>
          <w:p w14:paraId="303FBE92">
            <w:pPr>
              <w:widowControl/>
              <w:jc w:val="center"/>
              <w:rPr>
                <w:rFonts w:hint="eastAsia" w:ascii="宋体" w:hAnsi="宋体" w:cs="宋体"/>
                <w:kern w:val="0"/>
                <w:szCs w:val="21"/>
              </w:rPr>
            </w:pPr>
            <w:r>
              <w:rPr>
                <w:rFonts w:hint="eastAsia" w:ascii="宋体" w:hAnsi="宋体"/>
                <w:szCs w:val="21"/>
              </w:rPr>
              <w:t>0.0006</w:t>
            </w:r>
          </w:p>
        </w:tc>
        <w:tc>
          <w:tcPr>
            <w:tcW w:w="389" w:type="pct"/>
            <w:shd w:val="clear" w:color="auto" w:fill="auto"/>
            <w:vAlign w:val="center"/>
          </w:tcPr>
          <w:p w14:paraId="187EB112">
            <w:pPr>
              <w:widowControl/>
              <w:jc w:val="center"/>
              <w:rPr>
                <w:rFonts w:hint="eastAsia" w:ascii="宋体" w:hAnsi="宋体" w:cs="宋体"/>
                <w:kern w:val="0"/>
                <w:szCs w:val="21"/>
              </w:rPr>
            </w:pPr>
            <w:r>
              <w:rPr>
                <w:rFonts w:hint="eastAsia" w:ascii="宋体" w:hAnsi="宋体" w:cs="宋体"/>
                <w:kern w:val="0"/>
                <w:szCs w:val="21"/>
              </w:rPr>
              <w:t>达标</w:t>
            </w:r>
          </w:p>
        </w:tc>
      </w:tr>
      <w:tr w14:paraId="52A7BE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E95D39B">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24E3AD37">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4D78CA88">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2DFE9C0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BB54DA1">
            <w:pPr>
              <w:widowControl/>
              <w:jc w:val="center"/>
              <w:rPr>
                <w:rFonts w:hint="eastAsia" w:ascii="宋体" w:hAnsi="宋体" w:cs="宋体"/>
                <w:kern w:val="0"/>
                <w:szCs w:val="21"/>
              </w:rPr>
            </w:pPr>
            <w:r>
              <w:rPr>
                <w:rFonts w:hint="eastAsia" w:ascii="宋体" w:hAnsi="宋体" w:cs="宋体"/>
                <w:kern w:val="0"/>
                <w:szCs w:val="21"/>
              </w:rPr>
              <w:t>35</w:t>
            </w:r>
          </w:p>
        </w:tc>
        <w:tc>
          <w:tcPr>
            <w:tcW w:w="406" w:type="pct"/>
            <w:shd w:val="clear" w:color="auto" w:fill="auto"/>
            <w:vAlign w:val="center"/>
          </w:tcPr>
          <w:p w14:paraId="156FE817">
            <w:pPr>
              <w:widowControl/>
              <w:jc w:val="center"/>
              <w:rPr>
                <w:rFonts w:hint="eastAsia" w:ascii="宋体" w:hAnsi="宋体" w:cs="宋体"/>
                <w:kern w:val="0"/>
                <w:szCs w:val="21"/>
              </w:rPr>
            </w:pPr>
            <w:r>
              <w:rPr>
                <w:rFonts w:hint="eastAsia" w:ascii="宋体" w:hAnsi="宋体"/>
                <w:szCs w:val="21"/>
              </w:rPr>
              <w:t>0.0389</w:t>
            </w:r>
          </w:p>
        </w:tc>
        <w:tc>
          <w:tcPr>
            <w:tcW w:w="436" w:type="pct"/>
            <w:shd w:val="clear" w:color="auto" w:fill="auto"/>
            <w:vAlign w:val="center"/>
          </w:tcPr>
          <w:p w14:paraId="01278297">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3C9923A">
            <w:pPr>
              <w:widowControl/>
              <w:jc w:val="center"/>
              <w:rPr>
                <w:rFonts w:hint="eastAsia" w:ascii="宋体" w:hAnsi="宋体" w:cs="宋体"/>
                <w:kern w:val="0"/>
                <w:szCs w:val="21"/>
              </w:rPr>
            </w:pPr>
            <w:r>
              <w:rPr>
                <w:rFonts w:hint="eastAsia" w:ascii="宋体" w:hAnsi="宋体" w:cs="宋体"/>
                <w:kern w:val="0"/>
                <w:szCs w:val="21"/>
              </w:rPr>
              <w:t>26</w:t>
            </w:r>
          </w:p>
        </w:tc>
        <w:tc>
          <w:tcPr>
            <w:tcW w:w="442" w:type="pct"/>
            <w:shd w:val="clear" w:color="auto" w:fill="auto"/>
            <w:vAlign w:val="center"/>
          </w:tcPr>
          <w:p w14:paraId="46FB9DD4">
            <w:pPr>
              <w:widowControl/>
              <w:jc w:val="center"/>
              <w:rPr>
                <w:rFonts w:hint="eastAsia" w:ascii="宋体" w:hAnsi="宋体" w:cs="宋体"/>
                <w:kern w:val="0"/>
                <w:szCs w:val="21"/>
              </w:rPr>
            </w:pPr>
            <w:r>
              <w:rPr>
                <w:rFonts w:hint="eastAsia" w:ascii="宋体" w:hAnsi="宋体"/>
                <w:szCs w:val="21"/>
              </w:rPr>
              <w:t>0.0289</w:t>
            </w:r>
          </w:p>
        </w:tc>
        <w:tc>
          <w:tcPr>
            <w:tcW w:w="406" w:type="pct"/>
            <w:shd w:val="clear" w:color="auto" w:fill="auto"/>
            <w:vAlign w:val="center"/>
          </w:tcPr>
          <w:p w14:paraId="3DE29C64">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9968205">
            <w:pPr>
              <w:widowControl/>
              <w:jc w:val="center"/>
              <w:rPr>
                <w:rFonts w:hint="eastAsia" w:ascii="宋体" w:hAnsi="宋体" w:cs="宋体"/>
                <w:kern w:val="0"/>
                <w:szCs w:val="21"/>
              </w:rPr>
            </w:pPr>
            <w:r>
              <w:rPr>
                <w:rFonts w:hint="eastAsia" w:ascii="宋体" w:hAnsi="宋体" w:cs="宋体"/>
                <w:kern w:val="0"/>
                <w:szCs w:val="21"/>
              </w:rPr>
              <w:t>20</w:t>
            </w:r>
          </w:p>
        </w:tc>
        <w:tc>
          <w:tcPr>
            <w:tcW w:w="410" w:type="pct"/>
            <w:shd w:val="clear" w:color="auto" w:fill="auto"/>
            <w:vAlign w:val="center"/>
          </w:tcPr>
          <w:p w14:paraId="5E06BD8D">
            <w:pPr>
              <w:widowControl/>
              <w:jc w:val="center"/>
              <w:rPr>
                <w:rFonts w:hint="eastAsia" w:ascii="宋体" w:hAnsi="宋体" w:cs="宋体"/>
                <w:kern w:val="0"/>
                <w:szCs w:val="21"/>
              </w:rPr>
            </w:pPr>
            <w:r>
              <w:rPr>
                <w:rFonts w:hint="eastAsia" w:ascii="宋体" w:hAnsi="宋体"/>
                <w:szCs w:val="21"/>
              </w:rPr>
              <w:t>0.0222</w:t>
            </w:r>
          </w:p>
        </w:tc>
        <w:tc>
          <w:tcPr>
            <w:tcW w:w="389" w:type="pct"/>
            <w:shd w:val="clear" w:color="auto" w:fill="auto"/>
            <w:vAlign w:val="center"/>
          </w:tcPr>
          <w:p w14:paraId="43A2ABDB">
            <w:pPr>
              <w:widowControl/>
              <w:jc w:val="center"/>
              <w:rPr>
                <w:rFonts w:hint="eastAsia" w:ascii="宋体" w:hAnsi="宋体" w:cs="宋体"/>
                <w:kern w:val="0"/>
                <w:szCs w:val="21"/>
              </w:rPr>
            </w:pPr>
            <w:r>
              <w:rPr>
                <w:rFonts w:hint="eastAsia" w:ascii="宋体" w:hAnsi="宋体" w:cs="宋体"/>
                <w:kern w:val="0"/>
                <w:szCs w:val="21"/>
              </w:rPr>
              <w:t>达标</w:t>
            </w:r>
          </w:p>
        </w:tc>
      </w:tr>
      <w:tr w14:paraId="52463A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8323212">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08B78501">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03762E24">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67D4C616">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8C01DDF">
            <w:pPr>
              <w:widowControl/>
              <w:jc w:val="center"/>
              <w:rPr>
                <w:rFonts w:hint="eastAsia" w:ascii="宋体" w:hAnsi="宋体" w:cs="宋体"/>
                <w:kern w:val="0"/>
                <w:szCs w:val="21"/>
              </w:rPr>
            </w:pPr>
            <w:r>
              <w:rPr>
                <w:rFonts w:hint="eastAsia" w:ascii="宋体" w:hAnsi="宋体" w:cs="宋体"/>
                <w:kern w:val="0"/>
                <w:szCs w:val="21"/>
              </w:rPr>
              <w:t>13</w:t>
            </w:r>
          </w:p>
        </w:tc>
        <w:tc>
          <w:tcPr>
            <w:tcW w:w="406" w:type="pct"/>
            <w:shd w:val="clear" w:color="auto" w:fill="auto"/>
            <w:vAlign w:val="center"/>
          </w:tcPr>
          <w:p w14:paraId="2D46D2B9">
            <w:pPr>
              <w:widowControl/>
              <w:jc w:val="center"/>
              <w:rPr>
                <w:rFonts w:hint="eastAsia" w:ascii="宋体" w:hAnsi="宋体" w:cs="宋体"/>
                <w:kern w:val="0"/>
                <w:szCs w:val="21"/>
              </w:rPr>
            </w:pPr>
            <w:r>
              <w:rPr>
                <w:rFonts w:hint="eastAsia" w:ascii="宋体" w:hAnsi="宋体"/>
                <w:szCs w:val="21"/>
              </w:rPr>
              <w:t>0.0029</w:t>
            </w:r>
          </w:p>
        </w:tc>
        <w:tc>
          <w:tcPr>
            <w:tcW w:w="436" w:type="pct"/>
            <w:shd w:val="clear" w:color="auto" w:fill="auto"/>
            <w:vAlign w:val="center"/>
          </w:tcPr>
          <w:p w14:paraId="110ECD77">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FED01ED">
            <w:pPr>
              <w:widowControl/>
              <w:jc w:val="center"/>
              <w:rPr>
                <w:rFonts w:hint="eastAsia" w:ascii="宋体" w:hAnsi="宋体" w:cs="宋体"/>
                <w:kern w:val="0"/>
                <w:szCs w:val="21"/>
              </w:rPr>
            </w:pPr>
            <w:r>
              <w:rPr>
                <w:rFonts w:hint="eastAsia" w:ascii="宋体" w:hAnsi="宋体" w:cs="宋体"/>
                <w:kern w:val="0"/>
                <w:szCs w:val="21"/>
              </w:rPr>
              <w:t>9</w:t>
            </w:r>
          </w:p>
        </w:tc>
        <w:tc>
          <w:tcPr>
            <w:tcW w:w="442" w:type="pct"/>
            <w:shd w:val="clear" w:color="auto" w:fill="auto"/>
            <w:vAlign w:val="center"/>
          </w:tcPr>
          <w:p w14:paraId="426FEE0A">
            <w:pPr>
              <w:widowControl/>
              <w:jc w:val="center"/>
              <w:rPr>
                <w:rFonts w:hint="eastAsia" w:ascii="宋体" w:hAnsi="宋体" w:cs="宋体"/>
                <w:kern w:val="0"/>
                <w:szCs w:val="21"/>
              </w:rPr>
            </w:pPr>
            <w:r>
              <w:rPr>
                <w:rFonts w:hint="eastAsia" w:ascii="宋体" w:hAnsi="宋体"/>
                <w:szCs w:val="21"/>
              </w:rPr>
              <w:t>0.0020</w:t>
            </w:r>
          </w:p>
        </w:tc>
        <w:tc>
          <w:tcPr>
            <w:tcW w:w="406" w:type="pct"/>
            <w:shd w:val="clear" w:color="auto" w:fill="auto"/>
            <w:vAlign w:val="center"/>
          </w:tcPr>
          <w:p w14:paraId="5B0BC2BC">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D3A7C9D">
            <w:pPr>
              <w:widowControl/>
              <w:jc w:val="center"/>
              <w:rPr>
                <w:rFonts w:hint="eastAsia" w:ascii="宋体" w:hAnsi="宋体" w:cs="宋体"/>
                <w:kern w:val="0"/>
                <w:szCs w:val="21"/>
              </w:rPr>
            </w:pPr>
            <w:r>
              <w:rPr>
                <w:rFonts w:hint="eastAsia" w:ascii="宋体" w:hAnsi="宋体" w:cs="宋体"/>
                <w:kern w:val="0"/>
                <w:szCs w:val="21"/>
              </w:rPr>
              <w:t>19</w:t>
            </w:r>
          </w:p>
        </w:tc>
        <w:tc>
          <w:tcPr>
            <w:tcW w:w="410" w:type="pct"/>
            <w:shd w:val="clear" w:color="auto" w:fill="auto"/>
            <w:vAlign w:val="center"/>
          </w:tcPr>
          <w:p w14:paraId="77CB7676">
            <w:pPr>
              <w:widowControl/>
              <w:jc w:val="center"/>
              <w:rPr>
                <w:rFonts w:hint="eastAsia" w:ascii="宋体" w:hAnsi="宋体" w:cs="宋体"/>
                <w:kern w:val="0"/>
                <w:szCs w:val="21"/>
              </w:rPr>
            </w:pPr>
            <w:r>
              <w:rPr>
                <w:rFonts w:hint="eastAsia" w:ascii="宋体" w:hAnsi="宋体"/>
                <w:szCs w:val="21"/>
              </w:rPr>
              <w:t>0.0042</w:t>
            </w:r>
          </w:p>
        </w:tc>
        <w:tc>
          <w:tcPr>
            <w:tcW w:w="389" w:type="pct"/>
            <w:shd w:val="clear" w:color="auto" w:fill="auto"/>
            <w:vAlign w:val="center"/>
          </w:tcPr>
          <w:p w14:paraId="538C8E91">
            <w:pPr>
              <w:widowControl/>
              <w:jc w:val="center"/>
              <w:rPr>
                <w:rFonts w:hint="eastAsia" w:ascii="宋体" w:hAnsi="宋体" w:cs="宋体"/>
                <w:kern w:val="0"/>
                <w:szCs w:val="21"/>
              </w:rPr>
            </w:pPr>
            <w:r>
              <w:rPr>
                <w:rFonts w:hint="eastAsia" w:ascii="宋体" w:hAnsi="宋体" w:cs="宋体"/>
                <w:kern w:val="0"/>
                <w:szCs w:val="21"/>
              </w:rPr>
              <w:t>达标</w:t>
            </w:r>
          </w:p>
        </w:tc>
      </w:tr>
      <w:tr w14:paraId="4AA9DE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B46BFB0">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1434BAE7">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45F2DC0D">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10F0B80A">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7DD11EE3">
            <w:pPr>
              <w:widowControl/>
              <w:jc w:val="center"/>
              <w:rPr>
                <w:rFonts w:hint="eastAsia" w:ascii="宋体" w:hAnsi="宋体" w:cs="宋体"/>
                <w:kern w:val="0"/>
                <w:szCs w:val="21"/>
              </w:rPr>
            </w:pPr>
            <w:r>
              <w:rPr>
                <w:rFonts w:hint="eastAsia" w:ascii="宋体" w:hAnsi="宋体" w:cs="宋体"/>
                <w:kern w:val="0"/>
                <w:szCs w:val="21"/>
              </w:rPr>
              <w:t>8.36</w:t>
            </w:r>
          </w:p>
        </w:tc>
        <w:tc>
          <w:tcPr>
            <w:tcW w:w="406" w:type="pct"/>
            <w:shd w:val="clear" w:color="auto" w:fill="auto"/>
            <w:vAlign w:val="center"/>
          </w:tcPr>
          <w:p w14:paraId="5A9AE0B3">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02AB2526">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7ABCC86A">
            <w:pPr>
              <w:widowControl/>
              <w:jc w:val="center"/>
              <w:rPr>
                <w:rFonts w:hint="eastAsia" w:ascii="宋体" w:hAnsi="宋体" w:cs="宋体"/>
                <w:kern w:val="0"/>
                <w:szCs w:val="21"/>
              </w:rPr>
            </w:pPr>
            <w:r>
              <w:rPr>
                <w:rFonts w:hint="eastAsia" w:ascii="宋体" w:hAnsi="宋体" w:cs="宋体"/>
                <w:kern w:val="0"/>
                <w:szCs w:val="21"/>
              </w:rPr>
              <w:t>8.22</w:t>
            </w:r>
          </w:p>
        </w:tc>
        <w:tc>
          <w:tcPr>
            <w:tcW w:w="442" w:type="pct"/>
            <w:shd w:val="clear" w:color="auto" w:fill="auto"/>
            <w:vAlign w:val="center"/>
          </w:tcPr>
          <w:p w14:paraId="376191C2">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352184A3">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61EA2DCA">
            <w:pPr>
              <w:widowControl/>
              <w:jc w:val="center"/>
              <w:rPr>
                <w:rFonts w:hint="eastAsia" w:ascii="宋体" w:hAnsi="宋体" w:cs="宋体"/>
                <w:kern w:val="0"/>
                <w:szCs w:val="21"/>
              </w:rPr>
            </w:pPr>
            <w:r>
              <w:rPr>
                <w:rFonts w:hint="eastAsia" w:ascii="宋体" w:hAnsi="宋体" w:cs="宋体"/>
                <w:kern w:val="0"/>
                <w:szCs w:val="21"/>
              </w:rPr>
              <w:t>8.52</w:t>
            </w:r>
          </w:p>
        </w:tc>
        <w:tc>
          <w:tcPr>
            <w:tcW w:w="410" w:type="pct"/>
            <w:shd w:val="clear" w:color="auto" w:fill="auto"/>
            <w:vAlign w:val="center"/>
          </w:tcPr>
          <w:p w14:paraId="6FEB90A5">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3B190A38">
            <w:pPr>
              <w:widowControl/>
              <w:jc w:val="center"/>
              <w:rPr>
                <w:rFonts w:hint="eastAsia" w:ascii="宋体" w:hAnsi="宋体" w:cs="宋体"/>
                <w:kern w:val="0"/>
                <w:szCs w:val="21"/>
              </w:rPr>
            </w:pPr>
            <w:r>
              <w:rPr>
                <w:rFonts w:hint="eastAsia" w:ascii="宋体" w:hAnsi="宋体" w:cs="宋体"/>
                <w:kern w:val="0"/>
                <w:szCs w:val="21"/>
              </w:rPr>
              <w:t>/</w:t>
            </w:r>
          </w:p>
        </w:tc>
      </w:tr>
      <w:tr w14:paraId="50D549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1DC3ED0">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2962A687">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489B5159">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098CA80A">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74173FE7">
            <w:pPr>
              <w:widowControl/>
              <w:jc w:val="center"/>
              <w:rPr>
                <w:rFonts w:hint="eastAsia" w:ascii="宋体" w:hAnsi="宋体" w:cs="宋体"/>
                <w:kern w:val="0"/>
                <w:szCs w:val="21"/>
              </w:rPr>
            </w:pPr>
            <w:r>
              <w:rPr>
                <w:rFonts w:hint="eastAsia" w:ascii="宋体" w:hAnsi="宋体" w:cs="宋体"/>
                <w:kern w:val="0"/>
                <w:szCs w:val="21"/>
              </w:rPr>
              <w:t>2.39</w:t>
            </w:r>
          </w:p>
        </w:tc>
        <w:tc>
          <w:tcPr>
            <w:tcW w:w="406" w:type="pct"/>
            <w:shd w:val="clear" w:color="auto" w:fill="auto"/>
            <w:vAlign w:val="center"/>
          </w:tcPr>
          <w:p w14:paraId="3AFB6A91">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5A341B02">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1BFD0FDE">
            <w:pPr>
              <w:widowControl/>
              <w:jc w:val="center"/>
              <w:rPr>
                <w:rFonts w:hint="eastAsia" w:ascii="宋体" w:hAnsi="宋体" w:cs="宋体"/>
                <w:kern w:val="0"/>
                <w:szCs w:val="21"/>
              </w:rPr>
            </w:pPr>
            <w:r>
              <w:rPr>
                <w:rFonts w:hint="eastAsia" w:ascii="宋体" w:hAnsi="宋体" w:cs="宋体"/>
                <w:kern w:val="0"/>
                <w:szCs w:val="21"/>
              </w:rPr>
              <w:t>2.4</w:t>
            </w:r>
          </w:p>
        </w:tc>
        <w:tc>
          <w:tcPr>
            <w:tcW w:w="442" w:type="pct"/>
            <w:shd w:val="clear" w:color="auto" w:fill="auto"/>
            <w:vAlign w:val="center"/>
          </w:tcPr>
          <w:p w14:paraId="56567FF4">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4F779858">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3A1C469B">
            <w:pPr>
              <w:widowControl/>
              <w:jc w:val="center"/>
              <w:rPr>
                <w:rFonts w:hint="eastAsia" w:ascii="宋体" w:hAnsi="宋体" w:cs="宋体"/>
                <w:kern w:val="0"/>
                <w:szCs w:val="21"/>
              </w:rPr>
            </w:pPr>
            <w:r>
              <w:rPr>
                <w:rFonts w:hint="eastAsia" w:ascii="宋体" w:hAnsi="宋体" w:cs="宋体"/>
                <w:kern w:val="0"/>
                <w:szCs w:val="21"/>
              </w:rPr>
              <w:t>2.4</w:t>
            </w:r>
          </w:p>
        </w:tc>
        <w:tc>
          <w:tcPr>
            <w:tcW w:w="410" w:type="pct"/>
            <w:shd w:val="clear" w:color="auto" w:fill="auto"/>
            <w:vAlign w:val="center"/>
          </w:tcPr>
          <w:p w14:paraId="69CD6B98">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08A58468">
            <w:pPr>
              <w:widowControl/>
              <w:jc w:val="center"/>
              <w:rPr>
                <w:rFonts w:hint="eastAsia" w:ascii="宋体" w:hAnsi="宋体" w:cs="宋体"/>
                <w:kern w:val="0"/>
                <w:szCs w:val="21"/>
              </w:rPr>
            </w:pPr>
            <w:r>
              <w:rPr>
                <w:rFonts w:hint="eastAsia" w:ascii="宋体" w:hAnsi="宋体" w:cs="宋体"/>
                <w:kern w:val="0"/>
                <w:szCs w:val="21"/>
              </w:rPr>
              <w:t>/</w:t>
            </w:r>
          </w:p>
        </w:tc>
      </w:tr>
      <w:tr w14:paraId="66BE02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15"/>
            <w:shd w:val="clear" w:color="auto" w:fill="auto"/>
            <w:vAlign w:val="center"/>
          </w:tcPr>
          <w:p w14:paraId="42342D63">
            <w:pPr>
              <w:widowControl/>
              <w:jc w:val="center"/>
              <w:rPr>
                <w:rFonts w:hint="eastAsia" w:ascii="宋体" w:hAnsi="宋体" w:cs="宋体"/>
                <w:kern w:val="0"/>
                <w:szCs w:val="21"/>
              </w:rPr>
            </w:pPr>
            <w:r>
              <w:rPr>
                <w:rFonts w:hint="eastAsia" w:ascii="宋体" w:hAnsi="宋体" w:cs="宋体"/>
                <w:kern w:val="0"/>
                <w:szCs w:val="21"/>
              </w:rPr>
              <w:t>T5</w:t>
            </w:r>
          </w:p>
        </w:tc>
      </w:tr>
      <w:tr w14:paraId="039A59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276033E">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246737B1">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26D056CC">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219E8D4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A9DB27B">
            <w:pPr>
              <w:widowControl/>
              <w:jc w:val="center"/>
              <w:rPr>
                <w:rFonts w:hint="eastAsia" w:ascii="宋体" w:hAnsi="宋体" w:cs="宋体"/>
                <w:kern w:val="0"/>
                <w:szCs w:val="21"/>
              </w:rPr>
            </w:pPr>
            <w:r>
              <w:rPr>
                <w:rFonts w:hint="eastAsia" w:ascii="宋体" w:hAnsi="宋体" w:cs="宋体"/>
                <w:kern w:val="0"/>
                <w:szCs w:val="21"/>
              </w:rPr>
              <w:t>0.097</w:t>
            </w:r>
          </w:p>
        </w:tc>
        <w:tc>
          <w:tcPr>
            <w:tcW w:w="406" w:type="pct"/>
            <w:shd w:val="clear" w:color="auto" w:fill="auto"/>
            <w:vAlign w:val="center"/>
          </w:tcPr>
          <w:p w14:paraId="6ED4F78A">
            <w:pPr>
              <w:widowControl/>
              <w:jc w:val="center"/>
              <w:rPr>
                <w:rFonts w:hint="eastAsia" w:ascii="宋体" w:hAnsi="宋体" w:cs="宋体"/>
                <w:kern w:val="0"/>
                <w:szCs w:val="21"/>
              </w:rPr>
            </w:pPr>
            <w:r>
              <w:rPr>
                <w:rFonts w:ascii="宋体" w:hAnsi="宋体" w:cs="Calibri"/>
                <w:szCs w:val="21"/>
              </w:rPr>
              <w:t>0.0026</w:t>
            </w:r>
          </w:p>
        </w:tc>
        <w:tc>
          <w:tcPr>
            <w:tcW w:w="436" w:type="pct"/>
            <w:shd w:val="clear" w:color="auto" w:fill="auto"/>
            <w:vAlign w:val="center"/>
          </w:tcPr>
          <w:p w14:paraId="7B2967AF">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E7B9CD5">
            <w:pPr>
              <w:widowControl/>
              <w:jc w:val="center"/>
              <w:rPr>
                <w:rFonts w:hint="eastAsia" w:ascii="宋体" w:hAnsi="宋体" w:cs="宋体"/>
                <w:kern w:val="0"/>
                <w:szCs w:val="21"/>
              </w:rPr>
            </w:pPr>
            <w:r>
              <w:rPr>
                <w:rFonts w:hint="eastAsia" w:ascii="宋体" w:hAnsi="宋体" w:cs="宋体"/>
                <w:kern w:val="0"/>
                <w:szCs w:val="21"/>
              </w:rPr>
              <w:t>0.091</w:t>
            </w:r>
          </w:p>
        </w:tc>
        <w:tc>
          <w:tcPr>
            <w:tcW w:w="442" w:type="pct"/>
            <w:shd w:val="clear" w:color="auto" w:fill="auto"/>
            <w:vAlign w:val="center"/>
          </w:tcPr>
          <w:p w14:paraId="673C85BF">
            <w:pPr>
              <w:widowControl/>
              <w:jc w:val="center"/>
              <w:rPr>
                <w:rFonts w:hint="eastAsia" w:ascii="宋体" w:hAnsi="宋体" w:cs="宋体"/>
                <w:kern w:val="0"/>
                <w:szCs w:val="21"/>
              </w:rPr>
            </w:pPr>
            <w:r>
              <w:rPr>
                <w:rFonts w:ascii="宋体" w:hAnsi="宋体" w:cs="Calibri"/>
                <w:szCs w:val="21"/>
              </w:rPr>
              <w:t>0.0024</w:t>
            </w:r>
          </w:p>
        </w:tc>
        <w:tc>
          <w:tcPr>
            <w:tcW w:w="406" w:type="pct"/>
            <w:shd w:val="clear" w:color="auto" w:fill="auto"/>
            <w:vAlign w:val="center"/>
          </w:tcPr>
          <w:p w14:paraId="17E3DFA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C07FFC2">
            <w:pPr>
              <w:widowControl/>
              <w:jc w:val="center"/>
              <w:rPr>
                <w:rFonts w:hint="eastAsia" w:ascii="宋体" w:hAnsi="宋体" w:cs="宋体"/>
                <w:kern w:val="0"/>
                <w:szCs w:val="21"/>
              </w:rPr>
            </w:pPr>
            <w:r>
              <w:rPr>
                <w:rFonts w:hint="eastAsia" w:ascii="宋体" w:hAnsi="宋体" w:cs="宋体"/>
                <w:kern w:val="0"/>
                <w:szCs w:val="21"/>
              </w:rPr>
              <w:t>0.096</w:t>
            </w:r>
          </w:p>
        </w:tc>
        <w:tc>
          <w:tcPr>
            <w:tcW w:w="410" w:type="pct"/>
            <w:shd w:val="clear" w:color="auto" w:fill="auto"/>
            <w:vAlign w:val="center"/>
          </w:tcPr>
          <w:p w14:paraId="79EB7324">
            <w:pPr>
              <w:widowControl/>
              <w:jc w:val="center"/>
              <w:rPr>
                <w:rFonts w:hint="eastAsia" w:ascii="宋体" w:hAnsi="宋体" w:cs="宋体"/>
                <w:kern w:val="0"/>
                <w:szCs w:val="21"/>
              </w:rPr>
            </w:pPr>
            <w:r>
              <w:rPr>
                <w:rFonts w:ascii="宋体" w:hAnsi="宋体" w:cs="Calibri"/>
                <w:szCs w:val="21"/>
              </w:rPr>
              <w:t>0.0025</w:t>
            </w:r>
          </w:p>
        </w:tc>
        <w:tc>
          <w:tcPr>
            <w:tcW w:w="389" w:type="pct"/>
            <w:shd w:val="clear" w:color="auto" w:fill="auto"/>
            <w:vAlign w:val="center"/>
          </w:tcPr>
          <w:p w14:paraId="58AD18B9">
            <w:pPr>
              <w:widowControl/>
              <w:jc w:val="center"/>
              <w:rPr>
                <w:rFonts w:hint="eastAsia" w:ascii="宋体" w:hAnsi="宋体" w:cs="宋体"/>
                <w:kern w:val="0"/>
                <w:szCs w:val="21"/>
              </w:rPr>
            </w:pPr>
            <w:r>
              <w:rPr>
                <w:rFonts w:hint="eastAsia" w:ascii="宋体" w:hAnsi="宋体" w:cs="宋体"/>
                <w:kern w:val="0"/>
                <w:szCs w:val="21"/>
              </w:rPr>
              <w:t>达标</w:t>
            </w:r>
          </w:p>
        </w:tc>
      </w:tr>
      <w:tr w14:paraId="533E4A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37143AF">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3B3E67DE">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64237A93">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40224BD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EC378C6">
            <w:pPr>
              <w:widowControl/>
              <w:jc w:val="center"/>
              <w:rPr>
                <w:rFonts w:hint="eastAsia" w:ascii="宋体" w:hAnsi="宋体" w:cs="宋体"/>
                <w:kern w:val="0"/>
                <w:szCs w:val="21"/>
              </w:rPr>
            </w:pPr>
            <w:r>
              <w:rPr>
                <w:rFonts w:hint="eastAsia" w:ascii="宋体" w:hAnsi="宋体" w:cs="宋体"/>
                <w:kern w:val="0"/>
                <w:szCs w:val="21"/>
              </w:rPr>
              <w:t>8.59</w:t>
            </w:r>
          </w:p>
        </w:tc>
        <w:tc>
          <w:tcPr>
            <w:tcW w:w="406" w:type="pct"/>
            <w:shd w:val="clear" w:color="auto" w:fill="auto"/>
            <w:vAlign w:val="center"/>
          </w:tcPr>
          <w:p w14:paraId="2BFD3AB1">
            <w:pPr>
              <w:widowControl/>
              <w:jc w:val="center"/>
              <w:rPr>
                <w:rFonts w:hint="eastAsia" w:ascii="宋体" w:hAnsi="宋体" w:cs="宋体"/>
                <w:kern w:val="0"/>
                <w:szCs w:val="21"/>
              </w:rPr>
            </w:pPr>
            <w:r>
              <w:rPr>
                <w:rFonts w:ascii="宋体" w:hAnsi="宋体" w:cs="Calibri"/>
                <w:szCs w:val="21"/>
              </w:rPr>
              <w:t>0.1432</w:t>
            </w:r>
          </w:p>
        </w:tc>
        <w:tc>
          <w:tcPr>
            <w:tcW w:w="436" w:type="pct"/>
            <w:shd w:val="clear" w:color="auto" w:fill="auto"/>
            <w:vAlign w:val="center"/>
          </w:tcPr>
          <w:p w14:paraId="2CC16E6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3B4E738">
            <w:pPr>
              <w:widowControl/>
              <w:jc w:val="center"/>
              <w:rPr>
                <w:rFonts w:hint="eastAsia" w:ascii="宋体" w:hAnsi="宋体" w:cs="宋体"/>
                <w:kern w:val="0"/>
                <w:szCs w:val="21"/>
              </w:rPr>
            </w:pPr>
            <w:r>
              <w:rPr>
                <w:rFonts w:hint="eastAsia" w:ascii="宋体" w:hAnsi="宋体" w:cs="宋体"/>
                <w:kern w:val="0"/>
                <w:szCs w:val="21"/>
              </w:rPr>
              <w:t>10.9</w:t>
            </w:r>
          </w:p>
        </w:tc>
        <w:tc>
          <w:tcPr>
            <w:tcW w:w="442" w:type="pct"/>
            <w:shd w:val="clear" w:color="auto" w:fill="auto"/>
            <w:vAlign w:val="center"/>
          </w:tcPr>
          <w:p w14:paraId="1E17109C">
            <w:pPr>
              <w:widowControl/>
              <w:jc w:val="center"/>
              <w:rPr>
                <w:rFonts w:hint="eastAsia" w:ascii="宋体" w:hAnsi="宋体" w:cs="宋体"/>
                <w:kern w:val="0"/>
                <w:szCs w:val="21"/>
              </w:rPr>
            </w:pPr>
            <w:r>
              <w:rPr>
                <w:rFonts w:ascii="宋体" w:hAnsi="宋体" w:cs="Calibri"/>
                <w:szCs w:val="21"/>
              </w:rPr>
              <w:t>0.1817</w:t>
            </w:r>
          </w:p>
        </w:tc>
        <w:tc>
          <w:tcPr>
            <w:tcW w:w="406" w:type="pct"/>
            <w:shd w:val="clear" w:color="auto" w:fill="auto"/>
            <w:vAlign w:val="center"/>
          </w:tcPr>
          <w:p w14:paraId="75E4EC2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A44E9A3">
            <w:pPr>
              <w:widowControl/>
              <w:jc w:val="center"/>
              <w:rPr>
                <w:rFonts w:hint="eastAsia" w:ascii="宋体" w:hAnsi="宋体" w:cs="宋体"/>
                <w:kern w:val="0"/>
                <w:szCs w:val="21"/>
              </w:rPr>
            </w:pPr>
            <w:r>
              <w:rPr>
                <w:rFonts w:hint="eastAsia" w:ascii="宋体" w:hAnsi="宋体" w:cs="宋体"/>
                <w:kern w:val="0"/>
                <w:szCs w:val="21"/>
              </w:rPr>
              <w:t>9.08</w:t>
            </w:r>
          </w:p>
        </w:tc>
        <w:tc>
          <w:tcPr>
            <w:tcW w:w="410" w:type="pct"/>
            <w:shd w:val="clear" w:color="auto" w:fill="auto"/>
            <w:vAlign w:val="center"/>
          </w:tcPr>
          <w:p w14:paraId="70C3FF15">
            <w:pPr>
              <w:widowControl/>
              <w:jc w:val="center"/>
              <w:rPr>
                <w:rFonts w:hint="eastAsia" w:ascii="宋体" w:hAnsi="宋体" w:cs="宋体"/>
                <w:kern w:val="0"/>
                <w:szCs w:val="21"/>
              </w:rPr>
            </w:pPr>
            <w:r>
              <w:rPr>
                <w:rFonts w:ascii="宋体" w:hAnsi="宋体" w:cs="Calibri"/>
                <w:szCs w:val="21"/>
              </w:rPr>
              <w:t>0.1513</w:t>
            </w:r>
          </w:p>
        </w:tc>
        <w:tc>
          <w:tcPr>
            <w:tcW w:w="389" w:type="pct"/>
            <w:shd w:val="clear" w:color="auto" w:fill="auto"/>
            <w:vAlign w:val="center"/>
          </w:tcPr>
          <w:p w14:paraId="2A1DC5E9">
            <w:pPr>
              <w:widowControl/>
              <w:jc w:val="center"/>
              <w:rPr>
                <w:rFonts w:hint="eastAsia" w:ascii="宋体" w:hAnsi="宋体" w:cs="宋体"/>
                <w:kern w:val="0"/>
                <w:szCs w:val="21"/>
              </w:rPr>
            </w:pPr>
            <w:r>
              <w:rPr>
                <w:rFonts w:hint="eastAsia" w:ascii="宋体" w:hAnsi="宋体" w:cs="宋体"/>
                <w:kern w:val="0"/>
                <w:szCs w:val="21"/>
              </w:rPr>
              <w:t>达标</w:t>
            </w:r>
          </w:p>
        </w:tc>
      </w:tr>
      <w:tr w14:paraId="468C9B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7AD5B61">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709757DA">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79122833">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489D1CD8">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E686F19">
            <w:pPr>
              <w:widowControl/>
              <w:jc w:val="center"/>
              <w:rPr>
                <w:rFonts w:hint="eastAsia" w:ascii="宋体" w:hAnsi="宋体" w:cs="宋体"/>
                <w:kern w:val="0"/>
                <w:szCs w:val="21"/>
              </w:rPr>
            </w:pPr>
            <w:r>
              <w:rPr>
                <w:rFonts w:hint="eastAsia" w:ascii="宋体" w:hAnsi="宋体" w:cs="宋体"/>
                <w:kern w:val="0"/>
                <w:szCs w:val="21"/>
              </w:rPr>
              <w:t>2.0</w:t>
            </w:r>
          </w:p>
        </w:tc>
        <w:tc>
          <w:tcPr>
            <w:tcW w:w="406" w:type="pct"/>
            <w:shd w:val="clear" w:color="auto" w:fill="auto"/>
            <w:vAlign w:val="center"/>
          </w:tcPr>
          <w:p w14:paraId="177AE9C0">
            <w:pPr>
              <w:widowControl/>
              <w:jc w:val="center"/>
              <w:rPr>
                <w:rFonts w:hint="eastAsia" w:ascii="宋体" w:hAnsi="宋体" w:cs="宋体"/>
                <w:kern w:val="0"/>
                <w:szCs w:val="21"/>
              </w:rPr>
            </w:pPr>
            <w:r>
              <w:rPr>
                <w:rFonts w:ascii="宋体" w:hAnsi="宋体" w:cs="Calibri"/>
                <w:szCs w:val="21"/>
              </w:rPr>
              <w:t>0.0025</w:t>
            </w:r>
          </w:p>
        </w:tc>
        <w:tc>
          <w:tcPr>
            <w:tcW w:w="436" w:type="pct"/>
            <w:shd w:val="clear" w:color="auto" w:fill="auto"/>
            <w:vAlign w:val="center"/>
          </w:tcPr>
          <w:p w14:paraId="6166322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89F0658">
            <w:pPr>
              <w:widowControl/>
              <w:jc w:val="center"/>
              <w:rPr>
                <w:rFonts w:hint="eastAsia" w:ascii="宋体" w:hAnsi="宋体" w:cs="宋体"/>
                <w:kern w:val="0"/>
                <w:szCs w:val="21"/>
              </w:rPr>
            </w:pPr>
            <w:r>
              <w:rPr>
                <w:rFonts w:hint="eastAsia" w:ascii="宋体" w:hAnsi="宋体" w:cs="宋体"/>
                <w:kern w:val="0"/>
                <w:szCs w:val="21"/>
              </w:rPr>
              <w:t>4.9</w:t>
            </w:r>
          </w:p>
        </w:tc>
        <w:tc>
          <w:tcPr>
            <w:tcW w:w="442" w:type="pct"/>
            <w:shd w:val="clear" w:color="auto" w:fill="auto"/>
            <w:vAlign w:val="center"/>
          </w:tcPr>
          <w:p w14:paraId="77C32154">
            <w:pPr>
              <w:widowControl/>
              <w:jc w:val="center"/>
              <w:rPr>
                <w:rFonts w:hint="eastAsia" w:ascii="宋体" w:hAnsi="宋体" w:cs="宋体"/>
                <w:kern w:val="0"/>
                <w:szCs w:val="21"/>
              </w:rPr>
            </w:pPr>
            <w:r>
              <w:rPr>
                <w:rFonts w:ascii="宋体" w:hAnsi="宋体" w:cs="Calibri"/>
                <w:szCs w:val="21"/>
              </w:rPr>
              <w:t>0.0061</w:t>
            </w:r>
          </w:p>
        </w:tc>
        <w:tc>
          <w:tcPr>
            <w:tcW w:w="406" w:type="pct"/>
            <w:shd w:val="clear" w:color="auto" w:fill="auto"/>
            <w:vAlign w:val="center"/>
          </w:tcPr>
          <w:p w14:paraId="13E278AC">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23C1A59">
            <w:pPr>
              <w:widowControl/>
              <w:jc w:val="center"/>
              <w:rPr>
                <w:rFonts w:hint="eastAsia" w:ascii="宋体" w:hAnsi="宋体" w:cs="宋体"/>
                <w:kern w:val="0"/>
                <w:szCs w:val="21"/>
              </w:rPr>
            </w:pPr>
            <w:r>
              <w:rPr>
                <w:rFonts w:hint="eastAsia" w:ascii="宋体" w:hAnsi="宋体" w:cs="宋体"/>
                <w:kern w:val="0"/>
                <w:szCs w:val="21"/>
              </w:rPr>
              <w:t>3.0</w:t>
            </w:r>
          </w:p>
        </w:tc>
        <w:tc>
          <w:tcPr>
            <w:tcW w:w="410" w:type="pct"/>
            <w:shd w:val="clear" w:color="auto" w:fill="auto"/>
            <w:vAlign w:val="center"/>
          </w:tcPr>
          <w:p w14:paraId="06CBCD8F">
            <w:pPr>
              <w:widowControl/>
              <w:jc w:val="center"/>
              <w:rPr>
                <w:rFonts w:hint="eastAsia" w:ascii="宋体" w:hAnsi="宋体" w:cs="宋体"/>
                <w:kern w:val="0"/>
                <w:szCs w:val="21"/>
              </w:rPr>
            </w:pPr>
            <w:r>
              <w:rPr>
                <w:rFonts w:ascii="宋体" w:hAnsi="宋体" w:cs="Calibri"/>
                <w:szCs w:val="21"/>
              </w:rPr>
              <w:t>0.0038</w:t>
            </w:r>
          </w:p>
        </w:tc>
        <w:tc>
          <w:tcPr>
            <w:tcW w:w="389" w:type="pct"/>
            <w:shd w:val="clear" w:color="auto" w:fill="auto"/>
            <w:vAlign w:val="center"/>
          </w:tcPr>
          <w:p w14:paraId="539998ED">
            <w:pPr>
              <w:widowControl/>
              <w:jc w:val="center"/>
              <w:rPr>
                <w:rFonts w:hint="eastAsia" w:ascii="宋体" w:hAnsi="宋体" w:cs="宋体"/>
                <w:kern w:val="0"/>
                <w:szCs w:val="21"/>
              </w:rPr>
            </w:pPr>
            <w:r>
              <w:rPr>
                <w:rFonts w:hint="eastAsia" w:ascii="宋体" w:hAnsi="宋体" w:cs="宋体"/>
                <w:kern w:val="0"/>
                <w:szCs w:val="21"/>
              </w:rPr>
              <w:t>达标</w:t>
            </w:r>
          </w:p>
        </w:tc>
      </w:tr>
      <w:tr w14:paraId="34DE11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B43FFA5">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1AB323AD">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656C694E">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0B10BDC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C4DA9CE">
            <w:pPr>
              <w:widowControl/>
              <w:jc w:val="center"/>
              <w:rPr>
                <w:rFonts w:hint="eastAsia" w:ascii="宋体" w:hAnsi="宋体" w:cs="宋体"/>
                <w:kern w:val="0"/>
                <w:szCs w:val="21"/>
              </w:rPr>
            </w:pPr>
            <w:r>
              <w:rPr>
                <w:rFonts w:hint="eastAsia" w:ascii="宋体" w:hAnsi="宋体" w:cs="宋体"/>
                <w:kern w:val="0"/>
                <w:szCs w:val="21"/>
              </w:rPr>
              <w:t>0.45</w:t>
            </w:r>
          </w:p>
        </w:tc>
        <w:tc>
          <w:tcPr>
            <w:tcW w:w="406" w:type="pct"/>
            <w:shd w:val="clear" w:color="auto" w:fill="auto"/>
            <w:vAlign w:val="center"/>
          </w:tcPr>
          <w:p w14:paraId="6A77F8E2">
            <w:pPr>
              <w:widowControl/>
              <w:jc w:val="center"/>
              <w:rPr>
                <w:rFonts w:hint="eastAsia" w:ascii="宋体" w:hAnsi="宋体" w:cs="宋体"/>
                <w:kern w:val="0"/>
                <w:szCs w:val="21"/>
              </w:rPr>
            </w:pPr>
            <w:r>
              <w:rPr>
                <w:rFonts w:ascii="宋体" w:hAnsi="宋体" w:cs="Calibri"/>
                <w:szCs w:val="21"/>
              </w:rPr>
              <w:t>0.0069</w:t>
            </w:r>
          </w:p>
        </w:tc>
        <w:tc>
          <w:tcPr>
            <w:tcW w:w="436" w:type="pct"/>
            <w:shd w:val="clear" w:color="auto" w:fill="auto"/>
            <w:vAlign w:val="center"/>
          </w:tcPr>
          <w:p w14:paraId="1793E70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0127A64">
            <w:pPr>
              <w:widowControl/>
              <w:jc w:val="center"/>
              <w:rPr>
                <w:rFonts w:hint="eastAsia" w:ascii="宋体" w:hAnsi="宋体" w:cs="宋体"/>
                <w:kern w:val="0"/>
                <w:szCs w:val="21"/>
              </w:rPr>
            </w:pPr>
            <w:r>
              <w:rPr>
                <w:rFonts w:hint="eastAsia" w:ascii="宋体" w:hAnsi="宋体" w:cs="宋体"/>
                <w:kern w:val="0"/>
                <w:szCs w:val="21"/>
              </w:rPr>
              <w:t>0.45</w:t>
            </w:r>
          </w:p>
        </w:tc>
        <w:tc>
          <w:tcPr>
            <w:tcW w:w="442" w:type="pct"/>
            <w:shd w:val="clear" w:color="auto" w:fill="auto"/>
            <w:vAlign w:val="center"/>
          </w:tcPr>
          <w:p w14:paraId="7FEE246B">
            <w:pPr>
              <w:widowControl/>
              <w:jc w:val="center"/>
              <w:rPr>
                <w:rFonts w:hint="eastAsia" w:ascii="宋体" w:hAnsi="宋体" w:cs="宋体"/>
                <w:kern w:val="0"/>
                <w:szCs w:val="21"/>
              </w:rPr>
            </w:pPr>
            <w:r>
              <w:rPr>
                <w:rFonts w:ascii="宋体" w:hAnsi="宋体" w:cs="Calibri"/>
                <w:szCs w:val="21"/>
              </w:rPr>
              <w:t>0.0069</w:t>
            </w:r>
          </w:p>
        </w:tc>
        <w:tc>
          <w:tcPr>
            <w:tcW w:w="406" w:type="pct"/>
            <w:shd w:val="clear" w:color="auto" w:fill="auto"/>
            <w:vAlign w:val="center"/>
          </w:tcPr>
          <w:p w14:paraId="6DF811C2">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0CE271A">
            <w:pPr>
              <w:widowControl/>
              <w:jc w:val="center"/>
              <w:rPr>
                <w:rFonts w:hint="eastAsia" w:ascii="宋体" w:hAnsi="宋体" w:cs="宋体"/>
                <w:kern w:val="0"/>
                <w:szCs w:val="21"/>
              </w:rPr>
            </w:pPr>
            <w:r>
              <w:rPr>
                <w:rFonts w:hint="eastAsia" w:ascii="宋体" w:hAnsi="宋体" w:cs="宋体"/>
                <w:kern w:val="0"/>
                <w:szCs w:val="21"/>
              </w:rPr>
              <w:t>0.81</w:t>
            </w:r>
          </w:p>
        </w:tc>
        <w:tc>
          <w:tcPr>
            <w:tcW w:w="410" w:type="pct"/>
            <w:shd w:val="clear" w:color="auto" w:fill="auto"/>
            <w:vAlign w:val="center"/>
          </w:tcPr>
          <w:p w14:paraId="5FBEF260">
            <w:pPr>
              <w:widowControl/>
              <w:jc w:val="center"/>
              <w:rPr>
                <w:rFonts w:hint="eastAsia" w:ascii="宋体" w:hAnsi="宋体" w:cs="宋体"/>
                <w:kern w:val="0"/>
                <w:szCs w:val="21"/>
              </w:rPr>
            </w:pPr>
            <w:r>
              <w:rPr>
                <w:rFonts w:ascii="宋体" w:hAnsi="宋体" w:cs="Calibri"/>
                <w:szCs w:val="21"/>
              </w:rPr>
              <w:t>0.0125</w:t>
            </w:r>
          </w:p>
        </w:tc>
        <w:tc>
          <w:tcPr>
            <w:tcW w:w="389" w:type="pct"/>
            <w:shd w:val="clear" w:color="auto" w:fill="auto"/>
            <w:vAlign w:val="center"/>
          </w:tcPr>
          <w:p w14:paraId="3B65363A">
            <w:pPr>
              <w:widowControl/>
              <w:jc w:val="center"/>
              <w:rPr>
                <w:rFonts w:hint="eastAsia" w:ascii="宋体" w:hAnsi="宋体" w:cs="宋体"/>
                <w:kern w:val="0"/>
                <w:szCs w:val="21"/>
              </w:rPr>
            </w:pPr>
            <w:r>
              <w:rPr>
                <w:rFonts w:hint="eastAsia" w:ascii="宋体" w:hAnsi="宋体" w:cs="宋体"/>
                <w:kern w:val="0"/>
                <w:szCs w:val="21"/>
              </w:rPr>
              <w:t>达标</w:t>
            </w:r>
          </w:p>
        </w:tc>
      </w:tr>
      <w:tr w14:paraId="45304A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64DACED">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2CEFCF26">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06EAB07C">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74814A0E">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F02E017">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4C5BA680">
            <w:pPr>
              <w:widowControl/>
              <w:jc w:val="center"/>
              <w:rPr>
                <w:rFonts w:hint="eastAsia" w:ascii="宋体" w:hAnsi="宋体" w:cs="宋体"/>
                <w:kern w:val="0"/>
                <w:szCs w:val="21"/>
              </w:rPr>
            </w:pPr>
            <w:r>
              <w:rPr>
                <w:rFonts w:ascii="宋体" w:hAnsi="宋体" w:cs="Calibri"/>
                <w:szCs w:val="21"/>
              </w:rPr>
              <w:t>/</w:t>
            </w:r>
          </w:p>
        </w:tc>
        <w:tc>
          <w:tcPr>
            <w:tcW w:w="436" w:type="pct"/>
            <w:shd w:val="clear" w:color="auto" w:fill="auto"/>
            <w:vAlign w:val="center"/>
          </w:tcPr>
          <w:p w14:paraId="730F55A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E563A71">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3D0CD93E">
            <w:pPr>
              <w:widowControl/>
              <w:jc w:val="center"/>
              <w:rPr>
                <w:rFonts w:hint="eastAsia" w:ascii="宋体" w:hAnsi="宋体" w:cs="宋体"/>
                <w:kern w:val="0"/>
                <w:szCs w:val="21"/>
              </w:rPr>
            </w:pPr>
            <w:r>
              <w:rPr>
                <w:rFonts w:ascii="宋体" w:hAnsi="宋体" w:cs="Calibri"/>
                <w:szCs w:val="21"/>
              </w:rPr>
              <w:t>/</w:t>
            </w:r>
          </w:p>
        </w:tc>
        <w:tc>
          <w:tcPr>
            <w:tcW w:w="406" w:type="pct"/>
            <w:shd w:val="clear" w:color="auto" w:fill="auto"/>
            <w:vAlign w:val="center"/>
          </w:tcPr>
          <w:p w14:paraId="30F6F15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C95A44C">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63CCBD97">
            <w:pPr>
              <w:widowControl/>
              <w:jc w:val="center"/>
              <w:rPr>
                <w:rFonts w:hint="eastAsia" w:ascii="宋体" w:hAnsi="宋体" w:cs="宋体"/>
                <w:kern w:val="0"/>
                <w:szCs w:val="21"/>
              </w:rPr>
            </w:pPr>
            <w:r>
              <w:rPr>
                <w:rFonts w:ascii="宋体" w:hAnsi="宋体" w:cs="Calibri"/>
                <w:szCs w:val="21"/>
              </w:rPr>
              <w:t>/</w:t>
            </w:r>
          </w:p>
        </w:tc>
        <w:tc>
          <w:tcPr>
            <w:tcW w:w="389" w:type="pct"/>
            <w:shd w:val="clear" w:color="auto" w:fill="auto"/>
            <w:vAlign w:val="center"/>
          </w:tcPr>
          <w:p w14:paraId="40923CB9">
            <w:pPr>
              <w:widowControl/>
              <w:jc w:val="center"/>
              <w:rPr>
                <w:rFonts w:hint="eastAsia" w:ascii="宋体" w:hAnsi="宋体" w:cs="宋体"/>
                <w:kern w:val="0"/>
                <w:szCs w:val="21"/>
              </w:rPr>
            </w:pPr>
            <w:r>
              <w:rPr>
                <w:rFonts w:hint="eastAsia" w:ascii="宋体" w:hAnsi="宋体" w:cs="宋体"/>
                <w:kern w:val="0"/>
                <w:szCs w:val="21"/>
              </w:rPr>
              <w:t>达标</w:t>
            </w:r>
          </w:p>
        </w:tc>
      </w:tr>
      <w:tr w14:paraId="3B107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899251C">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5631A1CD">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49190E43">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6145038B">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FA5D838">
            <w:pPr>
              <w:widowControl/>
              <w:jc w:val="center"/>
              <w:rPr>
                <w:rFonts w:hint="eastAsia" w:ascii="宋体" w:hAnsi="宋体" w:cs="宋体"/>
                <w:kern w:val="0"/>
                <w:szCs w:val="21"/>
              </w:rPr>
            </w:pPr>
            <w:r>
              <w:rPr>
                <w:rFonts w:hint="eastAsia" w:ascii="宋体" w:hAnsi="宋体" w:cs="宋体"/>
                <w:kern w:val="0"/>
                <w:szCs w:val="21"/>
              </w:rPr>
              <w:t>16</w:t>
            </w:r>
          </w:p>
        </w:tc>
        <w:tc>
          <w:tcPr>
            <w:tcW w:w="406" w:type="pct"/>
            <w:shd w:val="clear" w:color="auto" w:fill="auto"/>
            <w:vAlign w:val="center"/>
          </w:tcPr>
          <w:p w14:paraId="0864A554">
            <w:pPr>
              <w:widowControl/>
              <w:jc w:val="center"/>
              <w:rPr>
                <w:rFonts w:hint="eastAsia" w:ascii="宋体" w:hAnsi="宋体" w:cs="宋体"/>
                <w:kern w:val="0"/>
                <w:szCs w:val="21"/>
              </w:rPr>
            </w:pPr>
            <w:r>
              <w:rPr>
                <w:rFonts w:ascii="宋体" w:hAnsi="宋体" w:cs="Calibri"/>
                <w:szCs w:val="21"/>
              </w:rPr>
              <w:t>0.0009</w:t>
            </w:r>
          </w:p>
        </w:tc>
        <w:tc>
          <w:tcPr>
            <w:tcW w:w="436" w:type="pct"/>
            <w:shd w:val="clear" w:color="auto" w:fill="auto"/>
            <w:vAlign w:val="center"/>
          </w:tcPr>
          <w:p w14:paraId="182737D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3963961">
            <w:pPr>
              <w:widowControl/>
              <w:jc w:val="center"/>
              <w:rPr>
                <w:rFonts w:hint="eastAsia" w:ascii="宋体" w:hAnsi="宋体" w:cs="宋体"/>
                <w:kern w:val="0"/>
                <w:szCs w:val="21"/>
              </w:rPr>
            </w:pPr>
            <w:r>
              <w:rPr>
                <w:rFonts w:hint="eastAsia" w:ascii="宋体" w:hAnsi="宋体" w:cs="宋体"/>
                <w:kern w:val="0"/>
                <w:szCs w:val="21"/>
              </w:rPr>
              <w:t>8</w:t>
            </w:r>
          </w:p>
        </w:tc>
        <w:tc>
          <w:tcPr>
            <w:tcW w:w="442" w:type="pct"/>
            <w:shd w:val="clear" w:color="auto" w:fill="auto"/>
            <w:vAlign w:val="center"/>
          </w:tcPr>
          <w:p w14:paraId="252404E6">
            <w:pPr>
              <w:widowControl/>
              <w:jc w:val="center"/>
              <w:rPr>
                <w:rFonts w:hint="eastAsia" w:ascii="宋体" w:hAnsi="宋体" w:cs="宋体"/>
                <w:kern w:val="0"/>
                <w:szCs w:val="21"/>
              </w:rPr>
            </w:pPr>
            <w:r>
              <w:rPr>
                <w:rFonts w:ascii="宋体" w:hAnsi="宋体" w:cs="Calibri"/>
                <w:szCs w:val="21"/>
              </w:rPr>
              <w:t>0.0004</w:t>
            </w:r>
          </w:p>
        </w:tc>
        <w:tc>
          <w:tcPr>
            <w:tcW w:w="406" w:type="pct"/>
            <w:shd w:val="clear" w:color="auto" w:fill="auto"/>
            <w:vAlign w:val="center"/>
          </w:tcPr>
          <w:p w14:paraId="71DCAA0B">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9745491">
            <w:pPr>
              <w:widowControl/>
              <w:jc w:val="center"/>
              <w:rPr>
                <w:rFonts w:hint="eastAsia" w:ascii="宋体" w:hAnsi="宋体" w:cs="宋体"/>
                <w:kern w:val="0"/>
                <w:szCs w:val="21"/>
              </w:rPr>
            </w:pPr>
            <w:r>
              <w:rPr>
                <w:rFonts w:hint="eastAsia" w:ascii="宋体" w:hAnsi="宋体" w:cs="宋体"/>
                <w:kern w:val="0"/>
                <w:szCs w:val="21"/>
              </w:rPr>
              <w:t>12</w:t>
            </w:r>
          </w:p>
        </w:tc>
        <w:tc>
          <w:tcPr>
            <w:tcW w:w="410" w:type="pct"/>
            <w:shd w:val="clear" w:color="auto" w:fill="auto"/>
            <w:vAlign w:val="center"/>
          </w:tcPr>
          <w:p w14:paraId="3EDD2028">
            <w:pPr>
              <w:widowControl/>
              <w:jc w:val="center"/>
              <w:rPr>
                <w:rFonts w:hint="eastAsia" w:ascii="宋体" w:hAnsi="宋体" w:cs="宋体"/>
                <w:kern w:val="0"/>
                <w:szCs w:val="21"/>
              </w:rPr>
            </w:pPr>
            <w:r>
              <w:rPr>
                <w:rFonts w:ascii="宋体" w:hAnsi="宋体" w:cs="Calibri"/>
                <w:szCs w:val="21"/>
              </w:rPr>
              <w:t>0.0007</w:t>
            </w:r>
          </w:p>
        </w:tc>
        <w:tc>
          <w:tcPr>
            <w:tcW w:w="389" w:type="pct"/>
            <w:shd w:val="clear" w:color="auto" w:fill="auto"/>
            <w:vAlign w:val="center"/>
          </w:tcPr>
          <w:p w14:paraId="4427846F">
            <w:pPr>
              <w:widowControl/>
              <w:jc w:val="center"/>
              <w:rPr>
                <w:rFonts w:hint="eastAsia" w:ascii="宋体" w:hAnsi="宋体" w:cs="宋体"/>
                <w:kern w:val="0"/>
                <w:szCs w:val="21"/>
              </w:rPr>
            </w:pPr>
            <w:r>
              <w:rPr>
                <w:rFonts w:hint="eastAsia" w:ascii="宋体" w:hAnsi="宋体" w:cs="宋体"/>
                <w:kern w:val="0"/>
                <w:szCs w:val="21"/>
              </w:rPr>
              <w:t>达标</w:t>
            </w:r>
          </w:p>
        </w:tc>
      </w:tr>
      <w:tr w14:paraId="50507F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0D9CADD">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3E483E1A">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74833FAA">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6A2E485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C9A9E9B">
            <w:pPr>
              <w:widowControl/>
              <w:jc w:val="center"/>
              <w:rPr>
                <w:rFonts w:hint="eastAsia" w:ascii="宋体" w:hAnsi="宋体" w:cs="宋体"/>
                <w:kern w:val="0"/>
                <w:szCs w:val="21"/>
              </w:rPr>
            </w:pPr>
            <w:r>
              <w:rPr>
                <w:rFonts w:hint="eastAsia" w:ascii="宋体" w:hAnsi="宋体" w:cs="宋体"/>
                <w:kern w:val="0"/>
                <w:szCs w:val="21"/>
              </w:rPr>
              <w:t>28</w:t>
            </w:r>
          </w:p>
        </w:tc>
        <w:tc>
          <w:tcPr>
            <w:tcW w:w="406" w:type="pct"/>
            <w:shd w:val="clear" w:color="auto" w:fill="auto"/>
            <w:vAlign w:val="center"/>
          </w:tcPr>
          <w:p w14:paraId="22C36818">
            <w:pPr>
              <w:widowControl/>
              <w:jc w:val="center"/>
              <w:rPr>
                <w:rFonts w:hint="eastAsia" w:ascii="宋体" w:hAnsi="宋体" w:cs="宋体"/>
                <w:kern w:val="0"/>
                <w:szCs w:val="21"/>
              </w:rPr>
            </w:pPr>
            <w:r>
              <w:rPr>
                <w:rFonts w:ascii="宋体" w:hAnsi="宋体" w:cs="Calibri"/>
                <w:szCs w:val="21"/>
              </w:rPr>
              <w:t>0.0311</w:t>
            </w:r>
          </w:p>
        </w:tc>
        <w:tc>
          <w:tcPr>
            <w:tcW w:w="436" w:type="pct"/>
            <w:shd w:val="clear" w:color="auto" w:fill="auto"/>
            <w:vAlign w:val="center"/>
          </w:tcPr>
          <w:p w14:paraId="3D7D14A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28DD310">
            <w:pPr>
              <w:widowControl/>
              <w:jc w:val="center"/>
              <w:rPr>
                <w:rFonts w:hint="eastAsia" w:ascii="宋体" w:hAnsi="宋体" w:cs="宋体"/>
                <w:kern w:val="0"/>
                <w:szCs w:val="21"/>
              </w:rPr>
            </w:pPr>
            <w:r>
              <w:rPr>
                <w:rFonts w:hint="eastAsia" w:ascii="宋体" w:hAnsi="宋体" w:cs="宋体"/>
                <w:kern w:val="0"/>
                <w:szCs w:val="21"/>
              </w:rPr>
              <w:t>20</w:t>
            </w:r>
          </w:p>
        </w:tc>
        <w:tc>
          <w:tcPr>
            <w:tcW w:w="442" w:type="pct"/>
            <w:shd w:val="clear" w:color="auto" w:fill="auto"/>
            <w:vAlign w:val="center"/>
          </w:tcPr>
          <w:p w14:paraId="15E6CD7A">
            <w:pPr>
              <w:widowControl/>
              <w:jc w:val="center"/>
              <w:rPr>
                <w:rFonts w:hint="eastAsia" w:ascii="宋体" w:hAnsi="宋体" w:cs="宋体"/>
                <w:kern w:val="0"/>
                <w:szCs w:val="21"/>
              </w:rPr>
            </w:pPr>
            <w:r>
              <w:rPr>
                <w:rFonts w:ascii="宋体" w:hAnsi="宋体" w:cs="Calibri"/>
                <w:szCs w:val="21"/>
              </w:rPr>
              <w:t>0.0222</w:t>
            </w:r>
          </w:p>
        </w:tc>
        <w:tc>
          <w:tcPr>
            <w:tcW w:w="406" w:type="pct"/>
            <w:shd w:val="clear" w:color="auto" w:fill="auto"/>
            <w:vAlign w:val="center"/>
          </w:tcPr>
          <w:p w14:paraId="526591CB">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D970CBD">
            <w:pPr>
              <w:widowControl/>
              <w:jc w:val="center"/>
              <w:rPr>
                <w:rFonts w:hint="eastAsia" w:ascii="宋体" w:hAnsi="宋体" w:cs="宋体"/>
                <w:kern w:val="0"/>
                <w:szCs w:val="21"/>
              </w:rPr>
            </w:pPr>
            <w:r>
              <w:rPr>
                <w:rFonts w:hint="eastAsia" w:ascii="宋体" w:hAnsi="宋体" w:cs="宋体"/>
                <w:kern w:val="0"/>
                <w:szCs w:val="21"/>
              </w:rPr>
              <w:t>23</w:t>
            </w:r>
          </w:p>
        </w:tc>
        <w:tc>
          <w:tcPr>
            <w:tcW w:w="410" w:type="pct"/>
            <w:shd w:val="clear" w:color="auto" w:fill="auto"/>
            <w:vAlign w:val="center"/>
          </w:tcPr>
          <w:p w14:paraId="46D06907">
            <w:pPr>
              <w:widowControl/>
              <w:jc w:val="center"/>
              <w:rPr>
                <w:rFonts w:hint="eastAsia" w:ascii="宋体" w:hAnsi="宋体" w:cs="宋体"/>
                <w:kern w:val="0"/>
                <w:szCs w:val="21"/>
              </w:rPr>
            </w:pPr>
            <w:r>
              <w:rPr>
                <w:rFonts w:ascii="宋体" w:hAnsi="宋体" w:cs="Calibri"/>
                <w:szCs w:val="21"/>
              </w:rPr>
              <w:t>0.0256</w:t>
            </w:r>
          </w:p>
        </w:tc>
        <w:tc>
          <w:tcPr>
            <w:tcW w:w="389" w:type="pct"/>
            <w:shd w:val="clear" w:color="auto" w:fill="auto"/>
            <w:vAlign w:val="center"/>
          </w:tcPr>
          <w:p w14:paraId="445A1E7D">
            <w:pPr>
              <w:widowControl/>
              <w:jc w:val="center"/>
              <w:rPr>
                <w:rFonts w:hint="eastAsia" w:ascii="宋体" w:hAnsi="宋体" w:cs="宋体"/>
                <w:kern w:val="0"/>
                <w:szCs w:val="21"/>
              </w:rPr>
            </w:pPr>
            <w:r>
              <w:rPr>
                <w:rFonts w:hint="eastAsia" w:ascii="宋体" w:hAnsi="宋体" w:cs="宋体"/>
                <w:kern w:val="0"/>
                <w:szCs w:val="21"/>
              </w:rPr>
              <w:t>达标</w:t>
            </w:r>
          </w:p>
        </w:tc>
      </w:tr>
      <w:tr w14:paraId="355CDC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B3050F0">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479DE838">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0FE28ECE">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018D1BE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D732C34">
            <w:pPr>
              <w:widowControl/>
              <w:jc w:val="center"/>
              <w:rPr>
                <w:rFonts w:hint="eastAsia" w:ascii="宋体" w:hAnsi="宋体" w:cs="宋体"/>
                <w:kern w:val="0"/>
                <w:szCs w:val="21"/>
              </w:rPr>
            </w:pPr>
            <w:r>
              <w:rPr>
                <w:rFonts w:hint="eastAsia" w:ascii="宋体" w:hAnsi="宋体" w:cs="宋体"/>
                <w:kern w:val="0"/>
                <w:szCs w:val="21"/>
              </w:rPr>
              <w:t>7</w:t>
            </w:r>
          </w:p>
        </w:tc>
        <w:tc>
          <w:tcPr>
            <w:tcW w:w="406" w:type="pct"/>
            <w:shd w:val="clear" w:color="auto" w:fill="auto"/>
            <w:vAlign w:val="center"/>
          </w:tcPr>
          <w:p w14:paraId="667399D6">
            <w:pPr>
              <w:widowControl/>
              <w:jc w:val="center"/>
              <w:rPr>
                <w:rFonts w:hint="eastAsia" w:ascii="宋体" w:hAnsi="宋体" w:cs="宋体"/>
                <w:kern w:val="0"/>
                <w:szCs w:val="21"/>
              </w:rPr>
            </w:pPr>
            <w:r>
              <w:rPr>
                <w:rFonts w:ascii="宋体" w:hAnsi="宋体" w:cs="Calibri"/>
                <w:szCs w:val="21"/>
              </w:rPr>
              <w:t>0.0016</w:t>
            </w:r>
          </w:p>
        </w:tc>
        <w:tc>
          <w:tcPr>
            <w:tcW w:w="436" w:type="pct"/>
            <w:shd w:val="clear" w:color="auto" w:fill="auto"/>
            <w:vAlign w:val="center"/>
          </w:tcPr>
          <w:p w14:paraId="7BE18F0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737FCDF">
            <w:pPr>
              <w:widowControl/>
              <w:jc w:val="center"/>
              <w:rPr>
                <w:rFonts w:hint="eastAsia" w:ascii="宋体" w:hAnsi="宋体" w:cs="宋体"/>
                <w:kern w:val="0"/>
                <w:szCs w:val="21"/>
              </w:rPr>
            </w:pPr>
            <w:r>
              <w:rPr>
                <w:rFonts w:hint="eastAsia" w:ascii="宋体" w:hAnsi="宋体" w:cs="宋体"/>
                <w:kern w:val="0"/>
                <w:szCs w:val="21"/>
              </w:rPr>
              <w:t>15</w:t>
            </w:r>
          </w:p>
        </w:tc>
        <w:tc>
          <w:tcPr>
            <w:tcW w:w="442" w:type="pct"/>
            <w:shd w:val="clear" w:color="auto" w:fill="auto"/>
            <w:vAlign w:val="center"/>
          </w:tcPr>
          <w:p w14:paraId="59ECB2E1">
            <w:pPr>
              <w:widowControl/>
              <w:jc w:val="center"/>
              <w:rPr>
                <w:rFonts w:hint="eastAsia" w:ascii="宋体" w:hAnsi="宋体" w:cs="宋体"/>
                <w:kern w:val="0"/>
                <w:szCs w:val="21"/>
              </w:rPr>
            </w:pPr>
            <w:r>
              <w:rPr>
                <w:rFonts w:ascii="宋体" w:hAnsi="宋体" w:cs="Calibri"/>
                <w:szCs w:val="21"/>
              </w:rPr>
              <w:t>0.0033</w:t>
            </w:r>
          </w:p>
        </w:tc>
        <w:tc>
          <w:tcPr>
            <w:tcW w:w="406" w:type="pct"/>
            <w:shd w:val="clear" w:color="auto" w:fill="auto"/>
            <w:vAlign w:val="center"/>
          </w:tcPr>
          <w:p w14:paraId="6897409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D9605C7">
            <w:pPr>
              <w:widowControl/>
              <w:jc w:val="center"/>
              <w:rPr>
                <w:rFonts w:hint="eastAsia" w:ascii="宋体" w:hAnsi="宋体" w:cs="宋体"/>
                <w:kern w:val="0"/>
                <w:szCs w:val="21"/>
              </w:rPr>
            </w:pPr>
            <w:r>
              <w:rPr>
                <w:rFonts w:hint="eastAsia" w:ascii="宋体" w:hAnsi="宋体" w:cs="宋体"/>
                <w:kern w:val="0"/>
                <w:szCs w:val="21"/>
              </w:rPr>
              <w:t>9</w:t>
            </w:r>
          </w:p>
        </w:tc>
        <w:tc>
          <w:tcPr>
            <w:tcW w:w="410" w:type="pct"/>
            <w:shd w:val="clear" w:color="auto" w:fill="auto"/>
            <w:vAlign w:val="center"/>
          </w:tcPr>
          <w:p w14:paraId="4F684EC0">
            <w:pPr>
              <w:widowControl/>
              <w:jc w:val="center"/>
              <w:rPr>
                <w:rFonts w:hint="eastAsia" w:ascii="宋体" w:hAnsi="宋体" w:cs="宋体"/>
                <w:kern w:val="0"/>
                <w:szCs w:val="21"/>
              </w:rPr>
            </w:pPr>
            <w:r>
              <w:rPr>
                <w:rFonts w:ascii="宋体" w:hAnsi="宋体" w:cs="Calibri"/>
                <w:szCs w:val="21"/>
              </w:rPr>
              <w:t>0.0020</w:t>
            </w:r>
          </w:p>
        </w:tc>
        <w:tc>
          <w:tcPr>
            <w:tcW w:w="389" w:type="pct"/>
            <w:shd w:val="clear" w:color="auto" w:fill="auto"/>
            <w:vAlign w:val="center"/>
          </w:tcPr>
          <w:p w14:paraId="6FA20313">
            <w:pPr>
              <w:widowControl/>
              <w:jc w:val="center"/>
              <w:rPr>
                <w:rFonts w:hint="eastAsia" w:ascii="宋体" w:hAnsi="宋体" w:cs="宋体"/>
                <w:kern w:val="0"/>
                <w:szCs w:val="21"/>
              </w:rPr>
            </w:pPr>
            <w:r>
              <w:rPr>
                <w:rFonts w:hint="eastAsia" w:ascii="宋体" w:hAnsi="宋体" w:cs="宋体"/>
                <w:kern w:val="0"/>
                <w:szCs w:val="21"/>
              </w:rPr>
              <w:t>达标</w:t>
            </w:r>
          </w:p>
        </w:tc>
      </w:tr>
      <w:tr w14:paraId="6306CD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67A4FE7">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5D5823CA">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1961D22E">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58C8E15C">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2D7A7E89">
            <w:pPr>
              <w:widowControl/>
              <w:jc w:val="center"/>
              <w:rPr>
                <w:rFonts w:hint="eastAsia" w:ascii="宋体" w:hAnsi="宋体" w:cs="宋体"/>
                <w:kern w:val="0"/>
                <w:szCs w:val="21"/>
              </w:rPr>
            </w:pPr>
            <w:r>
              <w:rPr>
                <w:rFonts w:hint="eastAsia" w:ascii="宋体" w:hAnsi="宋体" w:cs="宋体"/>
                <w:kern w:val="0"/>
                <w:szCs w:val="21"/>
              </w:rPr>
              <w:t>8.65</w:t>
            </w:r>
          </w:p>
        </w:tc>
        <w:tc>
          <w:tcPr>
            <w:tcW w:w="406" w:type="pct"/>
            <w:shd w:val="clear" w:color="auto" w:fill="auto"/>
            <w:vAlign w:val="center"/>
          </w:tcPr>
          <w:p w14:paraId="4F5507C3">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0C17B450">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046D06D5">
            <w:pPr>
              <w:widowControl/>
              <w:jc w:val="center"/>
              <w:rPr>
                <w:rFonts w:hint="eastAsia" w:ascii="宋体" w:hAnsi="宋体" w:cs="宋体"/>
                <w:kern w:val="0"/>
                <w:szCs w:val="21"/>
              </w:rPr>
            </w:pPr>
            <w:r>
              <w:rPr>
                <w:rFonts w:hint="eastAsia" w:ascii="宋体" w:hAnsi="宋体" w:cs="宋体"/>
                <w:kern w:val="0"/>
                <w:szCs w:val="21"/>
              </w:rPr>
              <w:t>9</w:t>
            </w:r>
          </w:p>
        </w:tc>
        <w:tc>
          <w:tcPr>
            <w:tcW w:w="442" w:type="pct"/>
            <w:shd w:val="clear" w:color="auto" w:fill="auto"/>
            <w:vAlign w:val="center"/>
          </w:tcPr>
          <w:p w14:paraId="65ABBB78">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0843DD3D">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2E8B1D31">
            <w:pPr>
              <w:widowControl/>
              <w:jc w:val="center"/>
              <w:rPr>
                <w:rFonts w:hint="eastAsia" w:ascii="宋体" w:hAnsi="宋体" w:cs="宋体"/>
                <w:kern w:val="0"/>
                <w:szCs w:val="21"/>
              </w:rPr>
            </w:pPr>
            <w:r>
              <w:rPr>
                <w:rFonts w:hint="eastAsia" w:ascii="宋体" w:hAnsi="宋体" w:cs="宋体"/>
                <w:kern w:val="0"/>
                <w:szCs w:val="21"/>
              </w:rPr>
              <w:t>8.44</w:t>
            </w:r>
          </w:p>
        </w:tc>
        <w:tc>
          <w:tcPr>
            <w:tcW w:w="410" w:type="pct"/>
            <w:shd w:val="clear" w:color="auto" w:fill="auto"/>
            <w:vAlign w:val="center"/>
          </w:tcPr>
          <w:p w14:paraId="29EBA4D6">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501F7CE2">
            <w:pPr>
              <w:widowControl/>
              <w:jc w:val="center"/>
              <w:rPr>
                <w:rFonts w:hint="eastAsia" w:ascii="宋体" w:hAnsi="宋体" w:cs="宋体"/>
                <w:kern w:val="0"/>
                <w:szCs w:val="21"/>
              </w:rPr>
            </w:pPr>
            <w:r>
              <w:rPr>
                <w:rFonts w:hint="eastAsia" w:ascii="宋体" w:hAnsi="宋体" w:cs="宋体"/>
                <w:kern w:val="0"/>
                <w:szCs w:val="21"/>
              </w:rPr>
              <w:t>/</w:t>
            </w:r>
          </w:p>
        </w:tc>
      </w:tr>
      <w:tr w14:paraId="2A8C61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704D5CD">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2F8ADA36">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7CE2210E">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0A1B1551">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4C0D8863">
            <w:pPr>
              <w:widowControl/>
              <w:jc w:val="center"/>
              <w:rPr>
                <w:rFonts w:hint="eastAsia" w:ascii="宋体" w:hAnsi="宋体" w:cs="宋体"/>
                <w:kern w:val="0"/>
                <w:szCs w:val="21"/>
              </w:rPr>
            </w:pPr>
            <w:r>
              <w:rPr>
                <w:rFonts w:hint="eastAsia" w:ascii="宋体" w:hAnsi="宋体" w:cs="宋体"/>
                <w:kern w:val="0"/>
                <w:szCs w:val="21"/>
              </w:rPr>
              <w:t>3.1</w:t>
            </w:r>
          </w:p>
        </w:tc>
        <w:tc>
          <w:tcPr>
            <w:tcW w:w="406" w:type="pct"/>
            <w:shd w:val="clear" w:color="auto" w:fill="auto"/>
            <w:vAlign w:val="center"/>
          </w:tcPr>
          <w:p w14:paraId="3E360E23">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3AC93C31">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5516F7B8">
            <w:pPr>
              <w:widowControl/>
              <w:jc w:val="center"/>
              <w:rPr>
                <w:rFonts w:hint="eastAsia" w:ascii="宋体" w:hAnsi="宋体" w:cs="宋体"/>
                <w:kern w:val="0"/>
                <w:szCs w:val="21"/>
              </w:rPr>
            </w:pPr>
            <w:r>
              <w:rPr>
                <w:rFonts w:hint="eastAsia" w:ascii="宋体" w:hAnsi="宋体" w:cs="宋体"/>
                <w:kern w:val="0"/>
                <w:szCs w:val="21"/>
              </w:rPr>
              <w:t>3.1</w:t>
            </w:r>
          </w:p>
        </w:tc>
        <w:tc>
          <w:tcPr>
            <w:tcW w:w="442" w:type="pct"/>
            <w:shd w:val="clear" w:color="auto" w:fill="auto"/>
            <w:vAlign w:val="center"/>
          </w:tcPr>
          <w:p w14:paraId="6D2A3877">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07C51948">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2F678FF0">
            <w:pPr>
              <w:widowControl/>
              <w:jc w:val="center"/>
              <w:rPr>
                <w:rFonts w:hint="eastAsia" w:ascii="宋体" w:hAnsi="宋体" w:cs="宋体"/>
                <w:kern w:val="0"/>
                <w:szCs w:val="21"/>
              </w:rPr>
            </w:pPr>
            <w:r>
              <w:rPr>
                <w:rFonts w:hint="eastAsia" w:ascii="宋体" w:hAnsi="宋体" w:cs="宋体"/>
                <w:kern w:val="0"/>
                <w:szCs w:val="21"/>
              </w:rPr>
              <w:t>3.1</w:t>
            </w:r>
          </w:p>
        </w:tc>
        <w:tc>
          <w:tcPr>
            <w:tcW w:w="410" w:type="pct"/>
            <w:shd w:val="clear" w:color="auto" w:fill="auto"/>
            <w:vAlign w:val="center"/>
          </w:tcPr>
          <w:p w14:paraId="3309A72E">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145F6402">
            <w:pPr>
              <w:widowControl/>
              <w:jc w:val="center"/>
              <w:rPr>
                <w:rFonts w:hint="eastAsia" w:ascii="宋体" w:hAnsi="宋体" w:cs="宋体"/>
                <w:kern w:val="0"/>
                <w:szCs w:val="21"/>
              </w:rPr>
            </w:pPr>
            <w:r>
              <w:rPr>
                <w:rFonts w:hint="eastAsia" w:ascii="宋体" w:hAnsi="宋体" w:cs="宋体"/>
                <w:kern w:val="0"/>
                <w:szCs w:val="21"/>
              </w:rPr>
              <w:t>/</w:t>
            </w:r>
          </w:p>
        </w:tc>
      </w:tr>
      <w:tr w14:paraId="3F4DA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9" w:type="pct"/>
            <w:shd w:val="clear" w:color="auto" w:fill="auto"/>
            <w:vAlign w:val="center"/>
          </w:tcPr>
          <w:p w14:paraId="11B07EBF">
            <w:pPr>
              <w:widowControl/>
              <w:jc w:val="center"/>
              <w:rPr>
                <w:rFonts w:hint="eastAsia" w:ascii="宋体" w:hAnsi="宋体" w:cs="宋体"/>
                <w:kern w:val="0"/>
                <w:szCs w:val="21"/>
              </w:rPr>
            </w:pPr>
            <w:r>
              <w:rPr>
                <w:rFonts w:hint="eastAsia" w:ascii="宋体" w:hAnsi="宋体" w:cs="宋体"/>
                <w:kern w:val="0"/>
                <w:szCs w:val="21"/>
              </w:rPr>
              <w:t>/</w:t>
            </w:r>
          </w:p>
        </w:tc>
        <w:tc>
          <w:tcPr>
            <w:tcW w:w="562" w:type="pct"/>
            <w:shd w:val="clear" w:color="auto" w:fill="auto"/>
            <w:vAlign w:val="center"/>
          </w:tcPr>
          <w:p w14:paraId="3AFB2B4C">
            <w:pPr>
              <w:widowControl/>
              <w:jc w:val="center"/>
              <w:rPr>
                <w:rFonts w:hint="eastAsia" w:ascii="宋体" w:hAnsi="宋体" w:cs="宋体"/>
                <w:kern w:val="0"/>
                <w:szCs w:val="21"/>
              </w:rPr>
            </w:pPr>
            <w:r>
              <w:rPr>
                <w:rFonts w:hint="eastAsia" w:ascii="宋体" w:hAnsi="宋体" w:cs="宋体"/>
                <w:kern w:val="0"/>
                <w:szCs w:val="21"/>
              </w:rPr>
              <w:t>/</w:t>
            </w:r>
          </w:p>
        </w:tc>
        <w:tc>
          <w:tcPr>
            <w:tcW w:w="456" w:type="pct"/>
            <w:shd w:val="clear" w:color="auto" w:fill="auto"/>
            <w:vAlign w:val="center"/>
          </w:tcPr>
          <w:p w14:paraId="50B8C824">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5BE2FC7F">
            <w:pPr>
              <w:widowControl/>
              <w:jc w:val="center"/>
              <w:rPr>
                <w:rFonts w:hint="eastAsia" w:ascii="宋体" w:hAnsi="宋体" w:cs="宋体"/>
                <w:kern w:val="0"/>
                <w:szCs w:val="21"/>
              </w:rPr>
            </w:pPr>
            <w:r>
              <w:rPr>
                <w:rFonts w:hint="eastAsia" w:ascii="宋体" w:hAnsi="宋体" w:cs="宋体"/>
                <w:kern w:val="0"/>
                <w:szCs w:val="21"/>
              </w:rPr>
              <w:t>/</w:t>
            </w:r>
          </w:p>
        </w:tc>
        <w:tc>
          <w:tcPr>
            <w:tcW w:w="1146" w:type="pct"/>
            <w:gridSpan w:val="3"/>
            <w:shd w:val="clear" w:color="auto" w:fill="auto"/>
            <w:vAlign w:val="center"/>
          </w:tcPr>
          <w:p w14:paraId="2DFD71CC">
            <w:pPr>
              <w:widowControl/>
              <w:jc w:val="center"/>
              <w:rPr>
                <w:rFonts w:hint="eastAsia" w:ascii="宋体" w:hAnsi="宋体" w:cs="宋体"/>
                <w:kern w:val="0"/>
                <w:szCs w:val="21"/>
              </w:rPr>
            </w:pPr>
            <w:r>
              <w:rPr>
                <w:rFonts w:hint="eastAsia" w:ascii="宋体" w:hAnsi="宋体" w:cs="宋体"/>
                <w:kern w:val="0"/>
                <w:szCs w:val="21"/>
              </w:rPr>
              <w:t>T6(0m～0.2m)</w:t>
            </w:r>
          </w:p>
        </w:tc>
        <w:tc>
          <w:tcPr>
            <w:tcW w:w="1227" w:type="pct"/>
            <w:gridSpan w:val="4"/>
            <w:shd w:val="clear" w:color="auto" w:fill="auto"/>
            <w:vAlign w:val="center"/>
          </w:tcPr>
          <w:p w14:paraId="6F037AE5">
            <w:pPr>
              <w:widowControl/>
              <w:jc w:val="center"/>
              <w:rPr>
                <w:rFonts w:hint="eastAsia" w:ascii="宋体" w:hAnsi="宋体" w:cs="宋体"/>
                <w:kern w:val="0"/>
                <w:szCs w:val="21"/>
              </w:rPr>
            </w:pPr>
            <w:r>
              <w:rPr>
                <w:rFonts w:hint="eastAsia" w:ascii="宋体" w:hAnsi="宋体" w:cs="宋体"/>
                <w:kern w:val="0"/>
                <w:szCs w:val="21"/>
              </w:rPr>
              <w:t>T7(0m～0.2m)</w:t>
            </w:r>
          </w:p>
        </w:tc>
        <w:tc>
          <w:tcPr>
            <w:tcW w:w="1105" w:type="pct"/>
            <w:gridSpan w:val="4"/>
            <w:shd w:val="clear" w:color="auto" w:fill="auto"/>
            <w:vAlign w:val="center"/>
          </w:tcPr>
          <w:p w14:paraId="738E9095">
            <w:pPr>
              <w:widowControl/>
              <w:jc w:val="center"/>
              <w:rPr>
                <w:rFonts w:hint="eastAsia" w:ascii="宋体" w:hAnsi="宋体" w:cs="宋体"/>
                <w:kern w:val="0"/>
                <w:szCs w:val="21"/>
              </w:rPr>
            </w:pPr>
            <w:r>
              <w:rPr>
                <w:rFonts w:hint="eastAsia" w:ascii="宋体" w:hAnsi="宋体" w:cs="宋体"/>
                <w:kern w:val="0"/>
                <w:szCs w:val="21"/>
              </w:rPr>
              <w:t>T8(0m～0.2m)</w:t>
            </w:r>
          </w:p>
        </w:tc>
      </w:tr>
      <w:tr w14:paraId="704020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1C595B2">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340C918D">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6138976D">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53161C32">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2447DB6">
            <w:pPr>
              <w:widowControl/>
              <w:jc w:val="center"/>
              <w:rPr>
                <w:rFonts w:hint="eastAsia" w:ascii="宋体" w:hAnsi="宋体" w:cs="宋体"/>
                <w:kern w:val="0"/>
                <w:szCs w:val="21"/>
              </w:rPr>
            </w:pPr>
            <w:r>
              <w:rPr>
                <w:rFonts w:hint="eastAsia" w:ascii="宋体" w:hAnsi="宋体" w:cs="宋体"/>
                <w:kern w:val="0"/>
                <w:szCs w:val="21"/>
              </w:rPr>
              <w:t>0.091</w:t>
            </w:r>
          </w:p>
        </w:tc>
        <w:tc>
          <w:tcPr>
            <w:tcW w:w="406" w:type="pct"/>
            <w:shd w:val="clear" w:color="auto" w:fill="auto"/>
            <w:vAlign w:val="center"/>
          </w:tcPr>
          <w:p w14:paraId="689776E5">
            <w:pPr>
              <w:widowControl/>
              <w:jc w:val="center"/>
              <w:rPr>
                <w:rFonts w:hint="eastAsia" w:ascii="宋体" w:hAnsi="宋体" w:cs="宋体"/>
                <w:kern w:val="0"/>
                <w:szCs w:val="21"/>
              </w:rPr>
            </w:pPr>
            <w:r>
              <w:rPr>
                <w:rFonts w:ascii="宋体" w:hAnsi="宋体" w:cs="Calibri"/>
                <w:szCs w:val="21"/>
              </w:rPr>
              <w:t>0.0024</w:t>
            </w:r>
          </w:p>
        </w:tc>
        <w:tc>
          <w:tcPr>
            <w:tcW w:w="436" w:type="pct"/>
            <w:shd w:val="clear" w:color="auto" w:fill="auto"/>
            <w:vAlign w:val="center"/>
          </w:tcPr>
          <w:p w14:paraId="15B92FD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C6D4695">
            <w:pPr>
              <w:widowControl/>
              <w:jc w:val="center"/>
              <w:rPr>
                <w:rFonts w:hint="eastAsia" w:ascii="宋体" w:hAnsi="宋体" w:cs="宋体"/>
                <w:kern w:val="0"/>
                <w:szCs w:val="21"/>
              </w:rPr>
            </w:pPr>
            <w:r>
              <w:rPr>
                <w:rFonts w:hint="eastAsia" w:ascii="宋体" w:hAnsi="宋体" w:cs="宋体"/>
                <w:kern w:val="0"/>
                <w:szCs w:val="21"/>
              </w:rPr>
              <w:t>0.075</w:t>
            </w:r>
          </w:p>
        </w:tc>
        <w:tc>
          <w:tcPr>
            <w:tcW w:w="442" w:type="pct"/>
            <w:shd w:val="clear" w:color="auto" w:fill="auto"/>
            <w:vAlign w:val="center"/>
          </w:tcPr>
          <w:p w14:paraId="0739CF86">
            <w:pPr>
              <w:widowControl/>
              <w:jc w:val="center"/>
              <w:rPr>
                <w:rFonts w:hint="eastAsia" w:ascii="宋体" w:hAnsi="宋体" w:cs="宋体"/>
                <w:kern w:val="0"/>
                <w:szCs w:val="21"/>
              </w:rPr>
            </w:pPr>
            <w:r>
              <w:rPr>
                <w:rFonts w:ascii="宋体" w:hAnsi="宋体" w:cs="Calibri"/>
                <w:szCs w:val="21"/>
              </w:rPr>
              <w:t>0.0020</w:t>
            </w:r>
          </w:p>
        </w:tc>
        <w:tc>
          <w:tcPr>
            <w:tcW w:w="406" w:type="pct"/>
            <w:shd w:val="clear" w:color="auto" w:fill="auto"/>
            <w:vAlign w:val="center"/>
          </w:tcPr>
          <w:p w14:paraId="4FDAF1DD">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D7D8F3E">
            <w:pPr>
              <w:widowControl/>
              <w:jc w:val="center"/>
              <w:rPr>
                <w:rFonts w:hint="eastAsia" w:ascii="宋体" w:hAnsi="宋体" w:cs="宋体"/>
                <w:kern w:val="0"/>
                <w:szCs w:val="21"/>
              </w:rPr>
            </w:pPr>
            <w:r>
              <w:rPr>
                <w:rFonts w:hint="eastAsia" w:ascii="宋体" w:hAnsi="宋体" w:cs="宋体"/>
                <w:kern w:val="0"/>
                <w:szCs w:val="21"/>
              </w:rPr>
              <w:t>0.071</w:t>
            </w:r>
          </w:p>
        </w:tc>
        <w:tc>
          <w:tcPr>
            <w:tcW w:w="410" w:type="pct"/>
            <w:shd w:val="clear" w:color="auto" w:fill="auto"/>
            <w:vAlign w:val="center"/>
          </w:tcPr>
          <w:p w14:paraId="74ECFCD6">
            <w:pPr>
              <w:widowControl/>
              <w:jc w:val="center"/>
              <w:rPr>
                <w:rFonts w:hint="eastAsia" w:ascii="宋体" w:hAnsi="宋体" w:cs="宋体"/>
                <w:kern w:val="0"/>
                <w:szCs w:val="21"/>
              </w:rPr>
            </w:pPr>
            <w:r>
              <w:rPr>
                <w:rFonts w:hint="eastAsia" w:ascii="宋体" w:hAnsi="宋体"/>
                <w:szCs w:val="21"/>
              </w:rPr>
              <w:t>0.0019</w:t>
            </w:r>
          </w:p>
        </w:tc>
        <w:tc>
          <w:tcPr>
            <w:tcW w:w="389" w:type="pct"/>
            <w:shd w:val="clear" w:color="auto" w:fill="auto"/>
            <w:vAlign w:val="center"/>
          </w:tcPr>
          <w:p w14:paraId="42AC8A3D">
            <w:pPr>
              <w:widowControl/>
              <w:jc w:val="center"/>
              <w:rPr>
                <w:rFonts w:hint="eastAsia" w:ascii="宋体" w:hAnsi="宋体" w:cs="宋体"/>
                <w:kern w:val="0"/>
                <w:szCs w:val="21"/>
              </w:rPr>
            </w:pPr>
            <w:r>
              <w:rPr>
                <w:rFonts w:hint="eastAsia" w:ascii="宋体" w:hAnsi="宋体" w:cs="宋体"/>
                <w:kern w:val="0"/>
                <w:szCs w:val="21"/>
              </w:rPr>
              <w:t>达标</w:t>
            </w:r>
          </w:p>
        </w:tc>
      </w:tr>
      <w:tr w14:paraId="52E07A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72F70A3">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2200FC27">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1AD61CF7">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2321FD6F">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A044CA9">
            <w:pPr>
              <w:widowControl/>
              <w:jc w:val="center"/>
              <w:rPr>
                <w:rFonts w:hint="eastAsia" w:ascii="宋体" w:hAnsi="宋体" w:cs="宋体"/>
                <w:kern w:val="0"/>
                <w:szCs w:val="21"/>
              </w:rPr>
            </w:pPr>
            <w:r>
              <w:rPr>
                <w:rFonts w:hint="eastAsia" w:ascii="宋体" w:hAnsi="宋体" w:cs="宋体"/>
                <w:kern w:val="0"/>
                <w:szCs w:val="21"/>
              </w:rPr>
              <w:t>9.86</w:t>
            </w:r>
          </w:p>
        </w:tc>
        <w:tc>
          <w:tcPr>
            <w:tcW w:w="406" w:type="pct"/>
            <w:shd w:val="clear" w:color="auto" w:fill="auto"/>
            <w:vAlign w:val="center"/>
          </w:tcPr>
          <w:p w14:paraId="41FDD838">
            <w:pPr>
              <w:widowControl/>
              <w:jc w:val="center"/>
              <w:rPr>
                <w:rFonts w:hint="eastAsia" w:ascii="宋体" w:hAnsi="宋体" w:cs="宋体"/>
                <w:kern w:val="0"/>
                <w:szCs w:val="21"/>
              </w:rPr>
            </w:pPr>
            <w:r>
              <w:rPr>
                <w:rFonts w:ascii="宋体" w:hAnsi="宋体" w:cs="Calibri"/>
                <w:szCs w:val="21"/>
              </w:rPr>
              <w:t>0.1643</w:t>
            </w:r>
          </w:p>
        </w:tc>
        <w:tc>
          <w:tcPr>
            <w:tcW w:w="436" w:type="pct"/>
            <w:shd w:val="clear" w:color="auto" w:fill="auto"/>
            <w:vAlign w:val="center"/>
          </w:tcPr>
          <w:p w14:paraId="425CBA9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A6F931D">
            <w:pPr>
              <w:widowControl/>
              <w:jc w:val="center"/>
              <w:rPr>
                <w:rFonts w:hint="eastAsia" w:ascii="宋体" w:hAnsi="宋体" w:cs="宋体"/>
                <w:kern w:val="0"/>
                <w:szCs w:val="21"/>
              </w:rPr>
            </w:pPr>
            <w:r>
              <w:rPr>
                <w:rFonts w:hint="eastAsia" w:ascii="宋体" w:hAnsi="宋体" w:cs="宋体"/>
                <w:kern w:val="0"/>
                <w:szCs w:val="21"/>
              </w:rPr>
              <w:t>10.2</w:t>
            </w:r>
          </w:p>
        </w:tc>
        <w:tc>
          <w:tcPr>
            <w:tcW w:w="442" w:type="pct"/>
            <w:shd w:val="clear" w:color="auto" w:fill="auto"/>
            <w:vAlign w:val="center"/>
          </w:tcPr>
          <w:p w14:paraId="256BB254">
            <w:pPr>
              <w:widowControl/>
              <w:jc w:val="center"/>
              <w:rPr>
                <w:rFonts w:hint="eastAsia" w:ascii="宋体" w:hAnsi="宋体" w:cs="宋体"/>
                <w:kern w:val="0"/>
                <w:szCs w:val="21"/>
              </w:rPr>
            </w:pPr>
            <w:r>
              <w:rPr>
                <w:rFonts w:ascii="宋体" w:hAnsi="宋体" w:cs="Calibri"/>
                <w:szCs w:val="21"/>
              </w:rPr>
              <w:t>0.1700</w:t>
            </w:r>
          </w:p>
        </w:tc>
        <w:tc>
          <w:tcPr>
            <w:tcW w:w="406" w:type="pct"/>
            <w:shd w:val="clear" w:color="auto" w:fill="auto"/>
            <w:vAlign w:val="center"/>
          </w:tcPr>
          <w:p w14:paraId="2FA4FE7C">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7C396D6">
            <w:pPr>
              <w:widowControl/>
              <w:jc w:val="center"/>
              <w:rPr>
                <w:rFonts w:hint="eastAsia" w:ascii="宋体" w:hAnsi="宋体" w:cs="宋体"/>
                <w:kern w:val="0"/>
                <w:szCs w:val="21"/>
              </w:rPr>
            </w:pPr>
            <w:r>
              <w:rPr>
                <w:rFonts w:hint="eastAsia" w:ascii="宋体" w:hAnsi="宋体" w:cs="宋体"/>
                <w:kern w:val="0"/>
                <w:szCs w:val="21"/>
              </w:rPr>
              <w:t>10.2</w:t>
            </w:r>
          </w:p>
        </w:tc>
        <w:tc>
          <w:tcPr>
            <w:tcW w:w="410" w:type="pct"/>
            <w:shd w:val="clear" w:color="auto" w:fill="auto"/>
            <w:vAlign w:val="center"/>
          </w:tcPr>
          <w:p w14:paraId="557E8DFF">
            <w:pPr>
              <w:widowControl/>
              <w:jc w:val="center"/>
              <w:rPr>
                <w:rFonts w:hint="eastAsia" w:ascii="宋体" w:hAnsi="宋体" w:cs="宋体"/>
                <w:kern w:val="0"/>
                <w:szCs w:val="21"/>
              </w:rPr>
            </w:pPr>
            <w:r>
              <w:rPr>
                <w:rFonts w:hint="eastAsia" w:ascii="宋体" w:hAnsi="宋体"/>
                <w:szCs w:val="21"/>
              </w:rPr>
              <w:t>0.1700</w:t>
            </w:r>
          </w:p>
        </w:tc>
        <w:tc>
          <w:tcPr>
            <w:tcW w:w="389" w:type="pct"/>
            <w:shd w:val="clear" w:color="auto" w:fill="auto"/>
            <w:vAlign w:val="center"/>
          </w:tcPr>
          <w:p w14:paraId="731A4BF2">
            <w:pPr>
              <w:widowControl/>
              <w:jc w:val="center"/>
              <w:rPr>
                <w:rFonts w:hint="eastAsia" w:ascii="宋体" w:hAnsi="宋体" w:cs="宋体"/>
                <w:kern w:val="0"/>
                <w:szCs w:val="21"/>
              </w:rPr>
            </w:pPr>
            <w:r>
              <w:rPr>
                <w:rFonts w:hint="eastAsia" w:ascii="宋体" w:hAnsi="宋体" w:cs="宋体"/>
                <w:kern w:val="0"/>
                <w:szCs w:val="21"/>
              </w:rPr>
              <w:t>达标</w:t>
            </w:r>
          </w:p>
        </w:tc>
      </w:tr>
      <w:tr w14:paraId="2AF5BF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8D0F622">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537F318B">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519C8E5E">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7E0E831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DC6F1A1">
            <w:pPr>
              <w:widowControl/>
              <w:jc w:val="center"/>
              <w:rPr>
                <w:rFonts w:hint="eastAsia" w:ascii="宋体" w:hAnsi="宋体" w:cs="宋体"/>
                <w:kern w:val="0"/>
                <w:szCs w:val="21"/>
              </w:rPr>
            </w:pPr>
            <w:r>
              <w:rPr>
                <w:rFonts w:hint="eastAsia" w:ascii="宋体" w:hAnsi="宋体" w:cs="宋体"/>
                <w:kern w:val="0"/>
                <w:szCs w:val="21"/>
              </w:rPr>
              <w:t>3.3</w:t>
            </w:r>
          </w:p>
        </w:tc>
        <w:tc>
          <w:tcPr>
            <w:tcW w:w="406" w:type="pct"/>
            <w:shd w:val="clear" w:color="auto" w:fill="auto"/>
            <w:vAlign w:val="center"/>
          </w:tcPr>
          <w:p w14:paraId="243067DC">
            <w:pPr>
              <w:widowControl/>
              <w:jc w:val="center"/>
              <w:rPr>
                <w:rFonts w:hint="eastAsia" w:ascii="宋体" w:hAnsi="宋体" w:cs="宋体"/>
                <w:kern w:val="0"/>
                <w:szCs w:val="21"/>
              </w:rPr>
            </w:pPr>
            <w:r>
              <w:rPr>
                <w:rFonts w:ascii="宋体" w:hAnsi="宋体" w:cs="Calibri"/>
                <w:szCs w:val="21"/>
              </w:rPr>
              <w:t>0.0041</w:t>
            </w:r>
          </w:p>
        </w:tc>
        <w:tc>
          <w:tcPr>
            <w:tcW w:w="436" w:type="pct"/>
            <w:shd w:val="clear" w:color="auto" w:fill="auto"/>
            <w:vAlign w:val="center"/>
          </w:tcPr>
          <w:p w14:paraId="700D298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43FE17C0">
            <w:pPr>
              <w:widowControl/>
              <w:jc w:val="center"/>
              <w:rPr>
                <w:rFonts w:hint="eastAsia" w:ascii="宋体" w:hAnsi="宋体" w:cs="宋体"/>
                <w:kern w:val="0"/>
                <w:szCs w:val="21"/>
              </w:rPr>
            </w:pPr>
            <w:r>
              <w:rPr>
                <w:rFonts w:hint="eastAsia" w:ascii="宋体" w:hAnsi="宋体" w:cs="宋体"/>
                <w:kern w:val="0"/>
                <w:szCs w:val="21"/>
              </w:rPr>
              <w:t>6.0</w:t>
            </w:r>
          </w:p>
        </w:tc>
        <w:tc>
          <w:tcPr>
            <w:tcW w:w="442" w:type="pct"/>
            <w:shd w:val="clear" w:color="auto" w:fill="auto"/>
            <w:vAlign w:val="center"/>
          </w:tcPr>
          <w:p w14:paraId="05E1EB28">
            <w:pPr>
              <w:widowControl/>
              <w:jc w:val="center"/>
              <w:rPr>
                <w:rFonts w:hint="eastAsia" w:ascii="宋体" w:hAnsi="宋体" w:cs="宋体"/>
                <w:kern w:val="0"/>
                <w:szCs w:val="21"/>
              </w:rPr>
            </w:pPr>
            <w:r>
              <w:rPr>
                <w:rFonts w:ascii="宋体" w:hAnsi="宋体" w:cs="Calibri"/>
                <w:szCs w:val="21"/>
              </w:rPr>
              <w:t>0.0075</w:t>
            </w:r>
          </w:p>
        </w:tc>
        <w:tc>
          <w:tcPr>
            <w:tcW w:w="406" w:type="pct"/>
            <w:shd w:val="clear" w:color="auto" w:fill="auto"/>
            <w:vAlign w:val="center"/>
          </w:tcPr>
          <w:p w14:paraId="47071F2B">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74392F4">
            <w:pPr>
              <w:widowControl/>
              <w:jc w:val="center"/>
              <w:rPr>
                <w:rFonts w:hint="eastAsia" w:ascii="宋体" w:hAnsi="宋体" w:cs="宋体"/>
                <w:kern w:val="0"/>
                <w:szCs w:val="21"/>
              </w:rPr>
            </w:pPr>
            <w:r>
              <w:rPr>
                <w:rFonts w:hint="eastAsia" w:ascii="宋体" w:hAnsi="宋体" w:cs="宋体"/>
                <w:kern w:val="0"/>
                <w:szCs w:val="21"/>
              </w:rPr>
              <w:t>8.8</w:t>
            </w:r>
          </w:p>
        </w:tc>
        <w:tc>
          <w:tcPr>
            <w:tcW w:w="410" w:type="pct"/>
            <w:shd w:val="clear" w:color="auto" w:fill="auto"/>
            <w:vAlign w:val="center"/>
          </w:tcPr>
          <w:p w14:paraId="76698EC7">
            <w:pPr>
              <w:widowControl/>
              <w:jc w:val="center"/>
              <w:rPr>
                <w:rFonts w:hint="eastAsia" w:ascii="宋体" w:hAnsi="宋体" w:cs="宋体"/>
                <w:kern w:val="0"/>
                <w:szCs w:val="21"/>
              </w:rPr>
            </w:pPr>
            <w:r>
              <w:rPr>
                <w:rFonts w:hint="eastAsia" w:ascii="宋体" w:hAnsi="宋体"/>
                <w:szCs w:val="21"/>
              </w:rPr>
              <w:t>0.0110</w:t>
            </w:r>
          </w:p>
        </w:tc>
        <w:tc>
          <w:tcPr>
            <w:tcW w:w="389" w:type="pct"/>
            <w:shd w:val="clear" w:color="auto" w:fill="auto"/>
            <w:vAlign w:val="center"/>
          </w:tcPr>
          <w:p w14:paraId="4A97571D">
            <w:pPr>
              <w:widowControl/>
              <w:jc w:val="center"/>
              <w:rPr>
                <w:rFonts w:hint="eastAsia" w:ascii="宋体" w:hAnsi="宋体" w:cs="宋体"/>
                <w:kern w:val="0"/>
                <w:szCs w:val="21"/>
              </w:rPr>
            </w:pPr>
            <w:r>
              <w:rPr>
                <w:rFonts w:hint="eastAsia" w:ascii="宋体" w:hAnsi="宋体" w:cs="宋体"/>
                <w:kern w:val="0"/>
                <w:szCs w:val="21"/>
              </w:rPr>
              <w:t>达标</w:t>
            </w:r>
          </w:p>
        </w:tc>
      </w:tr>
      <w:tr w14:paraId="58D8F8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0CF44D4">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1A9038EF">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29E4D9FB">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4B8B2BA7">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5168BB9">
            <w:pPr>
              <w:widowControl/>
              <w:jc w:val="center"/>
              <w:rPr>
                <w:rFonts w:hint="eastAsia" w:ascii="宋体" w:hAnsi="宋体" w:cs="宋体"/>
                <w:kern w:val="0"/>
                <w:szCs w:val="21"/>
              </w:rPr>
            </w:pPr>
            <w:r>
              <w:rPr>
                <w:rFonts w:hint="eastAsia" w:ascii="宋体" w:hAnsi="宋体" w:cs="宋体"/>
                <w:kern w:val="0"/>
                <w:szCs w:val="21"/>
              </w:rPr>
              <w:t>0.32</w:t>
            </w:r>
          </w:p>
        </w:tc>
        <w:tc>
          <w:tcPr>
            <w:tcW w:w="406" w:type="pct"/>
            <w:shd w:val="clear" w:color="auto" w:fill="auto"/>
            <w:vAlign w:val="center"/>
          </w:tcPr>
          <w:p w14:paraId="3CFAFAD2">
            <w:pPr>
              <w:widowControl/>
              <w:jc w:val="center"/>
              <w:rPr>
                <w:rFonts w:hint="eastAsia" w:ascii="宋体" w:hAnsi="宋体" w:cs="宋体"/>
                <w:kern w:val="0"/>
                <w:szCs w:val="21"/>
              </w:rPr>
            </w:pPr>
            <w:r>
              <w:rPr>
                <w:rFonts w:ascii="宋体" w:hAnsi="宋体" w:cs="Calibri"/>
                <w:szCs w:val="21"/>
              </w:rPr>
              <w:t>0.0049</w:t>
            </w:r>
          </w:p>
        </w:tc>
        <w:tc>
          <w:tcPr>
            <w:tcW w:w="436" w:type="pct"/>
            <w:shd w:val="clear" w:color="auto" w:fill="auto"/>
            <w:vAlign w:val="center"/>
          </w:tcPr>
          <w:p w14:paraId="0375102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CF85A31">
            <w:pPr>
              <w:widowControl/>
              <w:jc w:val="center"/>
              <w:rPr>
                <w:rFonts w:hint="eastAsia" w:ascii="宋体" w:hAnsi="宋体" w:cs="宋体"/>
                <w:kern w:val="0"/>
                <w:szCs w:val="21"/>
              </w:rPr>
            </w:pPr>
            <w:r>
              <w:rPr>
                <w:rFonts w:hint="eastAsia" w:ascii="宋体" w:hAnsi="宋体" w:cs="宋体"/>
                <w:kern w:val="0"/>
                <w:szCs w:val="21"/>
              </w:rPr>
              <w:t>0.48</w:t>
            </w:r>
          </w:p>
        </w:tc>
        <w:tc>
          <w:tcPr>
            <w:tcW w:w="442" w:type="pct"/>
            <w:shd w:val="clear" w:color="auto" w:fill="auto"/>
            <w:vAlign w:val="center"/>
          </w:tcPr>
          <w:p w14:paraId="1EA8D6FB">
            <w:pPr>
              <w:widowControl/>
              <w:jc w:val="center"/>
              <w:rPr>
                <w:rFonts w:hint="eastAsia" w:ascii="宋体" w:hAnsi="宋体" w:cs="宋体"/>
                <w:kern w:val="0"/>
                <w:szCs w:val="21"/>
              </w:rPr>
            </w:pPr>
            <w:r>
              <w:rPr>
                <w:rFonts w:ascii="宋体" w:hAnsi="宋体" w:cs="Calibri"/>
                <w:szCs w:val="21"/>
              </w:rPr>
              <w:t>0.0074</w:t>
            </w:r>
          </w:p>
        </w:tc>
        <w:tc>
          <w:tcPr>
            <w:tcW w:w="406" w:type="pct"/>
            <w:shd w:val="clear" w:color="auto" w:fill="auto"/>
            <w:vAlign w:val="center"/>
          </w:tcPr>
          <w:p w14:paraId="4E4C121B">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75F751E">
            <w:pPr>
              <w:widowControl/>
              <w:jc w:val="center"/>
              <w:rPr>
                <w:rFonts w:hint="eastAsia" w:ascii="宋体" w:hAnsi="宋体" w:cs="宋体"/>
                <w:kern w:val="0"/>
                <w:szCs w:val="21"/>
              </w:rPr>
            </w:pPr>
            <w:r>
              <w:rPr>
                <w:rFonts w:hint="eastAsia" w:ascii="宋体" w:hAnsi="宋体" w:cs="宋体"/>
                <w:kern w:val="0"/>
                <w:szCs w:val="21"/>
              </w:rPr>
              <w:t>0.59</w:t>
            </w:r>
          </w:p>
        </w:tc>
        <w:tc>
          <w:tcPr>
            <w:tcW w:w="410" w:type="pct"/>
            <w:shd w:val="clear" w:color="auto" w:fill="auto"/>
            <w:vAlign w:val="center"/>
          </w:tcPr>
          <w:p w14:paraId="041CDB8A">
            <w:pPr>
              <w:widowControl/>
              <w:jc w:val="center"/>
              <w:rPr>
                <w:rFonts w:hint="eastAsia" w:ascii="宋体" w:hAnsi="宋体" w:cs="宋体"/>
                <w:kern w:val="0"/>
                <w:szCs w:val="21"/>
              </w:rPr>
            </w:pPr>
            <w:r>
              <w:rPr>
                <w:rFonts w:hint="eastAsia" w:ascii="宋体" w:hAnsi="宋体"/>
                <w:szCs w:val="21"/>
              </w:rPr>
              <w:t>0.0091</w:t>
            </w:r>
          </w:p>
        </w:tc>
        <w:tc>
          <w:tcPr>
            <w:tcW w:w="389" w:type="pct"/>
            <w:shd w:val="clear" w:color="auto" w:fill="auto"/>
            <w:vAlign w:val="center"/>
          </w:tcPr>
          <w:p w14:paraId="621EF63A">
            <w:pPr>
              <w:widowControl/>
              <w:jc w:val="center"/>
              <w:rPr>
                <w:rFonts w:hint="eastAsia" w:ascii="宋体" w:hAnsi="宋体" w:cs="宋体"/>
                <w:kern w:val="0"/>
                <w:szCs w:val="21"/>
              </w:rPr>
            </w:pPr>
            <w:r>
              <w:rPr>
                <w:rFonts w:hint="eastAsia" w:ascii="宋体" w:hAnsi="宋体" w:cs="宋体"/>
                <w:kern w:val="0"/>
                <w:szCs w:val="21"/>
              </w:rPr>
              <w:t>达标</w:t>
            </w:r>
          </w:p>
        </w:tc>
      </w:tr>
      <w:tr w14:paraId="4960A8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6C7A929">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04B14DDC">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21049ABC">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48B0DF69">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4779310">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3A51B770">
            <w:pPr>
              <w:widowControl/>
              <w:jc w:val="center"/>
              <w:rPr>
                <w:rFonts w:hint="eastAsia" w:ascii="宋体" w:hAnsi="宋体" w:cs="宋体"/>
                <w:kern w:val="0"/>
                <w:szCs w:val="21"/>
              </w:rPr>
            </w:pPr>
            <w:r>
              <w:rPr>
                <w:rFonts w:ascii="宋体" w:hAnsi="宋体" w:cs="Calibri"/>
                <w:szCs w:val="21"/>
              </w:rPr>
              <w:t>/</w:t>
            </w:r>
          </w:p>
        </w:tc>
        <w:tc>
          <w:tcPr>
            <w:tcW w:w="436" w:type="pct"/>
            <w:shd w:val="clear" w:color="auto" w:fill="auto"/>
            <w:vAlign w:val="center"/>
          </w:tcPr>
          <w:p w14:paraId="6BF7095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F2F5880">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5663225B">
            <w:pPr>
              <w:widowControl/>
              <w:jc w:val="center"/>
              <w:rPr>
                <w:rFonts w:hint="eastAsia" w:ascii="宋体" w:hAnsi="宋体" w:cs="宋体"/>
                <w:kern w:val="0"/>
                <w:szCs w:val="21"/>
              </w:rPr>
            </w:pPr>
            <w:r>
              <w:rPr>
                <w:rFonts w:ascii="宋体" w:hAnsi="宋体" w:cs="Calibri"/>
                <w:szCs w:val="21"/>
              </w:rPr>
              <w:t>/</w:t>
            </w:r>
          </w:p>
        </w:tc>
        <w:tc>
          <w:tcPr>
            <w:tcW w:w="406" w:type="pct"/>
            <w:shd w:val="clear" w:color="auto" w:fill="auto"/>
            <w:vAlign w:val="center"/>
          </w:tcPr>
          <w:p w14:paraId="3429E0A4">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59BB66A">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01B1DB40">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1F34D874">
            <w:pPr>
              <w:widowControl/>
              <w:jc w:val="center"/>
              <w:rPr>
                <w:rFonts w:hint="eastAsia" w:ascii="宋体" w:hAnsi="宋体" w:cs="宋体"/>
                <w:kern w:val="0"/>
                <w:szCs w:val="21"/>
              </w:rPr>
            </w:pPr>
            <w:r>
              <w:rPr>
                <w:rFonts w:hint="eastAsia" w:ascii="宋体" w:hAnsi="宋体" w:cs="宋体"/>
                <w:kern w:val="0"/>
                <w:szCs w:val="21"/>
              </w:rPr>
              <w:t>达标</w:t>
            </w:r>
          </w:p>
        </w:tc>
      </w:tr>
      <w:tr w14:paraId="0DF0B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C2AE0C7">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33FDF115">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301694B6">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6D53DB0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506EF11">
            <w:pPr>
              <w:widowControl/>
              <w:jc w:val="center"/>
              <w:rPr>
                <w:rFonts w:hint="eastAsia" w:ascii="宋体" w:hAnsi="宋体" w:cs="宋体"/>
                <w:kern w:val="0"/>
                <w:szCs w:val="21"/>
              </w:rPr>
            </w:pPr>
            <w:r>
              <w:rPr>
                <w:rFonts w:hint="eastAsia" w:ascii="宋体" w:hAnsi="宋体" w:cs="宋体"/>
                <w:kern w:val="0"/>
                <w:szCs w:val="21"/>
              </w:rPr>
              <w:t>11</w:t>
            </w:r>
          </w:p>
        </w:tc>
        <w:tc>
          <w:tcPr>
            <w:tcW w:w="406" w:type="pct"/>
            <w:shd w:val="clear" w:color="auto" w:fill="auto"/>
            <w:vAlign w:val="center"/>
          </w:tcPr>
          <w:p w14:paraId="360E3053">
            <w:pPr>
              <w:widowControl/>
              <w:jc w:val="center"/>
              <w:rPr>
                <w:rFonts w:hint="eastAsia" w:ascii="宋体" w:hAnsi="宋体" w:cs="宋体"/>
                <w:kern w:val="0"/>
                <w:szCs w:val="21"/>
              </w:rPr>
            </w:pPr>
            <w:r>
              <w:rPr>
                <w:rFonts w:ascii="宋体" w:hAnsi="宋体" w:cs="Calibri"/>
                <w:szCs w:val="21"/>
              </w:rPr>
              <w:t>0.0006</w:t>
            </w:r>
          </w:p>
        </w:tc>
        <w:tc>
          <w:tcPr>
            <w:tcW w:w="436" w:type="pct"/>
            <w:shd w:val="clear" w:color="auto" w:fill="auto"/>
            <w:vAlign w:val="center"/>
          </w:tcPr>
          <w:p w14:paraId="5960AF2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D2B49B2">
            <w:pPr>
              <w:widowControl/>
              <w:jc w:val="center"/>
              <w:rPr>
                <w:rFonts w:hint="eastAsia" w:ascii="宋体" w:hAnsi="宋体" w:cs="宋体"/>
                <w:kern w:val="0"/>
                <w:szCs w:val="21"/>
              </w:rPr>
            </w:pPr>
            <w:r>
              <w:rPr>
                <w:rFonts w:hint="eastAsia" w:ascii="宋体" w:hAnsi="宋体" w:cs="宋体"/>
                <w:kern w:val="0"/>
                <w:szCs w:val="21"/>
              </w:rPr>
              <w:t>20</w:t>
            </w:r>
          </w:p>
        </w:tc>
        <w:tc>
          <w:tcPr>
            <w:tcW w:w="442" w:type="pct"/>
            <w:shd w:val="clear" w:color="auto" w:fill="auto"/>
            <w:vAlign w:val="center"/>
          </w:tcPr>
          <w:p w14:paraId="30B72129">
            <w:pPr>
              <w:widowControl/>
              <w:jc w:val="center"/>
              <w:rPr>
                <w:rFonts w:hint="eastAsia" w:ascii="宋体" w:hAnsi="宋体" w:cs="宋体"/>
                <w:kern w:val="0"/>
                <w:szCs w:val="21"/>
              </w:rPr>
            </w:pPr>
            <w:r>
              <w:rPr>
                <w:rFonts w:ascii="宋体" w:hAnsi="宋体" w:cs="Calibri"/>
                <w:szCs w:val="21"/>
              </w:rPr>
              <w:t>0.0011</w:t>
            </w:r>
          </w:p>
        </w:tc>
        <w:tc>
          <w:tcPr>
            <w:tcW w:w="406" w:type="pct"/>
            <w:shd w:val="clear" w:color="auto" w:fill="auto"/>
            <w:vAlign w:val="center"/>
          </w:tcPr>
          <w:p w14:paraId="7C7FE028">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0C75C8F">
            <w:pPr>
              <w:widowControl/>
              <w:jc w:val="center"/>
              <w:rPr>
                <w:rFonts w:hint="eastAsia" w:ascii="宋体" w:hAnsi="宋体" w:cs="宋体"/>
                <w:kern w:val="0"/>
                <w:szCs w:val="21"/>
              </w:rPr>
            </w:pPr>
            <w:r>
              <w:rPr>
                <w:rFonts w:hint="eastAsia" w:ascii="宋体" w:hAnsi="宋体" w:cs="宋体"/>
                <w:kern w:val="0"/>
                <w:szCs w:val="21"/>
              </w:rPr>
              <w:t>21</w:t>
            </w:r>
          </w:p>
        </w:tc>
        <w:tc>
          <w:tcPr>
            <w:tcW w:w="410" w:type="pct"/>
            <w:shd w:val="clear" w:color="auto" w:fill="auto"/>
            <w:vAlign w:val="center"/>
          </w:tcPr>
          <w:p w14:paraId="0B36C7DF">
            <w:pPr>
              <w:widowControl/>
              <w:jc w:val="center"/>
              <w:rPr>
                <w:rFonts w:hint="eastAsia" w:ascii="宋体" w:hAnsi="宋体" w:cs="宋体"/>
                <w:kern w:val="0"/>
                <w:szCs w:val="21"/>
              </w:rPr>
            </w:pPr>
            <w:r>
              <w:rPr>
                <w:rFonts w:hint="eastAsia" w:ascii="宋体" w:hAnsi="宋体"/>
                <w:szCs w:val="21"/>
              </w:rPr>
              <w:t>0.0012</w:t>
            </w:r>
          </w:p>
        </w:tc>
        <w:tc>
          <w:tcPr>
            <w:tcW w:w="389" w:type="pct"/>
            <w:shd w:val="clear" w:color="auto" w:fill="auto"/>
            <w:vAlign w:val="center"/>
          </w:tcPr>
          <w:p w14:paraId="4F9E7B65">
            <w:pPr>
              <w:widowControl/>
              <w:jc w:val="center"/>
              <w:rPr>
                <w:rFonts w:hint="eastAsia" w:ascii="宋体" w:hAnsi="宋体" w:cs="宋体"/>
                <w:kern w:val="0"/>
                <w:szCs w:val="21"/>
              </w:rPr>
            </w:pPr>
            <w:r>
              <w:rPr>
                <w:rFonts w:hint="eastAsia" w:ascii="宋体" w:hAnsi="宋体" w:cs="宋体"/>
                <w:kern w:val="0"/>
                <w:szCs w:val="21"/>
              </w:rPr>
              <w:t>达标</w:t>
            </w:r>
          </w:p>
        </w:tc>
      </w:tr>
      <w:tr w14:paraId="3B9A60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61684E3">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08F4D382">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3362C9F1">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6FE9E05D">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A514A5D">
            <w:pPr>
              <w:widowControl/>
              <w:jc w:val="center"/>
              <w:rPr>
                <w:rFonts w:hint="eastAsia" w:ascii="宋体" w:hAnsi="宋体" w:cs="宋体"/>
                <w:kern w:val="0"/>
                <w:szCs w:val="21"/>
              </w:rPr>
            </w:pPr>
            <w:r>
              <w:rPr>
                <w:rFonts w:hint="eastAsia" w:ascii="宋体" w:hAnsi="宋体" w:cs="宋体"/>
                <w:kern w:val="0"/>
                <w:szCs w:val="21"/>
              </w:rPr>
              <w:t>20</w:t>
            </w:r>
          </w:p>
        </w:tc>
        <w:tc>
          <w:tcPr>
            <w:tcW w:w="406" w:type="pct"/>
            <w:shd w:val="clear" w:color="auto" w:fill="auto"/>
            <w:vAlign w:val="center"/>
          </w:tcPr>
          <w:p w14:paraId="1B9ED849">
            <w:pPr>
              <w:widowControl/>
              <w:jc w:val="center"/>
              <w:rPr>
                <w:rFonts w:hint="eastAsia" w:ascii="宋体" w:hAnsi="宋体" w:cs="宋体"/>
                <w:kern w:val="0"/>
                <w:szCs w:val="21"/>
              </w:rPr>
            </w:pPr>
            <w:r>
              <w:rPr>
                <w:rFonts w:ascii="宋体" w:hAnsi="宋体" w:cs="Calibri"/>
                <w:szCs w:val="21"/>
              </w:rPr>
              <w:t>0.0222</w:t>
            </w:r>
          </w:p>
        </w:tc>
        <w:tc>
          <w:tcPr>
            <w:tcW w:w="436" w:type="pct"/>
            <w:shd w:val="clear" w:color="auto" w:fill="auto"/>
            <w:vAlign w:val="center"/>
          </w:tcPr>
          <w:p w14:paraId="37DC1DC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26FD435">
            <w:pPr>
              <w:widowControl/>
              <w:jc w:val="center"/>
              <w:rPr>
                <w:rFonts w:hint="eastAsia" w:ascii="宋体" w:hAnsi="宋体" w:cs="宋体"/>
                <w:kern w:val="0"/>
                <w:szCs w:val="21"/>
              </w:rPr>
            </w:pPr>
            <w:r>
              <w:rPr>
                <w:rFonts w:hint="eastAsia" w:ascii="宋体" w:hAnsi="宋体" w:cs="宋体"/>
                <w:kern w:val="0"/>
                <w:szCs w:val="21"/>
              </w:rPr>
              <w:t>33</w:t>
            </w:r>
          </w:p>
        </w:tc>
        <w:tc>
          <w:tcPr>
            <w:tcW w:w="442" w:type="pct"/>
            <w:shd w:val="clear" w:color="auto" w:fill="auto"/>
            <w:vAlign w:val="center"/>
          </w:tcPr>
          <w:p w14:paraId="672CB876">
            <w:pPr>
              <w:widowControl/>
              <w:jc w:val="center"/>
              <w:rPr>
                <w:rFonts w:hint="eastAsia" w:ascii="宋体" w:hAnsi="宋体" w:cs="宋体"/>
                <w:kern w:val="0"/>
                <w:szCs w:val="21"/>
              </w:rPr>
            </w:pPr>
            <w:r>
              <w:rPr>
                <w:rFonts w:ascii="宋体" w:hAnsi="宋体" w:cs="Calibri"/>
                <w:szCs w:val="21"/>
              </w:rPr>
              <w:t>0.0367</w:t>
            </w:r>
          </w:p>
        </w:tc>
        <w:tc>
          <w:tcPr>
            <w:tcW w:w="406" w:type="pct"/>
            <w:shd w:val="clear" w:color="auto" w:fill="auto"/>
            <w:vAlign w:val="center"/>
          </w:tcPr>
          <w:p w14:paraId="39AD8473">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0BEF3BD">
            <w:pPr>
              <w:widowControl/>
              <w:jc w:val="center"/>
              <w:rPr>
                <w:rFonts w:hint="eastAsia" w:ascii="宋体" w:hAnsi="宋体" w:cs="宋体"/>
                <w:kern w:val="0"/>
                <w:szCs w:val="21"/>
              </w:rPr>
            </w:pPr>
            <w:r>
              <w:rPr>
                <w:rFonts w:hint="eastAsia" w:ascii="宋体" w:hAnsi="宋体" w:cs="宋体"/>
                <w:kern w:val="0"/>
                <w:szCs w:val="21"/>
              </w:rPr>
              <w:t>37</w:t>
            </w:r>
          </w:p>
        </w:tc>
        <w:tc>
          <w:tcPr>
            <w:tcW w:w="410" w:type="pct"/>
            <w:shd w:val="clear" w:color="auto" w:fill="auto"/>
            <w:vAlign w:val="center"/>
          </w:tcPr>
          <w:p w14:paraId="489969D5">
            <w:pPr>
              <w:widowControl/>
              <w:jc w:val="center"/>
              <w:rPr>
                <w:rFonts w:hint="eastAsia" w:ascii="宋体" w:hAnsi="宋体" w:cs="宋体"/>
                <w:kern w:val="0"/>
                <w:szCs w:val="21"/>
              </w:rPr>
            </w:pPr>
            <w:r>
              <w:rPr>
                <w:rFonts w:hint="eastAsia" w:ascii="宋体" w:hAnsi="宋体"/>
                <w:szCs w:val="21"/>
              </w:rPr>
              <w:t>0.0411</w:t>
            </w:r>
          </w:p>
        </w:tc>
        <w:tc>
          <w:tcPr>
            <w:tcW w:w="389" w:type="pct"/>
            <w:shd w:val="clear" w:color="auto" w:fill="auto"/>
            <w:vAlign w:val="center"/>
          </w:tcPr>
          <w:p w14:paraId="407DF7DB">
            <w:pPr>
              <w:widowControl/>
              <w:jc w:val="center"/>
              <w:rPr>
                <w:rFonts w:hint="eastAsia" w:ascii="宋体" w:hAnsi="宋体" w:cs="宋体"/>
                <w:kern w:val="0"/>
                <w:szCs w:val="21"/>
              </w:rPr>
            </w:pPr>
            <w:r>
              <w:rPr>
                <w:rFonts w:hint="eastAsia" w:ascii="宋体" w:hAnsi="宋体" w:cs="宋体"/>
                <w:kern w:val="0"/>
                <w:szCs w:val="21"/>
              </w:rPr>
              <w:t>达标</w:t>
            </w:r>
          </w:p>
        </w:tc>
      </w:tr>
      <w:tr w14:paraId="534F67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C7412F2">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7C079398">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49B62B93">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6CB27BE5">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647E3B3">
            <w:pPr>
              <w:widowControl/>
              <w:jc w:val="center"/>
              <w:rPr>
                <w:rFonts w:hint="eastAsia" w:ascii="宋体" w:hAnsi="宋体" w:cs="宋体"/>
                <w:kern w:val="0"/>
                <w:szCs w:val="21"/>
              </w:rPr>
            </w:pPr>
            <w:r>
              <w:rPr>
                <w:rFonts w:hint="eastAsia" w:ascii="宋体" w:hAnsi="宋体" w:cs="宋体"/>
                <w:kern w:val="0"/>
                <w:szCs w:val="21"/>
              </w:rPr>
              <w:t>21</w:t>
            </w:r>
          </w:p>
        </w:tc>
        <w:tc>
          <w:tcPr>
            <w:tcW w:w="406" w:type="pct"/>
            <w:shd w:val="clear" w:color="auto" w:fill="auto"/>
            <w:vAlign w:val="center"/>
          </w:tcPr>
          <w:p w14:paraId="5EF705E5">
            <w:pPr>
              <w:widowControl/>
              <w:jc w:val="center"/>
              <w:rPr>
                <w:rFonts w:hint="eastAsia" w:ascii="宋体" w:hAnsi="宋体" w:cs="宋体"/>
                <w:kern w:val="0"/>
                <w:szCs w:val="21"/>
              </w:rPr>
            </w:pPr>
            <w:r>
              <w:rPr>
                <w:rFonts w:ascii="宋体" w:hAnsi="宋体" w:cs="Calibri"/>
                <w:szCs w:val="21"/>
              </w:rPr>
              <w:t>0.0047</w:t>
            </w:r>
          </w:p>
        </w:tc>
        <w:tc>
          <w:tcPr>
            <w:tcW w:w="436" w:type="pct"/>
            <w:shd w:val="clear" w:color="auto" w:fill="auto"/>
            <w:vAlign w:val="center"/>
          </w:tcPr>
          <w:p w14:paraId="45AA010D">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5F727EA">
            <w:pPr>
              <w:widowControl/>
              <w:jc w:val="center"/>
              <w:rPr>
                <w:rFonts w:hint="eastAsia" w:ascii="宋体" w:hAnsi="宋体" w:cs="宋体"/>
                <w:kern w:val="0"/>
                <w:szCs w:val="21"/>
              </w:rPr>
            </w:pPr>
            <w:r>
              <w:rPr>
                <w:rFonts w:hint="eastAsia" w:ascii="宋体" w:hAnsi="宋体" w:cs="宋体"/>
                <w:kern w:val="0"/>
                <w:szCs w:val="21"/>
              </w:rPr>
              <w:t>14</w:t>
            </w:r>
          </w:p>
        </w:tc>
        <w:tc>
          <w:tcPr>
            <w:tcW w:w="442" w:type="pct"/>
            <w:shd w:val="clear" w:color="auto" w:fill="auto"/>
            <w:vAlign w:val="center"/>
          </w:tcPr>
          <w:p w14:paraId="15C30DD5">
            <w:pPr>
              <w:widowControl/>
              <w:jc w:val="center"/>
              <w:rPr>
                <w:rFonts w:hint="eastAsia" w:ascii="宋体" w:hAnsi="宋体" w:cs="宋体"/>
                <w:kern w:val="0"/>
                <w:szCs w:val="21"/>
              </w:rPr>
            </w:pPr>
            <w:r>
              <w:rPr>
                <w:rFonts w:ascii="宋体" w:hAnsi="宋体" w:cs="Calibri"/>
                <w:szCs w:val="21"/>
              </w:rPr>
              <w:t>0.0031</w:t>
            </w:r>
          </w:p>
        </w:tc>
        <w:tc>
          <w:tcPr>
            <w:tcW w:w="406" w:type="pct"/>
            <w:shd w:val="clear" w:color="auto" w:fill="auto"/>
            <w:vAlign w:val="center"/>
          </w:tcPr>
          <w:p w14:paraId="76F6655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59AA6F3">
            <w:pPr>
              <w:widowControl/>
              <w:jc w:val="center"/>
              <w:rPr>
                <w:rFonts w:hint="eastAsia" w:ascii="宋体" w:hAnsi="宋体" w:cs="宋体"/>
                <w:kern w:val="0"/>
                <w:szCs w:val="21"/>
              </w:rPr>
            </w:pPr>
            <w:r>
              <w:rPr>
                <w:rFonts w:hint="eastAsia" w:ascii="宋体" w:hAnsi="宋体" w:cs="宋体"/>
                <w:kern w:val="0"/>
                <w:szCs w:val="21"/>
              </w:rPr>
              <w:t>10</w:t>
            </w:r>
          </w:p>
        </w:tc>
        <w:tc>
          <w:tcPr>
            <w:tcW w:w="410" w:type="pct"/>
            <w:shd w:val="clear" w:color="auto" w:fill="auto"/>
            <w:vAlign w:val="center"/>
          </w:tcPr>
          <w:p w14:paraId="7903AB4A">
            <w:pPr>
              <w:widowControl/>
              <w:jc w:val="center"/>
              <w:rPr>
                <w:rFonts w:hint="eastAsia" w:ascii="宋体" w:hAnsi="宋体" w:cs="宋体"/>
                <w:kern w:val="0"/>
                <w:szCs w:val="21"/>
              </w:rPr>
            </w:pPr>
            <w:r>
              <w:rPr>
                <w:rFonts w:hint="eastAsia" w:ascii="宋体" w:hAnsi="宋体"/>
                <w:szCs w:val="21"/>
              </w:rPr>
              <w:t>0.0022</w:t>
            </w:r>
          </w:p>
        </w:tc>
        <w:tc>
          <w:tcPr>
            <w:tcW w:w="389" w:type="pct"/>
            <w:shd w:val="clear" w:color="auto" w:fill="auto"/>
            <w:vAlign w:val="center"/>
          </w:tcPr>
          <w:p w14:paraId="1CCF2F1F">
            <w:pPr>
              <w:widowControl/>
              <w:jc w:val="center"/>
              <w:rPr>
                <w:rFonts w:hint="eastAsia" w:ascii="宋体" w:hAnsi="宋体" w:cs="宋体"/>
                <w:kern w:val="0"/>
                <w:szCs w:val="21"/>
              </w:rPr>
            </w:pPr>
            <w:r>
              <w:rPr>
                <w:rFonts w:hint="eastAsia" w:ascii="宋体" w:hAnsi="宋体" w:cs="宋体"/>
                <w:kern w:val="0"/>
                <w:szCs w:val="21"/>
              </w:rPr>
              <w:t>达标</w:t>
            </w:r>
          </w:p>
        </w:tc>
      </w:tr>
      <w:tr w14:paraId="001685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84F8A0F">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0E702AF5">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002CB3C0">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4DF88FCF">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53B1E7D8">
            <w:pPr>
              <w:widowControl/>
              <w:jc w:val="center"/>
              <w:rPr>
                <w:rFonts w:hint="eastAsia" w:ascii="宋体" w:hAnsi="宋体" w:cs="宋体"/>
                <w:kern w:val="0"/>
                <w:szCs w:val="21"/>
              </w:rPr>
            </w:pPr>
            <w:r>
              <w:rPr>
                <w:rFonts w:hint="eastAsia" w:ascii="宋体" w:hAnsi="宋体" w:cs="宋体"/>
                <w:kern w:val="0"/>
                <w:szCs w:val="21"/>
              </w:rPr>
              <w:t>8.02</w:t>
            </w:r>
          </w:p>
        </w:tc>
        <w:tc>
          <w:tcPr>
            <w:tcW w:w="406" w:type="pct"/>
            <w:shd w:val="clear" w:color="auto" w:fill="auto"/>
            <w:vAlign w:val="center"/>
          </w:tcPr>
          <w:p w14:paraId="6B18240E">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182C1E15">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6F8ABBCE">
            <w:pPr>
              <w:widowControl/>
              <w:jc w:val="center"/>
              <w:rPr>
                <w:rFonts w:hint="eastAsia" w:ascii="宋体" w:hAnsi="宋体" w:cs="宋体"/>
                <w:kern w:val="0"/>
                <w:szCs w:val="21"/>
              </w:rPr>
            </w:pPr>
            <w:r>
              <w:rPr>
                <w:rFonts w:hint="eastAsia" w:ascii="宋体" w:hAnsi="宋体" w:cs="宋体"/>
                <w:kern w:val="0"/>
                <w:szCs w:val="21"/>
              </w:rPr>
              <w:t>8.28</w:t>
            </w:r>
          </w:p>
        </w:tc>
        <w:tc>
          <w:tcPr>
            <w:tcW w:w="442" w:type="pct"/>
            <w:shd w:val="clear" w:color="auto" w:fill="auto"/>
            <w:vAlign w:val="center"/>
          </w:tcPr>
          <w:p w14:paraId="3853C62C">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00E6550A">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1F5905F3">
            <w:pPr>
              <w:widowControl/>
              <w:jc w:val="center"/>
              <w:rPr>
                <w:rFonts w:hint="eastAsia" w:ascii="宋体" w:hAnsi="宋体" w:cs="宋体"/>
                <w:kern w:val="0"/>
                <w:szCs w:val="21"/>
              </w:rPr>
            </w:pPr>
            <w:r>
              <w:rPr>
                <w:rFonts w:hint="eastAsia" w:ascii="宋体" w:hAnsi="宋体" w:cs="宋体"/>
                <w:kern w:val="0"/>
                <w:szCs w:val="21"/>
              </w:rPr>
              <w:t>8.16</w:t>
            </w:r>
          </w:p>
        </w:tc>
        <w:tc>
          <w:tcPr>
            <w:tcW w:w="410" w:type="pct"/>
            <w:shd w:val="clear" w:color="auto" w:fill="auto"/>
            <w:vAlign w:val="center"/>
          </w:tcPr>
          <w:p w14:paraId="3546004A">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5985E106">
            <w:pPr>
              <w:widowControl/>
              <w:jc w:val="center"/>
              <w:rPr>
                <w:rFonts w:hint="eastAsia" w:ascii="宋体" w:hAnsi="宋体" w:cs="宋体"/>
                <w:kern w:val="0"/>
                <w:szCs w:val="21"/>
              </w:rPr>
            </w:pPr>
            <w:r>
              <w:rPr>
                <w:rFonts w:hint="eastAsia" w:ascii="宋体" w:hAnsi="宋体" w:cs="宋体"/>
                <w:kern w:val="0"/>
                <w:szCs w:val="21"/>
              </w:rPr>
              <w:t>/</w:t>
            </w:r>
          </w:p>
        </w:tc>
      </w:tr>
      <w:tr w14:paraId="12CE7C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B1E7B11">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5B6444AB">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30AB4796">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35E61BCF">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57C5B7A1">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572276C0">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603286BB">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0D678BC1">
            <w:pPr>
              <w:widowControl/>
              <w:jc w:val="center"/>
              <w:rPr>
                <w:rFonts w:hint="eastAsia" w:ascii="宋体" w:hAnsi="宋体" w:cs="宋体"/>
                <w:kern w:val="0"/>
                <w:szCs w:val="21"/>
              </w:rPr>
            </w:pPr>
            <w:r>
              <w:rPr>
                <w:rFonts w:hint="eastAsia" w:ascii="宋体" w:hAnsi="宋体" w:cs="宋体"/>
                <w:kern w:val="0"/>
                <w:szCs w:val="21"/>
              </w:rPr>
              <w:t>3.4</w:t>
            </w:r>
          </w:p>
        </w:tc>
        <w:tc>
          <w:tcPr>
            <w:tcW w:w="442" w:type="pct"/>
            <w:shd w:val="clear" w:color="auto" w:fill="auto"/>
            <w:vAlign w:val="center"/>
          </w:tcPr>
          <w:p w14:paraId="58691A18">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531AE049">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491B3AFE">
            <w:pPr>
              <w:widowControl/>
              <w:jc w:val="center"/>
              <w:rPr>
                <w:rFonts w:hint="eastAsia" w:ascii="宋体" w:hAnsi="宋体" w:cs="宋体"/>
                <w:kern w:val="0"/>
                <w:szCs w:val="21"/>
              </w:rPr>
            </w:pPr>
            <w:r>
              <w:rPr>
                <w:rFonts w:hint="eastAsia" w:ascii="宋体" w:hAnsi="宋体" w:cs="宋体"/>
                <w:kern w:val="0"/>
                <w:szCs w:val="21"/>
              </w:rPr>
              <w:t>1.2</w:t>
            </w:r>
          </w:p>
        </w:tc>
        <w:tc>
          <w:tcPr>
            <w:tcW w:w="410" w:type="pct"/>
            <w:shd w:val="clear" w:color="auto" w:fill="auto"/>
            <w:vAlign w:val="center"/>
          </w:tcPr>
          <w:p w14:paraId="34B30062">
            <w:pPr>
              <w:widowControl/>
              <w:jc w:val="center"/>
              <w:rPr>
                <w:rFonts w:hint="eastAsia" w:ascii="宋体" w:hAnsi="宋体" w:cs="宋体"/>
                <w:kern w:val="0"/>
                <w:szCs w:val="21"/>
              </w:rPr>
            </w:pPr>
            <w:r>
              <w:rPr>
                <w:rFonts w:hint="eastAsia" w:ascii="宋体" w:hAnsi="宋体" w:cs="宋体"/>
                <w:kern w:val="0"/>
                <w:szCs w:val="21"/>
              </w:rPr>
              <w:t>/</w:t>
            </w:r>
          </w:p>
        </w:tc>
        <w:tc>
          <w:tcPr>
            <w:tcW w:w="389" w:type="pct"/>
            <w:shd w:val="clear" w:color="auto" w:fill="auto"/>
            <w:vAlign w:val="center"/>
          </w:tcPr>
          <w:p w14:paraId="52228ED6">
            <w:pPr>
              <w:widowControl/>
              <w:jc w:val="center"/>
              <w:rPr>
                <w:rFonts w:hint="eastAsia" w:ascii="宋体" w:hAnsi="宋体" w:cs="宋体"/>
                <w:kern w:val="0"/>
                <w:szCs w:val="21"/>
              </w:rPr>
            </w:pPr>
            <w:r>
              <w:rPr>
                <w:rFonts w:hint="eastAsia" w:ascii="宋体" w:hAnsi="宋体" w:cs="宋体"/>
                <w:kern w:val="0"/>
                <w:szCs w:val="21"/>
              </w:rPr>
              <w:t>/</w:t>
            </w:r>
          </w:p>
        </w:tc>
      </w:tr>
      <w:tr w14:paraId="0FF032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9" w:type="pct"/>
            <w:shd w:val="clear" w:color="auto" w:fill="auto"/>
            <w:vAlign w:val="center"/>
          </w:tcPr>
          <w:p w14:paraId="1687ABBA">
            <w:pPr>
              <w:widowControl/>
              <w:jc w:val="center"/>
              <w:rPr>
                <w:rFonts w:hint="eastAsia" w:ascii="宋体" w:hAnsi="宋体" w:cs="宋体"/>
                <w:kern w:val="0"/>
                <w:szCs w:val="21"/>
              </w:rPr>
            </w:pPr>
            <w:r>
              <w:rPr>
                <w:rFonts w:hint="eastAsia" w:ascii="宋体" w:hAnsi="宋体" w:cs="宋体"/>
                <w:kern w:val="0"/>
                <w:szCs w:val="21"/>
              </w:rPr>
              <w:t>/</w:t>
            </w:r>
          </w:p>
        </w:tc>
        <w:tc>
          <w:tcPr>
            <w:tcW w:w="562" w:type="pct"/>
            <w:shd w:val="clear" w:color="auto" w:fill="auto"/>
            <w:vAlign w:val="center"/>
          </w:tcPr>
          <w:p w14:paraId="6DD3C167">
            <w:pPr>
              <w:widowControl/>
              <w:jc w:val="center"/>
              <w:rPr>
                <w:rFonts w:hint="eastAsia" w:ascii="宋体" w:hAnsi="宋体" w:cs="宋体"/>
                <w:kern w:val="0"/>
                <w:szCs w:val="21"/>
              </w:rPr>
            </w:pPr>
            <w:r>
              <w:rPr>
                <w:rFonts w:hint="eastAsia" w:ascii="宋体" w:hAnsi="宋体" w:cs="宋体"/>
                <w:kern w:val="0"/>
                <w:szCs w:val="21"/>
              </w:rPr>
              <w:t>/</w:t>
            </w:r>
          </w:p>
        </w:tc>
        <w:tc>
          <w:tcPr>
            <w:tcW w:w="456" w:type="pct"/>
            <w:shd w:val="clear" w:color="auto" w:fill="auto"/>
            <w:vAlign w:val="center"/>
          </w:tcPr>
          <w:p w14:paraId="6FAF8D84">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3CD4FFF5">
            <w:pPr>
              <w:widowControl/>
              <w:jc w:val="center"/>
              <w:rPr>
                <w:rFonts w:hint="eastAsia" w:ascii="宋体" w:hAnsi="宋体" w:cs="宋体"/>
                <w:kern w:val="0"/>
                <w:szCs w:val="21"/>
              </w:rPr>
            </w:pPr>
            <w:r>
              <w:rPr>
                <w:rFonts w:hint="eastAsia" w:ascii="宋体" w:hAnsi="宋体" w:cs="宋体"/>
                <w:kern w:val="0"/>
                <w:szCs w:val="21"/>
              </w:rPr>
              <w:t>/</w:t>
            </w:r>
          </w:p>
        </w:tc>
        <w:tc>
          <w:tcPr>
            <w:tcW w:w="1146" w:type="pct"/>
            <w:gridSpan w:val="3"/>
            <w:shd w:val="clear" w:color="auto" w:fill="auto"/>
            <w:vAlign w:val="center"/>
          </w:tcPr>
          <w:p w14:paraId="526C2F59">
            <w:pPr>
              <w:widowControl/>
              <w:jc w:val="center"/>
              <w:rPr>
                <w:rFonts w:hint="eastAsia" w:ascii="宋体" w:hAnsi="宋体" w:cs="宋体"/>
                <w:kern w:val="0"/>
                <w:szCs w:val="21"/>
              </w:rPr>
            </w:pPr>
            <w:r>
              <w:rPr>
                <w:rFonts w:hint="eastAsia" w:ascii="宋体" w:hAnsi="宋体" w:cs="宋体"/>
                <w:kern w:val="0"/>
                <w:szCs w:val="21"/>
              </w:rPr>
              <w:t>T9(0m～0.2m)</w:t>
            </w:r>
          </w:p>
        </w:tc>
        <w:tc>
          <w:tcPr>
            <w:tcW w:w="1227" w:type="pct"/>
            <w:gridSpan w:val="4"/>
            <w:shd w:val="clear" w:color="auto" w:fill="auto"/>
            <w:vAlign w:val="center"/>
          </w:tcPr>
          <w:p w14:paraId="1B613EE7">
            <w:pPr>
              <w:widowControl/>
              <w:jc w:val="center"/>
              <w:rPr>
                <w:rFonts w:hint="eastAsia" w:ascii="宋体" w:hAnsi="宋体" w:cs="宋体"/>
                <w:kern w:val="0"/>
                <w:szCs w:val="21"/>
              </w:rPr>
            </w:pPr>
            <w:r>
              <w:rPr>
                <w:rFonts w:hint="eastAsia" w:ascii="宋体" w:hAnsi="宋体" w:cs="宋体"/>
                <w:kern w:val="0"/>
                <w:szCs w:val="21"/>
              </w:rPr>
              <w:t>T10(0m～0.2m)</w:t>
            </w:r>
          </w:p>
        </w:tc>
        <w:tc>
          <w:tcPr>
            <w:tcW w:w="1105" w:type="pct"/>
            <w:gridSpan w:val="4"/>
            <w:shd w:val="clear" w:color="auto" w:fill="auto"/>
            <w:vAlign w:val="center"/>
          </w:tcPr>
          <w:p w14:paraId="7CB6E806">
            <w:pPr>
              <w:widowControl/>
              <w:jc w:val="center"/>
              <w:rPr>
                <w:rFonts w:hint="eastAsia" w:ascii="宋体" w:hAnsi="宋体" w:cs="宋体"/>
                <w:kern w:val="0"/>
                <w:szCs w:val="21"/>
              </w:rPr>
            </w:pPr>
          </w:p>
        </w:tc>
      </w:tr>
      <w:tr w14:paraId="4A99F7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CD40FE8">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3E72E596">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58DE8F12">
            <w:pPr>
              <w:widowControl/>
              <w:jc w:val="center"/>
              <w:rPr>
                <w:rFonts w:hint="eastAsia" w:ascii="宋体" w:hAnsi="宋体" w:cs="宋体"/>
                <w:kern w:val="0"/>
                <w:szCs w:val="21"/>
              </w:rPr>
            </w:pPr>
            <w:r>
              <w:rPr>
                <w:rFonts w:hint="eastAsia" w:ascii="宋体" w:hAnsi="宋体" w:cs="宋体"/>
                <w:kern w:val="0"/>
                <w:szCs w:val="21"/>
              </w:rPr>
              <w:t>38</w:t>
            </w:r>
          </w:p>
        </w:tc>
        <w:tc>
          <w:tcPr>
            <w:tcW w:w="305" w:type="pct"/>
            <w:shd w:val="clear" w:color="auto" w:fill="auto"/>
            <w:vAlign w:val="center"/>
          </w:tcPr>
          <w:p w14:paraId="6D238EB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827C367">
            <w:pPr>
              <w:widowControl/>
              <w:jc w:val="center"/>
              <w:rPr>
                <w:rFonts w:hint="eastAsia" w:ascii="宋体" w:hAnsi="宋体" w:cs="宋体"/>
                <w:kern w:val="0"/>
                <w:szCs w:val="21"/>
              </w:rPr>
            </w:pPr>
            <w:r>
              <w:rPr>
                <w:rFonts w:hint="eastAsia" w:ascii="宋体" w:hAnsi="宋体" w:cs="宋体"/>
                <w:kern w:val="0"/>
                <w:szCs w:val="21"/>
              </w:rPr>
              <w:t>0.071</w:t>
            </w:r>
          </w:p>
        </w:tc>
        <w:tc>
          <w:tcPr>
            <w:tcW w:w="406" w:type="pct"/>
            <w:shd w:val="clear" w:color="auto" w:fill="auto"/>
            <w:vAlign w:val="center"/>
          </w:tcPr>
          <w:p w14:paraId="787FF8B1">
            <w:pPr>
              <w:widowControl/>
              <w:jc w:val="center"/>
              <w:rPr>
                <w:rFonts w:hint="eastAsia" w:ascii="宋体" w:hAnsi="宋体" w:cs="宋体"/>
                <w:kern w:val="0"/>
                <w:szCs w:val="21"/>
              </w:rPr>
            </w:pPr>
            <w:r>
              <w:rPr>
                <w:rFonts w:hint="eastAsia" w:ascii="宋体" w:hAnsi="宋体"/>
                <w:szCs w:val="21"/>
              </w:rPr>
              <w:t>0.0019</w:t>
            </w:r>
          </w:p>
        </w:tc>
        <w:tc>
          <w:tcPr>
            <w:tcW w:w="436" w:type="pct"/>
            <w:shd w:val="clear" w:color="auto" w:fill="auto"/>
            <w:vAlign w:val="center"/>
          </w:tcPr>
          <w:p w14:paraId="607499E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4423492">
            <w:pPr>
              <w:widowControl/>
              <w:jc w:val="center"/>
              <w:rPr>
                <w:rFonts w:hint="eastAsia" w:ascii="宋体" w:hAnsi="宋体" w:cs="宋体"/>
                <w:kern w:val="0"/>
                <w:szCs w:val="21"/>
              </w:rPr>
            </w:pPr>
            <w:r>
              <w:rPr>
                <w:rFonts w:hint="eastAsia" w:ascii="宋体" w:hAnsi="宋体" w:cs="宋体"/>
                <w:kern w:val="0"/>
                <w:szCs w:val="21"/>
              </w:rPr>
              <w:t>0.066</w:t>
            </w:r>
          </w:p>
        </w:tc>
        <w:tc>
          <w:tcPr>
            <w:tcW w:w="442" w:type="pct"/>
            <w:shd w:val="clear" w:color="auto" w:fill="auto"/>
            <w:vAlign w:val="center"/>
          </w:tcPr>
          <w:p w14:paraId="2AE7C192">
            <w:pPr>
              <w:widowControl/>
              <w:jc w:val="center"/>
              <w:rPr>
                <w:rFonts w:hint="eastAsia" w:ascii="宋体" w:hAnsi="宋体" w:cs="宋体"/>
                <w:kern w:val="0"/>
                <w:szCs w:val="21"/>
              </w:rPr>
            </w:pPr>
            <w:r>
              <w:rPr>
                <w:rFonts w:hint="eastAsia" w:ascii="宋体" w:hAnsi="宋体"/>
                <w:szCs w:val="21"/>
              </w:rPr>
              <w:t>0.0017</w:t>
            </w:r>
          </w:p>
        </w:tc>
        <w:tc>
          <w:tcPr>
            <w:tcW w:w="406" w:type="pct"/>
            <w:shd w:val="clear" w:color="auto" w:fill="auto"/>
            <w:vAlign w:val="center"/>
          </w:tcPr>
          <w:p w14:paraId="17F9D3A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63AABA6">
            <w:pPr>
              <w:widowControl/>
              <w:jc w:val="center"/>
              <w:rPr>
                <w:rFonts w:hint="eastAsia" w:ascii="宋体" w:hAnsi="宋体" w:cs="宋体"/>
                <w:kern w:val="0"/>
                <w:szCs w:val="21"/>
              </w:rPr>
            </w:pPr>
          </w:p>
        </w:tc>
        <w:tc>
          <w:tcPr>
            <w:tcW w:w="410" w:type="pct"/>
            <w:shd w:val="clear" w:color="auto" w:fill="auto"/>
            <w:vAlign w:val="center"/>
          </w:tcPr>
          <w:p w14:paraId="73D7FFA7">
            <w:pPr>
              <w:widowControl/>
              <w:jc w:val="center"/>
              <w:rPr>
                <w:rFonts w:hint="eastAsia" w:ascii="宋体" w:hAnsi="宋体" w:cs="宋体"/>
                <w:kern w:val="0"/>
                <w:szCs w:val="21"/>
              </w:rPr>
            </w:pPr>
          </w:p>
        </w:tc>
        <w:tc>
          <w:tcPr>
            <w:tcW w:w="389" w:type="pct"/>
            <w:shd w:val="clear" w:color="auto" w:fill="auto"/>
            <w:vAlign w:val="center"/>
          </w:tcPr>
          <w:p w14:paraId="4077AFA4">
            <w:pPr>
              <w:widowControl/>
              <w:jc w:val="center"/>
              <w:rPr>
                <w:rFonts w:hint="eastAsia" w:ascii="宋体" w:hAnsi="宋体" w:cs="宋体"/>
                <w:kern w:val="0"/>
                <w:szCs w:val="21"/>
              </w:rPr>
            </w:pPr>
          </w:p>
        </w:tc>
      </w:tr>
      <w:tr w14:paraId="239BF4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FC1698C">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09FAE492">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791F7E2A">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48381C4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BA09AFE">
            <w:pPr>
              <w:widowControl/>
              <w:jc w:val="center"/>
              <w:rPr>
                <w:rFonts w:hint="eastAsia" w:ascii="宋体" w:hAnsi="宋体" w:cs="宋体"/>
                <w:kern w:val="0"/>
                <w:szCs w:val="21"/>
              </w:rPr>
            </w:pPr>
            <w:r>
              <w:rPr>
                <w:rFonts w:hint="eastAsia" w:ascii="宋体" w:hAnsi="宋体" w:cs="宋体"/>
                <w:kern w:val="0"/>
                <w:szCs w:val="21"/>
              </w:rPr>
              <w:t>9.25</w:t>
            </w:r>
          </w:p>
        </w:tc>
        <w:tc>
          <w:tcPr>
            <w:tcW w:w="406" w:type="pct"/>
            <w:shd w:val="clear" w:color="auto" w:fill="auto"/>
            <w:vAlign w:val="center"/>
          </w:tcPr>
          <w:p w14:paraId="4B66D0A6">
            <w:pPr>
              <w:widowControl/>
              <w:jc w:val="center"/>
              <w:rPr>
                <w:rFonts w:hint="eastAsia" w:ascii="宋体" w:hAnsi="宋体" w:cs="宋体"/>
                <w:kern w:val="0"/>
                <w:szCs w:val="21"/>
              </w:rPr>
            </w:pPr>
            <w:r>
              <w:rPr>
                <w:rFonts w:hint="eastAsia" w:ascii="宋体" w:hAnsi="宋体"/>
                <w:szCs w:val="21"/>
              </w:rPr>
              <w:t>0.1542</w:t>
            </w:r>
          </w:p>
        </w:tc>
        <w:tc>
          <w:tcPr>
            <w:tcW w:w="436" w:type="pct"/>
            <w:shd w:val="clear" w:color="auto" w:fill="auto"/>
            <w:vAlign w:val="center"/>
          </w:tcPr>
          <w:p w14:paraId="425F49F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CA67F5F">
            <w:pPr>
              <w:widowControl/>
              <w:jc w:val="center"/>
              <w:rPr>
                <w:rFonts w:hint="eastAsia" w:ascii="宋体" w:hAnsi="宋体" w:cs="宋体"/>
                <w:kern w:val="0"/>
                <w:szCs w:val="21"/>
              </w:rPr>
            </w:pPr>
            <w:r>
              <w:rPr>
                <w:rFonts w:hint="eastAsia" w:ascii="宋体" w:hAnsi="宋体" w:cs="宋体"/>
                <w:kern w:val="0"/>
                <w:szCs w:val="21"/>
              </w:rPr>
              <w:t>9.89</w:t>
            </w:r>
          </w:p>
        </w:tc>
        <w:tc>
          <w:tcPr>
            <w:tcW w:w="442" w:type="pct"/>
            <w:shd w:val="clear" w:color="auto" w:fill="auto"/>
            <w:vAlign w:val="center"/>
          </w:tcPr>
          <w:p w14:paraId="7A714124">
            <w:pPr>
              <w:widowControl/>
              <w:jc w:val="center"/>
              <w:rPr>
                <w:rFonts w:hint="eastAsia" w:ascii="宋体" w:hAnsi="宋体" w:cs="宋体"/>
                <w:kern w:val="0"/>
                <w:szCs w:val="21"/>
              </w:rPr>
            </w:pPr>
            <w:r>
              <w:rPr>
                <w:rFonts w:hint="eastAsia" w:ascii="宋体" w:hAnsi="宋体"/>
                <w:szCs w:val="21"/>
              </w:rPr>
              <w:t>0.1648</w:t>
            </w:r>
          </w:p>
        </w:tc>
        <w:tc>
          <w:tcPr>
            <w:tcW w:w="406" w:type="pct"/>
            <w:shd w:val="clear" w:color="auto" w:fill="auto"/>
            <w:vAlign w:val="center"/>
          </w:tcPr>
          <w:p w14:paraId="65DCF5EA">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8D30B51">
            <w:pPr>
              <w:widowControl/>
              <w:jc w:val="center"/>
              <w:rPr>
                <w:rFonts w:hint="eastAsia" w:ascii="宋体" w:hAnsi="宋体" w:cs="宋体"/>
                <w:kern w:val="0"/>
                <w:szCs w:val="21"/>
              </w:rPr>
            </w:pPr>
          </w:p>
        </w:tc>
        <w:tc>
          <w:tcPr>
            <w:tcW w:w="410" w:type="pct"/>
            <w:shd w:val="clear" w:color="auto" w:fill="auto"/>
            <w:vAlign w:val="center"/>
          </w:tcPr>
          <w:p w14:paraId="0365FF31">
            <w:pPr>
              <w:widowControl/>
              <w:jc w:val="center"/>
              <w:rPr>
                <w:rFonts w:hint="eastAsia" w:ascii="宋体" w:hAnsi="宋体" w:cs="宋体"/>
                <w:kern w:val="0"/>
                <w:szCs w:val="21"/>
              </w:rPr>
            </w:pPr>
          </w:p>
        </w:tc>
        <w:tc>
          <w:tcPr>
            <w:tcW w:w="389" w:type="pct"/>
            <w:shd w:val="clear" w:color="auto" w:fill="auto"/>
            <w:vAlign w:val="center"/>
          </w:tcPr>
          <w:p w14:paraId="7AFBA954">
            <w:pPr>
              <w:widowControl/>
              <w:jc w:val="center"/>
              <w:rPr>
                <w:rFonts w:hint="eastAsia" w:ascii="宋体" w:hAnsi="宋体" w:cs="宋体"/>
                <w:kern w:val="0"/>
                <w:szCs w:val="21"/>
              </w:rPr>
            </w:pPr>
          </w:p>
        </w:tc>
      </w:tr>
      <w:tr w14:paraId="681EF4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0EC80D6">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7C176D9A">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29D4A150">
            <w:pPr>
              <w:widowControl/>
              <w:jc w:val="center"/>
              <w:rPr>
                <w:rFonts w:hint="eastAsia" w:ascii="宋体" w:hAnsi="宋体" w:cs="宋体"/>
                <w:kern w:val="0"/>
                <w:szCs w:val="21"/>
              </w:rPr>
            </w:pPr>
            <w:r>
              <w:rPr>
                <w:rFonts w:hint="eastAsia" w:ascii="宋体" w:hAnsi="宋体" w:cs="宋体"/>
                <w:kern w:val="0"/>
                <w:szCs w:val="21"/>
              </w:rPr>
              <w:t>800</w:t>
            </w:r>
          </w:p>
        </w:tc>
        <w:tc>
          <w:tcPr>
            <w:tcW w:w="305" w:type="pct"/>
            <w:shd w:val="clear" w:color="auto" w:fill="auto"/>
            <w:vAlign w:val="center"/>
          </w:tcPr>
          <w:p w14:paraId="5D3D30F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F8D12DC">
            <w:pPr>
              <w:widowControl/>
              <w:jc w:val="center"/>
              <w:rPr>
                <w:rFonts w:hint="eastAsia" w:ascii="宋体" w:hAnsi="宋体" w:cs="宋体"/>
                <w:kern w:val="0"/>
                <w:szCs w:val="21"/>
              </w:rPr>
            </w:pPr>
            <w:r>
              <w:rPr>
                <w:rFonts w:hint="eastAsia" w:ascii="宋体" w:hAnsi="宋体" w:cs="宋体"/>
                <w:kern w:val="0"/>
                <w:szCs w:val="21"/>
              </w:rPr>
              <w:t>5.5</w:t>
            </w:r>
          </w:p>
        </w:tc>
        <w:tc>
          <w:tcPr>
            <w:tcW w:w="406" w:type="pct"/>
            <w:shd w:val="clear" w:color="auto" w:fill="auto"/>
            <w:vAlign w:val="center"/>
          </w:tcPr>
          <w:p w14:paraId="32193732">
            <w:pPr>
              <w:widowControl/>
              <w:jc w:val="center"/>
              <w:rPr>
                <w:rFonts w:hint="eastAsia" w:ascii="宋体" w:hAnsi="宋体" w:cs="宋体"/>
                <w:kern w:val="0"/>
                <w:szCs w:val="21"/>
              </w:rPr>
            </w:pPr>
            <w:r>
              <w:rPr>
                <w:rFonts w:hint="eastAsia" w:ascii="宋体" w:hAnsi="宋体"/>
                <w:szCs w:val="21"/>
              </w:rPr>
              <w:t>0.0069</w:t>
            </w:r>
          </w:p>
        </w:tc>
        <w:tc>
          <w:tcPr>
            <w:tcW w:w="436" w:type="pct"/>
            <w:shd w:val="clear" w:color="auto" w:fill="auto"/>
            <w:vAlign w:val="center"/>
          </w:tcPr>
          <w:p w14:paraId="0C6758A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73BFB555">
            <w:pPr>
              <w:widowControl/>
              <w:jc w:val="center"/>
              <w:rPr>
                <w:rFonts w:hint="eastAsia" w:ascii="宋体" w:hAnsi="宋体" w:cs="宋体"/>
                <w:kern w:val="0"/>
                <w:szCs w:val="21"/>
              </w:rPr>
            </w:pPr>
            <w:r>
              <w:rPr>
                <w:rFonts w:hint="eastAsia" w:ascii="宋体" w:hAnsi="宋体" w:cs="宋体"/>
                <w:kern w:val="0"/>
                <w:szCs w:val="21"/>
              </w:rPr>
              <w:t>7.6</w:t>
            </w:r>
          </w:p>
        </w:tc>
        <w:tc>
          <w:tcPr>
            <w:tcW w:w="442" w:type="pct"/>
            <w:shd w:val="clear" w:color="auto" w:fill="auto"/>
            <w:vAlign w:val="center"/>
          </w:tcPr>
          <w:p w14:paraId="1C9C7B76">
            <w:pPr>
              <w:widowControl/>
              <w:jc w:val="center"/>
              <w:rPr>
                <w:rFonts w:hint="eastAsia" w:ascii="宋体" w:hAnsi="宋体" w:cs="宋体"/>
                <w:kern w:val="0"/>
                <w:szCs w:val="21"/>
              </w:rPr>
            </w:pPr>
            <w:r>
              <w:rPr>
                <w:rFonts w:hint="eastAsia" w:ascii="宋体" w:hAnsi="宋体"/>
                <w:szCs w:val="21"/>
              </w:rPr>
              <w:t>0.0095</w:t>
            </w:r>
          </w:p>
        </w:tc>
        <w:tc>
          <w:tcPr>
            <w:tcW w:w="406" w:type="pct"/>
            <w:shd w:val="clear" w:color="auto" w:fill="auto"/>
            <w:vAlign w:val="center"/>
          </w:tcPr>
          <w:p w14:paraId="3A3921D4">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CD39230">
            <w:pPr>
              <w:widowControl/>
              <w:jc w:val="center"/>
              <w:rPr>
                <w:rFonts w:hint="eastAsia" w:ascii="宋体" w:hAnsi="宋体" w:cs="宋体"/>
                <w:kern w:val="0"/>
                <w:szCs w:val="21"/>
              </w:rPr>
            </w:pPr>
          </w:p>
        </w:tc>
        <w:tc>
          <w:tcPr>
            <w:tcW w:w="410" w:type="pct"/>
            <w:shd w:val="clear" w:color="auto" w:fill="auto"/>
            <w:vAlign w:val="center"/>
          </w:tcPr>
          <w:p w14:paraId="1B9C22EB">
            <w:pPr>
              <w:widowControl/>
              <w:jc w:val="center"/>
              <w:rPr>
                <w:rFonts w:hint="eastAsia" w:ascii="宋体" w:hAnsi="宋体" w:cs="宋体"/>
                <w:kern w:val="0"/>
                <w:szCs w:val="21"/>
              </w:rPr>
            </w:pPr>
          </w:p>
        </w:tc>
        <w:tc>
          <w:tcPr>
            <w:tcW w:w="389" w:type="pct"/>
            <w:shd w:val="clear" w:color="auto" w:fill="auto"/>
            <w:vAlign w:val="center"/>
          </w:tcPr>
          <w:p w14:paraId="4FF43EED">
            <w:pPr>
              <w:widowControl/>
              <w:jc w:val="center"/>
              <w:rPr>
                <w:rFonts w:hint="eastAsia" w:ascii="宋体" w:hAnsi="宋体" w:cs="宋体"/>
                <w:kern w:val="0"/>
                <w:szCs w:val="21"/>
              </w:rPr>
            </w:pPr>
          </w:p>
        </w:tc>
      </w:tr>
      <w:tr w14:paraId="2D4A56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69F22E5">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220A5BD2">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02715CB6">
            <w:pPr>
              <w:widowControl/>
              <w:jc w:val="center"/>
              <w:rPr>
                <w:rFonts w:hint="eastAsia" w:ascii="宋体" w:hAnsi="宋体" w:cs="宋体"/>
                <w:kern w:val="0"/>
                <w:szCs w:val="21"/>
              </w:rPr>
            </w:pPr>
            <w:r>
              <w:rPr>
                <w:rFonts w:hint="eastAsia" w:ascii="宋体" w:hAnsi="宋体" w:cs="宋体"/>
                <w:kern w:val="0"/>
                <w:szCs w:val="21"/>
              </w:rPr>
              <w:t>65</w:t>
            </w:r>
          </w:p>
        </w:tc>
        <w:tc>
          <w:tcPr>
            <w:tcW w:w="305" w:type="pct"/>
            <w:shd w:val="clear" w:color="auto" w:fill="auto"/>
            <w:vAlign w:val="center"/>
          </w:tcPr>
          <w:p w14:paraId="51FE684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7F3C53D">
            <w:pPr>
              <w:widowControl/>
              <w:jc w:val="center"/>
              <w:rPr>
                <w:rFonts w:hint="eastAsia" w:ascii="宋体" w:hAnsi="宋体" w:cs="宋体"/>
                <w:kern w:val="0"/>
                <w:szCs w:val="21"/>
              </w:rPr>
            </w:pPr>
            <w:r>
              <w:rPr>
                <w:rFonts w:hint="eastAsia" w:ascii="宋体" w:hAnsi="宋体" w:cs="宋体"/>
                <w:kern w:val="0"/>
                <w:szCs w:val="21"/>
              </w:rPr>
              <w:t>1.09</w:t>
            </w:r>
          </w:p>
        </w:tc>
        <w:tc>
          <w:tcPr>
            <w:tcW w:w="406" w:type="pct"/>
            <w:shd w:val="clear" w:color="auto" w:fill="auto"/>
            <w:vAlign w:val="center"/>
          </w:tcPr>
          <w:p w14:paraId="4DE28449">
            <w:pPr>
              <w:widowControl/>
              <w:jc w:val="center"/>
              <w:rPr>
                <w:rFonts w:hint="eastAsia" w:ascii="宋体" w:hAnsi="宋体" w:cs="宋体"/>
                <w:kern w:val="0"/>
                <w:szCs w:val="21"/>
              </w:rPr>
            </w:pPr>
            <w:r>
              <w:rPr>
                <w:rFonts w:hint="eastAsia" w:ascii="宋体" w:hAnsi="宋体"/>
                <w:szCs w:val="21"/>
              </w:rPr>
              <w:t>0.0168</w:t>
            </w:r>
          </w:p>
        </w:tc>
        <w:tc>
          <w:tcPr>
            <w:tcW w:w="436" w:type="pct"/>
            <w:shd w:val="clear" w:color="auto" w:fill="auto"/>
            <w:vAlign w:val="center"/>
          </w:tcPr>
          <w:p w14:paraId="05F9B72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7F4AD82">
            <w:pPr>
              <w:widowControl/>
              <w:jc w:val="center"/>
              <w:rPr>
                <w:rFonts w:hint="eastAsia" w:ascii="宋体" w:hAnsi="宋体" w:cs="宋体"/>
                <w:kern w:val="0"/>
                <w:szCs w:val="21"/>
              </w:rPr>
            </w:pPr>
            <w:r>
              <w:rPr>
                <w:rFonts w:hint="eastAsia" w:ascii="宋体" w:hAnsi="宋体" w:cs="宋体"/>
                <w:kern w:val="0"/>
                <w:szCs w:val="21"/>
              </w:rPr>
              <w:t>0.88</w:t>
            </w:r>
          </w:p>
        </w:tc>
        <w:tc>
          <w:tcPr>
            <w:tcW w:w="442" w:type="pct"/>
            <w:shd w:val="clear" w:color="auto" w:fill="auto"/>
            <w:vAlign w:val="center"/>
          </w:tcPr>
          <w:p w14:paraId="60B1399A">
            <w:pPr>
              <w:widowControl/>
              <w:jc w:val="center"/>
              <w:rPr>
                <w:rFonts w:hint="eastAsia" w:ascii="宋体" w:hAnsi="宋体" w:cs="宋体"/>
                <w:kern w:val="0"/>
                <w:szCs w:val="21"/>
              </w:rPr>
            </w:pPr>
            <w:r>
              <w:rPr>
                <w:rFonts w:hint="eastAsia" w:ascii="宋体" w:hAnsi="宋体"/>
                <w:szCs w:val="21"/>
              </w:rPr>
              <w:t>0.0135</w:t>
            </w:r>
          </w:p>
        </w:tc>
        <w:tc>
          <w:tcPr>
            <w:tcW w:w="406" w:type="pct"/>
            <w:shd w:val="clear" w:color="auto" w:fill="auto"/>
            <w:vAlign w:val="center"/>
          </w:tcPr>
          <w:p w14:paraId="09FBBFE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9FEF863">
            <w:pPr>
              <w:widowControl/>
              <w:jc w:val="center"/>
              <w:rPr>
                <w:rFonts w:hint="eastAsia" w:ascii="宋体" w:hAnsi="宋体" w:cs="宋体"/>
                <w:kern w:val="0"/>
                <w:szCs w:val="21"/>
              </w:rPr>
            </w:pPr>
          </w:p>
        </w:tc>
        <w:tc>
          <w:tcPr>
            <w:tcW w:w="410" w:type="pct"/>
            <w:shd w:val="clear" w:color="auto" w:fill="auto"/>
            <w:vAlign w:val="center"/>
          </w:tcPr>
          <w:p w14:paraId="658BA928">
            <w:pPr>
              <w:widowControl/>
              <w:jc w:val="center"/>
              <w:rPr>
                <w:rFonts w:hint="eastAsia" w:ascii="宋体" w:hAnsi="宋体" w:cs="宋体"/>
                <w:kern w:val="0"/>
                <w:szCs w:val="21"/>
              </w:rPr>
            </w:pPr>
          </w:p>
        </w:tc>
        <w:tc>
          <w:tcPr>
            <w:tcW w:w="389" w:type="pct"/>
            <w:shd w:val="clear" w:color="auto" w:fill="auto"/>
            <w:vAlign w:val="center"/>
          </w:tcPr>
          <w:p w14:paraId="39E55067">
            <w:pPr>
              <w:widowControl/>
              <w:jc w:val="center"/>
              <w:rPr>
                <w:rFonts w:hint="eastAsia" w:ascii="宋体" w:hAnsi="宋体" w:cs="宋体"/>
                <w:kern w:val="0"/>
                <w:szCs w:val="21"/>
              </w:rPr>
            </w:pPr>
          </w:p>
        </w:tc>
      </w:tr>
      <w:tr w14:paraId="1E4F9E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7DEEFB2">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5E9E39F5">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772251FA">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7AAFEC3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A04DDC1">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37BC19BE">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463465B1">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32DFEB5">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76914390">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3DD9D50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68CE9F7F">
            <w:pPr>
              <w:widowControl/>
              <w:jc w:val="center"/>
              <w:rPr>
                <w:rFonts w:hint="eastAsia" w:ascii="宋体" w:hAnsi="宋体" w:cs="宋体"/>
                <w:kern w:val="0"/>
                <w:szCs w:val="21"/>
              </w:rPr>
            </w:pPr>
          </w:p>
        </w:tc>
        <w:tc>
          <w:tcPr>
            <w:tcW w:w="410" w:type="pct"/>
            <w:shd w:val="clear" w:color="auto" w:fill="auto"/>
            <w:vAlign w:val="center"/>
          </w:tcPr>
          <w:p w14:paraId="59C9B42F">
            <w:pPr>
              <w:widowControl/>
              <w:jc w:val="center"/>
              <w:rPr>
                <w:rFonts w:hint="eastAsia" w:ascii="宋体" w:hAnsi="宋体" w:cs="宋体"/>
                <w:kern w:val="0"/>
                <w:szCs w:val="21"/>
              </w:rPr>
            </w:pPr>
          </w:p>
        </w:tc>
        <w:tc>
          <w:tcPr>
            <w:tcW w:w="389" w:type="pct"/>
            <w:shd w:val="clear" w:color="auto" w:fill="auto"/>
            <w:vAlign w:val="center"/>
          </w:tcPr>
          <w:p w14:paraId="2A12623E">
            <w:pPr>
              <w:widowControl/>
              <w:jc w:val="center"/>
              <w:rPr>
                <w:rFonts w:hint="eastAsia" w:ascii="宋体" w:hAnsi="宋体" w:cs="宋体"/>
                <w:kern w:val="0"/>
                <w:szCs w:val="21"/>
              </w:rPr>
            </w:pPr>
          </w:p>
        </w:tc>
      </w:tr>
      <w:tr w14:paraId="4D03D3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F925DA4">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5D1F5CB4">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1734569C">
            <w:pPr>
              <w:widowControl/>
              <w:jc w:val="center"/>
              <w:rPr>
                <w:rFonts w:hint="eastAsia" w:ascii="宋体" w:hAnsi="宋体" w:cs="宋体"/>
                <w:kern w:val="0"/>
                <w:szCs w:val="21"/>
              </w:rPr>
            </w:pPr>
            <w:r>
              <w:rPr>
                <w:rFonts w:hint="eastAsia" w:ascii="宋体" w:hAnsi="宋体" w:cs="宋体"/>
                <w:kern w:val="0"/>
                <w:szCs w:val="21"/>
              </w:rPr>
              <w:t>18000</w:t>
            </w:r>
          </w:p>
        </w:tc>
        <w:tc>
          <w:tcPr>
            <w:tcW w:w="305" w:type="pct"/>
            <w:shd w:val="clear" w:color="auto" w:fill="auto"/>
            <w:vAlign w:val="center"/>
          </w:tcPr>
          <w:p w14:paraId="4DEB63C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A5ECF15">
            <w:pPr>
              <w:widowControl/>
              <w:jc w:val="center"/>
              <w:rPr>
                <w:rFonts w:hint="eastAsia" w:ascii="宋体" w:hAnsi="宋体" w:cs="宋体"/>
                <w:kern w:val="0"/>
                <w:szCs w:val="21"/>
              </w:rPr>
            </w:pPr>
            <w:r>
              <w:rPr>
                <w:rFonts w:hint="eastAsia" w:ascii="宋体" w:hAnsi="宋体" w:cs="宋体"/>
                <w:kern w:val="0"/>
                <w:szCs w:val="21"/>
              </w:rPr>
              <w:t>10</w:t>
            </w:r>
          </w:p>
        </w:tc>
        <w:tc>
          <w:tcPr>
            <w:tcW w:w="406" w:type="pct"/>
            <w:shd w:val="clear" w:color="auto" w:fill="auto"/>
            <w:vAlign w:val="center"/>
          </w:tcPr>
          <w:p w14:paraId="023B4F05">
            <w:pPr>
              <w:widowControl/>
              <w:jc w:val="center"/>
              <w:rPr>
                <w:rFonts w:hint="eastAsia" w:ascii="宋体" w:hAnsi="宋体" w:cs="宋体"/>
                <w:kern w:val="0"/>
                <w:szCs w:val="21"/>
              </w:rPr>
            </w:pPr>
            <w:r>
              <w:rPr>
                <w:rFonts w:hint="eastAsia" w:ascii="宋体" w:hAnsi="宋体"/>
                <w:szCs w:val="21"/>
              </w:rPr>
              <w:t>0.0006</w:t>
            </w:r>
          </w:p>
        </w:tc>
        <w:tc>
          <w:tcPr>
            <w:tcW w:w="436" w:type="pct"/>
            <w:shd w:val="clear" w:color="auto" w:fill="auto"/>
            <w:vAlign w:val="center"/>
          </w:tcPr>
          <w:p w14:paraId="385325F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8E55D6F">
            <w:pPr>
              <w:widowControl/>
              <w:jc w:val="center"/>
              <w:rPr>
                <w:rFonts w:hint="eastAsia" w:ascii="宋体" w:hAnsi="宋体" w:cs="宋体"/>
                <w:kern w:val="0"/>
                <w:szCs w:val="21"/>
              </w:rPr>
            </w:pPr>
            <w:r>
              <w:rPr>
                <w:rFonts w:hint="eastAsia" w:ascii="宋体" w:hAnsi="宋体" w:cs="宋体"/>
                <w:kern w:val="0"/>
                <w:szCs w:val="21"/>
              </w:rPr>
              <w:t>14</w:t>
            </w:r>
          </w:p>
        </w:tc>
        <w:tc>
          <w:tcPr>
            <w:tcW w:w="442" w:type="pct"/>
            <w:shd w:val="clear" w:color="auto" w:fill="auto"/>
            <w:vAlign w:val="center"/>
          </w:tcPr>
          <w:p w14:paraId="423E6C33">
            <w:pPr>
              <w:widowControl/>
              <w:jc w:val="center"/>
              <w:rPr>
                <w:rFonts w:hint="eastAsia" w:ascii="宋体" w:hAnsi="宋体" w:cs="宋体"/>
                <w:kern w:val="0"/>
                <w:szCs w:val="21"/>
              </w:rPr>
            </w:pPr>
            <w:r>
              <w:rPr>
                <w:rFonts w:hint="eastAsia" w:ascii="宋体" w:hAnsi="宋体"/>
                <w:szCs w:val="21"/>
              </w:rPr>
              <w:t>0.0008</w:t>
            </w:r>
          </w:p>
        </w:tc>
        <w:tc>
          <w:tcPr>
            <w:tcW w:w="406" w:type="pct"/>
            <w:shd w:val="clear" w:color="auto" w:fill="auto"/>
            <w:vAlign w:val="center"/>
          </w:tcPr>
          <w:p w14:paraId="6FC9CA8C">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B6C5DE3">
            <w:pPr>
              <w:widowControl/>
              <w:jc w:val="center"/>
              <w:rPr>
                <w:rFonts w:hint="eastAsia" w:ascii="宋体" w:hAnsi="宋体" w:cs="宋体"/>
                <w:kern w:val="0"/>
                <w:szCs w:val="21"/>
              </w:rPr>
            </w:pPr>
          </w:p>
        </w:tc>
        <w:tc>
          <w:tcPr>
            <w:tcW w:w="410" w:type="pct"/>
            <w:shd w:val="clear" w:color="auto" w:fill="auto"/>
            <w:vAlign w:val="center"/>
          </w:tcPr>
          <w:p w14:paraId="775A9F35">
            <w:pPr>
              <w:widowControl/>
              <w:jc w:val="center"/>
              <w:rPr>
                <w:rFonts w:hint="eastAsia" w:ascii="宋体" w:hAnsi="宋体" w:cs="宋体"/>
                <w:kern w:val="0"/>
                <w:szCs w:val="21"/>
              </w:rPr>
            </w:pPr>
          </w:p>
        </w:tc>
        <w:tc>
          <w:tcPr>
            <w:tcW w:w="389" w:type="pct"/>
            <w:shd w:val="clear" w:color="auto" w:fill="auto"/>
            <w:vAlign w:val="center"/>
          </w:tcPr>
          <w:p w14:paraId="6A9ABAF9">
            <w:pPr>
              <w:widowControl/>
              <w:jc w:val="center"/>
              <w:rPr>
                <w:rFonts w:hint="eastAsia" w:ascii="宋体" w:hAnsi="宋体" w:cs="宋体"/>
                <w:kern w:val="0"/>
                <w:szCs w:val="21"/>
              </w:rPr>
            </w:pPr>
          </w:p>
        </w:tc>
      </w:tr>
      <w:tr w14:paraId="1936E9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6C559F8">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7C193F4E">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6F9E86B9">
            <w:pPr>
              <w:widowControl/>
              <w:jc w:val="center"/>
              <w:rPr>
                <w:rFonts w:hint="eastAsia" w:ascii="宋体" w:hAnsi="宋体" w:cs="宋体"/>
                <w:kern w:val="0"/>
                <w:szCs w:val="21"/>
              </w:rPr>
            </w:pPr>
            <w:r>
              <w:rPr>
                <w:rFonts w:hint="eastAsia" w:ascii="宋体" w:hAnsi="宋体" w:cs="宋体"/>
                <w:kern w:val="0"/>
                <w:szCs w:val="21"/>
              </w:rPr>
              <w:t>900</w:t>
            </w:r>
          </w:p>
        </w:tc>
        <w:tc>
          <w:tcPr>
            <w:tcW w:w="305" w:type="pct"/>
            <w:shd w:val="clear" w:color="auto" w:fill="auto"/>
            <w:vAlign w:val="center"/>
          </w:tcPr>
          <w:p w14:paraId="2FA35CE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9308B00">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46513A7E">
            <w:pPr>
              <w:widowControl/>
              <w:jc w:val="center"/>
              <w:rPr>
                <w:rFonts w:hint="eastAsia" w:ascii="宋体" w:hAnsi="宋体" w:cs="宋体"/>
                <w:kern w:val="0"/>
                <w:szCs w:val="21"/>
              </w:rPr>
            </w:pPr>
            <w:r>
              <w:rPr>
                <w:rFonts w:hint="eastAsia" w:ascii="宋体" w:hAnsi="宋体"/>
                <w:szCs w:val="21"/>
              </w:rPr>
              <w:t>0.0244</w:t>
            </w:r>
          </w:p>
        </w:tc>
        <w:tc>
          <w:tcPr>
            <w:tcW w:w="436" w:type="pct"/>
            <w:shd w:val="clear" w:color="auto" w:fill="auto"/>
            <w:vAlign w:val="center"/>
          </w:tcPr>
          <w:p w14:paraId="353DD62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04D82F7">
            <w:pPr>
              <w:widowControl/>
              <w:jc w:val="center"/>
              <w:rPr>
                <w:rFonts w:hint="eastAsia" w:ascii="宋体" w:hAnsi="宋体" w:cs="宋体"/>
                <w:kern w:val="0"/>
                <w:szCs w:val="21"/>
              </w:rPr>
            </w:pPr>
            <w:r>
              <w:rPr>
                <w:rFonts w:hint="eastAsia" w:ascii="宋体" w:hAnsi="宋体" w:cs="宋体"/>
                <w:kern w:val="0"/>
                <w:szCs w:val="21"/>
              </w:rPr>
              <w:t>33</w:t>
            </w:r>
          </w:p>
        </w:tc>
        <w:tc>
          <w:tcPr>
            <w:tcW w:w="442" w:type="pct"/>
            <w:shd w:val="clear" w:color="auto" w:fill="auto"/>
            <w:vAlign w:val="center"/>
          </w:tcPr>
          <w:p w14:paraId="58A60DAE">
            <w:pPr>
              <w:widowControl/>
              <w:jc w:val="center"/>
              <w:rPr>
                <w:rFonts w:hint="eastAsia" w:ascii="宋体" w:hAnsi="宋体" w:cs="宋体"/>
                <w:kern w:val="0"/>
                <w:szCs w:val="21"/>
              </w:rPr>
            </w:pPr>
            <w:r>
              <w:rPr>
                <w:rFonts w:hint="eastAsia" w:ascii="宋体" w:hAnsi="宋体"/>
                <w:szCs w:val="21"/>
              </w:rPr>
              <w:t>0.0367</w:t>
            </w:r>
          </w:p>
        </w:tc>
        <w:tc>
          <w:tcPr>
            <w:tcW w:w="406" w:type="pct"/>
            <w:shd w:val="clear" w:color="auto" w:fill="auto"/>
            <w:vAlign w:val="center"/>
          </w:tcPr>
          <w:p w14:paraId="75679EC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3433EF1">
            <w:pPr>
              <w:widowControl/>
              <w:jc w:val="center"/>
              <w:rPr>
                <w:rFonts w:hint="eastAsia" w:ascii="宋体" w:hAnsi="宋体" w:cs="宋体"/>
                <w:kern w:val="0"/>
                <w:szCs w:val="21"/>
              </w:rPr>
            </w:pPr>
          </w:p>
        </w:tc>
        <w:tc>
          <w:tcPr>
            <w:tcW w:w="410" w:type="pct"/>
            <w:shd w:val="clear" w:color="auto" w:fill="auto"/>
            <w:vAlign w:val="center"/>
          </w:tcPr>
          <w:p w14:paraId="65D266C2">
            <w:pPr>
              <w:widowControl/>
              <w:jc w:val="center"/>
              <w:rPr>
                <w:rFonts w:hint="eastAsia" w:ascii="宋体" w:hAnsi="宋体" w:cs="宋体"/>
                <w:kern w:val="0"/>
                <w:szCs w:val="21"/>
              </w:rPr>
            </w:pPr>
          </w:p>
        </w:tc>
        <w:tc>
          <w:tcPr>
            <w:tcW w:w="389" w:type="pct"/>
            <w:shd w:val="clear" w:color="auto" w:fill="auto"/>
            <w:vAlign w:val="center"/>
          </w:tcPr>
          <w:p w14:paraId="53BD1E0E">
            <w:pPr>
              <w:widowControl/>
              <w:jc w:val="center"/>
              <w:rPr>
                <w:rFonts w:hint="eastAsia" w:ascii="宋体" w:hAnsi="宋体" w:cs="宋体"/>
                <w:kern w:val="0"/>
                <w:szCs w:val="21"/>
              </w:rPr>
            </w:pPr>
          </w:p>
        </w:tc>
      </w:tr>
      <w:tr w14:paraId="058077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AA53151">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5E61D7E6">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6AA48CD6">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45BBD85D">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26853D5">
            <w:pPr>
              <w:widowControl/>
              <w:jc w:val="center"/>
              <w:rPr>
                <w:rFonts w:hint="eastAsia" w:ascii="宋体" w:hAnsi="宋体" w:cs="宋体"/>
                <w:kern w:val="0"/>
                <w:szCs w:val="21"/>
              </w:rPr>
            </w:pPr>
            <w:r>
              <w:rPr>
                <w:rFonts w:hint="eastAsia" w:ascii="宋体" w:hAnsi="宋体" w:cs="宋体"/>
                <w:kern w:val="0"/>
                <w:szCs w:val="21"/>
              </w:rPr>
              <w:t>12</w:t>
            </w:r>
          </w:p>
        </w:tc>
        <w:tc>
          <w:tcPr>
            <w:tcW w:w="406" w:type="pct"/>
            <w:shd w:val="clear" w:color="auto" w:fill="auto"/>
            <w:vAlign w:val="center"/>
          </w:tcPr>
          <w:p w14:paraId="0764E960">
            <w:pPr>
              <w:widowControl/>
              <w:jc w:val="center"/>
              <w:rPr>
                <w:rFonts w:hint="eastAsia" w:ascii="宋体" w:hAnsi="宋体" w:cs="宋体"/>
                <w:kern w:val="0"/>
                <w:szCs w:val="21"/>
              </w:rPr>
            </w:pPr>
            <w:r>
              <w:rPr>
                <w:rFonts w:hint="eastAsia" w:ascii="宋体" w:hAnsi="宋体"/>
                <w:szCs w:val="21"/>
              </w:rPr>
              <w:t>0.0027</w:t>
            </w:r>
          </w:p>
        </w:tc>
        <w:tc>
          <w:tcPr>
            <w:tcW w:w="436" w:type="pct"/>
            <w:shd w:val="clear" w:color="auto" w:fill="auto"/>
            <w:vAlign w:val="center"/>
          </w:tcPr>
          <w:p w14:paraId="4559B6E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DCBA500">
            <w:pPr>
              <w:widowControl/>
              <w:jc w:val="center"/>
              <w:rPr>
                <w:rFonts w:hint="eastAsia" w:ascii="宋体" w:hAnsi="宋体" w:cs="宋体"/>
                <w:kern w:val="0"/>
                <w:szCs w:val="21"/>
              </w:rPr>
            </w:pPr>
            <w:r>
              <w:rPr>
                <w:rFonts w:hint="eastAsia" w:ascii="宋体" w:hAnsi="宋体" w:cs="宋体"/>
                <w:kern w:val="0"/>
                <w:szCs w:val="21"/>
              </w:rPr>
              <w:t>11</w:t>
            </w:r>
          </w:p>
        </w:tc>
        <w:tc>
          <w:tcPr>
            <w:tcW w:w="442" w:type="pct"/>
            <w:shd w:val="clear" w:color="auto" w:fill="auto"/>
            <w:vAlign w:val="center"/>
          </w:tcPr>
          <w:p w14:paraId="2885B0FE">
            <w:pPr>
              <w:widowControl/>
              <w:jc w:val="center"/>
              <w:rPr>
                <w:rFonts w:hint="eastAsia" w:ascii="宋体" w:hAnsi="宋体" w:cs="宋体"/>
                <w:kern w:val="0"/>
                <w:szCs w:val="21"/>
              </w:rPr>
            </w:pPr>
            <w:r>
              <w:rPr>
                <w:rFonts w:hint="eastAsia" w:ascii="宋体" w:hAnsi="宋体"/>
                <w:szCs w:val="21"/>
              </w:rPr>
              <w:t>0.0024</w:t>
            </w:r>
          </w:p>
        </w:tc>
        <w:tc>
          <w:tcPr>
            <w:tcW w:w="406" w:type="pct"/>
            <w:shd w:val="clear" w:color="auto" w:fill="auto"/>
            <w:vAlign w:val="center"/>
          </w:tcPr>
          <w:p w14:paraId="2BE3B86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A25D667">
            <w:pPr>
              <w:widowControl/>
              <w:jc w:val="center"/>
              <w:rPr>
                <w:rFonts w:hint="eastAsia" w:ascii="宋体" w:hAnsi="宋体" w:cs="宋体"/>
                <w:kern w:val="0"/>
                <w:szCs w:val="21"/>
              </w:rPr>
            </w:pPr>
          </w:p>
        </w:tc>
        <w:tc>
          <w:tcPr>
            <w:tcW w:w="410" w:type="pct"/>
            <w:shd w:val="clear" w:color="auto" w:fill="auto"/>
            <w:vAlign w:val="center"/>
          </w:tcPr>
          <w:p w14:paraId="789F13D8">
            <w:pPr>
              <w:widowControl/>
              <w:jc w:val="center"/>
              <w:rPr>
                <w:rFonts w:hint="eastAsia" w:ascii="宋体" w:hAnsi="宋体" w:cs="宋体"/>
                <w:kern w:val="0"/>
                <w:szCs w:val="21"/>
              </w:rPr>
            </w:pPr>
          </w:p>
        </w:tc>
        <w:tc>
          <w:tcPr>
            <w:tcW w:w="389" w:type="pct"/>
            <w:shd w:val="clear" w:color="auto" w:fill="auto"/>
            <w:vAlign w:val="center"/>
          </w:tcPr>
          <w:p w14:paraId="09C92AED">
            <w:pPr>
              <w:widowControl/>
              <w:jc w:val="center"/>
              <w:rPr>
                <w:rFonts w:hint="eastAsia" w:ascii="宋体" w:hAnsi="宋体" w:cs="宋体"/>
                <w:kern w:val="0"/>
                <w:szCs w:val="21"/>
              </w:rPr>
            </w:pPr>
          </w:p>
        </w:tc>
      </w:tr>
      <w:tr w14:paraId="141E61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2C7451B2">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056EF35B">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0C7AADCC">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596A2660">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584F24B7">
            <w:pPr>
              <w:widowControl/>
              <w:jc w:val="center"/>
              <w:rPr>
                <w:rFonts w:hint="eastAsia" w:ascii="宋体" w:hAnsi="宋体" w:cs="宋体"/>
                <w:kern w:val="0"/>
                <w:szCs w:val="21"/>
              </w:rPr>
            </w:pPr>
            <w:r>
              <w:rPr>
                <w:rFonts w:hint="eastAsia" w:ascii="宋体" w:hAnsi="宋体" w:cs="宋体"/>
                <w:kern w:val="0"/>
                <w:szCs w:val="21"/>
              </w:rPr>
              <w:t>8.34</w:t>
            </w:r>
          </w:p>
        </w:tc>
        <w:tc>
          <w:tcPr>
            <w:tcW w:w="406" w:type="pct"/>
            <w:shd w:val="clear" w:color="auto" w:fill="auto"/>
            <w:vAlign w:val="center"/>
          </w:tcPr>
          <w:p w14:paraId="6F405346">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11C7999F">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315D1F89">
            <w:pPr>
              <w:widowControl/>
              <w:jc w:val="center"/>
              <w:rPr>
                <w:rFonts w:hint="eastAsia" w:ascii="宋体" w:hAnsi="宋体" w:cs="宋体"/>
                <w:kern w:val="0"/>
                <w:szCs w:val="21"/>
              </w:rPr>
            </w:pPr>
            <w:r>
              <w:rPr>
                <w:rFonts w:hint="eastAsia" w:ascii="宋体" w:hAnsi="宋体" w:cs="宋体"/>
                <w:kern w:val="0"/>
                <w:szCs w:val="21"/>
              </w:rPr>
              <w:t>8.40</w:t>
            </w:r>
          </w:p>
        </w:tc>
        <w:tc>
          <w:tcPr>
            <w:tcW w:w="442" w:type="pct"/>
            <w:shd w:val="clear" w:color="auto" w:fill="auto"/>
            <w:vAlign w:val="center"/>
          </w:tcPr>
          <w:p w14:paraId="5C8F9C24">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0C65F4F6">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3E7339B7">
            <w:pPr>
              <w:widowControl/>
              <w:jc w:val="center"/>
              <w:rPr>
                <w:rFonts w:hint="eastAsia" w:ascii="宋体" w:hAnsi="宋体" w:cs="宋体"/>
                <w:kern w:val="0"/>
                <w:szCs w:val="21"/>
              </w:rPr>
            </w:pPr>
          </w:p>
        </w:tc>
        <w:tc>
          <w:tcPr>
            <w:tcW w:w="410" w:type="pct"/>
            <w:shd w:val="clear" w:color="auto" w:fill="auto"/>
            <w:vAlign w:val="center"/>
          </w:tcPr>
          <w:p w14:paraId="6579EBBC">
            <w:pPr>
              <w:widowControl/>
              <w:jc w:val="center"/>
              <w:rPr>
                <w:rFonts w:hint="eastAsia" w:ascii="宋体" w:hAnsi="宋体" w:cs="宋体"/>
                <w:kern w:val="0"/>
                <w:szCs w:val="21"/>
              </w:rPr>
            </w:pPr>
          </w:p>
        </w:tc>
        <w:tc>
          <w:tcPr>
            <w:tcW w:w="389" w:type="pct"/>
            <w:shd w:val="clear" w:color="auto" w:fill="auto"/>
            <w:vAlign w:val="center"/>
          </w:tcPr>
          <w:p w14:paraId="1155655D">
            <w:pPr>
              <w:widowControl/>
              <w:jc w:val="center"/>
              <w:rPr>
                <w:rFonts w:hint="eastAsia" w:ascii="宋体" w:hAnsi="宋体" w:cs="宋体"/>
                <w:kern w:val="0"/>
                <w:szCs w:val="21"/>
              </w:rPr>
            </w:pPr>
          </w:p>
        </w:tc>
      </w:tr>
      <w:tr w14:paraId="5D8879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C7C0A06">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6D997DE4">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347F7B74">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19AFF313">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0E0CE2E4">
            <w:pPr>
              <w:widowControl/>
              <w:jc w:val="center"/>
              <w:rPr>
                <w:rFonts w:hint="eastAsia" w:ascii="宋体" w:hAnsi="宋体" w:cs="宋体"/>
                <w:kern w:val="0"/>
                <w:szCs w:val="21"/>
              </w:rPr>
            </w:pPr>
            <w:r>
              <w:rPr>
                <w:rFonts w:hint="eastAsia" w:ascii="宋体" w:hAnsi="宋体" w:cs="宋体"/>
                <w:kern w:val="0"/>
                <w:szCs w:val="21"/>
              </w:rPr>
              <w:t>1.0</w:t>
            </w:r>
          </w:p>
        </w:tc>
        <w:tc>
          <w:tcPr>
            <w:tcW w:w="406" w:type="pct"/>
            <w:shd w:val="clear" w:color="auto" w:fill="auto"/>
            <w:vAlign w:val="center"/>
          </w:tcPr>
          <w:p w14:paraId="1F690724">
            <w:pPr>
              <w:widowControl/>
              <w:jc w:val="center"/>
              <w:rPr>
                <w:rFonts w:hint="eastAsia" w:ascii="宋体" w:hAnsi="宋体" w:cs="宋体"/>
                <w:kern w:val="0"/>
                <w:szCs w:val="21"/>
              </w:rPr>
            </w:pPr>
            <w:r>
              <w:rPr>
                <w:rFonts w:hint="eastAsia" w:ascii="宋体" w:hAnsi="宋体" w:cs="宋体"/>
                <w:kern w:val="0"/>
                <w:szCs w:val="21"/>
              </w:rPr>
              <w:t>/</w:t>
            </w:r>
          </w:p>
        </w:tc>
        <w:tc>
          <w:tcPr>
            <w:tcW w:w="436" w:type="pct"/>
            <w:shd w:val="clear" w:color="auto" w:fill="auto"/>
            <w:vAlign w:val="center"/>
          </w:tcPr>
          <w:p w14:paraId="1B43C067">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1138FE78">
            <w:pPr>
              <w:widowControl/>
              <w:jc w:val="center"/>
              <w:rPr>
                <w:rFonts w:hint="eastAsia" w:ascii="宋体" w:hAnsi="宋体" w:cs="宋体"/>
                <w:kern w:val="0"/>
                <w:szCs w:val="21"/>
              </w:rPr>
            </w:pPr>
            <w:r>
              <w:rPr>
                <w:rFonts w:hint="eastAsia" w:ascii="宋体" w:hAnsi="宋体" w:cs="宋体"/>
                <w:kern w:val="0"/>
                <w:szCs w:val="21"/>
              </w:rPr>
              <w:t>3.7</w:t>
            </w:r>
          </w:p>
        </w:tc>
        <w:tc>
          <w:tcPr>
            <w:tcW w:w="442" w:type="pct"/>
            <w:shd w:val="clear" w:color="auto" w:fill="auto"/>
            <w:vAlign w:val="center"/>
          </w:tcPr>
          <w:p w14:paraId="52870D45">
            <w:pPr>
              <w:widowControl/>
              <w:jc w:val="center"/>
              <w:rPr>
                <w:rFonts w:hint="eastAsia" w:ascii="宋体" w:hAnsi="宋体" w:cs="宋体"/>
                <w:kern w:val="0"/>
                <w:szCs w:val="21"/>
              </w:rPr>
            </w:pPr>
            <w:r>
              <w:rPr>
                <w:rFonts w:hint="eastAsia" w:ascii="宋体" w:hAnsi="宋体" w:cs="宋体"/>
                <w:kern w:val="0"/>
                <w:szCs w:val="21"/>
              </w:rPr>
              <w:t>/</w:t>
            </w:r>
          </w:p>
        </w:tc>
        <w:tc>
          <w:tcPr>
            <w:tcW w:w="406" w:type="pct"/>
            <w:shd w:val="clear" w:color="auto" w:fill="auto"/>
            <w:vAlign w:val="center"/>
          </w:tcPr>
          <w:p w14:paraId="2214FB71">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19FEDCB2">
            <w:pPr>
              <w:widowControl/>
              <w:jc w:val="center"/>
              <w:rPr>
                <w:rFonts w:hint="eastAsia" w:ascii="宋体" w:hAnsi="宋体" w:cs="宋体"/>
                <w:kern w:val="0"/>
                <w:szCs w:val="21"/>
              </w:rPr>
            </w:pPr>
          </w:p>
        </w:tc>
        <w:tc>
          <w:tcPr>
            <w:tcW w:w="410" w:type="pct"/>
            <w:shd w:val="clear" w:color="auto" w:fill="auto"/>
            <w:vAlign w:val="center"/>
          </w:tcPr>
          <w:p w14:paraId="61654672">
            <w:pPr>
              <w:widowControl/>
              <w:jc w:val="center"/>
              <w:rPr>
                <w:rFonts w:hint="eastAsia" w:ascii="宋体" w:hAnsi="宋体" w:cs="宋体"/>
                <w:kern w:val="0"/>
                <w:szCs w:val="21"/>
              </w:rPr>
            </w:pPr>
          </w:p>
        </w:tc>
        <w:tc>
          <w:tcPr>
            <w:tcW w:w="389" w:type="pct"/>
            <w:shd w:val="clear" w:color="auto" w:fill="auto"/>
            <w:vAlign w:val="center"/>
          </w:tcPr>
          <w:p w14:paraId="054C5C95">
            <w:pPr>
              <w:widowControl/>
              <w:jc w:val="center"/>
              <w:rPr>
                <w:rFonts w:hint="eastAsia" w:ascii="宋体" w:hAnsi="宋体" w:cs="宋体"/>
                <w:kern w:val="0"/>
                <w:szCs w:val="21"/>
              </w:rPr>
            </w:pPr>
          </w:p>
        </w:tc>
      </w:tr>
    </w:tbl>
    <w:p w14:paraId="7787A422">
      <w:pPr>
        <w:ind w:firstLine="197" w:firstLineChars="94"/>
        <w:jc w:val="center"/>
        <w:rPr>
          <w:rFonts w:hint="eastAsia" w:ascii="黑体" w:hAnsi="黑体" w:eastAsia="黑体"/>
          <w:bCs/>
          <w:szCs w:val="21"/>
        </w:rPr>
      </w:pPr>
      <w:r>
        <w:rPr>
          <w:rFonts w:hint="eastAsia" w:ascii="黑体" w:hAnsi="黑体" w:eastAsia="黑体"/>
          <w:bCs/>
          <w:szCs w:val="21"/>
        </w:rPr>
        <w:t>表4.3-13  占地范围外土壤监测及评价结果一览表</w:t>
      </w:r>
    </w:p>
    <w:tbl>
      <w:tblPr>
        <w:tblStyle w:val="51"/>
        <w:tblW w:w="498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6"/>
        <w:gridCol w:w="1595"/>
        <w:gridCol w:w="1294"/>
        <w:gridCol w:w="865"/>
        <w:gridCol w:w="862"/>
        <w:gridCol w:w="1152"/>
        <w:gridCol w:w="1237"/>
        <w:gridCol w:w="1067"/>
        <w:gridCol w:w="1254"/>
        <w:gridCol w:w="1152"/>
        <w:gridCol w:w="8"/>
        <w:gridCol w:w="860"/>
        <w:gridCol w:w="1164"/>
        <w:gridCol w:w="1104"/>
        <w:gridCol w:w="8"/>
      </w:tblGrid>
      <w:tr w14:paraId="509CAE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9" w:type="pct"/>
            <w:vMerge w:val="restart"/>
            <w:shd w:val="clear" w:color="auto" w:fill="auto"/>
            <w:vAlign w:val="center"/>
          </w:tcPr>
          <w:p w14:paraId="748EC753">
            <w:pPr>
              <w:widowControl/>
              <w:jc w:val="center"/>
              <w:rPr>
                <w:rFonts w:hint="eastAsia" w:ascii="宋体" w:hAnsi="宋体" w:cs="宋体"/>
                <w:kern w:val="0"/>
                <w:szCs w:val="21"/>
              </w:rPr>
            </w:pPr>
            <w:r>
              <w:rPr>
                <w:rFonts w:hint="eastAsia" w:ascii="宋体" w:hAnsi="宋体" w:cs="宋体"/>
                <w:kern w:val="0"/>
                <w:szCs w:val="21"/>
              </w:rPr>
              <w:t>序号</w:t>
            </w:r>
          </w:p>
        </w:tc>
        <w:tc>
          <w:tcPr>
            <w:tcW w:w="562" w:type="pct"/>
            <w:vMerge w:val="restart"/>
            <w:shd w:val="clear" w:color="auto" w:fill="auto"/>
            <w:vAlign w:val="center"/>
          </w:tcPr>
          <w:p w14:paraId="2481AF85">
            <w:pPr>
              <w:widowControl/>
              <w:jc w:val="center"/>
              <w:rPr>
                <w:rFonts w:hint="eastAsia" w:ascii="宋体" w:hAnsi="宋体" w:cs="宋体"/>
                <w:kern w:val="0"/>
                <w:szCs w:val="21"/>
              </w:rPr>
            </w:pPr>
            <w:r>
              <w:rPr>
                <w:rFonts w:hint="eastAsia" w:ascii="宋体" w:hAnsi="宋体" w:cs="宋体"/>
                <w:kern w:val="0"/>
                <w:szCs w:val="21"/>
              </w:rPr>
              <w:t>名称</w:t>
            </w:r>
          </w:p>
        </w:tc>
        <w:tc>
          <w:tcPr>
            <w:tcW w:w="456" w:type="pct"/>
            <w:vMerge w:val="restart"/>
            <w:shd w:val="clear" w:color="auto" w:fill="auto"/>
            <w:vAlign w:val="center"/>
          </w:tcPr>
          <w:p w14:paraId="1E37383E">
            <w:pPr>
              <w:widowControl/>
              <w:jc w:val="center"/>
              <w:rPr>
                <w:rFonts w:hint="eastAsia" w:ascii="宋体" w:hAnsi="宋体" w:cs="宋体"/>
                <w:kern w:val="0"/>
                <w:szCs w:val="21"/>
              </w:rPr>
            </w:pPr>
            <w:r>
              <w:rPr>
                <w:rFonts w:hint="eastAsia" w:ascii="宋体" w:hAnsi="宋体" w:cs="宋体"/>
                <w:kern w:val="0"/>
                <w:szCs w:val="21"/>
              </w:rPr>
              <w:t>标准限值（mg/kg）</w:t>
            </w:r>
          </w:p>
        </w:tc>
        <w:tc>
          <w:tcPr>
            <w:tcW w:w="305" w:type="pct"/>
            <w:vMerge w:val="restart"/>
            <w:shd w:val="clear" w:color="auto" w:fill="auto"/>
            <w:vAlign w:val="center"/>
          </w:tcPr>
          <w:p w14:paraId="47755B78">
            <w:pPr>
              <w:widowControl/>
              <w:jc w:val="center"/>
              <w:rPr>
                <w:rFonts w:hint="eastAsia" w:ascii="宋体" w:hAnsi="宋体" w:cs="宋体"/>
                <w:kern w:val="0"/>
                <w:szCs w:val="21"/>
              </w:rPr>
            </w:pPr>
            <w:r>
              <w:rPr>
                <w:rFonts w:hint="eastAsia" w:ascii="宋体" w:hAnsi="宋体" w:cs="宋体"/>
                <w:kern w:val="0"/>
                <w:szCs w:val="21"/>
              </w:rPr>
              <w:t>监测值单位</w:t>
            </w:r>
          </w:p>
        </w:tc>
        <w:tc>
          <w:tcPr>
            <w:tcW w:w="1146" w:type="pct"/>
            <w:gridSpan w:val="3"/>
            <w:shd w:val="clear" w:color="auto" w:fill="auto"/>
            <w:vAlign w:val="center"/>
          </w:tcPr>
          <w:p w14:paraId="7C42E63A">
            <w:pPr>
              <w:widowControl/>
              <w:jc w:val="center"/>
              <w:rPr>
                <w:rFonts w:hint="eastAsia" w:ascii="宋体" w:hAnsi="宋体" w:cs="宋体"/>
                <w:kern w:val="0"/>
                <w:szCs w:val="21"/>
              </w:rPr>
            </w:pPr>
            <w:r>
              <w:rPr>
                <w:rFonts w:hint="eastAsia" w:ascii="宋体" w:hAnsi="宋体" w:cs="宋体"/>
                <w:kern w:val="0"/>
                <w:szCs w:val="21"/>
              </w:rPr>
              <w:t>T11(0m～0.2m)</w:t>
            </w:r>
          </w:p>
        </w:tc>
        <w:tc>
          <w:tcPr>
            <w:tcW w:w="1227" w:type="pct"/>
            <w:gridSpan w:val="4"/>
            <w:shd w:val="clear" w:color="auto" w:fill="auto"/>
            <w:vAlign w:val="center"/>
          </w:tcPr>
          <w:p w14:paraId="2D8744E5">
            <w:pPr>
              <w:widowControl/>
              <w:jc w:val="center"/>
              <w:rPr>
                <w:rFonts w:hint="eastAsia" w:ascii="宋体" w:hAnsi="宋体" w:cs="宋体"/>
                <w:kern w:val="0"/>
                <w:szCs w:val="21"/>
              </w:rPr>
            </w:pPr>
            <w:r>
              <w:rPr>
                <w:rFonts w:hint="eastAsia" w:ascii="宋体" w:hAnsi="宋体" w:cs="宋体"/>
                <w:kern w:val="0"/>
                <w:szCs w:val="21"/>
              </w:rPr>
              <w:t>T12(0m～0.2m)</w:t>
            </w:r>
          </w:p>
        </w:tc>
        <w:tc>
          <w:tcPr>
            <w:tcW w:w="1105" w:type="pct"/>
            <w:gridSpan w:val="4"/>
            <w:shd w:val="clear" w:color="auto" w:fill="auto"/>
            <w:vAlign w:val="center"/>
          </w:tcPr>
          <w:p w14:paraId="396AC88D">
            <w:pPr>
              <w:widowControl/>
              <w:jc w:val="center"/>
              <w:rPr>
                <w:rFonts w:hint="eastAsia" w:ascii="宋体" w:hAnsi="宋体" w:cs="宋体"/>
                <w:kern w:val="0"/>
                <w:szCs w:val="21"/>
              </w:rPr>
            </w:pPr>
            <w:r>
              <w:rPr>
                <w:rFonts w:hint="eastAsia" w:ascii="宋体" w:hAnsi="宋体" w:cs="宋体"/>
                <w:kern w:val="0"/>
                <w:szCs w:val="21"/>
              </w:rPr>
              <w:t>T13(0m～0.2m)</w:t>
            </w:r>
          </w:p>
        </w:tc>
      </w:tr>
      <w:tr w14:paraId="600F5D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vMerge w:val="continue"/>
            <w:vAlign w:val="center"/>
          </w:tcPr>
          <w:p w14:paraId="25DA7AF5">
            <w:pPr>
              <w:widowControl/>
              <w:jc w:val="center"/>
              <w:rPr>
                <w:rFonts w:hint="eastAsia" w:ascii="宋体" w:hAnsi="宋体" w:cs="宋体"/>
                <w:kern w:val="0"/>
                <w:szCs w:val="21"/>
              </w:rPr>
            </w:pPr>
          </w:p>
        </w:tc>
        <w:tc>
          <w:tcPr>
            <w:tcW w:w="562" w:type="pct"/>
            <w:vMerge w:val="continue"/>
            <w:vAlign w:val="center"/>
          </w:tcPr>
          <w:p w14:paraId="49ABD9ED">
            <w:pPr>
              <w:widowControl/>
              <w:jc w:val="center"/>
              <w:rPr>
                <w:rFonts w:hint="eastAsia" w:ascii="宋体" w:hAnsi="宋体" w:cs="宋体"/>
                <w:kern w:val="0"/>
                <w:szCs w:val="21"/>
              </w:rPr>
            </w:pPr>
          </w:p>
        </w:tc>
        <w:tc>
          <w:tcPr>
            <w:tcW w:w="456" w:type="pct"/>
            <w:vMerge w:val="continue"/>
            <w:vAlign w:val="center"/>
          </w:tcPr>
          <w:p w14:paraId="60D43987">
            <w:pPr>
              <w:widowControl/>
              <w:jc w:val="center"/>
              <w:rPr>
                <w:rFonts w:hint="eastAsia" w:ascii="宋体" w:hAnsi="宋体" w:cs="宋体"/>
                <w:kern w:val="0"/>
                <w:szCs w:val="21"/>
              </w:rPr>
            </w:pPr>
          </w:p>
        </w:tc>
        <w:tc>
          <w:tcPr>
            <w:tcW w:w="305" w:type="pct"/>
            <w:vMerge w:val="continue"/>
            <w:vAlign w:val="center"/>
          </w:tcPr>
          <w:p w14:paraId="48AFE77A">
            <w:pPr>
              <w:widowControl/>
              <w:jc w:val="center"/>
              <w:rPr>
                <w:rFonts w:hint="eastAsia" w:ascii="宋体" w:hAnsi="宋体" w:cs="宋体"/>
                <w:kern w:val="0"/>
                <w:szCs w:val="21"/>
              </w:rPr>
            </w:pPr>
          </w:p>
        </w:tc>
        <w:tc>
          <w:tcPr>
            <w:tcW w:w="304" w:type="pct"/>
            <w:shd w:val="clear" w:color="auto" w:fill="auto"/>
            <w:vAlign w:val="center"/>
          </w:tcPr>
          <w:p w14:paraId="1F5021B1">
            <w:pPr>
              <w:widowControl/>
              <w:jc w:val="center"/>
              <w:rPr>
                <w:rFonts w:hint="eastAsia" w:ascii="宋体" w:hAnsi="宋体" w:cs="宋体"/>
                <w:kern w:val="0"/>
                <w:szCs w:val="21"/>
              </w:rPr>
            </w:pPr>
            <w:r>
              <w:rPr>
                <w:rFonts w:hint="eastAsia" w:ascii="宋体" w:hAnsi="宋体" w:cs="宋体"/>
                <w:kern w:val="0"/>
                <w:szCs w:val="21"/>
              </w:rPr>
              <w:t>监测值</w:t>
            </w:r>
          </w:p>
        </w:tc>
        <w:tc>
          <w:tcPr>
            <w:tcW w:w="406" w:type="pct"/>
            <w:shd w:val="clear" w:color="auto" w:fill="auto"/>
            <w:vAlign w:val="center"/>
          </w:tcPr>
          <w:p w14:paraId="60294C21">
            <w:pPr>
              <w:widowControl/>
              <w:jc w:val="center"/>
              <w:rPr>
                <w:rFonts w:hint="eastAsia" w:ascii="宋体" w:hAnsi="宋体" w:cs="宋体"/>
                <w:kern w:val="0"/>
                <w:szCs w:val="21"/>
              </w:rPr>
            </w:pPr>
            <w:r>
              <w:rPr>
                <w:rFonts w:hint="eastAsia" w:ascii="宋体" w:hAnsi="宋体" w:cs="宋体"/>
                <w:kern w:val="0"/>
                <w:szCs w:val="21"/>
              </w:rPr>
              <w:t>标准指数</w:t>
            </w:r>
          </w:p>
        </w:tc>
        <w:tc>
          <w:tcPr>
            <w:tcW w:w="436" w:type="pct"/>
            <w:shd w:val="clear" w:color="auto" w:fill="auto"/>
            <w:vAlign w:val="center"/>
          </w:tcPr>
          <w:p w14:paraId="2B5A7D1C">
            <w:pPr>
              <w:widowControl/>
              <w:jc w:val="center"/>
              <w:rPr>
                <w:rFonts w:hint="eastAsia" w:ascii="宋体" w:hAnsi="宋体" w:cs="宋体"/>
                <w:kern w:val="0"/>
                <w:szCs w:val="21"/>
              </w:rPr>
            </w:pPr>
            <w:r>
              <w:rPr>
                <w:rFonts w:hint="eastAsia" w:ascii="宋体" w:hAnsi="宋体" w:cs="宋体"/>
                <w:kern w:val="0"/>
                <w:szCs w:val="21"/>
              </w:rPr>
              <w:t>达标情况</w:t>
            </w:r>
          </w:p>
        </w:tc>
        <w:tc>
          <w:tcPr>
            <w:tcW w:w="376" w:type="pct"/>
            <w:shd w:val="clear" w:color="auto" w:fill="auto"/>
            <w:vAlign w:val="center"/>
          </w:tcPr>
          <w:p w14:paraId="497E5CF5">
            <w:pPr>
              <w:widowControl/>
              <w:jc w:val="center"/>
              <w:rPr>
                <w:rFonts w:hint="eastAsia" w:ascii="宋体" w:hAnsi="宋体" w:cs="宋体"/>
                <w:kern w:val="0"/>
                <w:szCs w:val="21"/>
              </w:rPr>
            </w:pPr>
            <w:r>
              <w:rPr>
                <w:rFonts w:hint="eastAsia" w:ascii="宋体" w:hAnsi="宋体" w:cs="宋体"/>
                <w:kern w:val="0"/>
                <w:szCs w:val="21"/>
              </w:rPr>
              <w:t>监测值</w:t>
            </w:r>
          </w:p>
        </w:tc>
        <w:tc>
          <w:tcPr>
            <w:tcW w:w="442" w:type="pct"/>
            <w:shd w:val="clear" w:color="auto" w:fill="auto"/>
            <w:vAlign w:val="center"/>
          </w:tcPr>
          <w:p w14:paraId="0FC10F47">
            <w:pPr>
              <w:widowControl/>
              <w:jc w:val="center"/>
              <w:rPr>
                <w:rFonts w:hint="eastAsia" w:ascii="宋体" w:hAnsi="宋体" w:cs="宋体"/>
                <w:kern w:val="0"/>
                <w:szCs w:val="21"/>
              </w:rPr>
            </w:pPr>
            <w:r>
              <w:rPr>
                <w:rFonts w:hint="eastAsia" w:ascii="宋体" w:hAnsi="宋体" w:cs="宋体"/>
                <w:kern w:val="0"/>
                <w:szCs w:val="21"/>
              </w:rPr>
              <w:t>标准指数</w:t>
            </w:r>
          </w:p>
        </w:tc>
        <w:tc>
          <w:tcPr>
            <w:tcW w:w="406" w:type="pct"/>
            <w:shd w:val="clear" w:color="auto" w:fill="auto"/>
            <w:vAlign w:val="center"/>
          </w:tcPr>
          <w:p w14:paraId="7C73DC53">
            <w:pPr>
              <w:widowControl/>
              <w:jc w:val="center"/>
              <w:rPr>
                <w:rFonts w:hint="eastAsia" w:ascii="宋体" w:hAnsi="宋体" w:cs="宋体"/>
                <w:kern w:val="0"/>
                <w:szCs w:val="21"/>
              </w:rPr>
            </w:pPr>
            <w:r>
              <w:rPr>
                <w:rFonts w:hint="eastAsia" w:ascii="宋体" w:hAnsi="宋体" w:cs="宋体"/>
                <w:kern w:val="0"/>
                <w:szCs w:val="21"/>
              </w:rPr>
              <w:t>达标情况</w:t>
            </w:r>
          </w:p>
        </w:tc>
        <w:tc>
          <w:tcPr>
            <w:tcW w:w="306" w:type="pct"/>
            <w:gridSpan w:val="2"/>
            <w:shd w:val="clear" w:color="auto" w:fill="auto"/>
            <w:vAlign w:val="center"/>
          </w:tcPr>
          <w:p w14:paraId="03D84B93">
            <w:pPr>
              <w:widowControl/>
              <w:jc w:val="center"/>
              <w:rPr>
                <w:rFonts w:hint="eastAsia" w:ascii="宋体" w:hAnsi="宋体" w:cs="宋体"/>
                <w:kern w:val="0"/>
                <w:szCs w:val="21"/>
              </w:rPr>
            </w:pPr>
            <w:r>
              <w:rPr>
                <w:rFonts w:hint="eastAsia" w:ascii="宋体" w:hAnsi="宋体" w:cs="宋体"/>
                <w:kern w:val="0"/>
                <w:szCs w:val="21"/>
              </w:rPr>
              <w:t>监测值</w:t>
            </w:r>
          </w:p>
        </w:tc>
        <w:tc>
          <w:tcPr>
            <w:tcW w:w="410" w:type="pct"/>
            <w:shd w:val="clear" w:color="auto" w:fill="auto"/>
            <w:vAlign w:val="center"/>
          </w:tcPr>
          <w:p w14:paraId="1BD7FDC7">
            <w:pPr>
              <w:widowControl/>
              <w:jc w:val="center"/>
              <w:rPr>
                <w:rFonts w:hint="eastAsia" w:ascii="宋体" w:hAnsi="宋体" w:cs="宋体"/>
                <w:kern w:val="0"/>
                <w:szCs w:val="21"/>
              </w:rPr>
            </w:pPr>
            <w:r>
              <w:rPr>
                <w:rFonts w:hint="eastAsia" w:ascii="宋体" w:hAnsi="宋体" w:cs="宋体"/>
                <w:kern w:val="0"/>
                <w:szCs w:val="21"/>
              </w:rPr>
              <w:t>标准指数</w:t>
            </w:r>
          </w:p>
        </w:tc>
        <w:tc>
          <w:tcPr>
            <w:tcW w:w="389" w:type="pct"/>
            <w:shd w:val="clear" w:color="auto" w:fill="auto"/>
            <w:vAlign w:val="center"/>
          </w:tcPr>
          <w:p w14:paraId="482F77AF">
            <w:pPr>
              <w:widowControl/>
              <w:jc w:val="center"/>
              <w:rPr>
                <w:rFonts w:hint="eastAsia" w:ascii="宋体" w:hAnsi="宋体" w:cs="宋体"/>
                <w:kern w:val="0"/>
                <w:szCs w:val="21"/>
              </w:rPr>
            </w:pPr>
            <w:r>
              <w:rPr>
                <w:rFonts w:hint="eastAsia" w:ascii="宋体" w:hAnsi="宋体" w:cs="宋体"/>
                <w:kern w:val="0"/>
                <w:szCs w:val="21"/>
              </w:rPr>
              <w:t>达标情况</w:t>
            </w:r>
          </w:p>
        </w:tc>
      </w:tr>
      <w:tr w14:paraId="250EE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8D6631D">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53A540C0">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05B1F147">
            <w:pPr>
              <w:widowControl/>
              <w:jc w:val="center"/>
              <w:rPr>
                <w:rFonts w:hint="eastAsia" w:ascii="宋体" w:hAnsi="宋体" w:cs="宋体"/>
                <w:kern w:val="0"/>
                <w:szCs w:val="21"/>
              </w:rPr>
            </w:pPr>
            <w:r>
              <w:rPr>
                <w:rFonts w:hint="eastAsia" w:ascii="宋体" w:hAnsi="宋体" w:cs="宋体"/>
                <w:kern w:val="0"/>
                <w:szCs w:val="21"/>
              </w:rPr>
              <w:t>3.4</w:t>
            </w:r>
          </w:p>
        </w:tc>
        <w:tc>
          <w:tcPr>
            <w:tcW w:w="305" w:type="pct"/>
            <w:shd w:val="clear" w:color="auto" w:fill="auto"/>
            <w:vAlign w:val="center"/>
          </w:tcPr>
          <w:p w14:paraId="1681D702">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E2233A2">
            <w:pPr>
              <w:widowControl/>
              <w:jc w:val="center"/>
              <w:rPr>
                <w:rFonts w:hint="eastAsia" w:ascii="宋体" w:hAnsi="宋体" w:cs="宋体"/>
                <w:kern w:val="0"/>
                <w:szCs w:val="21"/>
              </w:rPr>
            </w:pPr>
            <w:r>
              <w:rPr>
                <w:rFonts w:hint="eastAsia" w:ascii="宋体" w:hAnsi="宋体" w:cs="宋体"/>
                <w:kern w:val="0"/>
                <w:szCs w:val="21"/>
              </w:rPr>
              <w:t>0.066</w:t>
            </w:r>
          </w:p>
        </w:tc>
        <w:tc>
          <w:tcPr>
            <w:tcW w:w="406" w:type="pct"/>
            <w:shd w:val="clear" w:color="auto" w:fill="auto"/>
            <w:vAlign w:val="center"/>
          </w:tcPr>
          <w:p w14:paraId="51238167">
            <w:pPr>
              <w:widowControl/>
              <w:jc w:val="center"/>
              <w:rPr>
                <w:rFonts w:hint="eastAsia" w:ascii="宋体" w:hAnsi="宋体" w:cs="宋体"/>
                <w:kern w:val="0"/>
                <w:szCs w:val="21"/>
              </w:rPr>
            </w:pPr>
            <w:r>
              <w:rPr>
                <w:rFonts w:hint="eastAsia" w:ascii="宋体" w:hAnsi="宋体"/>
                <w:szCs w:val="21"/>
              </w:rPr>
              <w:t>0.0194</w:t>
            </w:r>
          </w:p>
        </w:tc>
        <w:tc>
          <w:tcPr>
            <w:tcW w:w="436" w:type="pct"/>
            <w:shd w:val="clear" w:color="auto" w:fill="auto"/>
            <w:vAlign w:val="center"/>
          </w:tcPr>
          <w:p w14:paraId="5A28250F">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12285B8">
            <w:pPr>
              <w:widowControl/>
              <w:jc w:val="center"/>
              <w:rPr>
                <w:rFonts w:hint="eastAsia" w:ascii="宋体" w:hAnsi="宋体" w:cs="宋体"/>
                <w:kern w:val="0"/>
                <w:szCs w:val="21"/>
              </w:rPr>
            </w:pPr>
            <w:r>
              <w:rPr>
                <w:rFonts w:hint="eastAsia" w:ascii="宋体" w:hAnsi="宋体" w:cs="宋体"/>
                <w:kern w:val="0"/>
                <w:szCs w:val="21"/>
              </w:rPr>
              <w:t>0.091</w:t>
            </w:r>
          </w:p>
        </w:tc>
        <w:tc>
          <w:tcPr>
            <w:tcW w:w="442" w:type="pct"/>
            <w:shd w:val="clear" w:color="auto" w:fill="auto"/>
            <w:vAlign w:val="center"/>
          </w:tcPr>
          <w:p w14:paraId="3470B272">
            <w:pPr>
              <w:widowControl/>
              <w:jc w:val="center"/>
              <w:rPr>
                <w:rFonts w:hint="eastAsia" w:ascii="宋体" w:hAnsi="宋体" w:cs="宋体"/>
                <w:kern w:val="0"/>
                <w:szCs w:val="21"/>
              </w:rPr>
            </w:pPr>
            <w:r>
              <w:rPr>
                <w:rFonts w:hint="eastAsia" w:ascii="宋体" w:hAnsi="宋体"/>
                <w:szCs w:val="21"/>
              </w:rPr>
              <w:t>0.0268</w:t>
            </w:r>
          </w:p>
        </w:tc>
        <w:tc>
          <w:tcPr>
            <w:tcW w:w="406" w:type="pct"/>
            <w:shd w:val="clear" w:color="auto" w:fill="auto"/>
            <w:vAlign w:val="center"/>
          </w:tcPr>
          <w:p w14:paraId="627A87A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1B2A2AE">
            <w:pPr>
              <w:widowControl/>
              <w:jc w:val="center"/>
              <w:rPr>
                <w:rFonts w:hint="eastAsia" w:ascii="宋体" w:hAnsi="宋体" w:cs="宋体"/>
                <w:kern w:val="0"/>
                <w:szCs w:val="21"/>
              </w:rPr>
            </w:pPr>
            <w:r>
              <w:rPr>
                <w:rFonts w:hint="eastAsia" w:ascii="宋体" w:hAnsi="宋体" w:cs="宋体"/>
                <w:kern w:val="0"/>
                <w:szCs w:val="21"/>
              </w:rPr>
              <w:t>0.057</w:t>
            </w:r>
          </w:p>
        </w:tc>
        <w:tc>
          <w:tcPr>
            <w:tcW w:w="410" w:type="pct"/>
            <w:shd w:val="clear" w:color="auto" w:fill="auto"/>
            <w:vAlign w:val="center"/>
          </w:tcPr>
          <w:p w14:paraId="0D17A99B">
            <w:pPr>
              <w:widowControl/>
              <w:jc w:val="center"/>
              <w:rPr>
                <w:rFonts w:hint="eastAsia" w:ascii="宋体" w:hAnsi="宋体" w:cs="宋体"/>
                <w:kern w:val="0"/>
                <w:szCs w:val="21"/>
              </w:rPr>
            </w:pPr>
            <w:r>
              <w:rPr>
                <w:rFonts w:hint="eastAsia" w:ascii="宋体" w:hAnsi="宋体"/>
                <w:szCs w:val="21"/>
              </w:rPr>
              <w:t>0.0168</w:t>
            </w:r>
          </w:p>
        </w:tc>
        <w:tc>
          <w:tcPr>
            <w:tcW w:w="389" w:type="pct"/>
            <w:shd w:val="clear" w:color="auto" w:fill="auto"/>
            <w:vAlign w:val="center"/>
          </w:tcPr>
          <w:p w14:paraId="5FD26238">
            <w:pPr>
              <w:widowControl/>
              <w:jc w:val="center"/>
              <w:rPr>
                <w:rFonts w:hint="eastAsia" w:ascii="宋体" w:hAnsi="宋体" w:cs="宋体"/>
                <w:kern w:val="0"/>
                <w:szCs w:val="21"/>
              </w:rPr>
            </w:pPr>
            <w:r>
              <w:rPr>
                <w:rFonts w:hint="eastAsia" w:ascii="宋体" w:hAnsi="宋体" w:cs="宋体"/>
                <w:kern w:val="0"/>
                <w:szCs w:val="21"/>
              </w:rPr>
              <w:t>达标</w:t>
            </w:r>
          </w:p>
        </w:tc>
      </w:tr>
      <w:tr w14:paraId="71F98A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425C062">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6752781F">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61D720B1">
            <w:pPr>
              <w:widowControl/>
              <w:jc w:val="center"/>
              <w:rPr>
                <w:rFonts w:hint="eastAsia" w:ascii="宋体" w:hAnsi="宋体" w:cs="宋体"/>
                <w:kern w:val="0"/>
                <w:szCs w:val="21"/>
              </w:rPr>
            </w:pPr>
            <w:r>
              <w:rPr>
                <w:rFonts w:hint="eastAsia" w:ascii="宋体" w:hAnsi="宋体" w:cs="宋体"/>
                <w:kern w:val="0"/>
                <w:szCs w:val="21"/>
              </w:rPr>
              <w:t>25</w:t>
            </w:r>
          </w:p>
        </w:tc>
        <w:tc>
          <w:tcPr>
            <w:tcW w:w="305" w:type="pct"/>
            <w:shd w:val="clear" w:color="auto" w:fill="auto"/>
            <w:vAlign w:val="center"/>
          </w:tcPr>
          <w:p w14:paraId="150E019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55ED44B">
            <w:pPr>
              <w:widowControl/>
              <w:jc w:val="center"/>
              <w:rPr>
                <w:rFonts w:hint="eastAsia" w:ascii="宋体" w:hAnsi="宋体" w:cs="宋体"/>
                <w:kern w:val="0"/>
                <w:szCs w:val="21"/>
              </w:rPr>
            </w:pPr>
            <w:r>
              <w:rPr>
                <w:rFonts w:hint="eastAsia" w:ascii="宋体" w:hAnsi="宋体" w:cs="宋体"/>
                <w:kern w:val="0"/>
                <w:szCs w:val="21"/>
              </w:rPr>
              <w:t>9.33</w:t>
            </w:r>
          </w:p>
        </w:tc>
        <w:tc>
          <w:tcPr>
            <w:tcW w:w="406" w:type="pct"/>
            <w:shd w:val="clear" w:color="auto" w:fill="auto"/>
            <w:vAlign w:val="center"/>
          </w:tcPr>
          <w:p w14:paraId="32031910">
            <w:pPr>
              <w:widowControl/>
              <w:jc w:val="center"/>
              <w:rPr>
                <w:rFonts w:hint="eastAsia" w:ascii="宋体" w:hAnsi="宋体" w:cs="宋体"/>
                <w:kern w:val="0"/>
                <w:szCs w:val="21"/>
              </w:rPr>
            </w:pPr>
            <w:r>
              <w:rPr>
                <w:rFonts w:hint="eastAsia" w:ascii="宋体" w:hAnsi="宋体"/>
                <w:szCs w:val="21"/>
              </w:rPr>
              <w:t>0.3732</w:t>
            </w:r>
          </w:p>
        </w:tc>
        <w:tc>
          <w:tcPr>
            <w:tcW w:w="436" w:type="pct"/>
            <w:shd w:val="clear" w:color="auto" w:fill="auto"/>
            <w:vAlign w:val="center"/>
          </w:tcPr>
          <w:p w14:paraId="3BE5502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740E419">
            <w:pPr>
              <w:widowControl/>
              <w:jc w:val="center"/>
              <w:rPr>
                <w:rFonts w:hint="eastAsia" w:ascii="宋体" w:hAnsi="宋体" w:cs="宋体"/>
                <w:kern w:val="0"/>
                <w:szCs w:val="21"/>
              </w:rPr>
            </w:pPr>
            <w:r>
              <w:rPr>
                <w:rFonts w:hint="eastAsia" w:ascii="宋体" w:hAnsi="宋体" w:cs="宋体"/>
                <w:kern w:val="0"/>
                <w:szCs w:val="21"/>
              </w:rPr>
              <w:t>10.5</w:t>
            </w:r>
          </w:p>
        </w:tc>
        <w:tc>
          <w:tcPr>
            <w:tcW w:w="442" w:type="pct"/>
            <w:shd w:val="clear" w:color="auto" w:fill="auto"/>
            <w:vAlign w:val="center"/>
          </w:tcPr>
          <w:p w14:paraId="3F7B7D8E">
            <w:pPr>
              <w:widowControl/>
              <w:jc w:val="center"/>
              <w:rPr>
                <w:rFonts w:hint="eastAsia" w:ascii="宋体" w:hAnsi="宋体" w:cs="宋体"/>
                <w:kern w:val="0"/>
                <w:szCs w:val="21"/>
              </w:rPr>
            </w:pPr>
            <w:r>
              <w:rPr>
                <w:rFonts w:hint="eastAsia" w:ascii="宋体" w:hAnsi="宋体"/>
                <w:szCs w:val="21"/>
              </w:rPr>
              <w:t>0.4200</w:t>
            </w:r>
          </w:p>
        </w:tc>
        <w:tc>
          <w:tcPr>
            <w:tcW w:w="406" w:type="pct"/>
            <w:shd w:val="clear" w:color="auto" w:fill="auto"/>
            <w:vAlign w:val="center"/>
          </w:tcPr>
          <w:p w14:paraId="7F8C8EB1">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E4B21E6">
            <w:pPr>
              <w:widowControl/>
              <w:jc w:val="center"/>
              <w:rPr>
                <w:rFonts w:hint="eastAsia" w:ascii="宋体" w:hAnsi="宋体" w:cs="宋体"/>
                <w:kern w:val="0"/>
                <w:szCs w:val="21"/>
              </w:rPr>
            </w:pPr>
            <w:r>
              <w:rPr>
                <w:rFonts w:hint="eastAsia" w:ascii="宋体" w:hAnsi="宋体" w:cs="宋体"/>
                <w:kern w:val="0"/>
                <w:szCs w:val="21"/>
              </w:rPr>
              <w:t>10.0</w:t>
            </w:r>
          </w:p>
        </w:tc>
        <w:tc>
          <w:tcPr>
            <w:tcW w:w="410" w:type="pct"/>
            <w:shd w:val="clear" w:color="auto" w:fill="auto"/>
            <w:vAlign w:val="center"/>
          </w:tcPr>
          <w:p w14:paraId="3360494D">
            <w:pPr>
              <w:widowControl/>
              <w:jc w:val="center"/>
              <w:rPr>
                <w:rFonts w:hint="eastAsia" w:ascii="宋体" w:hAnsi="宋体" w:cs="宋体"/>
                <w:kern w:val="0"/>
                <w:szCs w:val="21"/>
              </w:rPr>
            </w:pPr>
            <w:r>
              <w:rPr>
                <w:rFonts w:hint="eastAsia" w:ascii="宋体" w:hAnsi="宋体"/>
                <w:szCs w:val="21"/>
              </w:rPr>
              <w:t>0.4000</w:t>
            </w:r>
          </w:p>
        </w:tc>
        <w:tc>
          <w:tcPr>
            <w:tcW w:w="389" w:type="pct"/>
            <w:shd w:val="clear" w:color="auto" w:fill="auto"/>
            <w:vAlign w:val="center"/>
          </w:tcPr>
          <w:p w14:paraId="0FE8D329">
            <w:pPr>
              <w:widowControl/>
              <w:jc w:val="center"/>
              <w:rPr>
                <w:rFonts w:hint="eastAsia" w:ascii="宋体" w:hAnsi="宋体" w:cs="宋体"/>
                <w:kern w:val="0"/>
                <w:szCs w:val="21"/>
              </w:rPr>
            </w:pPr>
            <w:r>
              <w:rPr>
                <w:rFonts w:hint="eastAsia" w:ascii="宋体" w:hAnsi="宋体" w:cs="宋体"/>
                <w:kern w:val="0"/>
                <w:szCs w:val="21"/>
              </w:rPr>
              <w:t>达标</w:t>
            </w:r>
          </w:p>
        </w:tc>
      </w:tr>
      <w:tr w14:paraId="268CCC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A6FC45B">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2CCCC641">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46DE745E">
            <w:pPr>
              <w:widowControl/>
              <w:jc w:val="center"/>
              <w:rPr>
                <w:rFonts w:hint="eastAsia" w:ascii="宋体" w:hAnsi="宋体" w:cs="宋体"/>
                <w:kern w:val="0"/>
                <w:szCs w:val="21"/>
              </w:rPr>
            </w:pPr>
            <w:r>
              <w:rPr>
                <w:rFonts w:hint="eastAsia" w:ascii="宋体" w:hAnsi="宋体" w:cs="宋体"/>
                <w:kern w:val="0"/>
                <w:szCs w:val="21"/>
              </w:rPr>
              <w:t>170</w:t>
            </w:r>
          </w:p>
        </w:tc>
        <w:tc>
          <w:tcPr>
            <w:tcW w:w="305" w:type="pct"/>
            <w:shd w:val="clear" w:color="auto" w:fill="auto"/>
            <w:vAlign w:val="center"/>
          </w:tcPr>
          <w:p w14:paraId="5F23224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1E7A9E1">
            <w:pPr>
              <w:widowControl/>
              <w:jc w:val="center"/>
              <w:rPr>
                <w:rFonts w:hint="eastAsia" w:ascii="宋体" w:hAnsi="宋体" w:cs="宋体"/>
                <w:kern w:val="0"/>
                <w:szCs w:val="21"/>
              </w:rPr>
            </w:pPr>
            <w:r>
              <w:rPr>
                <w:rFonts w:hint="eastAsia" w:ascii="宋体" w:hAnsi="宋体" w:cs="宋体"/>
                <w:kern w:val="0"/>
                <w:szCs w:val="21"/>
              </w:rPr>
              <w:t>3.6</w:t>
            </w:r>
          </w:p>
        </w:tc>
        <w:tc>
          <w:tcPr>
            <w:tcW w:w="406" w:type="pct"/>
            <w:shd w:val="clear" w:color="auto" w:fill="auto"/>
            <w:vAlign w:val="center"/>
          </w:tcPr>
          <w:p w14:paraId="0F6D08A3">
            <w:pPr>
              <w:widowControl/>
              <w:jc w:val="center"/>
              <w:rPr>
                <w:rFonts w:hint="eastAsia" w:ascii="宋体" w:hAnsi="宋体" w:cs="宋体"/>
                <w:kern w:val="0"/>
                <w:szCs w:val="21"/>
              </w:rPr>
            </w:pPr>
            <w:r>
              <w:rPr>
                <w:rFonts w:hint="eastAsia" w:ascii="宋体" w:hAnsi="宋体"/>
                <w:szCs w:val="21"/>
              </w:rPr>
              <w:t>0.0212</w:t>
            </w:r>
          </w:p>
        </w:tc>
        <w:tc>
          <w:tcPr>
            <w:tcW w:w="436" w:type="pct"/>
            <w:shd w:val="clear" w:color="auto" w:fill="auto"/>
            <w:vAlign w:val="center"/>
          </w:tcPr>
          <w:p w14:paraId="64F11E4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1231ABB">
            <w:pPr>
              <w:widowControl/>
              <w:jc w:val="center"/>
              <w:rPr>
                <w:rFonts w:hint="eastAsia" w:ascii="宋体" w:hAnsi="宋体" w:cs="宋体"/>
                <w:kern w:val="0"/>
                <w:szCs w:val="21"/>
              </w:rPr>
            </w:pPr>
            <w:r>
              <w:rPr>
                <w:rFonts w:hint="eastAsia" w:ascii="宋体" w:hAnsi="宋体" w:cs="宋体"/>
                <w:kern w:val="0"/>
                <w:szCs w:val="21"/>
              </w:rPr>
              <w:t>4.0</w:t>
            </w:r>
          </w:p>
        </w:tc>
        <w:tc>
          <w:tcPr>
            <w:tcW w:w="442" w:type="pct"/>
            <w:shd w:val="clear" w:color="auto" w:fill="auto"/>
            <w:vAlign w:val="center"/>
          </w:tcPr>
          <w:p w14:paraId="0AC52D5C">
            <w:pPr>
              <w:widowControl/>
              <w:jc w:val="center"/>
              <w:rPr>
                <w:rFonts w:hint="eastAsia" w:ascii="宋体" w:hAnsi="宋体" w:cs="宋体"/>
                <w:kern w:val="0"/>
                <w:szCs w:val="21"/>
              </w:rPr>
            </w:pPr>
            <w:r>
              <w:rPr>
                <w:rFonts w:hint="eastAsia" w:ascii="宋体" w:hAnsi="宋体"/>
                <w:szCs w:val="21"/>
              </w:rPr>
              <w:t>0.0235</w:t>
            </w:r>
          </w:p>
        </w:tc>
        <w:tc>
          <w:tcPr>
            <w:tcW w:w="406" w:type="pct"/>
            <w:shd w:val="clear" w:color="auto" w:fill="auto"/>
            <w:vAlign w:val="center"/>
          </w:tcPr>
          <w:p w14:paraId="4969E974">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F2DE878">
            <w:pPr>
              <w:widowControl/>
              <w:jc w:val="center"/>
              <w:rPr>
                <w:rFonts w:hint="eastAsia" w:ascii="宋体" w:hAnsi="宋体" w:cs="宋体"/>
                <w:kern w:val="0"/>
                <w:szCs w:val="21"/>
              </w:rPr>
            </w:pPr>
            <w:r>
              <w:rPr>
                <w:rFonts w:hint="eastAsia" w:ascii="宋体" w:hAnsi="宋体" w:cs="宋体"/>
                <w:kern w:val="0"/>
                <w:szCs w:val="21"/>
              </w:rPr>
              <w:t>8.4</w:t>
            </w:r>
          </w:p>
        </w:tc>
        <w:tc>
          <w:tcPr>
            <w:tcW w:w="410" w:type="pct"/>
            <w:shd w:val="clear" w:color="auto" w:fill="auto"/>
            <w:vAlign w:val="center"/>
          </w:tcPr>
          <w:p w14:paraId="1F3C41ED">
            <w:pPr>
              <w:widowControl/>
              <w:jc w:val="center"/>
              <w:rPr>
                <w:rFonts w:hint="eastAsia" w:ascii="宋体" w:hAnsi="宋体" w:cs="宋体"/>
                <w:kern w:val="0"/>
                <w:szCs w:val="21"/>
              </w:rPr>
            </w:pPr>
            <w:r>
              <w:rPr>
                <w:rFonts w:hint="eastAsia" w:ascii="宋体" w:hAnsi="宋体"/>
                <w:szCs w:val="21"/>
              </w:rPr>
              <w:t>0.0494</w:t>
            </w:r>
          </w:p>
        </w:tc>
        <w:tc>
          <w:tcPr>
            <w:tcW w:w="389" w:type="pct"/>
            <w:shd w:val="clear" w:color="auto" w:fill="auto"/>
            <w:vAlign w:val="center"/>
          </w:tcPr>
          <w:p w14:paraId="65B9DE2A">
            <w:pPr>
              <w:widowControl/>
              <w:jc w:val="center"/>
              <w:rPr>
                <w:rFonts w:hint="eastAsia" w:ascii="宋体" w:hAnsi="宋体" w:cs="宋体"/>
                <w:kern w:val="0"/>
                <w:szCs w:val="21"/>
              </w:rPr>
            </w:pPr>
            <w:r>
              <w:rPr>
                <w:rFonts w:hint="eastAsia" w:ascii="宋体" w:hAnsi="宋体" w:cs="宋体"/>
                <w:kern w:val="0"/>
                <w:szCs w:val="21"/>
              </w:rPr>
              <w:t>达标</w:t>
            </w:r>
          </w:p>
        </w:tc>
      </w:tr>
      <w:tr w14:paraId="70A1AD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6B6272B">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55096B4B">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656611CE">
            <w:pPr>
              <w:widowControl/>
              <w:jc w:val="center"/>
              <w:rPr>
                <w:rFonts w:hint="eastAsia" w:ascii="宋体" w:hAnsi="宋体" w:cs="宋体"/>
                <w:kern w:val="0"/>
                <w:szCs w:val="21"/>
              </w:rPr>
            </w:pPr>
            <w:r>
              <w:rPr>
                <w:rFonts w:hint="eastAsia" w:ascii="宋体" w:hAnsi="宋体" w:cs="宋体"/>
                <w:kern w:val="0"/>
                <w:szCs w:val="21"/>
              </w:rPr>
              <w:t>0.6</w:t>
            </w:r>
          </w:p>
        </w:tc>
        <w:tc>
          <w:tcPr>
            <w:tcW w:w="305" w:type="pct"/>
            <w:shd w:val="clear" w:color="auto" w:fill="auto"/>
            <w:vAlign w:val="center"/>
          </w:tcPr>
          <w:p w14:paraId="17C60BD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3C00DB2">
            <w:pPr>
              <w:widowControl/>
              <w:jc w:val="center"/>
              <w:rPr>
                <w:rFonts w:hint="eastAsia" w:ascii="宋体" w:hAnsi="宋体" w:cs="宋体"/>
                <w:kern w:val="0"/>
                <w:szCs w:val="21"/>
              </w:rPr>
            </w:pPr>
            <w:r>
              <w:rPr>
                <w:rFonts w:hint="eastAsia" w:ascii="宋体" w:hAnsi="宋体" w:cs="宋体"/>
                <w:kern w:val="0"/>
                <w:szCs w:val="21"/>
              </w:rPr>
              <w:t>0.31</w:t>
            </w:r>
          </w:p>
        </w:tc>
        <w:tc>
          <w:tcPr>
            <w:tcW w:w="406" w:type="pct"/>
            <w:shd w:val="clear" w:color="auto" w:fill="auto"/>
            <w:vAlign w:val="center"/>
          </w:tcPr>
          <w:p w14:paraId="19DA250E">
            <w:pPr>
              <w:widowControl/>
              <w:jc w:val="center"/>
              <w:rPr>
                <w:rFonts w:hint="eastAsia" w:ascii="宋体" w:hAnsi="宋体" w:cs="宋体"/>
                <w:kern w:val="0"/>
                <w:szCs w:val="21"/>
              </w:rPr>
            </w:pPr>
            <w:r>
              <w:rPr>
                <w:rFonts w:hint="eastAsia" w:ascii="宋体" w:hAnsi="宋体"/>
                <w:szCs w:val="21"/>
              </w:rPr>
              <w:t>0.5167</w:t>
            </w:r>
          </w:p>
        </w:tc>
        <w:tc>
          <w:tcPr>
            <w:tcW w:w="436" w:type="pct"/>
            <w:shd w:val="clear" w:color="auto" w:fill="auto"/>
            <w:vAlign w:val="center"/>
          </w:tcPr>
          <w:p w14:paraId="60CC572F">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A39A2C2">
            <w:pPr>
              <w:widowControl/>
              <w:jc w:val="center"/>
              <w:rPr>
                <w:rFonts w:hint="eastAsia" w:ascii="宋体" w:hAnsi="宋体" w:cs="宋体"/>
                <w:kern w:val="0"/>
                <w:szCs w:val="21"/>
              </w:rPr>
            </w:pPr>
            <w:r>
              <w:rPr>
                <w:rFonts w:hint="eastAsia" w:ascii="宋体" w:hAnsi="宋体" w:cs="宋体"/>
                <w:kern w:val="0"/>
                <w:szCs w:val="21"/>
              </w:rPr>
              <w:t>0.23</w:t>
            </w:r>
          </w:p>
        </w:tc>
        <w:tc>
          <w:tcPr>
            <w:tcW w:w="442" w:type="pct"/>
            <w:shd w:val="clear" w:color="auto" w:fill="auto"/>
            <w:vAlign w:val="center"/>
          </w:tcPr>
          <w:p w14:paraId="3025A98B">
            <w:pPr>
              <w:widowControl/>
              <w:jc w:val="center"/>
              <w:rPr>
                <w:rFonts w:hint="eastAsia" w:ascii="宋体" w:hAnsi="宋体" w:cs="宋体"/>
                <w:kern w:val="0"/>
                <w:szCs w:val="21"/>
              </w:rPr>
            </w:pPr>
            <w:r>
              <w:rPr>
                <w:rFonts w:hint="eastAsia" w:ascii="宋体" w:hAnsi="宋体"/>
                <w:szCs w:val="21"/>
              </w:rPr>
              <w:t>0.3833</w:t>
            </w:r>
          </w:p>
        </w:tc>
        <w:tc>
          <w:tcPr>
            <w:tcW w:w="406" w:type="pct"/>
            <w:shd w:val="clear" w:color="auto" w:fill="auto"/>
            <w:vAlign w:val="center"/>
          </w:tcPr>
          <w:p w14:paraId="2FE614C3">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8B73975">
            <w:pPr>
              <w:widowControl/>
              <w:jc w:val="center"/>
              <w:rPr>
                <w:rFonts w:hint="eastAsia" w:ascii="宋体" w:hAnsi="宋体" w:cs="宋体"/>
                <w:kern w:val="0"/>
                <w:szCs w:val="21"/>
              </w:rPr>
            </w:pPr>
            <w:r>
              <w:rPr>
                <w:rFonts w:hint="eastAsia" w:ascii="宋体" w:hAnsi="宋体" w:cs="宋体"/>
                <w:kern w:val="0"/>
                <w:szCs w:val="21"/>
              </w:rPr>
              <w:t>0.24</w:t>
            </w:r>
          </w:p>
        </w:tc>
        <w:tc>
          <w:tcPr>
            <w:tcW w:w="410" w:type="pct"/>
            <w:shd w:val="clear" w:color="auto" w:fill="auto"/>
            <w:vAlign w:val="center"/>
          </w:tcPr>
          <w:p w14:paraId="18241553">
            <w:pPr>
              <w:widowControl/>
              <w:jc w:val="center"/>
              <w:rPr>
                <w:rFonts w:hint="eastAsia" w:ascii="宋体" w:hAnsi="宋体" w:cs="宋体"/>
                <w:kern w:val="0"/>
                <w:szCs w:val="21"/>
              </w:rPr>
            </w:pPr>
            <w:r>
              <w:rPr>
                <w:rFonts w:hint="eastAsia" w:ascii="宋体" w:hAnsi="宋体"/>
                <w:szCs w:val="21"/>
              </w:rPr>
              <w:t>0.4000</w:t>
            </w:r>
          </w:p>
        </w:tc>
        <w:tc>
          <w:tcPr>
            <w:tcW w:w="389" w:type="pct"/>
            <w:shd w:val="clear" w:color="auto" w:fill="auto"/>
            <w:vAlign w:val="center"/>
          </w:tcPr>
          <w:p w14:paraId="3B52C022">
            <w:pPr>
              <w:widowControl/>
              <w:jc w:val="center"/>
              <w:rPr>
                <w:rFonts w:hint="eastAsia" w:ascii="宋体" w:hAnsi="宋体" w:cs="宋体"/>
                <w:kern w:val="0"/>
                <w:szCs w:val="21"/>
              </w:rPr>
            </w:pPr>
            <w:r>
              <w:rPr>
                <w:rFonts w:hint="eastAsia" w:ascii="宋体" w:hAnsi="宋体" w:cs="宋体"/>
                <w:kern w:val="0"/>
                <w:szCs w:val="21"/>
              </w:rPr>
              <w:t>达标</w:t>
            </w:r>
          </w:p>
        </w:tc>
      </w:tr>
      <w:tr w14:paraId="002191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599FAD9">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7F390EA6">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4AF402DF">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0E1EF590">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54BF52E7">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4ADC4D98">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0099ACB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283C2EC">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33D9946E">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3D2003E2">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041D4FA">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48942AC6">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7739D15B">
            <w:pPr>
              <w:widowControl/>
              <w:jc w:val="center"/>
              <w:rPr>
                <w:rFonts w:hint="eastAsia" w:ascii="宋体" w:hAnsi="宋体" w:cs="宋体"/>
                <w:kern w:val="0"/>
                <w:szCs w:val="21"/>
              </w:rPr>
            </w:pPr>
            <w:r>
              <w:rPr>
                <w:rFonts w:hint="eastAsia" w:ascii="宋体" w:hAnsi="宋体" w:cs="宋体"/>
                <w:kern w:val="0"/>
                <w:szCs w:val="21"/>
              </w:rPr>
              <w:t>达标</w:t>
            </w:r>
          </w:p>
        </w:tc>
      </w:tr>
      <w:tr w14:paraId="640D0D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06C50FDE">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50FE6248">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4A0D4B8F">
            <w:pPr>
              <w:widowControl/>
              <w:jc w:val="center"/>
              <w:rPr>
                <w:rFonts w:hint="eastAsia" w:ascii="宋体" w:hAnsi="宋体" w:cs="宋体"/>
                <w:kern w:val="0"/>
                <w:szCs w:val="21"/>
              </w:rPr>
            </w:pPr>
            <w:r>
              <w:rPr>
                <w:rFonts w:hint="eastAsia" w:ascii="宋体" w:hAnsi="宋体" w:cs="宋体"/>
                <w:kern w:val="0"/>
                <w:szCs w:val="21"/>
              </w:rPr>
              <w:t>100</w:t>
            </w:r>
          </w:p>
        </w:tc>
        <w:tc>
          <w:tcPr>
            <w:tcW w:w="305" w:type="pct"/>
            <w:shd w:val="clear" w:color="auto" w:fill="auto"/>
            <w:vAlign w:val="center"/>
          </w:tcPr>
          <w:p w14:paraId="7B1879E6">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5095B4C">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03005E6F">
            <w:pPr>
              <w:widowControl/>
              <w:jc w:val="center"/>
              <w:rPr>
                <w:rFonts w:hint="eastAsia" w:ascii="宋体" w:hAnsi="宋体" w:cs="宋体"/>
                <w:kern w:val="0"/>
                <w:szCs w:val="21"/>
              </w:rPr>
            </w:pPr>
            <w:r>
              <w:rPr>
                <w:rFonts w:hint="eastAsia" w:ascii="宋体" w:hAnsi="宋体"/>
                <w:szCs w:val="21"/>
              </w:rPr>
              <w:t>0.2200</w:t>
            </w:r>
          </w:p>
        </w:tc>
        <w:tc>
          <w:tcPr>
            <w:tcW w:w="436" w:type="pct"/>
            <w:shd w:val="clear" w:color="auto" w:fill="auto"/>
            <w:vAlign w:val="center"/>
          </w:tcPr>
          <w:p w14:paraId="40338A7C">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4549FCD">
            <w:pPr>
              <w:widowControl/>
              <w:jc w:val="center"/>
              <w:rPr>
                <w:rFonts w:hint="eastAsia" w:ascii="宋体" w:hAnsi="宋体" w:cs="宋体"/>
                <w:kern w:val="0"/>
                <w:szCs w:val="21"/>
              </w:rPr>
            </w:pPr>
            <w:r>
              <w:rPr>
                <w:rFonts w:hint="eastAsia" w:ascii="宋体" w:hAnsi="宋体" w:cs="宋体"/>
                <w:kern w:val="0"/>
                <w:szCs w:val="21"/>
              </w:rPr>
              <w:t>13</w:t>
            </w:r>
          </w:p>
        </w:tc>
        <w:tc>
          <w:tcPr>
            <w:tcW w:w="442" w:type="pct"/>
            <w:shd w:val="clear" w:color="auto" w:fill="auto"/>
            <w:vAlign w:val="center"/>
          </w:tcPr>
          <w:p w14:paraId="0D834368">
            <w:pPr>
              <w:widowControl/>
              <w:jc w:val="center"/>
              <w:rPr>
                <w:rFonts w:hint="eastAsia" w:ascii="宋体" w:hAnsi="宋体" w:cs="宋体"/>
                <w:kern w:val="0"/>
                <w:szCs w:val="21"/>
              </w:rPr>
            </w:pPr>
            <w:r>
              <w:rPr>
                <w:rFonts w:hint="eastAsia" w:ascii="宋体" w:hAnsi="宋体"/>
                <w:szCs w:val="21"/>
              </w:rPr>
              <w:t>0.1300</w:t>
            </w:r>
          </w:p>
        </w:tc>
        <w:tc>
          <w:tcPr>
            <w:tcW w:w="406" w:type="pct"/>
            <w:shd w:val="clear" w:color="auto" w:fill="auto"/>
            <w:vAlign w:val="center"/>
          </w:tcPr>
          <w:p w14:paraId="7FBDAEA4">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AE1BCD2">
            <w:pPr>
              <w:widowControl/>
              <w:jc w:val="center"/>
              <w:rPr>
                <w:rFonts w:hint="eastAsia" w:ascii="宋体" w:hAnsi="宋体" w:cs="宋体"/>
                <w:kern w:val="0"/>
                <w:szCs w:val="21"/>
              </w:rPr>
            </w:pPr>
            <w:r>
              <w:rPr>
                <w:rFonts w:hint="eastAsia" w:ascii="宋体" w:hAnsi="宋体" w:cs="宋体"/>
                <w:kern w:val="0"/>
                <w:szCs w:val="21"/>
              </w:rPr>
              <w:t>16</w:t>
            </w:r>
          </w:p>
        </w:tc>
        <w:tc>
          <w:tcPr>
            <w:tcW w:w="410" w:type="pct"/>
            <w:shd w:val="clear" w:color="auto" w:fill="auto"/>
            <w:vAlign w:val="center"/>
          </w:tcPr>
          <w:p w14:paraId="311585DA">
            <w:pPr>
              <w:widowControl/>
              <w:jc w:val="center"/>
              <w:rPr>
                <w:rFonts w:hint="eastAsia" w:ascii="宋体" w:hAnsi="宋体" w:cs="宋体"/>
                <w:kern w:val="0"/>
                <w:szCs w:val="21"/>
              </w:rPr>
            </w:pPr>
            <w:r>
              <w:rPr>
                <w:rFonts w:hint="eastAsia" w:ascii="宋体" w:hAnsi="宋体"/>
                <w:szCs w:val="21"/>
              </w:rPr>
              <w:t>0.1600</w:t>
            </w:r>
          </w:p>
        </w:tc>
        <w:tc>
          <w:tcPr>
            <w:tcW w:w="389" w:type="pct"/>
            <w:shd w:val="clear" w:color="auto" w:fill="auto"/>
            <w:vAlign w:val="center"/>
          </w:tcPr>
          <w:p w14:paraId="21BCD390">
            <w:pPr>
              <w:widowControl/>
              <w:jc w:val="center"/>
              <w:rPr>
                <w:rFonts w:hint="eastAsia" w:ascii="宋体" w:hAnsi="宋体" w:cs="宋体"/>
                <w:kern w:val="0"/>
                <w:szCs w:val="21"/>
              </w:rPr>
            </w:pPr>
            <w:r>
              <w:rPr>
                <w:rFonts w:hint="eastAsia" w:ascii="宋体" w:hAnsi="宋体" w:cs="宋体"/>
                <w:kern w:val="0"/>
                <w:szCs w:val="21"/>
              </w:rPr>
              <w:t>达标</w:t>
            </w:r>
          </w:p>
        </w:tc>
      </w:tr>
      <w:tr w14:paraId="029709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F491E2F">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6317E18A">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26345DB3">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41FB6B74">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556094B">
            <w:pPr>
              <w:widowControl/>
              <w:jc w:val="center"/>
              <w:rPr>
                <w:rFonts w:hint="eastAsia" w:ascii="宋体" w:hAnsi="宋体" w:cs="宋体"/>
                <w:kern w:val="0"/>
                <w:szCs w:val="21"/>
              </w:rPr>
            </w:pPr>
            <w:r>
              <w:rPr>
                <w:rFonts w:hint="eastAsia" w:ascii="宋体" w:hAnsi="宋体" w:cs="宋体"/>
                <w:kern w:val="0"/>
                <w:szCs w:val="21"/>
              </w:rPr>
              <w:t>38</w:t>
            </w:r>
          </w:p>
        </w:tc>
        <w:tc>
          <w:tcPr>
            <w:tcW w:w="406" w:type="pct"/>
            <w:shd w:val="clear" w:color="auto" w:fill="auto"/>
            <w:vAlign w:val="center"/>
          </w:tcPr>
          <w:p w14:paraId="30AF7F61">
            <w:pPr>
              <w:widowControl/>
              <w:jc w:val="center"/>
              <w:rPr>
                <w:rFonts w:hint="eastAsia" w:ascii="宋体" w:hAnsi="宋体" w:cs="宋体"/>
                <w:kern w:val="0"/>
                <w:szCs w:val="21"/>
              </w:rPr>
            </w:pPr>
            <w:r>
              <w:rPr>
                <w:rFonts w:hint="eastAsia" w:ascii="宋体" w:hAnsi="宋体"/>
                <w:szCs w:val="21"/>
              </w:rPr>
              <w:t>0.6333</w:t>
            </w:r>
          </w:p>
        </w:tc>
        <w:tc>
          <w:tcPr>
            <w:tcW w:w="436" w:type="pct"/>
            <w:shd w:val="clear" w:color="auto" w:fill="auto"/>
            <w:vAlign w:val="center"/>
          </w:tcPr>
          <w:p w14:paraId="57B66CC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C76EAA7">
            <w:pPr>
              <w:widowControl/>
              <w:jc w:val="center"/>
              <w:rPr>
                <w:rFonts w:hint="eastAsia" w:ascii="宋体" w:hAnsi="宋体" w:cs="宋体"/>
                <w:kern w:val="0"/>
                <w:szCs w:val="21"/>
              </w:rPr>
            </w:pPr>
            <w:r>
              <w:rPr>
                <w:rFonts w:hint="eastAsia" w:ascii="宋体" w:hAnsi="宋体" w:cs="宋体"/>
                <w:kern w:val="0"/>
                <w:szCs w:val="21"/>
              </w:rPr>
              <w:t>23</w:t>
            </w:r>
          </w:p>
        </w:tc>
        <w:tc>
          <w:tcPr>
            <w:tcW w:w="442" w:type="pct"/>
            <w:shd w:val="clear" w:color="auto" w:fill="auto"/>
            <w:vAlign w:val="center"/>
          </w:tcPr>
          <w:p w14:paraId="4914C788">
            <w:pPr>
              <w:widowControl/>
              <w:jc w:val="center"/>
              <w:rPr>
                <w:rFonts w:hint="eastAsia" w:ascii="宋体" w:hAnsi="宋体" w:cs="宋体"/>
                <w:kern w:val="0"/>
                <w:szCs w:val="21"/>
              </w:rPr>
            </w:pPr>
            <w:r>
              <w:rPr>
                <w:rFonts w:hint="eastAsia" w:ascii="宋体" w:hAnsi="宋体"/>
                <w:szCs w:val="21"/>
              </w:rPr>
              <w:t>0.3833</w:t>
            </w:r>
          </w:p>
        </w:tc>
        <w:tc>
          <w:tcPr>
            <w:tcW w:w="406" w:type="pct"/>
            <w:shd w:val="clear" w:color="auto" w:fill="auto"/>
            <w:vAlign w:val="center"/>
          </w:tcPr>
          <w:p w14:paraId="3D37957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186D764F">
            <w:pPr>
              <w:widowControl/>
              <w:jc w:val="center"/>
              <w:rPr>
                <w:rFonts w:hint="eastAsia" w:ascii="宋体" w:hAnsi="宋体" w:cs="宋体"/>
                <w:kern w:val="0"/>
                <w:szCs w:val="21"/>
              </w:rPr>
            </w:pPr>
            <w:r>
              <w:rPr>
                <w:rFonts w:hint="eastAsia" w:ascii="宋体" w:hAnsi="宋体" w:cs="宋体"/>
                <w:kern w:val="0"/>
                <w:szCs w:val="21"/>
              </w:rPr>
              <w:t>31</w:t>
            </w:r>
          </w:p>
        </w:tc>
        <w:tc>
          <w:tcPr>
            <w:tcW w:w="410" w:type="pct"/>
            <w:shd w:val="clear" w:color="auto" w:fill="auto"/>
            <w:vAlign w:val="center"/>
          </w:tcPr>
          <w:p w14:paraId="3A606F25">
            <w:pPr>
              <w:widowControl/>
              <w:jc w:val="center"/>
              <w:rPr>
                <w:rFonts w:hint="eastAsia" w:ascii="宋体" w:hAnsi="宋体" w:cs="宋体"/>
                <w:kern w:val="0"/>
                <w:szCs w:val="21"/>
              </w:rPr>
            </w:pPr>
            <w:r>
              <w:rPr>
                <w:rFonts w:hint="eastAsia" w:ascii="宋体" w:hAnsi="宋体"/>
                <w:szCs w:val="21"/>
              </w:rPr>
              <w:t>0.5167</w:t>
            </w:r>
          </w:p>
        </w:tc>
        <w:tc>
          <w:tcPr>
            <w:tcW w:w="389" w:type="pct"/>
            <w:shd w:val="clear" w:color="auto" w:fill="auto"/>
            <w:vAlign w:val="center"/>
          </w:tcPr>
          <w:p w14:paraId="2094ABFF">
            <w:pPr>
              <w:widowControl/>
              <w:jc w:val="center"/>
              <w:rPr>
                <w:rFonts w:hint="eastAsia" w:ascii="宋体" w:hAnsi="宋体" w:cs="宋体"/>
                <w:kern w:val="0"/>
                <w:szCs w:val="21"/>
              </w:rPr>
            </w:pPr>
            <w:r>
              <w:rPr>
                <w:rFonts w:hint="eastAsia" w:ascii="宋体" w:hAnsi="宋体" w:cs="宋体"/>
                <w:kern w:val="0"/>
                <w:szCs w:val="21"/>
              </w:rPr>
              <w:t>达标</w:t>
            </w:r>
          </w:p>
        </w:tc>
      </w:tr>
      <w:tr w14:paraId="6233F1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7428F55">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4F81B3C1">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3DD9D80B">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6941EB2C">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0E7D446">
            <w:pPr>
              <w:widowControl/>
              <w:jc w:val="center"/>
              <w:rPr>
                <w:rFonts w:hint="eastAsia" w:ascii="宋体" w:hAnsi="宋体" w:cs="宋体"/>
                <w:kern w:val="0"/>
                <w:szCs w:val="21"/>
              </w:rPr>
            </w:pPr>
            <w:r>
              <w:rPr>
                <w:rFonts w:hint="eastAsia" w:ascii="宋体" w:hAnsi="宋体" w:cs="宋体"/>
                <w:kern w:val="0"/>
                <w:szCs w:val="21"/>
              </w:rPr>
              <w:t>4</w:t>
            </w:r>
          </w:p>
        </w:tc>
        <w:tc>
          <w:tcPr>
            <w:tcW w:w="406" w:type="pct"/>
            <w:shd w:val="clear" w:color="auto" w:fill="auto"/>
            <w:vAlign w:val="center"/>
          </w:tcPr>
          <w:p w14:paraId="78C73A5F">
            <w:pPr>
              <w:widowControl/>
              <w:jc w:val="center"/>
              <w:rPr>
                <w:rFonts w:hint="eastAsia" w:ascii="宋体" w:hAnsi="宋体" w:cs="宋体"/>
                <w:kern w:val="0"/>
                <w:szCs w:val="21"/>
              </w:rPr>
            </w:pPr>
            <w:r>
              <w:rPr>
                <w:rFonts w:hint="eastAsia" w:ascii="宋体" w:hAnsi="宋体"/>
                <w:szCs w:val="21"/>
              </w:rPr>
              <w:t>0.0009</w:t>
            </w:r>
          </w:p>
        </w:tc>
        <w:tc>
          <w:tcPr>
            <w:tcW w:w="436" w:type="pct"/>
            <w:shd w:val="clear" w:color="auto" w:fill="auto"/>
            <w:vAlign w:val="center"/>
          </w:tcPr>
          <w:p w14:paraId="0E175084">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2F789120">
            <w:pPr>
              <w:widowControl/>
              <w:jc w:val="center"/>
              <w:rPr>
                <w:rFonts w:hint="eastAsia" w:ascii="宋体" w:hAnsi="宋体" w:cs="宋体"/>
                <w:kern w:val="0"/>
                <w:szCs w:val="21"/>
              </w:rPr>
            </w:pPr>
            <w:r>
              <w:rPr>
                <w:rFonts w:hint="eastAsia" w:ascii="宋体" w:hAnsi="宋体" w:cs="宋体"/>
                <w:kern w:val="0"/>
                <w:szCs w:val="21"/>
              </w:rPr>
              <w:t>11</w:t>
            </w:r>
          </w:p>
        </w:tc>
        <w:tc>
          <w:tcPr>
            <w:tcW w:w="442" w:type="pct"/>
            <w:shd w:val="clear" w:color="auto" w:fill="auto"/>
            <w:vAlign w:val="center"/>
          </w:tcPr>
          <w:p w14:paraId="3F6442CE">
            <w:pPr>
              <w:widowControl/>
              <w:jc w:val="center"/>
              <w:rPr>
                <w:rFonts w:hint="eastAsia" w:ascii="宋体" w:hAnsi="宋体" w:cs="宋体"/>
                <w:kern w:val="0"/>
                <w:szCs w:val="21"/>
              </w:rPr>
            </w:pPr>
            <w:r>
              <w:rPr>
                <w:rFonts w:hint="eastAsia" w:ascii="宋体" w:hAnsi="宋体"/>
                <w:szCs w:val="21"/>
              </w:rPr>
              <w:t>0.0024</w:t>
            </w:r>
          </w:p>
        </w:tc>
        <w:tc>
          <w:tcPr>
            <w:tcW w:w="406" w:type="pct"/>
            <w:shd w:val="clear" w:color="auto" w:fill="auto"/>
            <w:vAlign w:val="center"/>
          </w:tcPr>
          <w:p w14:paraId="0463ABE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EC7B428">
            <w:pPr>
              <w:widowControl/>
              <w:jc w:val="center"/>
              <w:rPr>
                <w:rFonts w:hint="eastAsia" w:ascii="宋体" w:hAnsi="宋体" w:cs="宋体"/>
                <w:kern w:val="0"/>
                <w:szCs w:val="21"/>
              </w:rPr>
            </w:pPr>
            <w:r>
              <w:rPr>
                <w:rFonts w:hint="eastAsia" w:ascii="宋体" w:hAnsi="宋体" w:cs="宋体"/>
                <w:kern w:val="0"/>
                <w:szCs w:val="21"/>
              </w:rPr>
              <w:t>11</w:t>
            </w:r>
          </w:p>
        </w:tc>
        <w:tc>
          <w:tcPr>
            <w:tcW w:w="410" w:type="pct"/>
            <w:shd w:val="clear" w:color="auto" w:fill="auto"/>
            <w:vAlign w:val="center"/>
          </w:tcPr>
          <w:p w14:paraId="4E57558C">
            <w:pPr>
              <w:widowControl/>
              <w:jc w:val="center"/>
              <w:rPr>
                <w:rFonts w:hint="eastAsia" w:ascii="宋体" w:hAnsi="宋体" w:cs="宋体"/>
                <w:kern w:val="0"/>
                <w:szCs w:val="21"/>
              </w:rPr>
            </w:pPr>
            <w:r>
              <w:rPr>
                <w:rFonts w:hint="eastAsia" w:ascii="宋体" w:hAnsi="宋体"/>
                <w:szCs w:val="21"/>
              </w:rPr>
              <w:t>0.0024</w:t>
            </w:r>
          </w:p>
        </w:tc>
        <w:tc>
          <w:tcPr>
            <w:tcW w:w="389" w:type="pct"/>
            <w:shd w:val="clear" w:color="auto" w:fill="auto"/>
            <w:vAlign w:val="center"/>
          </w:tcPr>
          <w:p w14:paraId="0779AECF">
            <w:pPr>
              <w:widowControl/>
              <w:jc w:val="center"/>
              <w:rPr>
                <w:rFonts w:hint="eastAsia" w:ascii="宋体" w:hAnsi="宋体" w:cs="宋体"/>
                <w:kern w:val="0"/>
                <w:szCs w:val="21"/>
              </w:rPr>
            </w:pPr>
            <w:r>
              <w:rPr>
                <w:rFonts w:hint="eastAsia" w:ascii="宋体" w:hAnsi="宋体" w:cs="宋体"/>
                <w:kern w:val="0"/>
                <w:szCs w:val="21"/>
              </w:rPr>
              <w:t>达标</w:t>
            </w:r>
          </w:p>
        </w:tc>
      </w:tr>
      <w:tr w14:paraId="30ABB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DC84F79">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089DCD72">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28DF44E4">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18629454">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18E12885">
            <w:pPr>
              <w:widowControl/>
              <w:jc w:val="center"/>
              <w:rPr>
                <w:rFonts w:hint="eastAsia" w:ascii="宋体" w:hAnsi="宋体" w:cs="宋体"/>
                <w:kern w:val="0"/>
                <w:szCs w:val="21"/>
              </w:rPr>
            </w:pPr>
            <w:r>
              <w:rPr>
                <w:rFonts w:hint="eastAsia" w:ascii="宋体" w:hAnsi="宋体" w:cs="宋体"/>
                <w:kern w:val="0"/>
                <w:szCs w:val="21"/>
              </w:rPr>
              <w:t>8.27</w:t>
            </w:r>
          </w:p>
        </w:tc>
        <w:tc>
          <w:tcPr>
            <w:tcW w:w="406" w:type="pct"/>
            <w:shd w:val="clear" w:color="auto" w:fill="auto"/>
            <w:vAlign w:val="center"/>
          </w:tcPr>
          <w:p w14:paraId="10DC2D2B">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69BD7C99">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2561D958">
            <w:pPr>
              <w:widowControl/>
              <w:jc w:val="center"/>
              <w:rPr>
                <w:rFonts w:hint="eastAsia" w:ascii="宋体" w:hAnsi="宋体" w:cs="宋体"/>
                <w:kern w:val="0"/>
                <w:szCs w:val="21"/>
              </w:rPr>
            </w:pPr>
            <w:r>
              <w:rPr>
                <w:rFonts w:hint="eastAsia" w:ascii="宋体" w:hAnsi="宋体" w:cs="宋体"/>
                <w:kern w:val="0"/>
                <w:szCs w:val="21"/>
              </w:rPr>
              <w:t>8.50</w:t>
            </w:r>
          </w:p>
        </w:tc>
        <w:tc>
          <w:tcPr>
            <w:tcW w:w="442" w:type="pct"/>
            <w:shd w:val="clear" w:color="auto" w:fill="auto"/>
            <w:vAlign w:val="center"/>
          </w:tcPr>
          <w:p w14:paraId="35DBBDB1">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4A08F608">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54D37CBA">
            <w:pPr>
              <w:widowControl/>
              <w:jc w:val="center"/>
              <w:rPr>
                <w:rFonts w:hint="eastAsia" w:ascii="宋体" w:hAnsi="宋体" w:cs="宋体"/>
                <w:kern w:val="0"/>
                <w:szCs w:val="21"/>
              </w:rPr>
            </w:pPr>
            <w:r>
              <w:rPr>
                <w:rFonts w:hint="eastAsia" w:ascii="宋体" w:hAnsi="宋体" w:cs="宋体"/>
                <w:kern w:val="0"/>
                <w:szCs w:val="21"/>
              </w:rPr>
              <w:t>8.87</w:t>
            </w:r>
          </w:p>
        </w:tc>
        <w:tc>
          <w:tcPr>
            <w:tcW w:w="410" w:type="pct"/>
            <w:shd w:val="clear" w:color="auto" w:fill="auto"/>
            <w:vAlign w:val="center"/>
          </w:tcPr>
          <w:p w14:paraId="5064D405">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4726A599">
            <w:pPr>
              <w:widowControl/>
              <w:jc w:val="center"/>
              <w:rPr>
                <w:rFonts w:hint="eastAsia" w:ascii="宋体" w:hAnsi="宋体" w:cs="宋体"/>
                <w:kern w:val="0"/>
                <w:szCs w:val="21"/>
              </w:rPr>
            </w:pPr>
            <w:r>
              <w:rPr>
                <w:rFonts w:hint="eastAsia" w:ascii="宋体" w:hAnsi="宋体" w:cs="宋体"/>
                <w:kern w:val="0"/>
                <w:szCs w:val="21"/>
              </w:rPr>
              <w:t>/</w:t>
            </w:r>
          </w:p>
        </w:tc>
      </w:tr>
      <w:tr w14:paraId="3D7FA3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B2D5315">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74D93035">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4B1B4A74">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71041EE0">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4621764E">
            <w:pPr>
              <w:widowControl/>
              <w:jc w:val="center"/>
              <w:rPr>
                <w:rFonts w:hint="eastAsia" w:ascii="宋体" w:hAnsi="宋体" w:cs="宋体"/>
                <w:kern w:val="0"/>
                <w:szCs w:val="21"/>
              </w:rPr>
            </w:pPr>
            <w:r>
              <w:rPr>
                <w:rFonts w:hint="eastAsia" w:ascii="宋体" w:hAnsi="宋体" w:cs="宋体"/>
                <w:kern w:val="0"/>
                <w:szCs w:val="21"/>
              </w:rPr>
              <w:t>4.2</w:t>
            </w:r>
          </w:p>
        </w:tc>
        <w:tc>
          <w:tcPr>
            <w:tcW w:w="406" w:type="pct"/>
            <w:shd w:val="clear" w:color="auto" w:fill="auto"/>
            <w:vAlign w:val="center"/>
          </w:tcPr>
          <w:p w14:paraId="0CC45CCA">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64286BAD">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7DB7B1D2">
            <w:pPr>
              <w:widowControl/>
              <w:jc w:val="center"/>
              <w:rPr>
                <w:rFonts w:hint="eastAsia" w:ascii="宋体" w:hAnsi="宋体" w:cs="宋体"/>
                <w:kern w:val="0"/>
                <w:szCs w:val="21"/>
              </w:rPr>
            </w:pPr>
            <w:r>
              <w:rPr>
                <w:rFonts w:hint="eastAsia" w:ascii="宋体" w:hAnsi="宋体" w:cs="宋体"/>
                <w:kern w:val="0"/>
                <w:szCs w:val="21"/>
              </w:rPr>
              <w:t>1.2</w:t>
            </w:r>
          </w:p>
        </w:tc>
        <w:tc>
          <w:tcPr>
            <w:tcW w:w="442" w:type="pct"/>
            <w:shd w:val="clear" w:color="auto" w:fill="auto"/>
            <w:vAlign w:val="center"/>
          </w:tcPr>
          <w:p w14:paraId="0B2DCDA9">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77379659">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2A8FB8E3">
            <w:pPr>
              <w:widowControl/>
              <w:jc w:val="center"/>
              <w:rPr>
                <w:rFonts w:hint="eastAsia" w:ascii="宋体" w:hAnsi="宋体" w:cs="宋体"/>
                <w:kern w:val="0"/>
                <w:szCs w:val="21"/>
              </w:rPr>
            </w:pPr>
            <w:r>
              <w:rPr>
                <w:rFonts w:hint="eastAsia" w:ascii="宋体" w:hAnsi="宋体" w:cs="宋体"/>
                <w:kern w:val="0"/>
                <w:szCs w:val="21"/>
              </w:rPr>
              <w:t>3.7</w:t>
            </w:r>
          </w:p>
        </w:tc>
        <w:tc>
          <w:tcPr>
            <w:tcW w:w="410" w:type="pct"/>
            <w:shd w:val="clear" w:color="auto" w:fill="auto"/>
            <w:vAlign w:val="center"/>
          </w:tcPr>
          <w:p w14:paraId="66B4AD4F">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3C69AF87">
            <w:pPr>
              <w:widowControl/>
              <w:jc w:val="center"/>
              <w:rPr>
                <w:rFonts w:hint="eastAsia" w:ascii="宋体" w:hAnsi="宋体" w:cs="宋体"/>
                <w:kern w:val="0"/>
                <w:szCs w:val="21"/>
              </w:rPr>
            </w:pPr>
            <w:r>
              <w:rPr>
                <w:rFonts w:hint="eastAsia" w:ascii="宋体" w:hAnsi="宋体" w:cs="宋体"/>
                <w:kern w:val="0"/>
                <w:szCs w:val="21"/>
              </w:rPr>
              <w:t>/</w:t>
            </w:r>
          </w:p>
        </w:tc>
      </w:tr>
      <w:tr w14:paraId="4F5C78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70B3631">
            <w:pPr>
              <w:widowControl/>
              <w:jc w:val="center"/>
              <w:rPr>
                <w:rFonts w:hint="eastAsia" w:ascii="宋体" w:hAnsi="宋体" w:cs="宋体"/>
                <w:kern w:val="0"/>
                <w:szCs w:val="21"/>
              </w:rPr>
            </w:pPr>
            <w:r>
              <w:rPr>
                <w:rFonts w:hint="eastAsia" w:ascii="宋体" w:hAnsi="宋体" w:cs="宋体"/>
                <w:kern w:val="0"/>
                <w:szCs w:val="21"/>
              </w:rPr>
              <w:t>11</w:t>
            </w:r>
          </w:p>
        </w:tc>
        <w:tc>
          <w:tcPr>
            <w:tcW w:w="562" w:type="pct"/>
            <w:shd w:val="clear" w:color="auto" w:fill="auto"/>
            <w:vAlign w:val="center"/>
          </w:tcPr>
          <w:p w14:paraId="142AC561">
            <w:pPr>
              <w:widowControl/>
              <w:jc w:val="center"/>
              <w:rPr>
                <w:rFonts w:hint="eastAsia" w:ascii="宋体" w:hAnsi="宋体" w:cs="宋体"/>
                <w:kern w:val="0"/>
                <w:szCs w:val="21"/>
              </w:rPr>
            </w:pPr>
            <w:r>
              <w:rPr>
                <w:rFonts w:hint="eastAsia" w:ascii="宋体" w:hAnsi="宋体" w:cs="宋体"/>
                <w:kern w:val="0"/>
                <w:szCs w:val="21"/>
              </w:rPr>
              <w:t>铬</w:t>
            </w:r>
          </w:p>
        </w:tc>
        <w:tc>
          <w:tcPr>
            <w:tcW w:w="456" w:type="pct"/>
            <w:shd w:val="clear" w:color="auto" w:fill="auto"/>
            <w:vAlign w:val="center"/>
          </w:tcPr>
          <w:p w14:paraId="47E2C9F8">
            <w:pPr>
              <w:widowControl/>
              <w:jc w:val="center"/>
              <w:rPr>
                <w:rFonts w:hint="eastAsia" w:ascii="宋体" w:hAnsi="宋体" w:cs="宋体"/>
                <w:kern w:val="0"/>
                <w:szCs w:val="21"/>
              </w:rPr>
            </w:pPr>
            <w:r>
              <w:rPr>
                <w:rFonts w:hint="eastAsia" w:ascii="宋体" w:hAnsi="宋体" w:cs="宋体"/>
                <w:kern w:val="0"/>
                <w:szCs w:val="21"/>
              </w:rPr>
              <w:t>250</w:t>
            </w:r>
          </w:p>
        </w:tc>
        <w:tc>
          <w:tcPr>
            <w:tcW w:w="305" w:type="pct"/>
            <w:shd w:val="clear" w:color="auto" w:fill="auto"/>
            <w:vAlign w:val="center"/>
          </w:tcPr>
          <w:p w14:paraId="626AFD9E">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D907E06">
            <w:pPr>
              <w:widowControl/>
              <w:jc w:val="center"/>
              <w:rPr>
                <w:rFonts w:hint="eastAsia" w:ascii="宋体" w:hAnsi="宋体" w:cs="宋体"/>
                <w:kern w:val="0"/>
                <w:szCs w:val="21"/>
              </w:rPr>
            </w:pPr>
            <w:r>
              <w:rPr>
                <w:rFonts w:hint="eastAsia" w:ascii="宋体" w:hAnsi="宋体" w:cs="宋体"/>
                <w:kern w:val="0"/>
                <w:szCs w:val="21"/>
              </w:rPr>
              <w:t>44</w:t>
            </w:r>
          </w:p>
        </w:tc>
        <w:tc>
          <w:tcPr>
            <w:tcW w:w="406" w:type="pct"/>
            <w:shd w:val="clear" w:color="auto" w:fill="auto"/>
            <w:vAlign w:val="center"/>
          </w:tcPr>
          <w:p w14:paraId="6B3F8E09">
            <w:pPr>
              <w:widowControl/>
              <w:jc w:val="center"/>
              <w:rPr>
                <w:rFonts w:hint="eastAsia" w:ascii="宋体" w:hAnsi="宋体" w:cs="宋体"/>
                <w:kern w:val="0"/>
                <w:szCs w:val="21"/>
              </w:rPr>
            </w:pPr>
            <w:r>
              <w:rPr>
                <w:rFonts w:hint="eastAsia" w:ascii="宋体" w:hAnsi="宋体"/>
                <w:szCs w:val="21"/>
              </w:rPr>
              <w:t>0.176</w:t>
            </w:r>
          </w:p>
        </w:tc>
        <w:tc>
          <w:tcPr>
            <w:tcW w:w="436" w:type="pct"/>
            <w:shd w:val="clear" w:color="auto" w:fill="auto"/>
            <w:vAlign w:val="center"/>
          </w:tcPr>
          <w:p w14:paraId="0038D1A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ECFBA2E">
            <w:pPr>
              <w:widowControl/>
              <w:jc w:val="center"/>
              <w:rPr>
                <w:rFonts w:hint="eastAsia" w:ascii="宋体" w:hAnsi="宋体" w:cs="宋体"/>
                <w:kern w:val="0"/>
                <w:szCs w:val="21"/>
              </w:rPr>
            </w:pPr>
            <w:r>
              <w:rPr>
                <w:rFonts w:hint="eastAsia" w:ascii="宋体" w:hAnsi="宋体" w:cs="宋体"/>
                <w:kern w:val="0"/>
                <w:szCs w:val="21"/>
              </w:rPr>
              <w:t>56</w:t>
            </w:r>
          </w:p>
        </w:tc>
        <w:tc>
          <w:tcPr>
            <w:tcW w:w="442" w:type="pct"/>
            <w:shd w:val="clear" w:color="auto" w:fill="auto"/>
            <w:vAlign w:val="center"/>
          </w:tcPr>
          <w:p w14:paraId="22262745">
            <w:pPr>
              <w:widowControl/>
              <w:jc w:val="center"/>
              <w:rPr>
                <w:rFonts w:hint="eastAsia" w:ascii="宋体" w:hAnsi="宋体" w:cs="宋体"/>
                <w:kern w:val="0"/>
                <w:szCs w:val="21"/>
              </w:rPr>
            </w:pPr>
            <w:r>
              <w:rPr>
                <w:rFonts w:hint="eastAsia" w:ascii="宋体" w:hAnsi="宋体"/>
                <w:szCs w:val="21"/>
              </w:rPr>
              <w:t>0.224</w:t>
            </w:r>
          </w:p>
        </w:tc>
        <w:tc>
          <w:tcPr>
            <w:tcW w:w="406" w:type="pct"/>
            <w:shd w:val="clear" w:color="auto" w:fill="auto"/>
            <w:vAlign w:val="center"/>
          </w:tcPr>
          <w:p w14:paraId="2CBD388A">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22EE1FE">
            <w:pPr>
              <w:widowControl/>
              <w:jc w:val="center"/>
              <w:rPr>
                <w:rFonts w:hint="eastAsia" w:ascii="宋体" w:hAnsi="宋体" w:cs="宋体"/>
                <w:kern w:val="0"/>
                <w:szCs w:val="21"/>
              </w:rPr>
            </w:pPr>
            <w:r>
              <w:rPr>
                <w:rFonts w:hint="eastAsia" w:ascii="宋体" w:hAnsi="宋体" w:cs="宋体"/>
                <w:kern w:val="0"/>
                <w:szCs w:val="21"/>
              </w:rPr>
              <w:t>63</w:t>
            </w:r>
          </w:p>
        </w:tc>
        <w:tc>
          <w:tcPr>
            <w:tcW w:w="410" w:type="pct"/>
            <w:shd w:val="clear" w:color="auto" w:fill="auto"/>
            <w:vAlign w:val="center"/>
          </w:tcPr>
          <w:p w14:paraId="0BA0C1A4">
            <w:pPr>
              <w:widowControl/>
              <w:jc w:val="center"/>
              <w:rPr>
                <w:rFonts w:hint="eastAsia" w:ascii="宋体" w:hAnsi="宋体" w:cs="宋体"/>
                <w:kern w:val="0"/>
                <w:szCs w:val="21"/>
              </w:rPr>
            </w:pPr>
            <w:r>
              <w:rPr>
                <w:rFonts w:hint="eastAsia" w:ascii="宋体" w:hAnsi="宋体"/>
                <w:szCs w:val="21"/>
              </w:rPr>
              <w:t>0.2520</w:t>
            </w:r>
          </w:p>
        </w:tc>
        <w:tc>
          <w:tcPr>
            <w:tcW w:w="389" w:type="pct"/>
            <w:shd w:val="clear" w:color="auto" w:fill="auto"/>
            <w:vAlign w:val="center"/>
          </w:tcPr>
          <w:p w14:paraId="31316780">
            <w:pPr>
              <w:widowControl/>
              <w:jc w:val="center"/>
              <w:rPr>
                <w:rFonts w:hint="eastAsia" w:ascii="宋体" w:hAnsi="宋体" w:cs="宋体"/>
                <w:kern w:val="0"/>
                <w:szCs w:val="21"/>
              </w:rPr>
            </w:pPr>
            <w:r>
              <w:rPr>
                <w:rFonts w:hint="eastAsia" w:ascii="宋体" w:hAnsi="宋体" w:cs="宋体"/>
                <w:kern w:val="0"/>
                <w:szCs w:val="21"/>
              </w:rPr>
              <w:t>达标</w:t>
            </w:r>
          </w:p>
        </w:tc>
      </w:tr>
      <w:tr w14:paraId="7F8BC2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E93FD50">
            <w:pPr>
              <w:widowControl/>
              <w:jc w:val="center"/>
              <w:rPr>
                <w:rFonts w:hint="eastAsia" w:ascii="宋体" w:hAnsi="宋体" w:cs="宋体"/>
                <w:kern w:val="0"/>
                <w:szCs w:val="21"/>
              </w:rPr>
            </w:pPr>
            <w:r>
              <w:rPr>
                <w:rFonts w:hint="eastAsia" w:ascii="宋体" w:hAnsi="宋体" w:cs="宋体"/>
                <w:kern w:val="0"/>
                <w:szCs w:val="21"/>
              </w:rPr>
              <w:t>12</w:t>
            </w:r>
          </w:p>
        </w:tc>
        <w:tc>
          <w:tcPr>
            <w:tcW w:w="562" w:type="pct"/>
            <w:shd w:val="clear" w:color="auto" w:fill="auto"/>
            <w:vAlign w:val="center"/>
          </w:tcPr>
          <w:p w14:paraId="0E69DB7A">
            <w:pPr>
              <w:widowControl/>
              <w:jc w:val="center"/>
              <w:rPr>
                <w:rFonts w:hint="eastAsia" w:ascii="宋体" w:hAnsi="宋体" w:cs="宋体"/>
                <w:kern w:val="0"/>
                <w:szCs w:val="21"/>
              </w:rPr>
            </w:pPr>
            <w:r>
              <w:rPr>
                <w:rFonts w:hint="eastAsia" w:ascii="宋体" w:hAnsi="宋体" w:cs="宋体"/>
                <w:kern w:val="0"/>
                <w:szCs w:val="21"/>
              </w:rPr>
              <w:t>锌</w:t>
            </w:r>
          </w:p>
        </w:tc>
        <w:tc>
          <w:tcPr>
            <w:tcW w:w="456" w:type="pct"/>
            <w:shd w:val="clear" w:color="auto" w:fill="auto"/>
            <w:vAlign w:val="center"/>
          </w:tcPr>
          <w:p w14:paraId="0E15A314">
            <w:pPr>
              <w:widowControl/>
              <w:jc w:val="center"/>
              <w:rPr>
                <w:rFonts w:hint="eastAsia" w:ascii="宋体" w:hAnsi="宋体" w:cs="宋体"/>
                <w:kern w:val="0"/>
                <w:szCs w:val="21"/>
              </w:rPr>
            </w:pPr>
            <w:r>
              <w:rPr>
                <w:rFonts w:hint="eastAsia" w:ascii="宋体" w:hAnsi="宋体" w:cs="宋体"/>
                <w:kern w:val="0"/>
                <w:szCs w:val="21"/>
              </w:rPr>
              <w:t>300</w:t>
            </w:r>
          </w:p>
        </w:tc>
        <w:tc>
          <w:tcPr>
            <w:tcW w:w="305" w:type="pct"/>
            <w:shd w:val="clear" w:color="auto" w:fill="auto"/>
            <w:vAlign w:val="center"/>
          </w:tcPr>
          <w:p w14:paraId="6F1DDBE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789279E">
            <w:pPr>
              <w:widowControl/>
              <w:jc w:val="center"/>
              <w:rPr>
                <w:rFonts w:hint="eastAsia" w:ascii="宋体" w:hAnsi="宋体" w:cs="宋体"/>
                <w:kern w:val="0"/>
                <w:szCs w:val="21"/>
              </w:rPr>
            </w:pPr>
            <w:r>
              <w:rPr>
                <w:rFonts w:hint="eastAsia" w:ascii="宋体" w:hAnsi="宋体" w:cs="宋体"/>
                <w:kern w:val="0"/>
                <w:szCs w:val="21"/>
              </w:rPr>
              <w:t>42</w:t>
            </w:r>
          </w:p>
        </w:tc>
        <w:tc>
          <w:tcPr>
            <w:tcW w:w="406" w:type="pct"/>
            <w:shd w:val="clear" w:color="auto" w:fill="auto"/>
            <w:vAlign w:val="center"/>
          </w:tcPr>
          <w:p w14:paraId="13C1D35C">
            <w:pPr>
              <w:widowControl/>
              <w:jc w:val="center"/>
              <w:rPr>
                <w:rFonts w:hint="eastAsia" w:ascii="宋体" w:hAnsi="宋体" w:cs="宋体"/>
                <w:kern w:val="0"/>
                <w:szCs w:val="21"/>
              </w:rPr>
            </w:pPr>
            <w:r>
              <w:rPr>
                <w:rFonts w:hint="eastAsia" w:ascii="宋体" w:hAnsi="宋体"/>
                <w:szCs w:val="21"/>
              </w:rPr>
              <w:t>0.14</w:t>
            </w:r>
          </w:p>
        </w:tc>
        <w:tc>
          <w:tcPr>
            <w:tcW w:w="436" w:type="pct"/>
            <w:shd w:val="clear" w:color="auto" w:fill="auto"/>
            <w:vAlign w:val="center"/>
          </w:tcPr>
          <w:p w14:paraId="0DD626AC">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B965B70">
            <w:pPr>
              <w:widowControl/>
              <w:jc w:val="center"/>
              <w:rPr>
                <w:rFonts w:hint="eastAsia" w:ascii="宋体" w:hAnsi="宋体" w:cs="宋体"/>
                <w:kern w:val="0"/>
                <w:szCs w:val="21"/>
              </w:rPr>
            </w:pPr>
            <w:r>
              <w:rPr>
                <w:rFonts w:hint="eastAsia" w:ascii="宋体" w:hAnsi="宋体" w:cs="宋体"/>
                <w:kern w:val="0"/>
                <w:szCs w:val="21"/>
              </w:rPr>
              <w:t>61</w:t>
            </w:r>
          </w:p>
        </w:tc>
        <w:tc>
          <w:tcPr>
            <w:tcW w:w="442" w:type="pct"/>
            <w:shd w:val="clear" w:color="auto" w:fill="auto"/>
            <w:vAlign w:val="center"/>
          </w:tcPr>
          <w:p w14:paraId="023ED86B">
            <w:pPr>
              <w:widowControl/>
              <w:jc w:val="center"/>
              <w:rPr>
                <w:rFonts w:hint="eastAsia" w:ascii="宋体" w:hAnsi="宋体" w:cs="宋体"/>
                <w:kern w:val="0"/>
                <w:szCs w:val="21"/>
              </w:rPr>
            </w:pPr>
            <w:r>
              <w:rPr>
                <w:rFonts w:hint="eastAsia" w:ascii="宋体" w:hAnsi="宋体"/>
                <w:szCs w:val="21"/>
              </w:rPr>
              <w:t>0.2033</w:t>
            </w:r>
          </w:p>
        </w:tc>
        <w:tc>
          <w:tcPr>
            <w:tcW w:w="406" w:type="pct"/>
            <w:shd w:val="clear" w:color="auto" w:fill="auto"/>
            <w:vAlign w:val="center"/>
          </w:tcPr>
          <w:p w14:paraId="400136B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99E07DF">
            <w:pPr>
              <w:widowControl/>
              <w:jc w:val="center"/>
              <w:rPr>
                <w:rFonts w:hint="eastAsia" w:ascii="宋体" w:hAnsi="宋体" w:cs="宋体"/>
                <w:kern w:val="0"/>
                <w:szCs w:val="21"/>
              </w:rPr>
            </w:pPr>
            <w:r>
              <w:rPr>
                <w:rFonts w:hint="eastAsia" w:ascii="宋体" w:hAnsi="宋体" w:cs="宋体"/>
                <w:kern w:val="0"/>
                <w:szCs w:val="21"/>
              </w:rPr>
              <w:t>62</w:t>
            </w:r>
          </w:p>
        </w:tc>
        <w:tc>
          <w:tcPr>
            <w:tcW w:w="410" w:type="pct"/>
            <w:shd w:val="clear" w:color="auto" w:fill="auto"/>
            <w:vAlign w:val="center"/>
          </w:tcPr>
          <w:p w14:paraId="0EA0AF43">
            <w:pPr>
              <w:widowControl/>
              <w:jc w:val="center"/>
              <w:rPr>
                <w:rFonts w:hint="eastAsia" w:ascii="宋体" w:hAnsi="宋体" w:cs="宋体"/>
                <w:kern w:val="0"/>
                <w:szCs w:val="21"/>
              </w:rPr>
            </w:pPr>
            <w:r>
              <w:rPr>
                <w:rFonts w:hint="eastAsia" w:ascii="宋体" w:hAnsi="宋体"/>
                <w:szCs w:val="21"/>
              </w:rPr>
              <w:t>0.2067</w:t>
            </w:r>
          </w:p>
        </w:tc>
        <w:tc>
          <w:tcPr>
            <w:tcW w:w="389" w:type="pct"/>
            <w:shd w:val="clear" w:color="auto" w:fill="auto"/>
            <w:vAlign w:val="center"/>
          </w:tcPr>
          <w:p w14:paraId="45704820">
            <w:pPr>
              <w:widowControl/>
              <w:jc w:val="center"/>
              <w:rPr>
                <w:rFonts w:hint="eastAsia" w:ascii="宋体" w:hAnsi="宋体" w:cs="宋体"/>
                <w:kern w:val="0"/>
                <w:szCs w:val="21"/>
              </w:rPr>
            </w:pPr>
            <w:r>
              <w:rPr>
                <w:rFonts w:hint="eastAsia" w:ascii="宋体" w:hAnsi="宋体" w:cs="宋体"/>
                <w:kern w:val="0"/>
                <w:szCs w:val="21"/>
              </w:rPr>
              <w:t>达标</w:t>
            </w:r>
          </w:p>
        </w:tc>
      </w:tr>
      <w:tr w14:paraId="108476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9" w:type="pct"/>
            <w:vMerge w:val="restart"/>
            <w:shd w:val="clear" w:color="auto" w:fill="auto"/>
            <w:vAlign w:val="center"/>
          </w:tcPr>
          <w:p w14:paraId="3B63181D">
            <w:pPr>
              <w:widowControl/>
              <w:jc w:val="center"/>
              <w:rPr>
                <w:rFonts w:hint="eastAsia" w:ascii="宋体" w:hAnsi="宋体" w:cs="宋体"/>
                <w:kern w:val="0"/>
                <w:szCs w:val="21"/>
              </w:rPr>
            </w:pPr>
            <w:r>
              <w:rPr>
                <w:rFonts w:hint="eastAsia" w:ascii="宋体" w:hAnsi="宋体" w:cs="宋体"/>
                <w:kern w:val="0"/>
                <w:szCs w:val="21"/>
              </w:rPr>
              <w:t>序号</w:t>
            </w:r>
          </w:p>
        </w:tc>
        <w:tc>
          <w:tcPr>
            <w:tcW w:w="562" w:type="pct"/>
            <w:vMerge w:val="restart"/>
            <w:shd w:val="clear" w:color="auto" w:fill="auto"/>
            <w:vAlign w:val="center"/>
          </w:tcPr>
          <w:p w14:paraId="63A0EF9E">
            <w:pPr>
              <w:widowControl/>
              <w:jc w:val="center"/>
              <w:rPr>
                <w:rFonts w:hint="eastAsia" w:ascii="宋体" w:hAnsi="宋体" w:cs="宋体"/>
                <w:kern w:val="0"/>
                <w:szCs w:val="21"/>
              </w:rPr>
            </w:pPr>
            <w:r>
              <w:rPr>
                <w:rFonts w:hint="eastAsia" w:ascii="宋体" w:hAnsi="宋体" w:cs="宋体"/>
                <w:kern w:val="0"/>
                <w:szCs w:val="21"/>
              </w:rPr>
              <w:t>名称</w:t>
            </w:r>
          </w:p>
        </w:tc>
        <w:tc>
          <w:tcPr>
            <w:tcW w:w="456" w:type="pct"/>
            <w:vMerge w:val="restart"/>
            <w:shd w:val="clear" w:color="auto" w:fill="auto"/>
            <w:vAlign w:val="center"/>
          </w:tcPr>
          <w:p w14:paraId="30156D7F">
            <w:pPr>
              <w:widowControl/>
              <w:jc w:val="center"/>
              <w:rPr>
                <w:rFonts w:hint="eastAsia" w:ascii="宋体" w:hAnsi="宋体" w:cs="宋体"/>
                <w:kern w:val="0"/>
                <w:szCs w:val="21"/>
              </w:rPr>
            </w:pPr>
            <w:r>
              <w:rPr>
                <w:rFonts w:hint="eastAsia" w:ascii="宋体" w:hAnsi="宋体" w:cs="宋体"/>
                <w:kern w:val="0"/>
                <w:szCs w:val="21"/>
              </w:rPr>
              <w:t>标准限值（mg/kg）</w:t>
            </w:r>
          </w:p>
        </w:tc>
        <w:tc>
          <w:tcPr>
            <w:tcW w:w="305" w:type="pct"/>
            <w:vMerge w:val="restart"/>
            <w:shd w:val="clear" w:color="auto" w:fill="auto"/>
            <w:vAlign w:val="center"/>
          </w:tcPr>
          <w:p w14:paraId="41166698">
            <w:pPr>
              <w:widowControl/>
              <w:jc w:val="center"/>
              <w:rPr>
                <w:rFonts w:hint="eastAsia" w:ascii="宋体" w:hAnsi="宋体" w:cs="宋体"/>
                <w:kern w:val="0"/>
                <w:szCs w:val="21"/>
              </w:rPr>
            </w:pPr>
            <w:r>
              <w:rPr>
                <w:rFonts w:hint="eastAsia" w:ascii="宋体" w:hAnsi="宋体" w:cs="宋体"/>
                <w:kern w:val="0"/>
                <w:szCs w:val="21"/>
              </w:rPr>
              <w:t>监测值单位</w:t>
            </w:r>
          </w:p>
        </w:tc>
        <w:tc>
          <w:tcPr>
            <w:tcW w:w="1146" w:type="pct"/>
            <w:gridSpan w:val="3"/>
            <w:shd w:val="clear" w:color="auto" w:fill="auto"/>
            <w:vAlign w:val="center"/>
          </w:tcPr>
          <w:p w14:paraId="136ABDAC">
            <w:pPr>
              <w:widowControl/>
              <w:jc w:val="center"/>
              <w:rPr>
                <w:rFonts w:hint="eastAsia" w:ascii="宋体" w:hAnsi="宋体" w:cs="宋体"/>
                <w:kern w:val="0"/>
                <w:szCs w:val="21"/>
              </w:rPr>
            </w:pPr>
            <w:r>
              <w:rPr>
                <w:rFonts w:hint="eastAsia" w:ascii="宋体" w:hAnsi="宋体" w:cs="宋体"/>
                <w:kern w:val="0"/>
                <w:szCs w:val="21"/>
              </w:rPr>
              <w:t>T14(0m～0.2m)</w:t>
            </w:r>
          </w:p>
        </w:tc>
        <w:tc>
          <w:tcPr>
            <w:tcW w:w="1227" w:type="pct"/>
            <w:gridSpan w:val="4"/>
            <w:shd w:val="clear" w:color="auto" w:fill="auto"/>
            <w:vAlign w:val="center"/>
          </w:tcPr>
          <w:p w14:paraId="00FB2AE8">
            <w:pPr>
              <w:widowControl/>
              <w:jc w:val="center"/>
              <w:rPr>
                <w:rFonts w:hint="eastAsia" w:ascii="宋体" w:hAnsi="宋体" w:cs="宋体"/>
                <w:kern w:val="0"/>
                <w:szCs w:val="21"/>
              </w:rPr>
            </w:pPr>
            <w:r>
              <w:rPr>
                <w:rFonts w:hint="eastAsia" w:ascii="宋体" w:hAnsi="宋体" w:cs="宋体"/>
                <w:kern w:val="0"/>
                <w:szCs w:val="21"/>
              </w:rPr>
              <w:t>T15(0m～0.2m)</w:t>
            </w:r>
          </w:p>
        </w:tc>
        <w:tc>
          <w:tcPr>
            <w:tcW w:w="1105" w:type="pct"/>
            <w:gridSpan w:val="4"/>
            <w:shd w:val="clear" w:color="auto" w:fill="auto"/>
            <w:vAlign w:val="center"/>
          </w:tcPr>
          <w:p w14:paraId="3EA9BB55">
            <w:pPr>
              <w:widowControl/>
              <w:jc w:val="center"/>
              <w:rPr>
                <w:rFonts w:hint="eastAsia" w:ascii="宋体" w:hAnsi="宋体" w:cs="宋体"/>
                <w:kern w:val="0"/>
                <w:szCs w:val="21"/>
              </w:rPr>
            </w:pPr>
            <w:r>
              <w:rPr>
                <w:rFonts w:hint="eastAsia" w:ascii="宋体" w:hAnsi="宋体" w:cs="宋体"/>
                <w:kern w:val="0"/>
                <w:szCs w:val="21"/>
              </w:rPr>
              <w:t>T16(0m～0.2m)</w:t>
            </w:r>
          </w:p>
        </w:tc>
      </w:tr>
      <w:tr w14:paraId="19E3C5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vMerge w:val="continue"/>
            <w:vAlign w:val="center"/>
          </w:tcPr>
          <w:p w14:paraId="44C05B5D">
            <w:pPr>
              <w:widowControl/>
              <w:jc w:val="center"/>
              <w:rPr>
                <w:rFonts w:hint="eastAsia" w:ascii="宋体" w:hAnsi="宋体" w:cs="宋体"/>
                <w:kern w:val="0"/>
                <w:szCs w:val="21"/>
              </w:rPr>
            </w:pPr>
          </w:p>
        </w:tc>
        <w:tc>
          <w:tcPr>
            <w:tcW w:w="562" w:type="pct"/>
            <w:vMerge w:val="continue"/>
            <w:vAlign w:val="center"/>
          </w:tcPr>
          <w:p w14:paraId="227DCCDD">
            <w:pPr>
              <w:widowControl/>
              <w:jc w:val="center"/>
              <w:rPr>
                <w:rFonts w:hint="eastAsia" w:ascii="宋体" w:hAnsi="宋体" w:cs="宋体"/>
                <w:kern w:val="0"/>
                <w:szCs w:val="21"/>
              </w:rPr>
            </w:pPr>
          </w:p>
        </w:tc>
        <w:tc>
          <w:tcPr>
            <w:tcW w:w="456" w:type="pct"/>
            <w:vMerge w:val="continue"/>
            <w:vAlign w:val="center"/>
          </w:tcPr>
          <w:p w14:paraId="4F28F81A">
            <w:pPr>
              <w:widowControl/>
              <w:jc w:val="center"/>
              <w:rPr>
                <w:rFonts w:hint="eastAsia" w:ascii="宋体" w:hAnsi="宋体" w:cs="宋体"/>
                <w:kern w:val="0"/>
                <w:szCs w:val="21"/>
              </w:rPr>
            </w:pPr>
          </w:p>
        </w:tc>
        <w:tc>
          <w:tcPr>
            <w:tcW w:w="305" w:type="pct"/>
            <w:vMerge w:val="continue"/>
            <w:vAlign w:val="center"/>
          </w:tcPr>
          <w:p w14:paraId="71C2D1A9">
            <w:pPr>
              <w:widowControl/>
              <w:jc w:val="center"/>
              <w:rPr>
                <w:rFonts w:hint="eastAsia" w:ascii="宋体" w:hAnsi="宋体" w:cs="宋体"/>
                <w:kern w:val="0"/>
                <w:szCs w:val="21"/>
              </w:rPr>
            </w:pPr>
          </w:p>
        </w:tc>
        <w:tc>
          <w:tcPr>
            <w:tcW w:w="304" w:type="pct"/>
            <w:shd w:val="clear" w:color="auto" w:fill="auto"/>
            <w:vAlign w:val="center"/>
          </w:tcPr>
          <w:p w14:paraId="59F246E4">
            <w:pPr>
              <w:widowControl/>
              <w:jc w:val="center"/>
              <w:rPr>
                <w:rFonts w:hint="eastAsia" w:ascii="宋体" w:hAnsi="宋体" w:cs="宋体"/>
                <w:kern w:val="0"/>
                <w:szCs w:val="21"/>
              </w:rPr>
            </w:pPr>
            <w:r>
              <w:rPr>
                <w:rFonts w:hint="eastAsia" w:ascii="宋体" w:hAnsi="宋体" w:cs="宋体"/>
                <w:kern w:val="0"/>
                <w:szCs w:val="21"/>
              </w:rPr>
              <w:t>监测值</w:t>
            </w:r>
          </w:p>
        </w:tc>
        <w:tc>
          <w:tcPr>
            <w:tcW w:w="406" w:type="pct"/>
            <w:shd w:val="clear" w:color="auto" w:fill="auto"/>
            <w:vAlign w:val="center"/>
          </w:tcPr>
          <w:p w14:paraId="3E967477">
            <w:pPr>
              <w:widowControl/>
              <w:jc w:val="center"/>
              <w:rPr>
                <w:rFonts w:hint="eastAsia" w:ascii="宋体" w:hAnsi="宋体" w:cs="宋体"/>
                <w:kern w:val="0"/>
                <w:szCs w:val="21"/>
              </w:rPr>
            </w:pPr>
            <w:r>
              <w:rPr>
                <w:rFonts w:hint="eastAsia" w:ascii="宋体" w:hAnsi="宋体" w:cs="宋体"/>
                <w:kern w:val="0"/>
                <w:szCs w:val="21"/>
              </w:rPr>
              <w:t>标准指数</w:t>
            </w:r>
          </w:p>
        </w:tc>
        <w:tc>
          <w:tcPr>
            <w:tcW w:w="436" w:type="pct"/>
            <w:shd w:val="clear" w:color="auto" w:fill="auto"/>
            <w:vAlign w:val="center"/>
          </w:tcPr>
          <w:p w14:paraId="2CFED8B1">
            <w:pPr>
              <w:widowControl/>
              <w:jc w:val="center"/>
              <w:rPr>
                <w:rFonts w:hint="eastAsia" w:ascii="宋体" w:hAnsi="宋体" w:cs="宋体"/>
                <w:kern w:val="0"/>
                <w:szCs w:val="21"/>
              </w:rPr>
            </w:pPr>
            <w:r>
              <w:rPr>
                <w:rFonts w:hint="eastAsia" w:ascii="宋体" w:hAnsi="宋体" w:cs="宋体"/>
                <w:kern w:val="0"/>
                <w:szCs w:val="21"/>
              </w:rPr>
              <w:t>达标情况</w:t>
            </w:r>
          </w:p>
        </w:tc>
        <w:tc>
          <w:tcPr>
            <w:tcW w:w="376" w:type="pct"/>
            <w:shd w:val="clear" w:color="auto" w:fill="auto"/>
            <w:vAlign w:val="center"/>
          </w:tcPr>
          <w:p w14:paraId="47CBC183">
            <w:pPr>
              <w:widowControl/>
              <w:jc w:val="center"/>
              <w:rPr>
                <w:rFonts w:hint="eastAsia" w:ascii="宋体" w:hAnsi="宋体" w:cs="宋体"/>
                <w:kern w:val="0"/>
                <w:szCs w:val="21"/>
              </w:rPr>
            </w:pPr>
            <w:r>
              <w:rPr>
                <w:rFonts w:hint="eastAsia" w:ascii="宋体" w:hAnsi="宋体" w:cs="宋体"/>
                <w:kern w:val="0"/>
                <w:szCs w:val="21"/>
              </w:rPr>
              <w:t>监测值</w:t>
            </w:r>
          </w:p>
        </w:tc>
        <w:tc>
          <w:tcPr>
            <w:tcW w:w="442" w:type="pct"/>
            <w:shd w:val="clear" w:color="auto" w:fill="auto"/>
            <w:vAlign w:val="center"/>
          </w:tcPr>
          <w:p w14:paraId="6ECB95CE">
            <w:pPr>
              <w:widowControl/>
              <w:jc w:val="center"/>
              <w:rPr>
                <w:rFonts w:hint="eastAsia" w:ascii="宋体" w:hAnsi="宋体" w:cs="宋体"/>
                <w:kern w:val="0"/>
                <w:szCs w:val="21"/>
              </w:rPr>
            </w:pPr>
            <w:r>
              <w:rPr>
                <w:rFonts w:hint="eastAsia" w:ascii="宋体" w:hAnsi="宋体" w:cs="宋体"/>
                <w:kern w:val="0"/>
                <w:szCs w:val="21"/>
              </w:rPr>
              <w:t>标准指数</w:t>
            </w:r>
          </w:p>
        </w:tc>
        <w:tc>
          <w:tcPr>
            <w:tcW w:w="406" w:type="pct"/>
            <w:shd w:val="clear" w:color="auto" w:fill="auto"/>
            <w:vAlign w:val="center"/>
          </w:tcPr>
          <w:p w14:paraId="133EEA2A">
            <w:pPr>
              <w:widowControl/>
              <w:jc w:val="center"/>
              <w:rPr>
                <w:rFonts w:hint="eastAsia" w:ascii="宋体" w:hAnsi="宋体" w:cs="宋体"/>
                <w:kern w:val="0"/>
                <w:szCs w:val="21"/>
              </w:rPr>
            </w:pPr>
            <w:r>
              <w:rPr>
                <w:rFonts w:hint="eastAsia" w:ascii="宋体" w:hAnsi="宋体" w:cs="宋体"/>
                <w:kern w:val="0"/>
                <w:szCs w:val="21"/>
              </w:rPr>
              <w:t>达标情况</w:t>
            </w:r>
          </w:p>
        </w:tc>
        <w:tc>
          <w:tcPr>
            <w:tcW w:w="306" w:type="pct"/>
            <w:gridSpan w:val="2"/>
            <w:shd w:val="clear" w:color="auto" w:fill="auto"/>
            <w:vAlign w:val="center"/>
          </w:tcPr>
          <w:p w14:paraId="6FA9F724">
            <w:pPr>
              <w:widowControl/>
              <w:jc w:val="center"/>
              <w:rPr>
                <w:rFonts w:hint="eastAsia" w:ascii="宋体" w:hAnsi="宋体" w:cs="宋体"/>
                <w:kern w:val="0"/>
                <w:szCs w:val="21"/>
              </w:rPr>
            </w:pPr>
            <w:r>
              <w:rPr>
                <w:rFonts w:hint="eastAsia" w:ascii="宋体" w:hAnsi="宋体" w:cs="宋体"/>
                <w:kern w:val="0"/>
                <w:szCs w:val="21"/>
              </w:rPr>
              <w:t>监测值</w:t>
            </w:r>
          </w:p>
        </w:tc>
        <w:tc>
          <w:tcPr>
            <w:tcW w:w="410" w:type="pct"/>
            <w:shd w:val="clear" w:color="auto" w:fill="auto"/>
            <w:vAlign w:val="center"/>
          </w:tcPr>
          <w:p w14:paraId="667B0E85">
            <w:pPr>
              <w:widowControl/>
              <w:jc w:val="center"/>
              <w:rPr>
                <w:rFonts w:hint="eastAsia" w:ascii="宋体" w:hAnsi="宋体" w:cs="宋体"/>
                <w:kern w:val="0"/>
                <w:szCs w:val="21"/>
              </w:rPr>
            </w:pPr>
            <w:r>
              <w:rPr>
                <w:rFonts w:hint="eastAsia" w:ascii="宋体" w:hAnsi="宋体" w:cs="宋体"/>
                <w:kern w:val="0"/>
                <w:szCs w:val="21"/>
              </w:rPr>
              <w:t>标准指数</w:t>
            </w:r>
          </w:p>
        </w:tc>
        <w:tc>
          <w:tcPr>
            <w:tcW w:w="389" w:type="pct"/>
            <w:shd w:val="clear" w:color="auto" w:fill="auto"/>
            <w:vAlign w:val="center"/>
          </w:tcPr>
          <w:p w14:paraId="19E8FAA1">
            <w:pPr>
              <w:widowControl/>
              <w:jc w:val="center"/>
              <w:rPr>
                <w:rFonts w:hint="eastAsia" w:ascii="宋体" w:hAnsi="宋体" w:cs="宋体"/>
                <w:kern w:val="0"/>
                <w:szCs w:val="21"/>
              </w:rPr>
            </w:pPr>
            <w:r>
              <w:rPr>
                <w:rFonts w:hint="eastAsia" w:ascii="宋体" w:hAnsi="宋体" w:cs="宋体"/>
                <w:kern w:val="0"/>
                <w:szCs w:val="21"/>
              </w:rPr>
              <w:t>达标情况</w:t>
            </w:r>
          </w:p>
        </w:tc>
      </w:tr>
      <w:tr w14:paraId="707832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20BB0BB">
            <w:pPr>
              <w:widowControl/>
              <w:jc w:val="center"/>
              <w:rPr>
                <w:rFonts w:hint="eastAsia" w:ascii="宋体" w:hAnsi="宋体" w:cs="宋体"/>
                <w:kern w:val="0"/>
                <w:szCs w:val="21"/>
              </w:rPr>
            </w:pPr>
            <w:r>
              <w:rPr>
                <w:rFonts w:hint="eastAsia" w:ascii="宋体" w:hAnsi="宋体" w:cs="宋体"/>
                <w:kern w:val="0"/>
                <w:szCs w:val="21"/>
              </w:rPr>
              <w:t>1</w:t>
            </w:r>
          </w:p>
        </w:tc>
        <w:tc>
          <w:tcPr>
            <w:tcW w:w="562" w:type="pct"/>
            <w:shd w:val="clear" w:color="auto" w:fill="auto"/>
            <w:vAlign w:val="center"/>
          </w:tcPr>
          <w:p w14:paraId="2587DF6F">
            <w:pPr>
              <w:widowControl/>
              <w:jc w:val="center"/>
              <w:rPr>
                <w:rFonts w:hint="eastAsia" w:ascii="宋体" w:hAnsi="宋体" w:cs="宋体"/>
                <w:kern w:val="0"/>
                <w:szCs w:val="21"/>
              </w:rPr>
            </w:pPr>
            <w:r>
              <w:rPr>
                <w:rFonts w:hint="eastAsia" w:ascii="宋体" w:hAnsi="宋体" w:cs="宋体"/>
                <w:kern w:val="0"/>
                <w:szCs w:val="21"/>
              </w:rPr>
              <w:t>汞</w:t>
            </w:r>
          </w:p>
        </w:tc>
        <w:tc>
          <w:tcPr>
            <w:tcW w:w="456" w:type="pct"/>
            <w:shd w:val="clear" w:color="auto" w:fill="auto"/>
            <w:vAlign w:val="center"/>
          </w:tcPr>
          <w:p w14:paraId="68937592">
            <w:pPr>
              <w:widowControl/>
              <w:jc w:val="center"/>
              <w:rPr>
                <w:rFonts w:hint="eastAsia" w:ascii="宋体" w:hAnsi="宋体" w:cs="宋体"/>
                <w:kern w:val="0"/>
                <w:szCs w:val="21"/>
              </w:rPr>
            </w:pPr>
            <w:r>
              <w:rPr>
                <w:rFonts w:hint="eastAsia" w:ascii="宋体" w:hAnsi="宋体" w:cs="宋体"/>
                <w:kern w:val="0"/>
                <w:szCs w:val="21"/>
              </w:rPr>
              <w:t>3.4</w:t>
            </w:r>
          </w:p>
        </w:tc>
        <w:tc>
          <w:tcPr>
            <w:tcW w:w="305" w:type="pct"/>
            <w:shd w:val="clear" w:color="auto" w:fill="auto"/>
            <w:vAlign w:val="center"/>
          </w:tcPr>
          <w:p w14:paraId="7C12507B">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5A674D8">
            <w:pPr>
              <w:widowControl/>
              <w:jc w:val="center"/>
              <w:rPr>
                <w:rFonts w:hint="eastAsia" w:ascii="宋体" w:hAnsi="宋体" w:cs="宋体"/>
                <w:kern w:val="0"/>
                <w:szCs w:val="21"/>
              </w:rPr>
            </w:pPr>
            <w:r>
              <w:rPr>
                <w:rFonts w:hint="eastAsia" w:ascii="宋体" w:hAnsi="宋体" w:cs="宋体"/>
                <w:kern w:val="0"/>
                <w:szCs w:val="21"/>
              </w:rPr>
              <w:t>0.076</w:t>
            </w:r>
          </w:p>
        </w:tc>
        <w:tc>
          <w:tcPr>
            <w:tcW w:w="406" w:type="pct"/>
            <w:shd w:val="clear" w:color="auto" w:fill="auto"/>
            <w:vAlign w:val="center"/>
          </w:tcPr>
          <w:p w14:paraId="3DDD6D8B">
            <w:pPr>
              <w:widowControl/>
              <w:jc w:val="center"/>
              <w:rPr>
                <w:rFonts w:hint="eastAsia" w:ascii="宋体" w:hAnsi="宋体" w:cs="宋体"/>
                <w:kern w:val="0"/>
                <w:szCs w:val="21"/>
              </w:rPr>
            </w:pPr>
            <w:r>
              <w:rPr>
                <w:rFonts w:hint="eastAsia" w:ascii="宋体" w:hAnsi="宋体"/>
                <w:szCs w:val="21"/>
              </w:rPr>
              <w:t>0.0224</w:t>
            </w:r>
          </w:p>
        </w:tc>
        <w:tc>
          <w:tcPr>
            <w:tcW w:w="436" w:type="pct"/>
            <w:shd w:val="clear" w:color="auto" w:fill="auto"/>
            <w:vAlign w:val="center"/>
          </w:tcPr>
          <w:p w14:paraId="72C036A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52FC7CC1">
            <w:pPr>
              <w:widowControl/>
              <w:jc w:val="center"/>
              <w:rPr>
                <w:rFonts w:hint="eastAsia" w:ascii="宋体" w:hAnsi="宋体" w:cs="宋体"/>
                <w:kern w:val="0"/>
                <w:szCs w:val="21"/>
              </w:rPr>
            </w:pPr>
            <w:r>
              <w:rPr>
                <w:rFonts w:hint="eastAsia" w:ascii="宋体" w:hAnsi="宋体" w:cs="宋体"/>
                <w:kern w:val="0"/>
                <w:szCs w:val="21"/>
              </w:rPr>
              <w:t>0.074</w:t>
            </w:r>
          </w:p>
        </w:tc>
        <w:tc>
          <w:tcPr>
            <w:tcW w:w="442" w:type="pct"/>
            <w:shd w:val="clear" w:color="auto" w:fill="auto"/>
            <w:vAlign w:val="center"/>
          </w:tcPr>
          <w:p w14:paraId="3B4ACFDB">
            <w:pPr>
              <w:widowControl/>
              <w:jc w:val="center"/>
              <w:rPr>
                <w:rFonts w:hint="eastAsia" w:ascii="宋体" w:hAnsi="宋体" w:cs="宋体"/>
                <w:kern w:val="0"/>
                <w:szCs w:val="21"/>
              </w:rPr>
            </w:pPr>
            <w:r>
              <w:rPr>
                <w:rFonts w:hint="eastAsia" w:ascii="宋体" w:hAnsi="宋体"/>
                <w:szCs w:val="21"/>
              </w:rPr>
              <w:t>0.0218</w:t>
            </w:r>
          </w:p>
        </w:tc>
        <w:tc>
          <w:tcPr>
            <w:tcW w:w="406" w:type="pct"/>
            <w:shd w:val="clear" w:color="auto" w:fill="auto"/>
            <w:vAlign w:val="center"/>
          </w:tcPr>
          <w:p w14:paraId="4014D2EF">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79ECF483">
            <w:pPr>
              <w:widowControl/>
              <w:jc w:val="center"/>
              <w:rPr>
                <w:rFonts w:hint="eastAsia" w:ascii="宋体" w:hAnsi="宋体" w:cs="宋体"/>
                <w:kern w:val="0"/>
                <w:szCs w:val="21"/>
              </w:rPr>
            </w:pPr>
            <w:r>
              <w:rPr>
                <w:rFonts w:hint="eastAsia" w:ascii="宋体" w:hAnsi="宋体" w:cs="宋体"/>
                <w:kern w:val="0"/>
                <w:szCs w:val="21"/>
              </w:rPr>
              <w:t>0.068</w:t>
            </w:r>
          </w:p>
        </w:tc>
        <w:tc>
          <w:tcPr>
            <w:tcW w:w="410" w:type="pct"/>
            <w:shd w:val="clear" w:color="auto" w:fill="auto"/>
            <w:vAlign w:val="center"/>
          </w:tcPr>
          <w:p w14:paraId="126D2FB1">
            <w:pPr>
              <w:widowControl/>
              <w:jc w:val="center"/>
              <w:rPr>
                <w:rFonts w:hint="eastAsia" w:ascii="宋体" w:hAnsi="宋体" w:cs="宋体"/>
                <w:kern w:val="0"/>
                <w:szCs w:val="21"/>
              </w:rPr>
            </w:pPr>
            <w:r>
              <w:rPr>
                <w:rFonts w:hint="eastAsia" w:ascii="宋体" w:hAnsi="宋体"/>
                <w:szCs w:val="21"/>
              </w:rPr>
              <w:t>0.0200</w:t>
            </w:r>
          </w:p>
        </w:tc>
        <w:tc>
          <w:tcPr>
            <w:tcW w:w="389" w:type="pct"/>
            <w:shd w:val="clear" w:color="auto" w:fill="auto"/>
            <w:vAlign w:val="center"/>
          </w:tcPr>
          <w:p w14:paraId="01CB5493">
            <w:pPr>
              <w:widowControl/>
              <w:jc w:val="center"/>
              <w:rPr>
                <w:rFonts w:hint="eastAsia" w:ascii="宋体" w:hAnsi="宋体" w:cs="宋体"/>
                <w:kern w:val="0"/>
                <w:szCs w:val="21"/>
              </w:rPr>
            </w:pPr>
            <w:r>
              <w:rPr>
                <w:rFonts w:hint="eastAsia" w:ascii="宋体" w:hAnsi="宋体" w:cs="宋体"/>
                <w:kern w:val="0"/>
                <w:szCs w:val="21"/>
              </w:rPr>
              <w:t>达标</w:t>
            </w:r>
          </w:p>
        </w:tc>
      </w:tr>
      <w:tr w14:paraId="462DE4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E36C4C0">
            <w:pPr>
              <w:widowControl/>
              <w:jc w:val="center"/>
              <w:rPr>
                <w:rFonts w:hint="eastAsia" w:ascii="宋体" w:hAnsi="宋体" w:cs="宋体"/>
                <w:kern w:val="0"/>
                <w:szCs w:val="21"/>
              </w:rPr>
            </w:pPr>
            <w:r>
              <w:rPr>
                <w:rFonts w:hint="eastAsia" w:ascii="宋体" w:hAnsi="宋体" w:cs="宋体"/>
                <w:kern w:val="0"/>
                <w:szCs w:val="21"/>
              </w:rPr>
              <w:t>2</w:t>
            </w:r>
          </w:p>
        </w:tc>
        <w:tc>
          <w:tcPr>
            <w:tcW w:w="562" w:type="pct"/>
            <w:shd w:val="clear" w:color="auto" w:fill="auto"/>
            <w:vAlign w:val="center"/>
          </w:tcPr>
          <w:p w14:paraId="2626DF94">
            <w:pPr>
              <w:widowControl/>
              <w:jc w:val="center"/>
              <w:rPr>
                <w:rFonts w:hint="eastAsia" w:ascii="宋体" w:hAnsi="宋体" w:cs="宋体"/>
                <w:kern w:val="0"/>
                <w:szCs w:val="21"/>
              </w:rPr>
            </w:pPr>
            <w:r>
              <w:rPr>
                <w:rFonts w:hint="eastAsia" w:ascii="宋体" w:hAnsi="宋体" w:cs="宋体"/>
                <w:kern w:val="0"/>
                <w:szCs w:val="21"/>
              </w:rPr>
              <w:t>砷</w:t>
            </w:r>
          </w:p>
        </w:tc>
        <w:tc>
          <w:tcPr>
            <w:tcW w:w="456" w:type="pct"/>
            <w:shd w:val="clear" w:color="auto" w:fill="auto"/>
            <w:vAlign w:val="center"/>
          </w:tcPr>
          <w:p w14:paraId="3C5C04D6">
            <w:pPr>
              <w:widowControl/>
              <w:jc w:val="center"/>
              <w:rPr>
                <w:rFonts w:hint="eastAsia" w:ascii="宋体" w:hAnsi="宋体" w:cs="宋体"/>
                <w:kern w:val="0"/>
                <w:szCs w:val="21"/>
              </w:rPr>
            </w:pPr>
            <w:r>
              <w:rPr>
                <w:rFonts w:hint="eastAsia" w:ascii="宋体" w:hAnsi="宋体" w:cs="宋体"/>
                <w:kern w:val="0"/>
                <w:szCs w:val="21"/>
              </w:rPr>
              <w:t>25</w:t>
            </w:r>
          </w:p>
        </w:tc>
        <w:tc>
          <w:tcPr>
            <w:tcW w:w="305" w:type="pct"/>
            <w:shd w:val="clear" w:color="auto" w:fill="auto"/>
            <w:vAlign w:val="center"/>
          </w:tcPr>
          <w:p w14:paraId="313257F1">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36475FD">
            <w:pPr>
              <w:widowControl/>
              <w:jc w:val="center"/>
              <w:rPr>
                <w:rFonts w:hint="eastAsia" w:ascii="宋体" w:hAnsi="宋体" w:cs="宋体"/>
                <w:kern w:val="0"/>
                <w:szCs w:val="21"/>
              </w:rPr>
            </w:pPr>
            <w:r>
              <w:rPr>
                <w:rFonts w:hint="eastAsia" w:ascii="宋体" w:hAnsi="宋体" w:cs="宋体"/>
                <w:kern w:val="0"/>
                <w:szCs w:val="21"/>
              </w:rPr>
              <w:t>9.16</w:t>
            </w:r>
          </w:p>
        </w:tc>
        <w:tc>
          <w:tcPr>
            <w:tcW w:w="406" w:type="pct"/>
            <w:shd w:val="clear" w:color="auto" w:fill="auto"/>
            <w:vAlign w:val="center"/>
          </w:tcPr>
          <w:p w14:paraId="700F6903">
            <w:pPr>
              <w:widowControl/>
              <w:jc w:val="center"/>
              <w:rPr>
                <w:rFonts w:hint="eastAsia" w:ascii="宋体" w:hAnsi="宋体" w:cs="宋体"/>
                <w:kern w:val="0"/>
                <w:szCs w:val="21"/>
              </w:rPr>
            </w:pPr>
            <w:r>
              <w:rPr>
                <w:rFonts w:hint="eastAsia" w:ascii="宋体" w:hAnsi="宋体"/>
                <w:szCs w:val="21"/>
              </w:rPr>
              <w:t>0.3664</w:t>
            </w:r>
          </w:p>
        </w:tc>
        <w:tc>
          <w:tcPr>
            <w:tcW w:w="436" w:type="pct"/>
            <w:shd w:val="clear" w:color="auto" w:fill="auto"/>
            <w:vAlign w:val="center"/>
          </w:tcPr>
          <w:p w14:paraId="1A3C8CE8">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FF65AA7">
            <w:pPr>
              <w:widowControl/>
              <w:jc w:val="center"/>
              <w:rPr>
                <w:rFonts w:hint="eastAsia" w:ascii="宋体" w:hAnsi="宋体" w:cs="宋体"/>
                <w:kern w:val="0"/>
                <w:szCs w:val="21"/>
              </w:rPr>
            </w:pPr>
            <w:r>
              <w:rPr>
                <w:rFonts w:hint="eastAsia" w:ascii="宋体" w:hAnsi="宋体" w:cs="宋体"/>
                <w:kern w:val="0"/>
                <w:szCs w:val="21"/>
              </w:rPr>
              <w:t>9.99</w:t>
            </w:r>
          </w:p>
        </w:tc>
        <w:tc>
          <w:tcPr>
            <w:tcW w:w="442" w:type="pct"/>
            <w:shd w:val="clear" w:color="auto" w:fill="auto"/>
            <w:vAlign w:val="center"/>
          </w:tcPr>
          <w:p w14:paraId="49007F40">
            <w:pPr>
              <w:widowControl/>
              <w:jc w:val="center"/>
              <w:rPr>
                <w:rFonts w:hint="eastAsia" w:ascii="宋体" w:hAnsi="宋体" w:cs="宋体"/>
                <w:kern w:val="0"/>
                <w:szCs w:val="21"/>
              </w:rPr>
            </w:pPr>
            <w:r>
              <w:rPr>
                <w:rFonts w:hint="eastAsia" w:ascii="宋体" w:hAnsi="宋体"/>
                <w:szCs w:val="21"/>
              </w:rPr>
              <w:t>0.3996</w:t>
            </w:r>
          </w:p>
        </w:tc>
        <w:tc>
          <w:tcPr>
            <w:tcW w:w="406" w:type="pct"/>
            <w:shd w:val="clear" w:color="auto" w:fill="auto"/>
            <w:vAlign w:val="center"/>
          </w:tcPr>
          <w:p w14:paraId="331E9823">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7BF410B">
            <w:pPr>
              <w:widowControl/>
              <w:jc w:val="center"/>
              <w:rPr>
                <w:rFonts w:hint="eastAsia" w:ascii="宋体" w:hAnsi="宋体" w:cs="宋体"/>
                <w:kern w:val="0"/>
                <w:szCs w:val="21"/>
              </w:rPr>
            </w:pPr>
            <w:r>
              <w:rPr>
                <w:rFonts w:hint="eastAsia" w:ascii="宋体" w:hAnsi="宋体" w:cs="宋体"/>
                <w:kern w:val="0"/>
                <w:szCs w:val="21"/>
              </w:rPr>
              <w:t>10.4</w:t>
            </w:r>
          </w:p>
        </w:tc>
        <w:tc>
          <w:tcPr>
            <w:tcW w:w="410" w:type="pct"/>
            <w:shd w:val="clear" w:color="auto" w:fill="auto"/>
            <w:vAlign w:val="center"/>
          </w:tcPr>
          <w:p w14:paraId="3F2F2407">
            <w:pPr>
              <w:widowControl/>
              <w:jc w:val="center"/>
              <w:rPr>
                <w:rFonts w:hint="eastAsia" w:ascii="宋体" w:hAnsi="宋体" w:cs="宋体"/>
                <w:kern w:val="0"/>
                <w:szCs w:val="21"/>
              </w:rPr>
            </w:pPr>
            <w:r>
              <w:rPr>
                <w:rFonts w:hint="eastAsia" w:ascii="宋体" w:hAnsi="宋体"/>
                <w:szCs w:val="21"/>
              </w:rPr>
              <w:t>0.4160</w:t>
            </w:r>
          </w:p>
        </w:tc>
        <w:tc>
          <w:tcPr>
            <w:tcW w:w="389" w:type="pct"/>
            <w:shd w:val="clear" w:color="auto" w:fill="auto"/>
            <w:vAlign w:val="center"/>
          </w:tcPr>
          <w:p w14:paraId="0E860301">
            <w:pPr>
              <w:widowControl/>
              <w:jc w:val="center"/>
              <w:rPr>
                <w:rFonts w:hint="eastAsia" w:ascii="宋体" w:hAnsi="宋体" w:cs="宋体"/>
                <w:kern w:val="0"/>
                <w:szCs w:val="21"/>
              </w:rPr>
            </w:pPr>
            <w:r>
              <w:rPr>
                <w:rFonts w:hint="eastAsia" w:ascii="宋体" w:hAnsi="宋体" w:cs="宋体"/>
                <w:kern w:val="0"/>
                <w:szCs w:val="21"/>
              </w:rPr>
              <w:t>达标</w:t>
            </w:r>
          </w:p>
        </w:tc>
      </w:tr>
      <w:tr w14:paraId="21A539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9A00F3E">
            <w:pPr>
              <w:widowControl/>
              <w:jc w:val="center"/>
              <w:rPr>
                <w:rFonts w:hint="eastAsia" w:ascii="宋体" w:hAnsi="宋体" w:cs="宋体"/>
                <w:kern w:val="0"/>
                <w:szCs w:val="21"/>
              </w:rPr>
            </w:pPr>
            <w:r>
              <w:rPr>
                <w:rFonts w:hint="eastAsia" w:ascii="宋体" w:hAnsi="宋体" w:cs="宋体"/>
                <w:kern w:val="0"/>
                <w:szCs w:val="21"/>
              </w:rPr>
              <w:t>3</w:t>
            </w:r>
          </w:p>
        </w:tc>
        <w:tc>
          <w:tcPr>
            <w:tcW w:w="562" w:type="pct"/>
            <w:shd w:val="clear" w:color="auto" w:fill="auto"/>
            <w:vAlign w:val="center"/>
          </w:tcPr>
          <w:p w14:paraId="3C75B6D5">
            <w:pPr>
              <w:widowControl/>
              <w:jc w:val="center"/>
              <w:rPr>
                <w:rFonts w:hint="eastAsia" w:ascii="宋体" w:hAnsi="宋体" w:cs="宋体"/>
                <w:kern w:val="0"/>
                <w:szCs w:val="21"/>
              </w:rPr>
            </w:pPr>
            <w:r>
              <w:rPr>
                <w:rFonts w:hint="eastAsia" w:ascii="宋体" w:hAnsi="宋体" w:cs="宋体"/>
                <w:kern w:val="0"/>
                <w:szCs w:val="21"/>
              </w:rPr>
              <w:t>铅</w:t>
            </w:r>
          </w:p>
        </w:tc>
        <w:tc>
          <w:tcPr>
            <w:tcW w:w="456" w:type="pct"/>
            <w:shd w:val="clear" w:color="auto" w:fill="auto"/>
            <w:vAlign w:val="center"/>
          </w:tcPr>
          <w:p w14:paraId="0AF3E625">
            <w:pPr>
              <w:widowControl/>
              <w:jc w:val="center"/>
              <w:rPr>
                <w:rFonts w:hint="eastAsia" w:ascii="宋体" w:hAnsi="宋体" w:cs="宋体"/>
                <w:kern w:val="0"/>
                <w:szCs w:val="21"/>
              </w:rPr>
            </w:pPr>
            <w:r>
              <w:rPr>
                <w:rFonts w:hint="eastAsia" w:ascii="宋体" w:hAnsi="宋体" w:cs="宋体"/>
                <w:kern w:val="0"/>
                <w:szCs w:val="21"/>
              </w:rPr>
              <w:t>170</w:t>
            </w:r>
          </w:p>
        </w:tc>
        <w:tc>
          <w:tcPr>
            <w:tcW w:w="305" w:type="pct"/>
            <w:shd w:val="clear" w:color="auto" w:fill="auto"/>
            <w:vAlign w:val="center"/>
          </w:tcPr>
          <w:p w14:paraId="49D0C7F9">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69946D94">
            <w:pPr>
              <w:widowControl/>
              <w:jc w:val="center"/>
              <w:rPr>
                <w:rFonts w:hint="eastAsia" w:ascii="宋体" w:hAnsi="宋体" w:cs="宋体"/>
                <w:kern w:val="0"/>
                <w:szCs w:val="21"/>
              </w:rPr>
            </w:pPr>
            <w:r>
              <w:rPr>
                <w:rFonts w:hint="eastAsia" w:ascii="宋体" w:hAnsi="宋体" w:cs="宋体"/>
                <w:kern w:val="0"/>
                <w:szCs w:val="21"/>
              </w:rPr>
              <w:t>5.2</w:t>
            </w:r>
          </w:p>
        </w:tc>
        <w:tc>
          <w:tcPr>
            <w:tcW w:w="406" w:type="pct"/>
            <w:shd w:val="clear" w:color="auto" w:fill="auto"/>
            <w:vAlign w:val="center"/>
          </w:tcPr>
          <w:p w14:paraId="7E3CA399">
            <w:pPr>
              <w:widowControl/>
              <w:jc w:val="center"/>
              <w:rPr>
                <w:rFonts w:hint="eastAsia" w:ascii="宋体" w:hAnsi="宋体" w:cs="宋体"/>
                <w:kern w:val="0"/>
                <w:szCs w:val="21"/>
              </w:rPr>
            </w:pPr>
            <w:r>
              <w:rPr>
                <w:rFonts w:hint="eastAsia" w:ascii="宋体" w:hAnsi="宋体"/>
                <w:szCs w:val="21"/>
              </w:rPr>
              <w:t>0.0306</w:t>
            </w:r>
          </w:p>
        </w:tc>
        <w:tc>
          <w:tcPr>
            <w:tcW w:w="436" w:type="pct"/>
            <w:shd w:val="clear" w:color="auto" w:fill="auto"/>
            <w:vAlign w:val="center"/>
          </w:tcPr>
          <w:p w14:paraId="775D26CE">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4BA6A159">
            <w:pPr>
              <w:widowControl/>
              <w:jc w:val="center"/>
              <w:rPr>
                <w:rFonts w:hint="eastAsia" w:ascii="宋体" w:hAnsi="宋体" w:cs="宋体"/>
                <w:kern w:val="0"/>
                <w:szCs w:val="21"/>
              </w:rPr>
            </w:pPr>
            <w:r>
              <w:rPr>
                <w:rFonts w:hint="eastAsia" w:ascii="宋体" w:hAnsi="宋体" w:cs="宋体"/>
                <w:kern w:val="0"/>
                <w:szCs w:val="21"/>
              </w:rPr>
              <w:t>9.9</w:t>
            </w:r>
          </w:p>
        </w:tc>
        <w:tc>
          <w:tcPr>
            <w:tcW w:w="442" w:type="pct"/>
            <w:shd w:val="clear" w:color="auto" w:fill="auto"/>
            <w:vAlign w:val="center"/>
          </w:tcPr>
          <w:p w14:paraId="5288BE8E">
            <w:pPr>
              <w:widowControl/>
              <w:jc w:val="center"/>
              <w:rPr>
                <w:rFonts w:hint="eastAsia" w:ascii="宋体" w:hAnsi="宋体" w:cs="宋体"/>
                <w:kern w:val="0"/>
                <w:szCs w:val="21"/>
              </w:rPr>
            </w:pPr>
            <w:r>
              <w:rPr>
                <w:rFonts w:hint="eastAsia" w:ascii="宋体" w:hAnsi="宋体"/>
                <w:szCs w:val="21"/>
              </w:rPr>
              <w:t>0.0582</w:t>
            </w:r>
          </w:p>
        </w:tc>
        <w:tc>
          <w:tcPr>
            <w:tcW w:w="406" w:type="pct"/>
            <w:shd w:val="clear" w:color="auto" w:fill="auto"/>
            <w:vAlign w:val="center"/>
          </w:tcPr>
          <w:p w14:paraId="630324A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0AA1F70F">
            <w:pPr>
              <w:widowControl/>
              <w:jc w:val="center"/>
              <w:rPr>
                <w:rFonts w:hint="eastAsia" w:ascii="宋体" w:hAnsi="宋体" w:cs="宋体"/>
                <w:kern w:val="0"/>
                <w:szCs w:val="21"/>
              </w:rPr>
            </w:pPr>
            <w:r>
              <w:rPr>
                <w:rFonts w:hint="eastAsia" w:ascii="宋体" w:hAnsi="宋体" w:cs="宋体"/>
                <w:kern w:val="0"/>
                <w:szCs w:val="21"/>
              </w:rPr>
              <w:t>7.0</w:t>
            </w:r>
          </w:p>
        </w:tc>
        <w:tc>
          <w:tcPr>
            <w:tcW w:w="410" w:type="pct"/>
            <w:shd w:val="clear" w:color="auto" w:fill="auto"/>
            <w:vAlign w:val="center"/>
          </w:tcPr>
          <w:p w14:paraId="028FAC81">
            <w:pPr>
              <w:widowControl/>
              <w:jc w:val="center"/>
              <w:rPr>
                <w:rFonts w:hint="eastAsia" w:ascii="宋体" w:hAnsi="宋体" w:cs="宋体"/>
                <w:kern w:val="0"/>
                <w:szCs w:val="21"/>
              </w:rPr>
            </w:pPr>
            <w:r>
              <w:rPr>
                <w:rFonts w:hint="eastAsia" w:ascii="宋体" w:hAnsi="宋体"/>
                <w:szCs w:val="21"/>
              </w:rPr>
              <w:t>0.0412</w:t>
            </w:r>
          </w:p>
        </w:tc>
        <w:tc>
          <w:tcPr>
            <w:tcW w:w="389" w:type="pct"/>
            <w:shd w:val="clear" w:color="auto" w:fill="auto"/>
            <w:vAlign w:val="center"/>
          </w:tcPr>
          <w:p w14:paraId="5CD9913A">
            <w:pPr>
              <w:widowControl/>
              <w:jc w:val="center"/>
              <w:rPr>
                <w:rFonts w:hint="eastAsia" w:ascii="宋体" w:hAnsi="宋体" w:cs="宋体"/>
                <w:kern w:val="0"/>
                <w:szCs w:val="21"/>
              </w:rPr>
            </w:pPr>
            <w:r>
              <w:rPr>
                <w:rFonts w:hint="eastAsia" w:ascii="宋体" w:hAnsi="宋体" w:cs="宋体"/>
                <w:kern w:val="0"/>
                <w:szCs w:val="21"/>
              </w:rPr>
              <w:t>达标</w:t>
            </w:r>
          </w:p>
        </w:tc>
      </w:tr>
      <w:tr w14:paraId="3E5304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5A89EC61">
            <w:pPr>
              <w:widowControl/>
              <w:jc w:val="center"/>
              <w:rPr>
                <w:rFonts w:hint="eastAsia" w:ascii="宋体" w:hAnsi="宋体" w:cs="宋体"/>
                <w:kern w:val="0"/>
                <w:szCs w:val="21"/>
              </w:rPr>
            </w:pPr>
            <w:r>
              <w:rPr>
                <w:rFonts w:hint="eastAsia" w:ascii="宋体" w:hAnsi="宋体" w:cs="宋体"/>
                <w:kern w:val="0"/>
                <w:szCs w:val="21"/>
              </w:rPr>
              <w:t>4</w:t>
            </w:r>
          </w:p>
        </w:tc>
        <w:tc>
          <w:tcPr>
            <w:tcW w:w="562" w:type="pct"/>
            <w:shd w:val="clear" w:color="auto" w:fill="auto"/>
            <w:vAlign w:val="center"/>
          </w:tcPr>
          <w:p w14:paraId="783E2478">
            <w:pPr>
              <w:widowControl/>
              <w:jc w:val="center"/>
              <w:rPr>
                <w:rFonts w:hint="eastAsia" w:ascii="宋体" w:hAnsi="宋体" w:cs="宋体"/>
                <w:kern w:val="0"/>
                <w:szCs w:val="21"/>
              </w:rPr>
            </w:pPr>
            <w:r>
              <w:rPr>
                <w:rFonts w:hint="eastAsia" w:ascii="宋体" w:hAnsi="宋体" w:cs="宋体"/>
                <w:kern w:val="0"/>
                <w:szCs w:val="21"/>
              </w:rPr>
              <w:t>镉</w:t>
            </w:r>
          </w:p>
        </w:tc>
        <w:tc>
          <w:tcPr>
            <w:tcW w:w="456" w:type="pct"/>
            <w:shd w:val="clear" w:color="auto" w:fill="auto"/>
            <w:vAlign w:val="center"/>
          </w:tcPr>
          <w:p w14:paraId="030A0AA1">
            <w:pPr>
              <w:widowControl/>
              <w:jc w:val="center"/>
              <w:rPr>
                <w:rFonts w:hint="eastAsia" w:ascii="宋体" w:hAnsi="宋体" w:cs="宋体"/>
                <w:kern w:val="0"/>
                <w:szCs w:val="21"/>
              </w:rPr>
            </w:pPr>
            <w:r>
              <w:rPr>
                <w:rFonts w:hint="eastAsia" w:ascii="宋体" w:hAnsi="宋体" w:cs="宋体"/>
                <w:kern w:val="0"/>
                <w:szCs w:val="21"/>
              </w:rPr>
              <w:t>0.6</w:t>
            </w:r>
          </w:p>
        </w:tc>
        <w:tc>
          <w:tcPr>
            <w:tcW w:w="305" w:type="pct"/>
            <w:shd w:val="clear" w:color="auto" w:fill="auto"/>
            <w:vAlign w:val="center"/>
          </w:tcPr>
          <w:p w14:paraId="33467FDB">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2A3C556">
            <w:pPr>
              <w:widowControl/>
              <w:jc w:val="center"/>
              <w:rPr>
                <w:rFonts w:hint="eastAsia" w:ascii="宋体" w:hAnsi="宋体" w:cs="宋体"/>
                <w:kern w:val="0"/>
                <w:szCs w:val="21"/>
              </w:rPr>
            </w:pPr>
            <w:r>
              <w:rPr>
                <w:rFonts w:hint="eastAsia" w:ascii="宋体" w:hAnsi="宋体" w:cs="宋体"/>
                <w:kern w:val="0"/>
                <w:szCs w:val="21"/>
              </w:rPr>
              <w:t>0.28</w:t>
            </w:r>
          </w:p>
        </w:tc>
        <w:tc>
          <w:tcPr>
            <w:tcW w:w="406" w:type="pct"/>
            <w:shd w:val="clear" w:color="auto" w:fill="auto"/>
            <w:vAlign w:val="center"/>
          </w:tcPr>
          <w:p w14:paraId="4FD63761">
            <w:pPr>
              <w:widowControl/>
              <w:jc w:val="center"/>
              <w:rPr>
                <w:rFonts w:hint="eastAsia" w:ascii="宋体" w:hAnsi="宋体" w:cs="宋体"/>
                <w:kern w:val="0"/>
                <w:szCs w:val="21"/>
              </w:rPr>
            </w:pPr>
            <w:r>
              <w:rPr>
                <w:rFonts w:hint="eastAsia" w:ascii="宋体" w:hAnsi="宋体"/>
                <w:szCs w:val="21"/>
              </w:rPr>
              <w:t>0.4667</w:t>
            </w:r>
          </w:p>
        </w:tc>
        <w:tc>
          <w:tcPr>
            <w:tcW w:w="436" w:type="pct"/>
            <w:shd w:val="clear" w:color="auto" w:fill="auto"/>
            <w:vAlign w:val="center"/>
          </w:tcPr>
          <w:p w14:paraId="6817547C">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211077D">
            <w:pPr>
              <w:widowControl/>
              <w:jc w:val="center"/>
              <w:rPr>
                <w:rFonts w:hint="eastAsia" w:ascii="宋体" w:hAnsi="宋体" w:cs="宋体"/>
                <w:kern w:val="0"/>
                <w:szCs w:val="21"/>
              </w:rPr>
            </w:pPr>
            <w:r>
              <w:rPr>
                <w:rFonts w:hint="eastAsia" w:ascii="宋体" w:hAnsi="宋体" w:cs="宋体"/>
                <w:kern w:val="0"/>
                <w:szCs w:val="21"/>
              </w:rPr>
              <w:t>0.36</w:t>
            </w:r>
          </w:p>
        </w:tc>
        <w:tc>
          <w:tcPr>
            <w:tcW w:w="442" w:type="pct"/>
            <w:shd w:val="clear" w:color="auto" w:fill="auto"/>
            <w:vAlign w:val="center"/>
          </w:tcPr>
          <w:p w14:paraId="42593C92">
            <w:pPr>
              <w:widowControl/>
              <w:jc w:val="center"/>
              <w:rPr>
                <w:rFonts w:hint="eastAsia" w:ascii="宋体" w:hAnsi="宋体" w:cs="宋体"/>
                <w:kern w:val="0"/>
                <w:szCs w:val="21"/>
              </w:rPr>
            </w:pPr>
            <w:r>
              <w:rPr>
                <w:rFonts w:hint="eastAsia" w:ascii="宋体" w:hAnsi="宋体"/>
                <w:szCs w:val="21"/>
              </w:rPr>
              <w:t>0.6000</w:t>
            </w:r>
          </w:p>
        </w:tc>
        <w:tc>
          <w:tcPr>
            <w:tcW w:w="406" w:type="pct"/>
            <w:shd w:val="clear" w:color="auto" w:fill="auto"/>
            <w:vAlign w:val="center"/>
          </w:tcPr>
          <w:p w14:paraId="7475980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E5679CB">
            <w:pPr>
              <w:widowControl/>
              <w:jc w:val="center"/>
              <w:rPr>
                <w:rFonts w:hint="eastAsia" w:ascii="宋体" w:hAnsi="宋体" w:cs="宋体"/>
                <w:kern w:val="0"/>
                <w:szCs w:val="21"/>
              </w:rPr>
            </w:pPr>
            <w:r>
              <w:rPr>
                <w:rFonts w:hint="eastAsia" w:ascii="宋体" w:hAnsi="宋体" w:cs="宋体"/>
                <w:kern w:val="0"/>
                <w:szCs w:val="21"/>
              </w:rPr>
              <w:t>0.39</w:t>
            </w:r>
          </w:p>
        </w:tc>
        <w:tc>
          <w:tcPr>
            <w:tcW w:w="410" w:type="pct"/>
            <w:shd w:val="clear" w:color="auto" w:fill="auto"/>
            <w:vAlign w:val="center"/>
          </w:tcPr>
          <w:p w14:paraId="368B4992">
            <w:pPr>
              <w:widowControl/>
              <w:jc w:val="center"/>
              <w:rPr>
                <w:rFonts w:hint="eastAsia" w:ascii="宋体" w:hAnsi="宋体" w:cs="宋体"/>
                <w:kern w:val="0"/>
                <w:szCs w:val="21"/>
              </w:rPr>
            </w:pPr>
            <w:r>
              <w:rPr>
                <w:rFonts w:hint="eastAsia" w:ascii="宋体" w:hAnsi="宋体"/>
                <w:szCs w:val="21"/>
              </w:rPr>
              <w:t>0.6500</w:t>
            </w:r>
          </w:p>
        </w:tc>
        <w:tc>
          <w:tcPr>
            <w:tcW w:w="389" w:type="pct"/>
            <w:shd w:val="clear" w:color="auto" w:fill="auto"/>
            <w:vAlign w:val="center"/>
          </w:tcPr>
          <w:p w14:paraId="1892444D">
            <w:pPr>
              <w:widowControl/>
              <w:jc w:val="center"/>
              <w:rPr>
                <w:rFonts w:hint="eastAsia" w:ascii="宋体" w:hAnsi="宋体" w:cs="宋体"/>
                <w:kern w:val="0"/>
                <w:szCs w:val="21"/>
              </w:rPr>
            </w:pPr>
            <w:r>
              <w:rPr>
                <w:rFonts w:hint="eastAsia" w:ascii="宋体" w:hAnsi="宋体" w:cs="宋体"/>
                <w:kern w:val="0"/>
                <w:szCs w:val="21"/>
              </w:rPr>
              <w:t>达标</w:t>
            </w:r>
          </w:p>
        </w:tc>
      </w:tr>
      <w:tr w14:paraId="58122A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11EB3916">
            <w:pPr>
              <w:widowControl/>
              <w:jc w:val="center"/>
              <w:rPr>
                <w:rFonts w:hint="eastAsia" w:ascii="宋体" w:hAnsi="宋体" w:cs="宋体"/>
                <w:kern w:val="0"/>
                <w:szCs w:val="21"/>
              </w:rPr>
            </w:pPr>
            <w:r>
              <w:rPr>
                <w:rFonts w:hint="eastAsia" w:ascii="宋体" w:hAnsi="宋体" w:cs="宋体"/>
                <w:kern w:val="0"/>
                <w:szCs w:val="21"/>
              </w:rPr>
              <w:t>5</w:t>
            </w:r>
          </w:p>
        </w:tc>
        <w:tc>
          <w:tcPr>
            <w:tcW w:w="562" w:type="pct"/>
            <w:shd w:val="clear" w:color="auto" w:fill="auto"/>
            <w:vAlign w:val="center"/>
          </w:tcPr>
          <w:p w14:paraId="07F9BEF6">
            <w:pPr>
              <w:widowControl/>
              <w:jc w:val="center"/>
              <w:rPr>
                <w:rFonts w:hint="eastAsia" w:ascii="宋体" w:hAnsi="宋体" w:cs="宋体"/>
                <w:kern w:val="0"/>
                <w:szCs w:val="21"/>
              </w:rPr>
            </w:pPr>
            <w:r>
              <w:rPr>
                <w:rFonts w:hint="eastAsia" w:ascii="宋体" w:hAnsi="宋体" w:cs="宋体"/>
                <w:kern w:val="0"/>
                <w:szCs w:val="21"/>
              </w:rPr>
              <w:t>六价铬</w:t>
            </w:r>
          </w:p>
        </w:tc>
        <w:tc>
          <w:tcPr>
            <w:tcW w:w="456" w:type="pct"/>
            <w:shd w:val="clear" w:color="auto" w:fill="auto"/>
            <w:vAlign w:val="center"/>
          </w:tcPr>
          <w:p w14:paraId="131F9F2A">
            <w:pPr>
              <w:widowControl/>
              <w:jc w:val="center"/>
              <w:rPr>
                <w:rFonts w:hint="eastAsia" w:ascii="宋体" w:hAnsi="宋体" w:cs="宋体"/>
                <w:kern w:val="0"/>
                <w:szCs w:val="21"/>
              </w:rPr>
            </w:pPr>
            <w:r>
              <w:rPr>
                <w:rFonts w:hint="eastAsia" w:ascii="宋体" w:hAnsi="宋体" w:cs="宋体"/>
                <w:kern w:val="0"/>
                <w:szCs w:val="21"/>
              </w:rPr>
              <w:t>5.7</w:t>
            </w:r>
          </w:p>
        </w:tc>
        <w:tc>
          <w:tcPr>
            <w:tcW w:w="305" w:type="pct"/>
            <w:shd w:val="clear" w:color="auto" w:fill="auto"/>
            <w:vAlign w:val="center"/>
          </w:tcPr>
          <w:p w14:paraId="3F29BFC9">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3FAF5E55">
            <w:pPr>
              <w:widowControl/>
              <w:jc w:val="center"/>
              <w:rPr>
                <w:rFonts w:hint="eastAsia" w:ascii="宋体" w:hAnsi="宋体" w:cs="宋体"/>
                <w:kern w:val="0"/>
                <w:szCs w:val="21"/>
              </w:rPr>
            </w:pPr>
            <w:r>
              <w:rPr>
                <w:rFonts w:hint="eastAsia" w:ascii="宋体" w:hAnsi="宋体" w:cs="宋体"/>
                <w:kern w:val="0"/>
                <w:szCs w:val="21"/>
              </w:rPr>
              <w:t>0.5L</w:t>
            </w:r>
          </w:p>
        </w:tc>
        <w:tc>
          <w:tcPr>
            <w:tcW w:w="406" w:type="pct"/>
            <w:shd w:val="clear" w:color="auto" w:fill="auto"/>
            <w:vAlign w:val="center"/>
          </w:tcPr>
          <w:p w14:paraId="45C2B453">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598CBF00">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07883D98">
            <w:pPr>
              <w:widowControl/>
              <w:jc w:val="center"/>
              <w:rPr>
                <w:rFonts w:hint="eastAsia" w:ascii="宋体" w:hAnsi="宋体" w:cs="宋体"/>
                <w:kern w:val="0"/>
                <w:szCs w:val="21"/>
              </w:rPr>
            </w:pPr>
            <w:r>
              <w:rPr>
                <w:rFonts w:hint="eastAsia" w:ascii="宋体" w:hAnsi="宋体" w:cs="宋体"/>
                <w:kern w:val="0"/>
                <w:szCs w:val="21"/>
              </w:rPr>
              <w:t>0.5L</w:t>
            </w:r>
          </w:p>
        </w:tc>
        <w:tc>
          <w:tcPr>
            <w:tcW w:w="442" w:type="pct"/>
            <w:shd w:val="clear" w:color="auto" w:fill="auto"/>
            <w:vAlign w:val="center"/>
          </w:tcPr>
          <w:p w14:paraId="10AF947D">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3AE02F97">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58E85D4">
            <w:pPr>
              <w:widowControl/>
              <w:jc w:val="center"/>
              <w:rPr>
                <w:rFonts w:hint="eastAsia" w:ascii="宋体" w:hAnsi="宋体" w:cs="宋体"/>
                <w:kern w:val="0"/>
                <w:szCs w:val="21"/>
              </w:rPr>
            </w:pPr>
            <w:r>
              <w:rPr>
                <w:rFonts w:hint="eastAsia" w:ascii="宋体" w:hAnsi="宋体" w:cs="宋体"/>
                <w:kern w:val="0"/>
                <w:szCs w:val="21"/>
              </w:rPr>
              <w:t>0.5L</w:t>
            </w:r>
          </w:p>
        </w:tc>
        <w:tc>
          <w:tcPr>
            <w:tcW w:w="410" w:type="pct"/>
            <w:shd w:val="clear" w:color="auto" w:fill="auto"/>
            <w:vAlign w:val="center"/>
          </w:tcPr>
          <w:p w14:paraId="07B0E4EB">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284AC91D">
            <w:pPr>
              <w:widowControl/>
              <w:jc w:val="center"/>
              <w:rPr>
                <w:rFonts w:hint="eastAsia" w:ascii="宋体" w:hAnsi="宋体" w:cs="宋体"/>
                <w:kern w:val="0"/>
                <w:szCs w:val="21"/>
              </w:rPr>
            </w:pPr>
            <w:r>
              <w:rPr>
                <w:rFonts w:hint="eastAsia" w:ascii="宋体" w:hAnsi="宋体" w:cs="宋体"/>
                <w:kern w:val="0"/>
                <w:szCs w:val="21"/>
              </w:rPr>
              <w:t>达标</w:t>
            </w:r>
          </w:p>
        </w:tc>
      </w:tr>
      <w:tr w14:paraId="3ED64A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C004546">
            <w:pPr>
              <w:widowControl/>
              <w:jc w:val="center"/>
              <w:rPr>
                <w:rFonts w:hint="eastAsia" w:ascii="宋体" w:hAnsi="宋体" w:cs="宋体"/>
                <w:kern w:val="0"/>
                <w:szCs w:val="21"/>
              </w:rPr>
            </w:pPr>
            <w:r>
              <w:rPr>
                <w:rFonts w:hint="eastAsia" w:ascii="宋体" w:hAnsi="宋体" w:cs="宋体"/>
                <w:kern w:val="0"/>
                <w:szCs w:val="21"/>
              </w:rPr>
              <w:t>6</w:t>
            </w:r>
          </w:p>
        </w:tc>
        <w:tc>
          <w:tcPr>
            <w:tcW w:w="562" w:type="pct"/>
            <w:shd w:val="clear" w:color="auto" w:fill="auto"/>
            <w:vAlign w:val="center"/>
          </w:tcPr>
          <w:p w14:paraId="416E699E">
            <w:pPr>
              <w:widowControl/>
              <w:jc w:val="center"/>
              <w:rPr>
                <w:rFonts w:hint="eastAsia" w:ascii="宋体" w:hAnsi="宋体" w:cs="宋体"/>
                <w:kern w:val="0"/>
                <w:szCs w:val="21"/>
              </w:rPr>
            </w:pPr>
            <w:r>
              <w:rPr>
                <w:rFonts w:hint="eastAsia" w:ascii="宋体" w:hAnsi="宋体" w:cs="宋体"/>
                <w:kern w:val="0"/>
                <w:szCs w:val="21"/>
              </w:rPr>
              <w:t>铜</w:t>
            </w:r>
          </w:p>
        </w:tc>
        <w:tc>
          <w:tcPr>
            <w:tcW w:w="456" w:type="pct"/>
            <w:shd w:val="clear" w:color="auto" w:fill="auto"/>
            <w:vAlign w:val="center"/>
          </w:tcPr>
          <w:p w14:paraId="43D6AE69">
            <w:pPr>
              <w:widowControl/>
              <w:jc w:val="center"/>
              <w:rPr>
                <w:rFonts w:hint="eastAsia" w:ascii="宋体" w:hAnsi="宋体" w:cs="宋体"/>
                <w:kern w:val="0"/>
                <w:szCs w:val="21"/>
              </w:rPr>
            </w:pPr>
            <w:r>
              <w:rPr>
                <w:rFonts w:hint="eastAsia" w:ascii="宋体" w:hAnsi="宋体" w:cs="宋体"/>
                <w:kern w:val="0"/>
                <w:szCs w:val="21"/>
              </w:rPr>
              <w:t>100</w:t>
            </w:r>
          </w:p>
        </w:tc>
        <w:tc>
          <w:tcPr>
            <w:tcW w:w="305" w:type="pct"/>
            <w:shd w:val="clear" w:color="auto" w:fill="auto"/>
            <w:vAlign w:val="center"/>
          </w:tcPr>
          <w:p w14:paraId="1DEDCE15">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4707D099">
            <w:pPr>
              <w:widowControl/>
              <w:jc w:val="center"/>
              <w:rPr>
                <w:rFonts w:hint="eastAsia" w:ascii="宋体" w:hAnsi="宋体" w:cs="宋体"/>
                <w:kern w:val="0"/>
                <w:szCs w:val="21"/>
              </w:rPr>
            </w:pPr>
            <w:r>
              <w:rPr>
                <w:rFonts w:hint="eastAsia" w:ascii="宋体" w:hAnsi="宋体" w:cs="宋体"/>
                <w:kern w:val="0"/>
                <w:szCs w:val="21"/>
              </w:rPr>
              <w:t>22</w:t>
            </w:r>
          </w:p>
        </w:tc>
        <w:tc>
          <w:tcPr>
            <w:tcW w:w="406" w:type="pct"/>
            <w:shd w:val="clear" w:color="auto" w:fill="auto"/>
            <w:vAlign w:val="center"/>
          </w:tcPr>
          <w:p w14:paraId="11DA56AD">
            <w:pPr>
              <w:widowControl/>
              <w:jc w:val="center"/>
              <w:rPr>
                <w:rFonts w:hint="eastAsia" w:ascii="宋体" w:hAnsi="宋体" w:cs="宋体"/>
                <w:kern w:val="0"/>
                <w:szCs w:val="21"/>
              </w:rPr>
            </w:pPr>
            <w:r>
              <w:rPr>
                <w:rFonts w:hint="eastAsia" w:ascii="宋体" w:hAnsi="宋体"/>
                <w:szCs w:val="21"/>
              </w:rPr>
              <w:t>0.2200</w:t>
            </w:r>
          </w:p>
        </w:tc>
        <w:tc>
          <w:tcPr>
            <w:tcW w:w="436" w:type="pct"/>
            <w:shd w:val="clear" w:color="auto" w:fill="auto"/>
            <w:vAlign w:val="center"/>
          </w:tcPr>
          <w:p w14:paraId="003BDD34">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3A1C9C4">
            <w:pPr>
              <w:widowControl/>
              <w:jc w:val="center"/>
              <w:rPr>
                <w:rFonts w:hint="eastAsia" w:ascii="宋体" w:hAnsi="宋体" w:cs="宋体"/>
                <w:kern w:val="0"/>
                <w:szCs w:val="21"/>
              </w:rPr>
            </w:pPr>
            <w:r>
              <w:rPr>
                <w:rFonts w:hint="eastAsia" w:ascii="宋体" w:hAnsi="宋体" w:cs="宋体"/>
                <w:kern w:val="0"/>
                <w:szCs w:val="21"/>
              </w:rPr>
              <w:t>14</w:t>
            </w:r>
          </w:p>
        </w:tc>
        <w:tc>
          <w:tcPr>
            <w:tcW w:w="442" w:type="pct"/>
            <w:shd w:val="clear" w:color="auto" w:fill="auto"/>
            <w:vAlign w:val="center"/>
          </w:tcPr>
          <w:p w14:paraId="40C62EAF">
            <w:pPr>
              <w:widowControl/>
              <w:jc w:val="center"/>
              <w:rPr>
                <w:rFonts w:hint="eastAsia" w:ascii="宋体" w:hAnsi="宋体" w:cs="宋体"/>
                <w:kern w:val="0"/>
                <w:szCs w:val="21"/>
              </w:rPr>
            </w:pPr>
            <w:r>
              <w:rPr>
                <w:rFonts w:hint="eastAsia" w:ascii="宋体" w:hAnsi="宋体"/>
                <w:szCs w:val="21"/>
              </w:rPr>
              <w:t>0.1400</w:t>
            </w:r>
          </w:p>
        </w:tc>
        <w:tc>
          <w:tcPr>
            <w:tcW w:w="406" w:type="pct"/>
            <w:shd w:val="clear" w:color="auto" w:fill="auto"/>
            <w:vAlign w:val="center"/>
          </w:tcPr>
          <w:p w14:paraId="0DF9C68D">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242C625">
            <w:pPr>
              <w:widowControl/>
              <w:jc w:val="center"/>
              <w:rPr>
                <w:rFonts w:hint="eastAsia" w:ascii="宋体" w:hAnsi="宋体" w:cs="宋体"/>
                <w:kern w:val="0"/>
                <w:szCs w:val="21"/>
              </w:rPr>
            </w:pPr>
            <w:r>
              <w:rPr>
                <w:rFonts w:hint="eastAsia" w:ascii="宋体" w:hAnsi="宋体" w:cs="宋体"/>
                <w:kern w:val="0"/>
                <w:szCs w:val="21"/>
              </w:rPr>
              <w:t>12</w:t>
            </w:r>
          </w:p>
        </w:tc>
        <w:tc>
          <w:tcPr>
            <w:tcW w:w="410" w:type="pct"/>
            <w:shd w:val="clear" w:color="auto" w:fill="auto"/>
            <w:vAlign w:val="center"/>
          </w:tcPr>
          <w:p w14:paraId="16B858C1">
            <w:pPr>
              <w:widowControl/>
              <w:jc w:val="center"/>
              <w:rPr>
                <w:rFonts w:hint="eastAsia" w:ascii="宋体" w:hAnsi="宋体" w:cs="宋体"/>
                <w:kern w:val="0"/>
                <w:szCs w:val="21"/>
              </w:rPr>
            </w:pPr>
            <w:r>
              <w:rPr>
                <w:rFonts w:hint="eastAsia" w:ascii="宋体" w:hAnsi="宋体"/>
                <w:szCs w:val="21"/>
              </w:rPr>
              <w:t>0.1200</w:t>
            </w:r>
          </w:p>
        </w:tc>
        <w:tc>
          <w:tcPr>
            <w:tcW w:w="389" w:type="pct"/>
            <w:shd w:val="clear" w:color="auto" w:fill="auto"/>
            <w:vAlign w:val="center"/>
          </w:tcPr>
          <w:p w14:paraId="39319963">
            <w:pPr>
              <w:widowControl/>
              <w:jc w:val="center"/>
              <w:rPr>
                <w:rFonts w:hint="eastAsia" w:ascii="宋体" w:hAnsi="宋体" w:cs="宋体"/>
                <w:kern w:val="0"/>
                <w:szCs w:val="21"/>
              </w:rPr>
            </w:pPr>
            <w:r>
              <w:rPr>
                <w:rFonts w:hint="eastAsia" w:ascii="宋体" w:hAnsi="宋体" w:cs="宋体"/>
                <w:kern w:val="0"/>
                <w:szCs w:val="21"/>
              </w:rPr>
              <w:t>达标</w:t>
            </w:r>
          </w:p>
        </w:tc>
      </w:tr>
      <w:tr w14:paraId="6F49C7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3DF1FACF">
            <w:pPr>
              <w:widowControl/>
              <w:jc w:val="center"/>
              <w:rPr>
                <w:rFonts w:hint="eastAsia" w:ascii="宋体" w:hAnsi="宋体" w:cs="宋体"/>
                <w:kern w:val="0"/>
                <w:szCs w:val="21"/>
              </w:rPr>
            </w:pPr>
            <w:r>
              <w:rPr>
                <w:rFonts w:hint="eastAsia" w:ascii="宋体" w:hAnsi="宋体" w:cs="宋体"/>
                <w:kern w:val="0"/>
                <w:szCs w:val="21"/>
              </w:rPr>
              <w:t>7</w:t>
            </w:r>
          </w:p>
        </w:tc>
        <w:tc>
          <w:tcPr>
            <w:tcW w:w="562" w:type="pct"/>
            <w:shd w:val="clear" w:color="auto" w:fill="auto"/>
            <w:vAlign w:val="center"/>
          </w:tcPr>
          <w:p w14:paraId="072FAE6B">
            <w:pPr>
              <w:widowControl/>
              <w:jc w:val="center"/>
              <w:rPr>
                <w:rFonts w:hint="eastAsia" w:ascii="宋体" w:hAnsi="宋体" w:cs="宋体"/>
                <w:kern w:val="0"/>
                <w:szCs w:val="21"/>
              </w:rPr>
            </w:pPr>
            <w:r>
              <w:rPr>
                <w:rFonts w:hint="eastAsia" w:ascii="宋体" w:hAnsi="宋体" w:cs="宋体"/>
                <w:kern w:val="0"/>
                <w:szCs w:val="21"/>
              </w:rPr>
              <w:t>镍</w:t>
            </w:r>
          </w:p>
        </w:tc>
        <w:tc>
          <w:tcPr>
            <w:tcW w:w="456" w:type="pct"/>
            <w:shd w:val="clear" w:color="auto" w:fill="auto"/>
            <w:vAlign w:val="center"/>
          </w:tcPr>
          <w:p w14:paraId="4B4302D5">
            <w:pPr>
              <w:widowControl/>
              <w:jc w:val="center"/>
              <w:rPr>
                <w:rFonts w:hint="eastAsia" w:ascii="宋体" w:hAnsi="宋体" w:cs="宋体"/>
                <w:kern w:val="0"/>
                <w:szCs w:val="21"/>
              </w:rPr>
            </w:pPr>
            <w:r>
              <w:rPr>
                <w:rFonts w:hint="eastAsia" w:ascii="宋体" w:hAnsi="宋体" w:cs="宋体"/>
                <w:kern w:val="0"/>
                <w:szCs w:val="21"/>
              </w:rPr>
              <w:t>60</w:t>
            </w:r>
          </w:p>
        </w:tc>
        <w:tc>
          <w:tcPr>
            <w:tcW w:w="305" w:type="pct"/>
            <w:shd w:val="clear" w:color="auto" w:fill="auto"/>
            <w:vAlign w:val="center"/>
          </w:tcPr>
          <w:p w14:paraId="64D0758D">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2C3A89B3">
            <w:pPr>
              <w:widowControl/>
              <w:jc w:val="center"/>
              <w:rPr>
                <w:rFonts w:hint="eastAsia" w:ascii="宋体" w:hAnsi="宋体" w:cs="宋体"/>
                <w:kern w:val="0"/>
                <w:szCs w:val="21"/>
              </w:rPr>
            </w:pPr>
            <w:r>
              <w:rPr>
                <w:rFonts w:hint="eastAsia" w:ascii="宋体" w:hAnsi="宋体" w:cs="宋体"/>
                <w:kern w:val="0"/>
                <w:szCs w:val="21"/>
              </w:rPr>
              <w:t>29</w:t>
            </w:r>
          </w:p>
        </w:tc>
        <w:tc>
          <w:tcPr>
            <w:tcW w:w="406" w:type="pct"/>
            <w:shd w:val="clear" w:color="auto" w:fill="auto"/>
            <w:vAlign w:val="center"/>
          </w:tcPr>
          <w:p w14:paraId="5CC16BF2">
            <w:pPr>
              <w:widowControl/>
              <w:jc w:val="center"/>
              <w:rPr>
                <w:rFonts w:hint="eastAsia" w:ascii="宋体" w:hAnsi="宋体" w:cs="宋体"/>
                <w:kern w:val="0"/>
                <w:szCs w:val="21"/>
              </w:rPr>
            </w:pPr>
            <w:r>
              <w:rPr>
                <w:rFonts w:hint="eastAsia" w:ascii="宋体" w:hAnsi="宋体"/>
                <w:szCs w:val="21"/>
              </w:rPr>
              <w:t>0.4833</w:t>
            </w:r>
          </w:p>
        </w:tc>
        <w:tc>
          <w:tcPr>
            <w:tcW w:w="436" w:type="pct"/>
            <w:shd w:val="clear" w:color="auto" w:fill="auto"/>
            <w:vAlign w:val="center"/>
          </w:tcPr>
          <w:p w14:paraId="03570D8B">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3DAF2CD1">
            <w:pPr>
              <w:widowControl/>
              <w:jc w:val="center"/>
              <w:rPr>
                <w:rFonts w:hint="eastAsia" w:ascii="宋体" w:hAnsi="宋体" w:cs="宋体"/>
                <w:kern w:val="0"/>
                <w:szCs w:val="21"/>
              </w:rPr>
            </w:pPr>
            <w:r>
              <w:rPr>
                <w:rFonts w:hint="eastAsia" w:ascii="宋体" w:hAnsi="宋体" w:cs="宋体"/>
                <w:kern w:val="0"/>
                <w:szCs w:val="21"/>
              </w:rPr>
              <w:t>26</w:t>
            </w:r>
          </w:p>
        </w:tc>
        <w:tc>
          <w:tcPr>
            <w:tcW w:w="442" w:type="pct"/>
            <w:shd w:val="clear" w:color="auto" w:fill="auto"/>
            <w:vAlign w:val="center"/>
          </w:tcPr>
          <w:p w14:paraId="045724EC">
            <w:pPr>
              <w:widowControl/>
              <w:jc w:val="center"/>
              <w:rPr>
                <w:rFonts w:hint="eastAsia" w:ascii="宋体" w:hAnsi="宋体" w:cs="宋体"/>
                <w:kern w:val="0"/>
                <w:szCs w:val="21"/>
              </w:rPr>
            </w:pPr>
            <w:r>
              <w:rPr>
                <w:rFonts w:hint="eastAsia" w:ascii="宋体" w:hAnsi="宋体"/>
                <w:szCs w:val="21"/>
              </w:rPr>
              <w:t>0.4333</w:t>
            </w:r>
          </w:p>
        </w:tc>
        <w:tc>
          <w:tcPr>
            <w:tcW w:w="406" w:type="pct"/>
            <w:shd w:val="clear" w:color="auto" w:fill="auto"/>
            <w:vAlign w:val="center"/>
          </w:tcPr>
          <w:p w14:paraId="1E3020CB">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3766C1EC">
            <w:pPr>
              <w:widowControl/>
              <w:jc w:val="center"/>
              <w:rPr>
                <w:rFonts w:hint="eastAsia" w:ascii="宋体" w:hAnsi="宋体" w:cs="宋体"/>
                <w:kern w:val="0"/>
                <w:szCs w:val="21"/>
              </w:rPr>
            </w:pPr>
            <w:r>
              <w:rPr>
                <w:rFonts w:hint="eastAsia" w:ascii="宋体" w:hAnsi="宋体" w:cs="宋体"/>
                <w:kern w:val="0"/>
                <w:szCs w:val="21"/>
              </w:rPr>
              <w:t>25</w:t>
            </w:r>
          </w:p>
        </w:tc>
        <w:tc>
          <w:tcPr>
            <w:tcW w:w="410" w:type="pct"/>
            <w:shd w:val="clear" w:color="auto" w:fill="auto"/>
            <w:vAlign w:val="center"/>
          </w:tcPr>
          <w:p w14:paraId="7C2A3AB8">
            <w:pPr>
              <w:widowControl/>
              <w:jc w:val="center"/>
              <w:rPr>
                <w:rFonts w:hint="eastAsia" w:ascii="宋体" w:hAnsi="宋体" w:cs="宋体"/>
                <w:kern w:val="0"/>
                <w:szCs w:val="21"/>
              </w:rPr>
            </w:pPr>
            <w:r>
              <w:rPr>
                <w:rFonts w:hint="eastAsia" w:ascii="宋体" w:hAnsi="宋体"/>
                <w:szCs w:val="21"/>
              </w:rPr>
              <w:t>0.4167</w:t>
            </w:r>
          </w:p>
        </w:tc>
        <w:tc>
          <w:tcPr>
            <w:tcW w:w="389" w:type="pct"/>
            <w:shd w:val="clear" w:color="auto" w:fill="auto"/>
            <w:vAlign w:val="center"/>
          </w:tcPr>
          <w:p w14:paraId="7B1BA9B0">
            <w:pPr>
              <w:widowControl/>
              <w:jc w:val="center"/>
              <w:rPr>
                <w:rFonts w:hint="eastAsia" w:ascii="宋体" w:hAnsi="宋体" w:cs="宋体"/>
                <w:kern w:val="0"/>
                <w:szCs w:val="21"/>
              </w:rPr>
            </w:pPr>
            <w:r>
              <w:rPr>
                <w:rFonts w:hint="eastAsia" w:ascii="宋体" w:hAnsi="宋体" w:cs="宋体"/>
                <w:kern w:val="0"/>
                <w:szCs w:val="21"/>
              </w:rPr>
              <w:t>达标</w:t>
            </w:r>
          </w:p>
        </w:tc>
      </w:tr>
      <w:tr w14:paraId="54D779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C678476">
            <w:pPr>
              <w:widowControl/>
              <w:jc w:val="center"/>
              <w:rPr>
                <w:rFonts w:hint="eastAsia" w:ascii="宋体" w:hAnsi="宋体" w:cs="宋体"/>
                <w:kern w:val="0"/>
                <w:szCs w:val="21"/>
              </w:rPr>
            </w:pPr>
            <w:r>
              <w:rPr>
                <w:rFonts w:hint="eastAsia" w:ascii="宋体" w:hAnsi="宋体" w:cs="宋体"/>
                <w:kern w:val="0"/>
                <w:szCs w:val="21"/>
              </w:rPr>
              <w:t>8</w:t>
            </w:r>
          </w:p>
        </w:tc>
        <w:tc>
          <w:tcPr>
            <w:tcW w:w="562" w:type="pct"/>
            <w:shd w:val="clear" w:color="auto" w:fill="auto"/>
            <w:vAlign w:val="center"/>
          </w:tcPr>
          <w:p w14:paraId="2A518B3E">
            <w:pPr>
              <w:widowControl/>
              <w:jc w:val="center"/>
              <w:rPr>
                <w:rFonts w:hint="eastAsia" w:ascii="宋体" w:hAnsi="宋体" w:cs="宋体"/>
                <w:kern w:val="0"/>
                <w:szCs w:val="21"/>
              </w:rPr>
            </w:pPr>
            <w:r>
              <w:rPr>
                <w:rFonts w:hint="eastAsia" w:ascii="宋体" w:hAnsi="宋体" w:cs="宋体"/>
                <w:kern w:val="0"/>
                <w:szCs w:val="21"/>
              </w:rPr>
              <w:t>石油烃</w:t>
            </w:r>
          </w:p>
        </w:tc>
        <w:tc>
          <w:tcPr>
            <w:tcW w:w="456" w:type="pct"/>
            <w:shd w:val="clear" w:color="auto" w:fill="auto"/>
            <w:vAlign w:val="center"/>
          </w:tcPr>
          <w:p w14:paraId="1557A46A">
            <w:pPr>
              <w:widowControl/>
              <w:jc w:val="center"/>
              <w:rPr>
                <w:rFonts w:hint="eastAsia" w:ascii="宋体" w:hAnsi="宋体" w:cs="宋体"/>
                <w:kern w:val="0"/>
                <w:szCs w:val="21"/>
              </w:rPr>
            </w:pPr>
            <w:r>
              <w:rPr>
                <w:rFonts w:hint="eastAsia" w:ascii="宋体" w:hAnsi="宋体" w:cs="宋体"/>
                <w:kern w:val="0"/>
                <w:szCs w:val="21"/>
              </w:rPr>
              <w:t>4500</w:t>
            </w:r>
          </w:p>
        </w:tc>
        <w:tc>
          <w:tcPr>
            <w:tcW w:w="305" w:type="pct"/>
            <w:shd w:val="clear" w:color="auto" w:fill="auto"/>
            <w:vAlign w:val="center"/>
          </w:tcPr>
          <w:p w14:paraId="5E4B36A5">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067C445E">
            <w:pPr>
              <w:widowControl/>
              <w:jc w:val="center"/>
              <w:rPr>
                <w:rFonts w:hint="eastAsia" w:ascii="宋体" w:hAnsi="宋体" w:cs="宋体"/>
                <w:kern w:val="0"/>
                <w:szCs w:val="21"/>
              </w:rPr>
            </w:pPr>
            <w:r>
              <w:rPr>
                <w:rFonts w:hint="eastAsia" w:ascii="宋体" w:hAnsi="宋体" w:cs="宋体"/>
                <w:kern w:val="0"/>
                <w:szCs w:val="21"/>
              </w:rPr>
              <w:t>18</w:t>
            </w:r>
          </w:p>
        </w:tc>
        <w:tc>
          <w:tcPr>
            <w:tcW w:w="406" w:type="pct"/>
            <w:shd w:val="clear" w:color="auto" w:fill="auto"/>
            <w:vAlign w:val="center"/>
          </w:tcPr>
          <w:p w14:paraId="68577741">
            <w:pPr>
              <w:widowControl/>
              <w:jc w:val="center"/>
              <w:rPr>
                <w:rFonts w:hint="eastAsia" w:ascii="宋体" w:hAnsi="宋体" w:cs="宋体"/>
                <w:kern w:val="0"/>
                <w:szCs w:val="21"/>
              </w:rPr>
            </w:pPr>
            <w:r>
              <w:rPr>
                <w:rFonts w:hint="eastAsia" w:ascii="宋体" w:hAnsi="宋体"/>
                <w:szCs w:val="21"/>
              </w:rPr>
              <w:t>0.0040</w:t>
            </w:r>
          </w:p>
        </w:tc>
        <w:tc>
          <w:tcPr>
            <w:tcW w:w="436" w:type="pct"/>
            <w:shd w:val="clear" w:color="auto" w:fill="auto"/>
            <w:vAlign w:val="center"/>
          </w:tcPr>
          <w:p w14:paraId="7E86DFC9">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174426CC">
            <w:pPr>
              <w:widowControl/>
              <w:jc w:val="center"/>
              <w:rPr>
                <w:rFonts w:hint="eastAsia" w:ascii="宋体" w:hAnsi="宋体" w:cs="宋体"/>
                <w:kern w:val="0"/>
                <w:szCs w:val="21"/>
              </w:rPr>
            </w:pPr>
            <w:r>
              <w:rPr>
                <w:rFonts w:hint="eastAsia" w:ascii="宋体" w:hAnsi="宋体" w:cs="宋体"/>
                <w:kern w:val="0"/>
                <w:szCs w:val="21"/>
              </w:rPr>
              <w:t>11</w:t>
            </w:r>
          </w:p>
        </w:tc>
        <w:tc>
          <w:tcPr>
            <w:tcW w:w="442" w:type="pct"/>
            <w:shd w:val="clear" w:color="auto" w:fill="auto"/>
            <w:vAlign w:val="center"/>
          </w:tcPr>
          <w:p w14:paraId="2C910E7E">
            <w:pPr>
              <w:widowControl/>
              <w:jc w:val="center"/>
              <w:rPr>
                <w:rFonts w:hint="eastAsia" w:ascii="宋体" w:hAnsi="宋体" w:cs="宋体"/>
                <w:kern w:val="0"/>
                <w:szCs w:val="21"/>
              </w:rPr>
            </w:pPr>
            <w:r>
              <w:rPr>
                <w:rFonts w:hint="eastAsia" w:ascii="宋体" w:hAnsi="宋体"/>
                <w:szCs w:val="21"/>
              </w:rPr>
              <w:t>0.0024</w:t>
            </w:r>
          </w:p>
        </w:tc>
        <w:tc>
          <w:tcPr>
            <w:tcW w:w="406" w:type="pct"/>
            <w:shd w:val="clear" w:color="auto" w:fill="auto"/>
            <w:vAlign w:val="center"/>
          </w:tcPr>
          <w:p w14:paraId="53E5BBF5">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2F688B15">
            <w:pPr>
              <w:widowControl/>
              <w:jc w:val="center"/>
              <w:rPr>
                <w:rFonts w:hint="eastAsia" w:ascii="宋体" w:hAnsi="宋体" w:cs="宋体"/>
                <w:kern w:val="0"/>
                <w:szCs w:val="21"/>
              </w:rPr>
            </w:pPr>
            <w:r>
              <w:rPr>
                <w:rFonts w:hint="eastAsia" w:ascii="宋体" w:hAnsi="宋体" w:cs="宋体"/>
                <w:kern w:val="0"/>
                <w:szCs w:val="21"/>
              </w:rPr>
              <w:t>10</w:t>
            </w:r>
          </w:p>
        </w:tc>
        <w:tc>
          <w:tcPr>
            <w:tcW w:w="410" w:type="pct"/>
            <w:shd w:val="clear" w:color="auto" w:fill="auto"/>
            <w:vAlign w:val="center"/>
          </w:tcPr>
          <w:p w14:paraId="58AC7FBE">
            <w:pPr>
              <w:widowControl/>
              <w:jc w:val="center"/>
              <w:rPr>
                <w:rFonts w:hint="eastAsia" w:ascii="宋体" w:hAnsi="宋体" w:cs="宋体"/>
                <w:kern w:val="0"/>
                <w:szCs w:val="21"/>
              </w:rPr>
            </w:pPr>
            <w:r>
              <w:rPr>
                <w:rFonts w:hint="eastAsia" w:ascii="宋体" w:hAnsi="宋体"/>
                <w:szCs w:val="21"/>
              </w:rPr>
              <w:t>0.0022</w:t>
            </w:r>
          </w:p>
        </w:tc>
        <w:tc>
          <w:tcPr>
            <w:tcW w:w="389" w:type="pct"/>
            <w:shd w:val="clear" w:color="auto" w:fill="auto"/>
            <w:vAlign w:val="center"/>
          </w:tcPr>
          <w:p w14:paraId="6CAD7111">
            <w:pPr>
              <w:widowControl/>
              <w:jc w:val="center"/>
              <w:rPr>
                <w:rFonts w:hint="eastAsia" w:ascii="宋体" w:hAnsi="宋体" w:cs="宋体"/>
                <w:kern w:val="0"/>
                <w:szCs w:val="21"/>
              </w:rPr>
            </w:pPr>
            <w:r>
              <w:rPr>
                <w:rFonts w:hint="eastAsia" w:ascii="宋体" w:hAnsi="宋体" w:cs="宋体"/>
                <w:kern w:val="0"/>
                <w:szCs w:val="21"/>
              </w:rPr>
              <w:t>达标</w:t>
            </w:r>
          </w:p>
        </w:tc>
      </w:tr>
      <w:tr w14:paraId="2A02F5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6952C78A">
            <w:pPr>
              <w:widowControl/>
              <w:jc w:val="center"/>
              <w:rPr>
                <w:rFonts w:hint="eastAsia" w:ascii="宋体" w:hAnsi="宋体" w:cs="宋体"/>
                <w:kern w:val="0"/>
                <w:szCs w:val="21"/>
              </w:rPr>
            </w:pPr>
            <w:r>
              <w:rPr>
                <w:rFonts w:hint="eastAsia" w:ascii="宋体" w:hAnsi="宋体" w:cs="宋体"/>
                <w:kern w:val="0"/>
                <w:szCs w:val="21"/>
              </w:rPr>
              <w:t>9</w:t>
            </w:r>
          </w:p>
        </w:tc>
        <w:tc>
          <w:tcPr>
            <w:tcW w:w="562" w:type="pct"/>
            <w:shd w:val="clear" w:color="auto" w:fill="auto"/>
            <w:vAlign w:val="center"/>
          </w:tcPr>
          <w:p w14:paraId="27BDE3AF">
            <w:pPr>
              <w:widowControl/>
              <w:jc w:val="center"/>
              <w:rPr>
                <w:rFonts w:hint="eastAsia" w:ascii="宋体" w:hAnsi="宋体" w:cs="宋体"/>
                <w:kern w:val="0"/>
                <w:szCs w:val="21"/>
              </w:rPr>
            </w:pPr>
            <w:r>
              <w:rPr>
                <w:rFonts w:hint="eastAsia" w:ascii="宋体" w:hAnsi="宋体" w:cs="宋体"/>
                <w:kern w:val="0"/>
                <w:szCs w:val="21"/>
              </w:rPr>
              <w:t>pH</w:t>
            </w:r>
          </w:p>
        </w:tc>
        <w:tc>
          <w:tcPr>
            <w:tcW w:w="456" w:type="pct"/>
            <w:shd w:val="clear" w:color="auto" w:fill="auto"/>
            <w:vAlign w:val="center"/>
          </w:tcPr>
          <w:p w14:paraId="3AD46F4A">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02BE4500">
            <w:pPr>
              <w:widowControl/>
              <w:jc w:val="center"/>
              <w:rPr>
                <w:rFonts w:hint="eastAsia" w:ascii="宋体" w:hAnsi="宋体" w:cs="宋体"/>
                <w:kern w:val="0"/>
                <w:szCs w:val="21"/>
              </w:rPr>
            </w:pPr>
            <w:r>
              <w:rPr>
                <w:rFonts w:hint="eastAsia" w:ascii="宋体" w:hAnsi="宋体" w:cs="宋体"/>
                <w:kern w:val="0"/>
                <w:szCs w:val="21"/>
              </w:rPr>
              <w:t>/</w:t>
            </w:r>
          </w:p>
        </w:tc>
        <w:tc>
          <w:tcPr>
            <w:tcW w:w="304" w:type="pct"/>
            <w:shd w:val="clear" w:color="auto" w:fill="auto"/>
            <w:vAlign w:val="center"/>
          </w:tcPr>
          <w:p w14:paraId="5869BFAE">
            <w:pPr>
              <w:widowControl/>
              <w:jc w:val="center"/>
              <w:rPr>
                <w:rFonts w:hint="eastAsia" w:ascii="宋体" w:hAnsi="宋体" w:cs="宋体"/>
                <w:kern w:val="0"/>
                <w:szCs w:val="21"/>
              </w:rPr>
            </w:pPr>
            <w:r>
              <w:rPr>
                <w:rFonts w:hint="eastAsia" w:ascii="宋体" w:hAnsi="宋体" w:cs="宋体"/>
                <w:kern w:val="0"/>
                <w:szCs w:val="21"/>
              </w:rPr>
              <w:t>8.58</w:t>
            </w:r>
          </w:p>
        </w:tc>
        <w:tc>
          <w:tcPr>
            <w:tcW w:w="406" w:type="pct"/>
            <w:shd w:val="clear" w:color="auto" w:fill="auto"/>
            <w:vAlign w:val="center"/>
          </w:tcPr>
          <w:p w14:paraId="6BEB5645">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3E5980AA">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0AA9CD4E">
            <w:pPr>
              <w:widowControl/>
              <w:jc w:val="center"/>
              <w:rPr>
                <w:rFonts w:hint="eastAsia" w:ascii="宋体" w:hAnsi="宋体" w:cs="宋体"/>
                <w:kern w:val="0"/>
                <w:szCs w:val="21"/>
              </w:rPr>
            </w:pPr>
            <w:r>
              <w:rPr>
                <w:rFonts w:hint="eastAsia" w:ascii="宋体" w:hAnsi="宋体" w:cs="宋体"/>
                <w:kern w:val="0"/>
                <w:szCs w:val="21"/>
              </w:rPr>
              <w:t>8.20</w:t>
            </w:r>
          </w:p>
        </w:tc>
        <w:tc>
          <w:tcPr>
            <w:tcW w:w="442" w:type="pct"/>
            <w:shd w:val="clear" w:color="auto" w:fill="auto"/>
            <w:vAlign w:val="center"/>
          </w:tcPr>
          <w:p w14:paraId="2F35F11E">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436FE630">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36DE948F">
            <w:pPr>
              <w:widowControl/>
              <w:jc w:val="center"/>
              <w:rPr>
                <w:rFonts w:hint="eastAsia" w:ascii="宋体" w:hAnsi="宋体" w:cs="宋体"/>
                <w:kern w:val="0"/>
                <w:szCs w:val="21"/>
              </w:rPr>
            </w:pPr>
            <w:r>
              <w:rPr>
                <w:rFonts w:hint="eastAsia" w:ascii="宋体" w:hAnsi="宋体" w:cs="宋体"/>
                <w:kern w:val="0"/>
                <w:szCs w:val="21"/>
              </w:rPr>
              <w:t>8.74</w:t>
            </w:r>
          </w:p>
        </w:tc>
        <w:tc>
          <w:tcPr>
            <w:tcW w:w="410" w:type="pct"/>
            <w:shd w:val="clear" w:color="auto" w:fill="auto"/>
            <w:vAlign w:val="center"/>
          </w:tcPr>
          <w:p w14:paraId="13F5F29E">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5D694182">
            <w:pPr>
              <w:widowControl/>
              <w:jc w:val="center"/>
              <w:rPr>
                <w:rFonts w:hint="eastAsia" w:ascii="宋体" w:hAnsi="宋体" w:cs="宋体"/>
                <w:kern w:val="0"/>
                <w:szCs w:val="21"/>
              </w:rPr>
            </w:pPr>
            <w:r>
              <w:rPr>
                <w:rFonts w:hint="eastAsia" w:ascii="宋体" w:hAnsi="宋体" w:cs="宋体"/>
                <w:kern w:val="0"/>
                <w:szCs w:val="21"/>
              </w:rPr>
              <w:t>/</w:t>
            </w:r>
          </w:p>
        </w:tc>
      </w:tr>
      <w:tr w14:paraId="793A1D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E86026A">
            <w:pPr>
              <w:widowControl/>
              <w:jc w:val="center"/>
              <w:rPr>
                <w:rFonts w:hint="eastAsia" w:ascii="宋体" w:hAnsi="宋体" w:cs="宋体"/>
                <w:kern w:val="0"/>
                <w:szCs w:val="21"/>
              </w:rPr>
            </w:pPr>
            <w:r>
              <w:rPr>
                <w:rFonts w:hint="eastAsia" w:ascii="宋体" w:hAnsi="宋体" w:cs="宋体"/>
                <w:kern w:val="0"/>
                <w:szCs w:val="21"/>
              </w:rPr>
              <w:t>10</w:t>
            </w:r>
          </w:p>
        </w:tc>
        <w:tc>
          <w:tcPr>
            <w:tcW w:w="562" w:type="pct"/>
            <w:shd w:val="clear" w:color="auto" w:fill="auto"/>
            <w:vAlign w:val="center"/>
          </w:tcPr>
          <w:p w14:paraId="061788A2">
            <w:pPr>
              <w:widowControl/>
              <w:jc w:val="center"/>
              <w:rPr>
                <w:rFonts w:hint="eastAsia" w:ascii="宋体" w:hAnsi="宋体" w:cs="宋体"/>
                <w:kern w:val="0"/>
                <w:szCs w:val="21"/>
              </w:rPr>
            </w:pPr>
            <w:r>
              <w:rPr>
                <w:rFonts w:hint="eastAsia" w:ascii="宋体" w:hAnsi="宋体" w:cs="宋体"/>
                <w:kern w:val="0"/>
                <w:szCs w:val="21"/>
              </w:rPr>
              <w:t>土壤盐分含量</w:t>
            </w:r>
          </w:p>
        </w:tc>
        <w:tc>
          <w:tcPr>
            <w:tcW w:w="456" w:type="pct"/>
            <w:shd w:val="clear" w:color="auto" w:fill="auto"/>
            <w:vAlign w:val="center"/>
          </w:tcPr>
          <w:p w14:paraId="4FE16673">
            <w:pPr>
              <w:widowControl/>
              <w:jc w:val="center"/>
              <w:rPr>
                <w:rFonts w:hint="eastAsia" w:ascii="宋体" w:hAnsi="宋体" w:cs="宋体"/>
                <w:kern w:val="0"/>
                <w:szCs w:val="21"/>
              </w:rPr>
            </w:pPr>
            <w:r>
              <w:rPr>
                <w:rFonts w:hint="eastAsia" w:ascii="宋体" w:hAnsi="宋体" w:cs="宋体"/>
                <w:kern w:val="0"/>
                <w:szCs w:val="21"/>
              </w:rPr>
              <w:t>/</w:t>
            </w:r>
          </w:p>
        </w:tc>
        <w:tc>
          <w:tcPr>
            <w:tcW w:w="305" w:type="pct"/>
            <w:shd w:val="clear" w:color="auto" w:fill="auto"/>
            <w:vAlign w:val="center"/>
          </w:tcPr>
          <w:p w14:paraId="15241B14">
            <w:pPr>
              <w:widowControl/>
              <w:jc w:val="center"/>
              <w:rPr>
                <w:rFonts w:hint="eastAsia" w:ascii="宋体" w:hAnsi="宋体" w:cs="宋体"/>
                <w:kern w:val="0"/>
                <w:szCs w:val="21"/>
              </w:rPr>
            </w:pPr>
            <w:r>
              <w:rPr>
                <w:rFonts w:hint="eastAsia" w:ascii="宋体" w:hAnsi="宋体" w:cs="宋体"/>
                <w:kern w:val="0"/>
                <w:szCs w:val="21"/>
              </w:rPr>
              <w:t>g/kg</w:t>
            </w:r>
          </w:p>
        </w:tc>
        <w:tc>
          <w:tcPr>
            <w:tcW w:w="304" w:type="pct"/>
            <w:shd w:val="clear" w:color="auto" w:fill="auto"/>
            <w:vAlign w:val="center"/>
          </w:tcPr>
          <w:p w14:paraId="252F84D1">
            <w:pPr>
              <w:widowControl/>
              <w:jc w:val="center"/>
              <w:rPr>
                <w:rFonts w:hint="eastAsia" w:ascii="宋体" w:hAnsi="宋体" w:cs="宋体"/>
                <w:kern w:val="0"/>
                <w:szCs w:val="21"/>
              </w:rPr>
            </w:pPr>
            <w:r>
              <w:rPr>
                <w:rFonts w:hint="eastAsia" w:ascii="宋体" w:hAnsi="宋体" w:cs="宋体"/>
                <w:kern w:val="0"/>
                <w:szCs w:val="21"/>
              </w:rPr>
              <w:t>2.1</w:t>
            </w:r>
          </w:p>
        </w:tc>
        <w:tc>
          <w:tcPr>
            <w:tcW w:w="406" w:type="pct"/>
            <w:shd w:val="clear" w:color="auto" w:fill="auto"/>
            <w:vAlign w:val="center"/>
          </w:tcPr>
          <w:p w14:paraId="2B070265">
            <w:pPr>
              <w:widowControl/>
              <w:jc w:val="center"/>
              <w:rPr>
                <w:rFonts w:hint="eastAsia" w:ascii="宋体" w:hAnsi="宋体" w:cs="宋体"/>
                <w:kern w:val="0"/>
                <w:szCs w:val="21"/>
              </w:rPr>
            </w:pPr>
            <w:r>
              <w:rPr>
                <w:rFonts w:hint="eastAsia" w:ascii="宋体" w:hAnsi="宋体"/>
                <w:szCs w:val="21"/>
              </w:rPr>
              <w:t>/</w:t>
            </w:r>
          </w:p>
        </w:tc>
        <w:tc>
          <w:tcPr>
            <w:tcW w:w="436" w:type="pct"/>
            <w:shd w:val="clear" w:color="auto" w:fill="auto"/>
            <w:vAlign w:val="center"/>
          </w:tcPr>
          <w:p w14:paraId="46F3A692">
            <w:pPr>
              <w:widowControl/>
              <w:jc w:val="center"/>
              <w:rPr>
                <w:rFonts w:hint="eastAsia" w:ascii="宋体" w:hAnsi="宋体" w:cs="宋体"/>
                <w:kern w:val="0"/>
                <w:szCs w:val="21"/>
              </w:rPr>
            </w:pPr>
            <w:r>
              <w:rPr>
                <w:rFonts w:hint="eastAsia" w:ascii="宋体" w:hAnsi="宋体" w:cs="宋体"/>
                <w:kern w:val="0"/>
                <w:szCs w:val="21"/>
              </w:rPr>
              <w:t>/</w:t>
            </w:r>
          </w:p>
        </w:tc>
        <w:tc>
          <w:tcPr>
            <w:tcW w:w="376" w:type="pct"/>
            <w:shd w:val="clear" w:color="auto" w:fill="auto"/>
            <w:vAlign w:val="center"/>
          </w:tcPr>
          <w:p w14:paraId="0C4A0CA1">
            <w:pPr>
              <w:widowControl/>
              <w:jc w:val="center"/>
              <w:rPr>
                <w:rFonts w:hint="eastAsia" w:ascii="宋体" w:hAnsi="宋体" w:cs="宋体"/>
                <w:kern w:val="0"/>
                <w:szCs w:val="21"/>
              </w:rPr>
            </w:pPr>
            <w:r>
              <w:rPr>
                <w:rFonts w:hint="eastAsia" w:ascii="宋体" w:hAnsi="宋体" w:cs="宋体"/>
                <w:kern w:val="0"/>
                <w:szCs w:val="21"/>
              </w:rPr>
              <w:t>2.8</w:t>
            </w:r>
          </w:p>
        </w:tc>
        <w:tc>
          <w:tcPr>
            <w:tcW w:w="442" w:type="pct"/>
            <w:shd w:val="clear" w:color="auto" w:fill="auto"/>
            <w:vAlign w:val="center"/>
          </w:tcPr>
          <w:p w14:paraId="0FD32AF2">
            <w:pPr>
              <w:widowControl/>
              <w:jc w:val="center"/>
              <w:rPr>
                <w:rFonts w:hint="eastAsia" w:ascii="宋体" w:hAnsi="宋体" w:cs="宋体"/>
                <w:kern w:val="0"/>
                <w:szCs w:val="21"/>
              </w:rPr>
            </w:pPr>
            <w:r>
              <w:rPr>
                <w:rFonts w:hint="eastAsia" w:ascii="宋体" w:hAnsi="宋体"/>
                <w:szCs w:val="21"/>
              </w:rPr>
              <w:t>/</w:t>
            </w:r>
          </w:p>
        </w:tc>
        <w:tc>
          <w:tcPr>
            <w:tcW w:w="406" w:type="pct"/>
            <w:shd w:val="clear" w:color="auto" w:fill="auto"/>
            <w:vAlign w:val="center"/>
          </w:tcPr>
          <w:p w14:paraId="33235111">
            <w:pPr>
              <w:widowControl/>
              <w:jc w:val="center"/>
              <w:rPr>
                <w:rFonts w:hint="eastAsia" w:ascii="宋体" w:hAnsi="宋体" w:cs="宋体"/>
                <w:kern w:val="0"/>
                <w:szCs w:val="21"/>
              </w:rPr>
            </w:pPr>
            <w:r>
              <w:rPr>
                <w:rFonts w:hint="eastAsia" w:ascii="宋体" w:hAnsi="宋体" w:cs="宋体"/>
                <w:kern w:val="0"/>
                <w:szCs w:val="21"/>
              </w:rPr>
              <w:t>/</w:t>
            </w:r>
          </w:p>
        </w:tc>
        <w:tc>
          <w:tcPr>
            <w:tcW w:w="306" w:type="pct"/>
            <w:gridSpan w:val="2"/>
            <w:shd w:val="clear" w:color="auto" w:fill="auto"/>
            <w:vAlign w:val="center"/>
          </w:tcPr>
          <w:p w14:paraId="6CE9DA21">
            <w:pPr>
              <w:widowControl/>
              <w:jc w:val="center"/>
              <w:rPr>
                <w:rFonts w:hint="eastAsia" w:ascii="宋体" w:hAnsi="宋体" w:cs="宋体"/>
                <w:kern w:val="0"/>
                <w:szCs w:val="21"/>
              </w:rPr>
            </w:pPr>
            <w:r>
              <w:rPr>
                <w:rFonts w:hint="eastAsia" w:ascii="宋体" w:hAnsi="宋体" w:cs="宋体"/>
                <w:kern w:val="0"/>
                <w:szCs w:val="21"/>
              </w:rPr>
              <w:t>3.2</w:t>
            </w:r>
          </w:p>
        </w:tc>
        <w:tc>
          <w:tcPr>
            <w:tcW w:w="410" w:type="pct"/>
            <w:shd w:val="clear" w:color="auto" w:fill="auto"/>
            <w:vAlign w:val="center"/>
          </w:tcPr>
          <w:p w14:paraId="626225D6">
            <w:pPr>
              <w:widowControl/>
              <w:jc w:val="center"/>
              <w:rPr>
                <w:rFonts w:hint="eastAsia" w:ascii="宋体" w:hAnsi="宋体" w:cs="宋体"/>
                <w:kern w:val="0"/>
                <w:szCs w:val="21"/>
              </w:rPr>
            </w:pPr>
            <w:r>
              <w:rPr>
                <w:rFonts w:hint="eastAsia" w:ascii="宋体" w:hAnsi="宋体"/>
                <w:szCs w:val="21"/>
              </w:rPr>
              <w:t>/</w:t>
            </w:r>
          </w:p>
        </w:tc>
        <w:tc>
          <w:tcPr>
            <w:tcW w:w="389" w:type="pct"/>
            <w:shd w:val="clear" w:color="auto" w:fill="auto"/>
            <w:vAlign w:val="center"/>
          </w:tcPr>
          <w:p w14:paraId="6A527AB3">
            <w:pPr>
              <w:widowControl/>
              <w:jc w:val="center"/>
              <w:rPr>
                <w:rFonts w:hint="eastAsia" w:ascii="宋体" w:hAnsi="宋体" w:cs="宋体"/>
                <w:kern w:val="0"/>
                <w:szCs w:val="21"/>
              </w:rPr>
            </w:pPr>
            <w:r>
              <w:rPr>
                <w:rFonts w:hint="eastAsia" w:ascii="宋体" w:hAnsi="宋体" w:cs="宋体"/>
                <w:kern w:val="0"/>
                <w:szCs w:val="21"/>
              </w:rPr>
              <w:t>/</w:t>
            </w:r>
          </w:p>
        </w:tc>
      </w:tr>
      <w:tr w14:paraId="507A04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459686E9">
            <w:pPr>
              <w:widowControl/>
              <w:jc w:val="center"/>
              <w:rPr>
                <w:rFonts w:hint="eastAsia" w:ascii="宋体" w:hAnsi="宋体" w:cs="宋体"/>
                <w:kern w:val="0"/>
                <w:szCs w:val="21"/>
              </w:rPr>
            </w:pPr>
            <w:r>
              <w:rPr>
                <w:rFonts w:hint="eastAsia" w:ascii="宋体" w:hAnsi="宋体" w:cs="宋体"/>
                <w:kern w:val="0"/>
                <w:szCs w:val="21"/>
              </w:rPr>
              <w:t>11</w:t>
            </w:r>
          </w:p>
        </w:tc>
        <w:tc>
          <w:tcPr>
            <w:tcW w:w="562" w:type="pct"/>
            <w:shd w:val="clear" w:color="auto" w:fill="auto"/>
            <w:vAlign w:val="center"/>
          </w:tcPr>
          <w:p w14:paraId="3AC26419">
            <w:pPr>
              <w:widowControl/>
              <w:jc w:val="center"/>
              <w:rPr>
                <w:rFonts w:hint="eastAsia" w:ascii="宋体" w:hAnsi="宋体" w:cs="宋体"/>
                <w:kern w:val="0"/>
                <w:szCs w:val="21"/>
              </w:rPr>
            </w:pPr>
            <w:r>
              <w:rPr>
                <w:rFonts w:hint="eastAsia" w:ascii="宋体" w:hAnsi="宋体" w:cs="宋体"/>
                <w:kern w:val="0"/>
                <w:szCs w:val="21"/>
              </w:rPr>
              <w:t>铬</w:t>
            </w:r>
          </w:p>
        </w:tc>
        <w:tc>
          <w:tcPr>
            <w:tcW w:w="456" w:type="pct"/>
            <w:shd w:val="clear" w:color="auto" w:fill="auto"/>
            <w:vAlign w:val="center"/>
          </w:tcPr>
          <w:p w14:paraId="4E86E98C">
            <w:pPr>
              <w:widowControl/>
              <w:jc w:val="center"/>
              <w:rPr>
                <w:rFonts w:hint="eastAsia" w:ascii="宋体" w:hAnsi="宋体" w:cs="宋体"/>
                <w:kern w:val="0"/>
                <w:szCs w:val="21"/>
              </w:rPr>
            </w:pPr>
            <w:r>
              <w:rPr>
                <w:rFonts w:hint="eastAsia" w:ascii="宋体" w:hAnsi="宋体" w:cs="宋体"/>
                <w:kern w:val="0"/>
                <w:szCs w:val="21"/>
              </w:rPr>
              <w:t>250</w:t>
            </w:r>
          </w:p>
        </w:tc>
        <w:tc>
          <w:tcPr>
            <w:tcW w:w="305" w:type="pct"/>
            <w:shd w:val="clear" w:color="auto" w:fill="auto"/>
            <w:vAlign w:val="center"/>
          </w:tcPr>
          <w:p w14:paraId="28BA913A">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18623118">
            <w:pPr>
              <w:widowControl/>
              <w:jc w:val="center"/>
              <w:rPr>
                <w:rFonts w:hint="eastAsia" w:ascii="宋体" w:hAnsi="宋体" w:cs="宋体"/>
                <w:kern w:val="0"/>
                <w:szCs w:val="21"/>
              </w:rPr>
            </w:pPr>
            <w:r>
              <w:rPr>
                <w:rFonts w:hint="eastAsia" w:ascii="宋体" w:hAnsi="宋体" w:cs="宋体"/>
                <w:kern w:val="0"/>
                <w:szCs w:val="21"/>
              </w:rPr>
              <w:t>53</w:t>
            </w:r>
          </w:p>
        </w:tc>
        <w:tc>
          <w:tcPr>
            <w:tcW w:w="406" w:type="pct"/>
            <w:shd w:val="clear" w:color="auto" w:fill="auto"/>
            <w:vAlign w:val="center"/>
          </w:tcPr>
          <w:p w14:paraId="0A022317">
            <w:pPr>
              <w:widowControl/>
              <w:jc w:val="center"/>
              <w:rPr>
                <w:rFonts w:hint="eastAsia" w:ascii="宋体" w:hAnsi="宋体" w:cs="宋体"/>
                <w:kern w:val="0"/>
                <w:szCs w:val="21"/>
              </w:rPr>
            </w:pPr>
            <w:r>
              <w:rPr>
                <w:rFonts w:hint="eastAsia" w:ascii="宋体" w:hAnsi="宋体"/>
                <w:szCs w:val="21"/>
              </w:rPr>
              <w:t>0.2120</w:t>
            </w:r>
          </w:p>
        </w:tc>
        <w:tc>
          <w:tcPr>
            <w:tcW w:w="436" w:type="pct"/>
            <w:shd w:val="clear" w:color="auto" w:fill="auto"/>
            <w:vAlign w:val="center"/>
          </w:tcPr>
          <w:p w14:paraId="0F08D3C5">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60B0D8B3">
            <w:pPr>
              <w:widowControl/>
              <w:jc w:val="center"/>
              <w:rPr>
                <w:rFonts w:hint="eastAsia" w:ascii="宋体" w:hAnsi="宋体" w:cs="宋体"/>
                <w:kern w:val="0"/>
                <w:szCs w:val="21"/>
              </w:rPr>
            </w:pPr>
            <w:r>
              <w:rPr>
                <w:rFonts w:hint="eastAsia" w:ascii="宋体" w:hAnsi="宋体" w:cs="宋体"/>
                <w:kern w:val="0"/>
                <w:szCs w:val="21"/>
              </w:rPr>
              <w:t>54</w:t>
            </w:r>
          </w:p>
        </w:tc>
        <w:tc>
          <w:tcPr>
            <w:tcW w:w="442" w:type="pct"/>
            <w:shd w:val="clear" w:color="auto" w:fill="auto"/>
            <w:vAlign w:val="center"/>
          </w:tcPr>
          <w:p w14:paraId="7B762457">
            <w:pPr>
              <w:widowControl/>
              <w:jc w:val="center"/>
              <w:rPr>
                <w:rFonts w:hint="eastAsia" w:ascii="宋体" w:hAnsi="宋体" w:cs="宋体"/>
                <w:kern w:val="0"/>
                <w:szCs w:val="21"/>
              </w:rPr>
            </w:pPr>
            <w:r>
              <w:rPr>
                <w:rFonts w:hint="eastAsia" w:ascii="宋体" w:hAnsi="宋体"/>
                <w:szCs w:val="21"/>
              </w:rPr>
              <w:t>0.2160</w:t>
            </w:r>
          </w:p>
        </w:tc>
        <w:tc>
          <w:tcPr>
            <w:tcW w:w="406" w:type="pct"/>
            <w:shd w:val="clear" w:color="auto" w:fill="auto"/>
            <w:vAlign w:val="center"/>
          </w:tcPr>
          <w:p w14:paraId="7E5D0B3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52848005">
            <w:pPr>
              <w:widowControl/>
              <w:jc w:val="center"/>
              <w:rPr>
                <w:rFonts w:hint="eastAsia" w:ascii="宋体" w:hAnsi="宋体" w:cs="宋体"/>
                <w:kern w:val="0"/>
                <w:szCs w:val="21"/>
              </w:rPr>
            </w:pPr>
            <w:r>
              <w:rPr>
                <w:rFonts w:hint="eastAsia" w:ascii="宋体" w:hAnsi="宋体" w:cs="宋体"/>
                <w:kern w:val="0"/>
                <w:szCs w:val="21"/>
              </w:rPr>
              <w:t>64</w:t>
            </w:r>
          </w:p>
        </w:tc>
        <w:tc>
          <w:tcPr>
            <w:tcW w:w="410" w:type="pct"/>
            <w:shd w:val="clear" w:color="auto" w:fill="auto"/>
            <w:vAlign w:val="center"/>
          </w:tcPr>
          <w:p w14:paraId="40301276">
            <w:pPr>
              <w:widowControl/>
              <w:jc w:val="center"/>
              <w:rPr>
                <w:rFonts w:hint="eastAsia" w:ascii="宋体" w:hAnsi="宋体" w:cs="宋体"/>
                <w:kern w:val="0"/>
                <w:szCs w:val="21"/>
              </w:rPr>
            </w:pPr>
            <w:r>
              <w:rPr>
                <w:rFonts w:hint="eastAsia" w:ascii="宋体" w:hAnsi="宋体"/>
                <w:szCs w:val="21"/>
              </w:rPr>
              <w:t>0.2560</w:t>
            </w:r>
          </w:p>
        </w:tc>
        <w:tc>
          <w:tcPr>
            <w:tcW w:w="389" w:type="pct"/>
            <w:shd w:val="clear" w:color="auto" w:fill="auto"/>
            <w:vAlign w:val="center"/>
          </w:tcPr>
          <w:p w14:paraId="0F41201F">
            <w:pPr>
              <w:widowControl/>
              <w:jc w:val="center"/>
              <w:rPr>
                <w:rFonts w:hint="eastAsia" w:ascii="宋体" w:hAnsi="宋体" w:cs="宋体"/>
                <w:kern w:val="0"/>
                <w:szCs w:val="21"/>
              </w:rPr>
            </w:pPr>
            <w:r>
              <w:rPr>
                <w:rFonts w:hint="eastAsia" w:ascii="宋体" w:hAnsi="宋体" w:cs="宋体"/>
                <w:kern w:val="0"/>
                <w:szCs w:val="21"/>
              </w:rPr>
              <w:t>达标</w:t>
            </w:r>
          </w:p>
        </w:tc>
      </w:tr>
      <w:tr w14:paraId="5304EE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340" w:hRule="atLeast"/>
        </w:trPr>
        <w:tc>
          <w:tcPr>
            <w:tcW w:w="199" w:type="pct"/>
            <w:shd w:val="clear" w:color="auto" w:fill="auto"/>
            <w:vAlign w:val="center"/>
          </w:tcPr>
          <w:p w14:paraId="7402E86A">
            <w:pPr>
              <w:widowControl/>
              <w:jc w:val="center"/>
              <w:rPr>
                <w:rFonts w:hint="eastAsia" w:ascii="宋体" w:hAnsi="宋体" w:cs="宋体"/>
                <w:kern w:val="0"/>
                <w:szCs w:val="21"/>
              </w:rPr>
            </w:pPr>
            <w:r>
              <w:rPr>
                <w:rFonts w:hint="eastAsia" w:ascii="宋体" w:hAnsi="宋体" w:cs="宋体"/>
                <w:kern w:val="0"/>
                <w:szCs w:val="21"/>
              </w:rPr>
              <w:t>12</w:t>
            </w:r>
          </w:p>
        </w:tc>
        <w:tc>
          <w:tcPr>
            <w:tcW w:w="562" w:type="pct"/>
            <w:shd w:val="clear" w:color="auto" w:fill="auto"/>
            <w:vAlign w:val="center"/>
          </w:tcPr>
          <w:p w14:paraId="2E9B156F">
            <w:pPr>
              <w:widowControl/>
              <w:jc w:val="center"/>
              <w:rPr>
                <w:rFonts w:hint="eastAsia" w:ascii="宋体" w:hAnsi="宋体" w:cs="宋体"/>
                <w:kern w:val="0"/>
                <w:szCs w:val="21"/>
              </w:rPr>
            </w:pPr>
            <w:r>
              <w:rPr>
                <w:rFonts w:hint="eastAsia" w:ascii="宋体" w:hAnsi="宋体" w:cs="宋体"/>
                <w:kern w:val="0"/>
                <w:szCs w:val="21"/>
              </w:rPr>
              <w:t>锌</w:t>
            </w:r>
          </w:p>
        </w:tc>
        <w:tc>
          <w:tcPr>
            <w:tcW w:w="456" w:type="pct"/>
            <w:shd w:val="clear" w:color="auto" w:fill="auto"/>
            <w:vAlign w:val="center"/>
          </w:tcPr>
          <w:p w14:paraId="0E91FE99">
            <w:pPr>
              <w:widowControl/>
              <w:jc w:val="center"/>
              <w:rPr>
                <w:rFonts w:hint="eastAsia" w:ascii="宋体" w:hAnsi="宋体" w:cs="宋体"/>
                <w:kern w:val="0"/>
                <w:szCs w:val="21"/>
              </w:rPr>
            </w:pPr>
            <w:r>
              <w:rPr>
                <w:rFonts w:hint="eastAsia" w:ascii="宋体" w:hAnsi="宋体" w:cs="宋体"/>
                <w:kern w:val="0"/>
                <w:szCs w:val="21"/>
              </w:rPr>
              <w:t>300</w:t>
            </w:r>
          </w:p>
        </w:tc>
        <w:tc>
          <w:tcPr>
            <w:tcW w:w="305" w:type="pct"/>
            <w:shd w:val="clear" w:color="auto" w:fill="auto"/>
            <w:vAlign w:val="center"/>
          </w:tcPr>
          <w:p w14:paraId="11E0DAB3">
            <w:pPr>
              <w:widowControl/>
              <w:jc w:val="center"/>
              <w:rPr>
                <w:rFonts w:hint="eastAsia" w:ascii="宋体" w:hAnsi="宋体" w:cs="宋体"/>
                <w:kern w:val="0"/>
                <w:szCs w:val="21"/>
              </w:rPr>
            </w:pPr>
            <w:r>
              <w:rPr>
                <w:rFonts w:hint="eastAsia" w:ascii="宋体" w:hAnsi="宋体" w:cs="宋体"/>
                <w:kern w:val="0"/>
                <w:szCs w:val="21"/>
              </w:rPr>
              <w:t>mg/kg</w:t>
            </w:r>
          </w:p>
        </w:tc>
        <w:tc>
          <w:tcPr>
            <w:tcW w:w="304" w:type="pct"/>
            <w:shd w:val="clear" w:color="auto" w:fill="auto"/>
            <w:vAlign w:val="center"/>
          </w:tcPr>
          <w:p w14:paraId="7A32B175">
            <w:pPr>
              <w:widowControl/>
              <w:jc w:val="center"/>
              <w:rPr>
                <w:rFonts w:hint="eastAsia" w:ascii="宋体" w:hAnsi="宋体" w:cs="宋体"/>
                <w:kern w:val="0"/>
                <w:szCs w:val="21"/>
              </w:rPr>
            </w:pPr>
            <w:r>
              <w:rPr>
                <w:rFonts w:hint="eastAsia" w:ascii="宋体" w:hAnsi="宋体" w:cs="宋体"/>
                <w:kern w:val="0"/>
                <w:szCs w:val="21"/>
              </w:rPr>
              <w:t>49</w:t>
            </w:r>
          </w:p>
        </w:tc>
        <w:tc>
          <w:tcPr>
            <w:tcW w:w="406" w:type="pct"/>
            <w:shd w:val="clear" w:color="auto" w:fill="auto"/>
            <w:vAlign w:val="center"/>
          </w:tcPr>
          <w:p w14:paraId="05CECAB2">
            <w:pPr>
              <w:widowControl/>
              <w:jc w:val="center"/>
              <w:rPr>
                <w:rFonts w:hint="eastAsia" w:ascii="宋体" w:hAnsi="宋体" w:cs="宋体"/>
                <w:kern w:val="0"/>
                <w:szCs w:val="21"/>
              </w:rPr>
            </w:pPr>
            <w:r>
              <w:rPr>
                <w:rFonts w:hint="eastAsia" w:ascii="宋体" w:hAnsi="宋体"/>
                <w:szCs w:val="21"/>
              </w:rPr>
              <w:t>0.1633</w:t>
            </w:r>
          </w:p>
        </w:tc>
        <w:tc>
          <w:tcPr>
            <w:tcW w:w="436" w:type="pct"/>
            <w:shd w:val="clear" w:color="auto" w:fill="auto"/>
            <w:vAlign w:val="center"/>
          </w:tcPr>
          <w:p w14:paraId="6942C56F">
            <w:pPr>
              <w:widowControl/>
              <w:jc w:val="center"/>
              <w:rPr>
                <w:rFonts w:hint="eastAsia" w:ascii="宋体" w:hAnsi="宋体" w:cs="宋体"/>
                <w:kern w:val="0"/>
                <w:szCs w:val="21"/>
              </w:rPr>
            </w:pPr>
            <w:r>
              <w:rPr>
                <w:rFonts w:hint="eastAsia" w:ascii="宋体" w:hAnsi="宋体" w:cs="宋体"/>
                <w:kern w:val="0"/>
                <w:szCs w:val="21"/>
              </w:rPr>
              <w:t>达标</w:t>
            </w:r>
          </w:p>
        </w:tc>
        <w:tc>
          <w:tcPr>
            <w:tcW w:w="376" w:type="pct"/>
            <w:shd w:val="clear" w:color="auto" w:fill="auto"/>
            <w:vAlign w:val="center"/>
          </w:tcPr>
          <w:p w14:paraId="419D2B0F">
            <w:pPr>
              <w:widowControl/>
              <w:jc w:val="center"/>
              <w:rPr>
                <w:rFonts w:hint="eastAsia" w:ascii="宋体" w:hAnsi="宋体" w:cs="宋体"/>
                <w:kern w:val="0"/>
                <w:szCs w:val="21"/>
              </w:rPr>
            </w:pPr>
            <w:r>
              <w:rPr>
                <w:rFonts w:hint="eastAsia" w:ascii="宋体" w:hAnsi="宋体" w:cs="宋体"/>
                <w:kern w:val="0"/>
                <w:szCs w:val="21"/>
              </w:rPr>
              <w:t>45</w:t>
            </w:r>
          </w:p>
        </w:tc>
        <w:tc>
          <w:tcPr>
            <w:tcW w:w="442" w:type="pct"/>
            <w:shd w:val="clear" w:color="auto" w:fill="auto"/>
            <w:vAlign w:val="center"/>
          </w:tcPr>
          <w:p w14:paraId="4589C254">
            <w:pPr>
              <w:widowControl/>
              <w:jc w:val="center"/>
              <w:rPr>
                <w:rFonts w:hint="eastAsia" w:ascii="宋体" w:hAnsi="宋体" w:cs="宋体"/>
                <w:kern w:val="0"/>
                <w:szCs w:val="21"/>
              </w:rPr>
            </w:pPr>
            <w:r>
              <w:rPr>
                <w:rFonts w:hint="eastAsia" w:ascii="宋体" w:hAnsi="宋体"/>
                <w:szCs w:val="21"/>
              </w:rPr>
              <w:t>0.1500</w:t>
            </w:r>
          </w:p>
        </w:tc>
        <w:tc>
          <w:tcPr>
            <w:tcW w:w="406" w:type="pct"/>
            <w:shd w:val="clear" w:color="auto" w:fill="auto"/>
            <w:vAlign w:val="center"/>
          </w:tcPr>
          <w:p w14:paraId="50F0EF39">
            <w:pPr>
              <w:widowControl/>
              <w:jc w:val="center"/>
              <w:rPr>
                <w:rFonts w:hint="eastAsia" w:ascii="宋体" w:hAnsi="宋体" w:cs="宋体"/>
                <w:kern w:val="0"/>
                <w:szCs w:val="21"/>
              </w:rPr>
            </w:pPr>
            <w:r>
              <w:rPr>
                <w:rFonts w:hint="eastAsia" w:ascii="宋体" w:hAnsi="宋体" w:cs="宋体"/>
                <w:kern w:val="0"/>
                <w:szCs w:val="21"/>
              </w:rPr>
              <w:t>达标</w:t>
            </w:r>
          </w:p>
        </w:tc>
        <w:tc>
          <w:tcPr>
            <w:tcW w:w="306" w:type="pct"/>
            <w:gridSpan w:val="2"/>
            <w:shd w:val="clear" w:color="auto" w:fill="auto"/>
            <w:vAlign w:val="center"/>
          </w:tcPr>
          <w:p w14:paraId="46164E53">
            <w:pPr>
              <w:widowControl/>
              <w:jc w:val="center"/>
              <w:rPr>
                <w:rFonts w:hint="eastAsia" w:ascii="宋体" w:hAnsi="宋体" w:cs="宋体"/>
                <w:kern w:val="0"/>
                <w:szCs w:val="21"/>
              </w:rPr>
            </w:pPr>
            <w:r>
              <w:rPr>
                <w:rFonts w:hint="eastAsia" w:ascii="宋体" w:hAnsi="宋体" w:cs="宋体"/>
                <w:kern w:val="0"/>
                <w:szCs w:val="21"/>
              </w:rPr>
              <w:t>60</w:t>
            </w:r>
          </w:p>
        </w:tc>
        <w:tc>
          <w:tcPr>
            <w:tcW w:w="410" w:type="pct"/>
            <w:shd w:val="clear" w:color="auto" w:fill="auto"/>
            <w:vAlign w:val="center"/>
          </w:tcPr>
          <w:p w14:paraId="60C7A037">
            <w:pPr>
              <w:widowControl/>
              <w:jc w:val="center"/>
              <w:rPr>
                <w:rFonts w:hint="eastAsia" w:ascii="宋体" w:hAnsi="宋体" w:cs="宋体"/>
                <w:kern w:val="0"/>
                <w:szCs w:val="21"/>
              </w:rPr>
            </w:pPr>
            <w:r>
              <w:rPr>
                <w:rFonts w:hint="eastAsia" w:ascii="宋体" w:hAnsi="宋体"/>
                <w:szCs w:val="21"/>
              </w:rPr>
              <w:t>0.2000</w:t>
            </w:r>
          </w:p>
        </w:tc>
        <w:tc>
          <w:tcPr>
            <w:tcW w:w="389" w:type="pct"/>
            <w:shd w:val="clear" w:color="auto" w:fill="auto"/>
            <w:vAlign w:val="center"/>
          </w:tcPr>
          <w:p w14:paraId="655A448E">
            <w:pPr>
              <w:widowControl/>
              <w:jc w:val="center"/>
              <w:rPr>
                <w:rFonts w:hint="eastAsia" w:ascii="宋体" w:hAnsi="宋体" w:cs="宋体"/>
                <w:kern w:val="0"/>
                <w:szCs w:val="21"/>
              </w:rPr>
            </w:pPr>
            <w:r>
              <w:rPr>
                <w:rFonts w:hint="eastAsia" w:ascii="宋体" w:hAnsi="宋体" w:cs="宋体"/>
                <w:kern w:val="0"/>
                <w:szCs w:val="21"/>
              </w:rPr>
              <w:t>达标</w:t>
            </w:r>
          </w:p>
        </w:tc>
      </w:tr>
    </w:tbl>
    <w:p w14:paraId="5B9DE090">
      <w:pPr>
        <w:ind w:firstLine="197" w:firstLineChars="94"/>
        <w:jc w:val="center"/>
        <w:rPr>
          <w:rFonts w:hint="eastAsia" w:ascii="黑体" w:hAnsi="黑体" w:eastAsia="黑体"/>
          <w:bCs/>
          <w:szCs w:val="21"/>
        </w:rPr>
      </w:pPr>
    </w:p>
    <w:p w14:paraId="30BBFA27">
      <w:pPr>
        <w:ind w:firstLine="197" w:firstLineChars="94"/>
        <w:jc w:val="center"/>
        <w:rPr>
          <w:rFonts w:hint="eastAsia" w:ascii="黑体" w:hAnsi="黑体" w:eastAsia="黑体"/>
          <w:bCs/>
          <w:szCs w:val="21"/>
        </w:rPr>
      </w:pPr>
    </w:p>
    <w:p w14:paraId="442E8349">
      <w:pPr>
        <w:ind w:firstLine="197" w:firstLineChars="94"/>
        <w:jc w:val="center"/>
        <w:rPr>
          <w:rFonts w:hint="eastAsia" w:ascii="黑体" w:hAnsi="黑体" w:eastAsia="黑体"/>
          <w:bCs/>
          <w:szCs w:val="21"/>
        </w:rPr>
      </w:pPr>
    </w:p>
    <w:p w14:paraId="14A0F2FF">
      <w:pPr>
        <w:ind w:firstLine="197" w:firstLineChars="94"/>
        <w:jc w:val="center"/>
        <w:rPr>
          <w:rFonts w:hint="eastAsia" w:ascii="黑体" w:hAnsi="黑体" w:eastAsia="黑体"/>
          <w:bCs/>
          <w:szCs w:val="21"/>
        </w:rPr>
      </w:pPr>
    </w:p>
    <w:p w14:paraId="203CD839">
      <w:pPr>
        <w:ind w:firstLine="197" w:firstLineChars="94"/>
        <w:jc w:val="center"/>
        <w:rPr>
          <w:rFonts w:hint="eastAsia" w:ascii="黑体" w:hAnsi="黑体" w:eastAsia="黑体"/>
          <w:bCs/>
          <w:szCs w:val="21"/>
        </w:rPr>
      </w:pPr>
    </w:p>
    <w:p w14:paraId="006A4AA4">
      <w:pPr>
        <w:ind w:firstLine="197" w:firstLineChars="94"/>
        <w:jc w:val="center"/>
        <w:rPr>
          <w:rFonts w:hint="eastAsia" w:ascii="黑体" w:hAnsi="黑体" w:eastAsia="黑体"/>
          <w:bCs/>
          <w:szCs w:val="21"/>
        </w:rPr>
      </w:pPr>
    </w:p>
    <w:p w14:paraId="02620DF4">
      <w:pPr>
        <w:ind w:firstLine="197" w:firstLineChars="94"/>
        <w:jc w:val="center"/>
        <w:rPr>
          <w:rFonts w:hint="eastAsia" w:ascii="黑体" w:hAnsi="黑体" w:eastAsia="黑体"/>
          <w:bCs/>
          <w:szCs w:val="21"/>
        </w:rPr>
      </w:pPr>
    </w:p>
    <w:p w14:paraId="0A229FD0">
      <w:pPr>
        <w:ind w:firstLine="197" w:firstLineChars="94"/>
        <w:jc w:val="center"/>
        <w:rPr>
          <w:rFonts w:hint="eastAsia" w:ascii="黑体" w:hAnsi="黑体" w:eastAsia="黑体"/>
          <w:bCs/>
          <w:szCs w:val="21"/>
        </w:rPr>
      </w:pPr>
    </w:p>
    <w:p w14:paraId="278FA79D">
      <w:pPr>
        <w:ind w:firstLine="197" w:firstLineChars="94"/>
        <w:jc w:val="center"/>
        <w:rPr>
          <w:rFonts w:hint="eastAsia" w:ascii="黑体" w:hAnsi="黑体" w:eastAsia="黑体"/>
          <w:bCs/>
          <w:szCs w:val="21"/>
        </w:rPr>
        <w:sectPr>
          <w:pgSz w:w="16838" w:h="11906" w:orient="landscape"/>
          <w:pgMar w:top="1588" w:right="1418" w:bottom="1588" w:left="1418" w:header="1020" w:footer="1020" w:gutter="0"/>
          <w:cols w:space="720" w:num="1"/>
          <w:docGrid w:type="lines" w:linePitch="312" w:charSpace="0"/>
        </w:sectPr>
      </w:pPr>
    </w:p>
    <w:p w14:paraId="0AE47964">
      <w:pPr>
        <w:spacing w:line="480" w:lineRule="exact"/>
        <w:jc w:val="center"/>
        <w:rPr>
          <w:rFonts w:hint="eastAsia" w:ascii="黑体" w:hAnsi="黑体" w:eastAsia="黑体"/>
          <w:szCs w:val="21"/>
        </w:rPr>
      </w:pPr>
      <w:r>
        <w:rPr>
          <w:rFonts w:hint="eastAsia" w:ascii="黑体" w:hAnsi="黑体" w:eastAsia="黑体"/>
          <w:szCs w:val="21"/>
        </w:rPr>
        <w:t>表</w:t>
      </w:r>
      <w:r>
        <w:rPr>
          <w:rFonts w:ascii="黑体" w:hAnsi="黑体" w:eastAsia="黑体"/>
          <w:szCs w:val="21"/>
        </w:rPr>
        <w:t>4.3-1</w:t>
      </w:r>
      <w:r>
        <w:rPr>
          <w:rFonts w:hint="eastAsia" w:ascii="黑体" w:hAnsi="黑体" w:eastAsia="黑体"/>
          <w:szCs w:val="21"/>
        </w:rPr>
        <w:t>4</w:t>
      </w:r>
      <w:r>
        <w:rPr>
          <w:rFonts w:ascii="黑体" w:hAnsi="黑体" w:eastAsia="黑体"/>
          <w:szCs w:val="21"/>
        </w:rPr>
        <w:t xml:space="preserve">  </w:t>
      </w:r>
      <w:r>
        <w:rPr>
          <w:rFonts w:hint="eastAsia" w:ascii="黑体" w:hAnsi="黑体" w:eastAsia="黑体"/>
          <w:szCs w:val="21"/>
        </w:rPr>
        <w:t>土壤理化性质一览表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autofit"/>
        <w:tblCellMar>
          <w:top w:w="0" w:type="dxa"/>
          <w:left w:w="108" w:type="dxa"/>
          <w:bottom w:w="0" w:type="dxa"/>
          <w:right w:w="108" w:type="dxa"/>
        </w:tblCellMar>
      </w:tblPr>
      <w:tblGrid>
        <w:gridCol w:w="885"/>
        <w:gridCol w:w="2167"/>
        <w:gridCol w:w="1888"/>
        <w:gridCol w:w="2024"/>
        <w:gridCol w:w="1982"/>
      </w:tblGrid>
      <w:tr w14:paraId="0302AB7B">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1706" w:type="pct"/>
            <w:gridSpan w:val="2"/>
            <w:shd w:val="clear" w:color="auto" w:fill="auto"/>
            <w:vAlign w:val="center"/>
          </w:tcPr>
          <w:p w14:paraId="7A11A7CC">
            <w:pPr>
              <w:pStyle w:val="527"/>
              <w:rPr>
                <w:rFonts w:hint="eastAsia"/>
              </w:rPr>
            </w:pPr>
            <w:r>
              <w:rPr>
                <w:rFonts w:hint="eastAsia"/>
              </w:rPr>
              <w:t>点号</w:t>
            </w:r>
          </w:p>
        </w:tc>
        <w:tc>
          <w:tcPr>
            <w:tcW w:w="3294" w:type="pct"/>
            <w:gridSpan w:val="3"/>
            <w:vAlign w:val="center"/>
          </w:tcPr>
          <w:p w14:paraId="3A9A2779">
            <w:pPr>
              <w:pStyle w:val="527"/>
              <w:rPr>
                <w:rFonts w:hint="eastAsia"/>
              </w:rPr>
            </w:pPr>
            <w:r>
              <w:rPr>
                <w:rFonts w:hint="eastAsia"/>
              </w:rPr>
              <w:t>T2</w:t>
            </w:r>
          </w:p>
        </w:tc>
      </w:tr>
      <w:tr w14:paraId="05B81E3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1706" w:type="pct"/>
            <w:gridSpan w:val="2"/>
            <w:shd w:val="clear" w:color="auto" w:fill="auto"/>
            <w:vAlign w:val="center"/>
          </w:tcPr>
          <w:p w14:paraId="18793792">
            <w:pPr>
              <w:pStyle w:val="527"/>
              <w:rPr>
                <w:rFonts w:hint="eastAsia"/>
              </w:rPr>
            </w:pPr>
            <w:r>
              <w:rPr>
                <w:rFonts w:hint="eastAsia"/>
              </w:rPr>
              <w:t>层次</w:t>
            </w:r>
          </w:p>
        </w:tc>
        <w:tc>
          <w:tcPr>
            <w:tcW w:w="1055" w:type="pct"/>
            <w:vAlign w:val="center"/>
          </w:tcPr>
          <w:p w14:paraId="7D55A41E">
            <w:pPr>
              <w:pStyle w:val="527"/>
              <w:rPr>
                <w:rFonts w:hint="eastAsia"/>
              </w:rPr>
            </w:pPr>
            <w:r>
              <w:rPr>
                <w:rFonts w:hint="eastAsia"/>
              </w:rPr>
              <w:t>0～0.5m</w:t>
            </w:r>
          </w:p>
        </w:tc>
        <w:tc>
          <w:tcPr>
            <w:tcW w:w="1131" w:type="pct"/>
            <w:vAlign w:val="center"/>
          </w:tcPr>
          <w:p w14:paraId="642F4D5F">
            <w:pPr>
              <w:pStyle w:val="527"/>
              <w:rPr>
                <w:rFonts w:hint="eastAsia"/>
              </w:rPr>
            </w:pPr>
            <w:r>
              <w:rPr>
                <w:rFonts w:hint="eastAsia"/>
              </w:rPr>
              <w:t>0.5～1.5m</w:t>
            </w:r>
          </w:p>
        </w:tc>
        <w:tc>
          <w:tcPr>
            <w:tcW w:w="1108" w:type="pct"/>
          </w:tcPr>
          <w:p w14:paraId="75B0DDC0">
            <w:pPr>
              <w:pStyle w:val="527"/>
              <w:rPr>
                <w:rFonts w:hint="eastAsia"/>
              </w:rPr>
            </w:pPr>
            <w:r>
              <w:rPr>
                <w:rFonts w:hint="eastAsia"/>
              </w:rPr>
              <w:t>1.5～3m</w:t>
            </w:r>
          </w:p>
        </w:tc>
      </w:tr>
      <w:tr w14:paraId="43E60B9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restart"/>
            <w:shd w:val="clear" w:color="auto" w:fill="auto"/>
            <w:vAlign w:val="center"/>
          </w:tcPr>
          <w:p w14:paraId="036AE7C4">
            <w:pPr>
              <w:pStyle w:val="527"/>
              <w:rPr>
                <w:rFonts w:hint="eastAsia"/>
              </w:rPr>
            </w:pPr>
            <w:r>
              <w:rPr>
                <w:rFonts w:hint="eastAsia"/>
              </w:rPr>
              <w:t>现场记录</w:t>
            </w:r>
          </w:p>
        </w:tc>
        <w:tc>
          <w:tcPr>
            <w:tcW w:w="1211" w:type="pct"/>
            <w:shd w:val="clear" w:color="auto" w:fill="auto"/>
            <w:vAlign w:val="center"/>
          </w:tcPr>
          <w:p w14:paraId="3749F2E4">
            <w:pPr>
              <w:pStyle w:val="527"/>
              <w:rPr>
                <w:rFonts w:hint="eastAsia"/>
              </w:rPr>
            </w:pPr>
            <w:r>
              <w:rPr>
                <w:rFonts w:hint="eastAsia"/>
              </w:rPr>
              <w:t>颜色</w:t>
            </w:r>
          </w:p>
        </w:tc>
        <w:tc>
          <w:tcPr>
            <w:tcW w:w="1055" w:type="pct"/>
            <w:vAlign w:val="center"/>
          </w:tcPr>
          <w:p w14:paraId="2AF7E082">
            <w:pPr>
              <w:pStyle w:val="527"/>
              <w:rPr>
                <w:rFonts w:hint="eastAsia"/>
              </w:rPr>
            </w:pPr>
            <w:r>
              <w:rPr>
                <w:rFonts w:hint="eastAsia"/>
              </w:rPr>
              <w:t>黄色</w:t>
            </w:r>
          </w:p>
        </w:tc>
        <w:tc>
          <w:tcPr>
            <w:tcW w:w="1131" w:type="pct"/>
            <w:vAlign w:val="center"/>
          </w:tcPr>
          <w:p w14:paraId="2B14469F">
            <w:pPr>
              <w:pStyle w:val="527"/>
              <w:rPr>
                <w:rFonts w:hint="eastAsia"/>
              </w:rPr>
            </w:pPr>
            <w:r>
              <w:rPr>
                <w:rFonts w:hint="eastAsia"/>
              </w:rPr>
              <w:t>黄色</w:t>
            </w:r>
          </w:p>
        </w:tc>
        <w:tc>
          <w:tcPr>
            <w:tcW w:w="1108" w:type="pct"/>
            <w:vAlign w:val="center"/>
          </w:tcPr>
          <w:p w14:paraId="07D3D8B9">
            <w:pPr>
              <w:pStyle w:val="527"/>
              <w:rPr>
                <w:rFonts w:hint="eastAsia"/>
              </w:rPr>
            </w:pPr>
            <w:r>
              <w:rPr>
                <w:rFonts w:hint="eastAsia"/>
              </w:rPr>
              <w:t>黄色</w:t>
            </w:r>
          </w:p>
        </w:tc>
      </w:tr>
      <w:tr w14:paraId="30279124">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6B56904A">
            <w:pPr>
              <w:pStyle w:val="527"/>
              <w:rPr>
                <w:rFonts w:hint="eastAsia"/>
              </w:rPr>
            </w:pPr>
          </w:p>
        </w:tc>
        <w:tc>
          <w:tcPr>
            <w:tcW w:w="1211" w:type="pct"/>
            <w:shd w:val="clear" w:color="auto" w:fill="auto"/>
            <w:vAlign w:val="center"/>
          </w:tcPr>
          <w:p w14:paraId="72EA662F">
            <w:pPr>
              <w:pStyle w:val="527"/>
              <w:rPr>
                <w:rFonts w:hint="eastAsia"/>
              </w:rPr>
            </w:pPr>
            <w:r>
              <w:rPr>
                <w:rFonts w:hint="eastAsia"/>
              </w:rPr>
              <w:t>结构</w:t>
            </w:r>
          </w:p>
        </w:tc>
        <w:tc>
          <w:tcPr>
            <w:tcW w:w="1055" w:type="pct"/>
            <w:vAlign w:val="center"/>
          </w:tcPr>
          <w:p w14:paraId="255F0A4B">
            <w:pPr>
              <w:pStyle w:val="527"/>
              <w:rPr>
                <w:rFonts w:hint="eastAsia"/>
              </w:rPr>
            </w:pPr>
            <w:r>
              <w:rPr>
                <w:rFonts w:hint="eastAsia"/>
              </w:rPr>
              <w:t>块状</w:t>
            </w:r>
          </w:p>
        </w:tc>
        <w:tc>
          <w:tcPr>
            <w:tcW w:w="1131" w:type="pct"/>
          </w:tcPr>
          <w:p w14:paraId="60F4F353">
            <w:pPr>
              <w:pStyle w:val="527"/>
              <w:rPr>
                <w:rFonts w:hint="eastAsia"/>
              </w:rPr>
            </w:pPr>
            <w:r>
              <w:rPr>
                <w:rFonts w:hint="eastAsia"/>
              </w:rPr>
              <w:t>块状</w:t>
            </w:r>
          </w:p>
        </w:tc>
        <w:tc>
          <w:tcPr>
            <w:tcW w:w="1108" w:type="pct"/>
          </w:tcPr>
          <w:p w14:paraId="2CD03D91">
            <w:pPr>
              <w:pStyle w:val="527"/>
              <w:rPr>
                <w:rFonts w:hint="eastAsia"/>
              </w:rPr>
            </w:pPr>
            <w:r>
              <w:rPr>
                <w:rFonts w:hint="eastAsia"/>
              </w:rPr>
              <w:t>块状</w:t>
            </w:r>
          </w:p>
        </w:tc>
      </w:tr>
      <w:tr w14:paraId="4CADA575">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78F7F1AF">
            <w:pPr>
              <w:pStyle w:val="527"/>
              <w:rPr>
                <w:rFonts w:hint="eastAsia"/>
              </w:rPr>
            </w:pPr>
          </w:p>
        </w:tc>
        <w:tc>
          <w:tcPr>
            <w:tcW w:w="1211" w:type="pct"/>
            <w:shd w:val="clear" w:color="auto" w:fill="auto"/>
            <w:vAlign w:val="center"/>
          </w:tcPr>
          <w:p w14:paraId="5AFFBE15">
            <w:pPr>
              <w:pStyle w:val="527"/>
              <w:rPr>
                <w:rFonts w:hint="eastAsia"/>
              </w:rPr>
            </w:pPr>
            <w:r>
              <w:rPr>
                <w:rFonts w:hint="eastAsia"/>
              </w:rPr>
              <w:t>质地</w:t>
            </w:r>
          </w:p>
        </w:tc>
        <w:tc>
          <w:tcPr>
            <w:tcW w:w="1055" w:type="pct"/>
            <w:vAlign w:val="center"/>
          </w:tcPr>
          <w:p w14:paraId="202C210B">
            <w:pPr>
              <w:pStyle w:val="527"/>
              <w:rPr>
                <w:rFonts w:hint="eastAsia"/>
              </w:rPr>
            </w:pPr>
            <w:r>
              <w:rPr>
                <w:rFonts w:hint="eastAsia"/>
              </w:rPr>
              <w:t>壤土</w:t>
            </w:r>
          </w:p>
        </w:tc>
        <w:tc>
          <w:tcPr>
            <w:tcW w:w="1131" w:type="pct"/>
            <w:vAlign w:val="center"/>
          </w:tcPr>
          <w:p w14:paraId="3AEA6190">
            <w:pPr>
              <w:pStyle w:val="527"/>
              <w:rPr>
                <w:rFonts w:hint="eastAsia"/>
              </w:rPr>
            </w:pPr>
            <w:r>
              <w:rPr>
                <w:rFonts w:hint="eastAsia"/>
              </w:rPr>
              <w:t>壤土</w:t>
            </w:r>
          </w:p>
        </w:tc>
        <w:tc>
          <w:tcPr>
            <w:tcW w:w="1108" w:type="pct"/>
            <w:vAlign w:val="center"/>
          </w:tcPr>
          <w:p w14:paraId="05D87DA8">
            <w:pPr>
              <w:pStyle w:val="527"/>
              <w:rPr>
                <w:rFonts w:hint="eastAsia"/>
              </w:rPr>
            </w:pPr>
            <w:r>
              <w:rPr>
                <w:rFonts w:hint="eastAsia"/>
              </w:rPr>
              <w:t>壤土</w:t>
            </w:r>
          </w:p>
        </w:tc>
      </w:tr>
      <w:tr w14:paraId="48F38288">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30F36785">
            <w:pPr>
              <w:pStyle w:val="527"/>
              <w:rPr>
                <w:rFonts w:hint="eastAsia"/>
              </w:rPr>
            </w:pPr>
          </w:p>
        </w:tc>
        <w:tc>
          <w:tcPr>
            <w:tcW w:w="1211" w:type="pct"/>
            <w:shd w:val="clear" w:color="auto" w:fill="auto"/>
            <w:vAlign w:val="center"/>
          </w:tcPr>
          <w:p w14:paraId="04D731F6">
            <w:pPr>
              <w:pStyle w:val="527"/>
              <w:rPr>
                <w:rFonts w:hint="eastAsia"/>
              </w:rPr>
            </w:pPr>
            <w:r>
              <w:rPr>
                <w:rFonts w:hint="eastAsia"/>
              </w:rPr>
              <w:t>其他异物</w:t>
            </w:r>
          </w:p>
        </w:tc>
        <w:tc>
          <w:tcPr>
            <w:tcW w:w="1055" w:type="pct"/>
            <w:vAlign w:val="center"/>
          </w:tcPr>
          <w:p w14:paraId="4EA45946">
            <w:pPr>
              <w:pStyle w:val="527"/>
              <w:rPr>
                <w:rFonts w:hint="eastAsia"/>
              </w:rPr>
            </w:pPr>
            <w:r>
              <w:rPr>
                <w:rFonts w:hint="eastAsia"/>
              </w:rPr>
              <w:t>无</w:t>
            </w:r>
          </w:p>
        </w:tc>
        <w:tc>
          <w:tcPr>
            <w:tcW w:w="1131" w:type="pct"/>
          </w:tcPr>
          <w:p w14:paraId="788CB472">
            <w:pPr>
              <w:pStyle w:val="527"/>
              <w:rPr>
                <w:rFonts w:hint="eastAsia"/>
              </w:rPr>
            </w:pPr>
            <w:r>
              <w:rPr>
                <w:rFonts w:hint="eastAsia"/>
              </w:rPr>
              <w:t>无</w:t>
            </w:r>
          </w:p>
        </w:tc>
        <w:tc>
          <w:tcPr>
            <w:tcW w:w="1108" w:type="pct"/>
          </w:tcPr>
          <w:p w14:paraId="7E91B8C2">
            <w:pPr>
              <w:pStyle w:val="527"/>
              <w:rPr>
                <w:rFonts w:hint="eastAsia"/>
              </w:rPr>
            </w:pPr>
            <w:r>
              <w:rPr>
                <w:rFonts w:hint="eastAsia"/>
              </w:rPr>
              <w:t>无</w:t>
            </w:r>
          </w:p>
        </w:tc>
      </w:tr>
      <w:tr w14:paraId="73301BB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restart"/>
            <w:shd w:val="clear" w:color="auto" w:fill="auto"/>
            <w:vAlign w:val="center"/>
          </w:tcPr>
          <w:p w14:paraId="40E384D5">
            <w:pPr>
              <w:pStyle w:val="527"/>
              <w:rPr>
                <w:rFonts w:hint="eastAsia"/>
              </w:rPr>
            </w:pPr>
            <w:r>
              <w:rPr>
                <w:rFonts w:hint="eastAsia"/>
              </w:rPr>
              <w:t>实验室测点</w:t>
            </w:r>
          </w:p>
        </w:tc>
        <w:tc>
          <w:tcPr>
            <w:tcW w:w="1211" w:type="pct"/>
            <w:shd w:val="clear" w:color="auto" w:fill="auto"/>
            <w:vAlign w:val="center"/>
          </w:tcPr>
          <w:p w14:paraId="736BA8A8">
            <w:pPr>
              <w:pStyle w:val="527"/>
              <w:rPr>
                <w:rFonts w:hint="eastAsia"/>
              </w:rPr>
            </w:pPr>
            <w:r>
              <w:rPr>
                <w:rFonts w:hint="eastAsia"/>
              </w:rPr>
              <w:t>p</w:t>
            </w:r>
            <w:r>
              <w:t>H</w:t>
            </w:r>
            <w:r>
              <w:rPr>
                <w:rFonts w:hint="eastAsia"/>
              </w:rPr>
              <w:t>值</w:t>
            </w:r>
          </w:p>
        </w:tc>
        <w:tc>
          <w:tcPr>
            <w:tcW w:w="1055" w:type="pct"/>
            <w:vAlign w:val="center"/>
          </w:tcPr>
          <w:p w14:paraId="0432279A">
            <w:pPr>
              <w:pStyle w:val="527"/>
              <w:rPr>
                <w:rFonts w:hint="eastAsia"/>
              </w:rPr>
            </w:pPr>
            <w:r>
              <w:rPr>
                <w:rFonts w:hint="eastAsia"/>
              </w:rPr>
              <w:t>8.80</w:t>
            </w:r>
          </w:p>
        </w:tc>
        <w:tc>
          <w:tcPr>
            <w:tcW w:w="1131" w:type="pct"/>
          </w:tcPr>
          <w:p w14:paraId="6B388AC2">
            <w:pPr>
              <w:pStyle w:val="527"/>
              <w:rPr>
                <w:rFonts w:hint="eastAsia"/>
              </w:rPr>
            </w:pPr>
            <w:r>
              <w:rPr>
                <w:rFonts w:hint="eastAsia"/>
              </w:rPr>
              <w:t>8.66</w:t>
            </w:r>
          </w:p>
        </w:tc>
        <w:tc>
          <w:tcPr>
            <w:tcW w:w="1108" w:type="pct"/>
          </w:tcPr>
          <w:p w14:paraId="753D484D">
            <w:pPr>
              <w:pStyle w:val="527"/>
              <w:rPr>
                <w:rFonts w:hint="eastAsia"/>
              </w:rPr>
            </w:pPr>
            <w:r>
              <w:rPr>
                <w:rFonts w:hint="eastAsia"/>
              </w:rPr>
              <w:t>8.46</w:t>
            </w:r>
          </w:p>
        </w:tc>
      </w:tr>
      <w:tr w14:paraId="7D52057F">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17A4941A">
            <w:pPr>
              <w:pStyle w:val="527"/>
              <w:rPr>
                <w:rFonts w:hint="eastAsia"/>
              </w:rPr>
            </w:pPr>
          </w:p>
        </w:tc>
        <w:tc>
          <w:tcPr>
            <w:tcW w:w="1211" w:type="pct"/>
            <w:shd w:val="clear" w:color="auto" w:fill="auto"/>
            <w:vAlign w:val="center"/>
          </w:tcPr>
          <w:p w14:paraId="1FD261B8">
            <w:pPr>
              <w:pStyle w:val="527"/>
              <w:rPr>
                <w:rFonts w:hint="eastAsia"/>
              </w:rPr>
            </w:pPr>
            <w:r>
              <w:rPr>
                <w:rFonts w:hint="eastAsia"/>
              </w:rPr>
              <w:t>阳离子交换量（cmo</w:t>
            </w:r>
            <w:r>
              <w:t>l/kg</w:t>
            </w:r>
            <w:r>
              <w:rPr>
                <w:rFonts w:hint="eastAsia"/>
              </w:rPr>
              <w:t>）</w:t>
            </w:r>
          </w:p>
        </w:tc>
        <w:tc>
          <w:tcPr>
            <w:tcW w:w="1055" w:type="pct"/>
            <w:vAlign w:val="center"/>
          </w:tcPr>
          <w:p w14:paraId="64FB9321">
            <w:pPr>
              <w:pStyle w:val="527"/>
              <w:rPr>
                <w:rFonts w:hint="eastAsia"/>
              </w:rPr>
            </w:pPr>
            <w:r>
              <w:rPr>
                <w:rFonts w:hint="eastAsia"/>
              </w:rPr>
              <w:t>14.3</w:t>
            </w:r>
          </w:p>
        </w:tc>
        <w:tc>
          <w:tcPr>
            <w:tcW w:w="1131" w:type="pct"/>
            <w:vAlign w:val="center"/>
          </w:tcPr>
          <w:p w14:paraId="1A2AF6FD">
            <w:pPr>
              <w:pStyle w:val="527"/>
              <w:rPr>
                <w:rFonts w:hint="eastAsia"/>
              </w:rPr>
            </w:pPr>
            <w:r>
              <w:rPr>
                <w:rFonts w:hint="eastAsia"/>
              </w:rPr>
              <w:t>14.6</w:t>
            </w:r>
          </w:p>
        </w:tc>
        <w:tc>
          <w:tcPr>
            <w:tcW w:w="1108" w:type="pct"/>
          </w:tcPr>
          <w:p w14:paraId="1BB94EEC">
            <w:pPr>
              <w:pStyle w:val="527"/>
              <w:rPr>
                <w:rFonts w:hint="eastAsia"/>
              </w:rPr>
            </w:pPr>
            <w:r>
              <w:rPr>
                <w:rFonts w:hint="eastAsia"/>
              </w:rPr>
              <w:t>14.1</w:t>
            </w:r>
          </w:p>
        </w:tc>
      </w:tr>
      <w:tr w14:paraId="5867CD0D">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4EA9E52D">
            <w:pPr>
              <w:pStyle w:val="527"/>
              <w:rPr>
                <w:rFonts w:hint="eastAsia"/>
              </w:rPr>
            </w:pPr>
          </w:p>
        </w:tc>
        <w:tc>
          <w:tcPr>
            <w:tcW w:w="1211" w:type="pct"/>
            <w:shd w:val="clear" w:color="auto" w:fill="auto"/>
            <w:vAlign w:val="center"/>
          </w:tcPr>
          <w:p w14:paraId="66C9DBEB">
            <w:pPr>
              <w:pStyle w:val="527"/>
              <w:rPr>
                <w:rFonts w:hint="eastAsia"/>
              </w:rPr>
            </w:pPr>
            <w:r>
              <w:rPr>
                <w:rFonts w:hint="eastAsia"/>
              </w:rPr>
              <w:t>氧化还原电位（m</w:t>
            </w:r>
            <w:r>
              <w:t>V</w:t>
            </w:r>
            <w:r>
              <w:rPr>
                <w:rFonts w:hint="eastAsia"/>
              </w:rPr>
              <w:t>）</w:t>
            </w:r>
          </w:p>
        </w:tc>
        <w:tc>
          <w:tcPr>
            <w:tcW w:w="1055" w:type="pct"/>
            <w:vAlign w:val="center"/>
          </w:tcPr>
          <w:p w14:paraId="6906A7C7">
            <w:pPr>
              <w:pStyle w:val="527"/>
              <w:rPr>
                <w:rFonts w:hint="eastAsia"/>
              </w:rPr>
            </w:pPr>
            <w:r>
              <w:rPr>
                <w:rFonts w:hint="eastAsia"/>
              </w:rPr>
              <w:t>340</w:t>
            </w:r>
          </w:p>
        </w:tc>
        <w:tc>
          <w:tcPr>
            <w:tcW w:w="1131" w:type="pct"/>
            <w:vAlign w:val="center"/>
          </w:tcPr>
          <w:p w14:paraId="72163122">
            <w:pPr>
              <w:pStyle w:val="527"/>
              <w:rPr>
                <w:rFonts w:hint="eastAsia"/>
              </w:rPr>
            </w:pPr>
            <w:r>
              <w:rPr>
                <w:rFonts w:hint="eastAsia"/>
              </w:rPr>
              <w:t>386</w:t>
            </w:r>
          </w:p>
        </w:tc>
        <w:tc>
          <w:tcPr>
            <w:tcW w:w="1108" w:type="pct"/>
          </w:tcPr>
          <w:p w14:paraId="632DF3E6">
            <w:pPr>
              <w:pStyle w:val="527"/>
              <w:rPr>
                <w:rFonts w:hint="eastAsia"/>
              </w:rPr>
            </w:pPr>
            <w:r>
              <w:rPr>
                <w:rFonts w:hint="eastAsia"/>
              </w:rPr>
              <w:t>402</w:t>
            </w:r>
          </w:p>
        </w:tc>
      </w:tr>
      <w:tr w14:paraId="4E49D21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2132548D">
            <w:pPr>
              <w:pStyle w:val="527"/>
              <w:rPr>
                <w:rFonts w:hint="eastAsia"/>
              </w:rPr>
            </w:pPr>
          </w:p>
        </w:tc>
        <w:tc>
          <w:tcPr>
            <w:tcW w:w="1211" w:type="pct"/>
            <w:shd w:val="clear" w:color="auto" w:fill="auto"/>
            <w:vAlign w:val="center"/>
          </w:tcPr>
          <w:p w14:paraId="22E25D1F">
            <w:pPr>
              <w:pStyle w:val="527"/>
              <w:rPr>
                <w:rFonts w:hint="eastAsia"/>
              </w:rPr>
            </w:pPr>
            <w:r>
              <w:rPr>
                <w:rFonts w:hint="eastAsia"/>
              </w:rPr>
              <w:t>饱和导水率（mm</w:t>
            </w:r>
            <w:r>
              <w:t>/min</w:t>
            </w:r>
            <w:r>
              <w:rPr>
                <w:rFonts w:hint="eastAsia"/>
              </w:rPr>
              <w:t>）</w:t>
            </w:r>
          </w:p>
        </w:tc>
        <w:tc>
          <w:tcPr>
            <w:tcW w:w="1055" w:type="pct"/>
            <w:vAlign w:val="center"/>
          </w:tcPr>
          <w:p w14:paraId="611B3511">
            <w:pPr>
              <w:pStyle w:val="527"/>
              <w:rPr>
                <w:rFonts w:hint="eastAsia"/>
              </w:rPr>
            </w:pPr>
            <w:r>
              <w:rPr>
                <w:rFonts w:hint="eastAsia"/>
              </w:rPr>
              <w:t>7.42</w:t>
            </w:r>
          </w:p>
        </w:tc>
        <w:tc>
          <w:tcPr>
            <w:tcW w:w="1131" w:type="pct"/>
            <w:vAlign w:val="center"/>
          </w:tcPr>
          <w:p w14:paraId="6BC060AE">
            <w:pPr>
              <w:pStyle w:val="527"/>
              <w:rPr>
                <w:rFonts w:hint="eastAsia"/>
              </w:rPr>
            </w:pPr>
            <w:r>
              <w:rPr>
                <w:rFonts w:hint="eastAsia"/>
              </w:rPr>
              <w:t>7.84</w:t>
            </w:r>
          </w:p>
        </w:tc>
        <w:tc>
          <w:tcPr>
            <w:tcW w:w="1108" w:type="pct"/>
          </w:tcPr>
          <w:p w14:paraId="1DA16044">
            <w:pPr>
              <w:pStyle w:val="527"/>
              <w:rPr>
                <w:rFonts w:hint="eastAsia"/>
              </w:rPr>
            </w:pPr>
            <w:r>
              <w:rPr>
                <w:rFonts w:hint="eastAsia"/>
              </w:rPr>
              <w:t>7.87</w:t>
            </w:r>
          </w:p>
        </w:tc>
      </w:tr>
      <w:tr w14:paraId="3BA4B3A7">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010CD4E2">
            <w:pPr>
              <w:pStyle w:val="527"/>
              <w:rPr>
                <w:rFonts w:hint="eastAsia"/>
              </w:rPr>
            </w:pPr>
          </w:p>
        </w:tc>
        <w:tc>
          <w:tcPr>
            <w:tcW w:w="1211" w:type="pct"/>
            <w:shd w:val="clear" w:color="auto" w:fill="auto"/>
            <w:vAlign w:val="center"/>
          </w:tcPr>
          <w:p w14:paraId="644F9B7F">
            <w:pPr>
              <w:pStyle w:val="527"/>
              <w:rPr>
                <w:rFonts w:hint="eastAsia"/>
              </w:rPr>
            </w:pPr>
            <w:r>
              <w:rPr>
                <w:rFonts w:hint="eastAsia"/>
              </w:rPr>
              <w:t>土壤容重（g</w:t>
            </w:r>
            <w:r>
              <w:t>/cm</w:t>
            </w:r>
            <w:r>
              <w:rPr>
                <w:vertAlign w:val="superscript"/>
              </w:rPr>
              <w:t>3</w:t>
            </w:r>
            <w:r>
              <w:rPr>
                <w:rFonts w:hint="eastAsia"/>
              </w:rPr>
              <w:t>）</w:t>
            </w:r>
          </w:p>
        </w:tc>
        <w:tc>
          <w:tcPr>
            <w:tcW w:w="1055" w:type="pct"/>
            <w:vAlign w:val="center"/>
          </w:tcPr>
          <w:p w14:paraId="5D0D3638">
            <w:pPr>
              <w:pStyle w:val="527"/>
              <w:rPr>
                <w:rFonts w:hint="eastAsia"/>
              </w:rPr>
            </w:pPr>
            <w:r>
              <w:rPr>
                <w:rFonts w:hint="eastAsia"/>
              </w:rPr>
              <w:t>1.13</w:t>
            </w:r>
          </w:p>
        </w:tc>
        <w:tc>
          <w:tcPr>
            <w:tcW w:w="1131" w:type="pct"/>
            <w:vAlign w:val="center"/>
          </w:tcPr>
          <w:p w14:paraId="5AB3B7F2">
            <w:pPr>
              <w:pStyle w:val="527"/>
              <w:rPr>
                <w:rFonts w:hint="eastAsia"/>
              </w:rPr>
            </w:pPr>
            <w:r>
              <w:rPr>
                <w:rFonts w:hint="eastAsia"/>
              </w:rPr>
              <w:t>1.10</w:t>
            </w:r>
          </w:p>
        </w:tc>
        <w:tc>
          <w:tcPr>
            <w:tcW w:w="1108" w:type="pct"/>
          </w:tcPr>
          <w:p w14:paraId="61E1D296">
            <w:pPr>
              <w:pStyle w:val="527"/>
              <w:rPr>
                <w:rFonts w:hint="eastAsia"/>
              </w:rPr>
            </w:pPr>
            <w:r>
              <w:rPr>
                <w:rFonts w:hint="eastAsia"/>
              </w:rPr>
              <w:t>1.21</w:t>
            </w:r>
          </w:p>
        </w:tc>
      </w:tr>
      <w:tr w14:paraId="160FC3A3">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388CE75C">
            <w:pPr>
              <w:pStyle w:val="527"/>
              <w:rPr>
                <w:rFonts w:hint="eastAsia"/>
              </w:rPr>
            </w:pPr>
          </w:p>
        </w:tc>
        <w:tc>
          <w:tcPr>
            <w:tcW w:w="1211" w:type="pct"/>
            <w:shd w:val="clear" w:color="auto" w:fill="auto"/>
            <w:vAlign w:val="center"/>
          </w:tcPr>
          <w:p w14:paraId="10947829">
            <w:pPr>
              <w:pStyle w:val="527"/>
              <w:rPr>
                <w:rFonts w:hint="eastAsia"/>
              </w:rPr>
            </w:pPr>
            <w:r>
              <w:rPr>
                <w:rFonts w:hint="eastAsia"/>
              </w:rPr>
              <w:t>孔隙度（%）</w:t>
            </w:r>
          </w:p>
        </w:tc>
        <w:tc>
          <w:tcPr>
            <w:tcW w:w="1055" w:type="pct"/>
            <w:vAlign w:val="center"/>
          </w:tcPr>
          <w:p w14:paraId="2AD2782A">
            <w:pPr>
              <w:pStyle w:val="527"/>
              <w:rPr>
                <w:rFonts w:hint="eastAsia"/>
              </w:rPr>
            </w:pPr>
            <w:r>
              <w:rPr>
                <w:rFonts w:hint="eastAsia"/>
              </w:rPr>
              <w:t>27.4</w:t>
            </w:r>
          </w:p>
        </w:tc>
        <w:tc>
          <w:tcPr>
            <w:tcW w:w="1131" w:type="pct"/>
            <w:vAlign w:val="center"/>
          </w:tcPr>
          <w:p w14:paraId="7D613A8A">
            <w:pPr>
              <w:pStyle w:val="527"/>
              <w:rPr>
                <w:rFonts w:hint="eastAsia"/>
              </w:rPr>
            </w:pPr>
            <w:r>
              <w:rPr>
                <w:rFonts w:hint="eastAsia"/>
              </w:rPr>
              <w:t>34.4</w:t>
            </w:r>
          </w:p>
        </w:tc>
        <w:tc>
          <w:tcPr>
            <w:tcW w:w="1108" w:type="pct"/>
          </w:tcPr>
          <w:p w14:paraId="7706A5CE">
            <w:pPr>
              <w:pStyle w:val="527"/>
              <w:rPr>
                <w:rFonts w:hint="eastAsia"/>
              </w:rPr>
            </w:pPr>
            <w:r>
              <w:rPr>
                <w:rFonts w:hint="eastAsia"/>
              </w:rPr>
              <w:t>31.0</w:t>
            </w:r>
          </w:p>
        </w:tc>
      </w:tr>
      <w:tr w14:paraId="08C4ACEB">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1706" w:type="pct"/>
            <w:gridSpan w:val="2"/>
            <w:shd w:val="clear" w:color="auto" w:fill="auto"/>
            <w:vAlign w:val="center"/>
          </w:tcPr>
          <w:p w14:paraId="1F360EC2">
            <w:pPr>
              <w:pStyle w:val="527"/>
              <w:rPr>
                <w:rFonts w:hint="eastAsia"/>
              </w:rPr>
            </w:pPr>
            <w:r>
              <w:rPr>
                <w:rFonts w:hint="eastAsia"/>
              </w:rPr>
              <w:t>点号</w:t>
            </w:r>
          </w:p>
        </w:tc>
        <w:tc>
          <w:tcPr>
            <w:tcW w:w="3294" w:type="pct"/>
            <w:gridSpan w:val="3"/>
            <w:vAlign w:val="center"/>
          </w:tcPr>
          <w:p w14:paraId="77E0DE7F">
            <w:pPr>
              <w:pStyle w:val="527"/>
              <w:rPr>
                <w:rFonts w:hint="eastAsia"/>
              </w:rPr>
            </w:pPr>
            <w:r>
              <w:rPr>
                <w:rFonts w:hint="eastAsia"/>
              </w:rPr>
              <w:t>T5</w:t>
            </w:r>
          </w:p>
        </w:tc>
      </w:tr>
      <w:tr w14:paraId="7E911C1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1706" w:type="pct"/>
            <w:gridSpan w:val="2"/>
            <w:shd w:val="clear" w:color="auto" w:fill="auto"/>
            <w:vAlign w:val="center"/>
          </w:tcPr>
          <w:p w14:paraId="7C2A73BB">
            <w:pPr>
              <w:pStyle w:val="527"/>
              <w:rPr>
                <w:rFonts w:hint="eastAsia"/>
              </w:rPr>
            </w:pPr>
            <w:r>
              <w:rPr>
                <w:rFonts w:hint="eastAsia"/>
              </w:rPr>
              <w:t>层次</w:t>
            </w:r>
          </w:p>
        </w:tc>
        <w:tc>
          <w:tcPr>
            <w:tcW w:w="1055" w:type="pct"/>
            <w:vAlign w:val="center"/>
          </w:tcPr>
          <w:p w14:paraId="03A6CE44">
            <w:pPr>
              <w:pStyle w:val="527"/>
              <w:rPr>
                <w:rFonts w:hint="eastAsia"/>
              </w:rPr>
            </w:pPr>
            <w:r>
              <w:rPr>
                <w:rFonts w:hint="eastAsia"/>
              </w:rPr>
              <w:t>0～0.5m</w:t>
            </w:r>
          </w:p>
        </w:tc>
        <w:tc>
          <w:tcPr>
            <w:tcW w:w="1131" w:type="pct"/>
            <w:vAlign w:val="center"/>
          </w:tcPr>
          <w:p w14:paraId="3143A799">
            <w:pPr>
              <w:pStyle w:val="527"/>
              <w:rPr>
                <w:rFonts w:hint="eastAsia"/>
              </w:rPr>
            </w:pPr>
            <w:r>
              <w:rPr>
                <w:rFonts w:hint="eastAsia"/>
              </w:rPr>
              <w:t>0.5～1.5m</w:t>
            </w:r>
          </w:p>
        </w:tc>
        <w:tc>
          <w:tcPr>
            <w:tcW w:w="1108" w:type="pct"/>
          </w:tcPr>
          <w:p w14:paraId="0B816876">
            <w:pPr>
              <w:pStyle w:val="527"/>
              <w:rPr>
                <w:rFonts w:hint="eastAsia"/>
              </w:rPr>
            </w:pPr>
            <w:r>
              <w:rPr>
                <w:rFonts w:hint="eastAsia"/>
              </w:rPr>
              <w:t>1.5～3m</w:t>
            </w:r>
          </w:p>
        </w:tc>
      </w:tr>
      <w:tr w14:paraId="40B90D7E">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restart"/>
            <w:shd w:val="clear" w:color="auto" w:fill="auto"/>
            <w:vAlign w:val="center"/>
          </w:tcPr>
          <w:p w14:paraId="1FF01C37">
            <w:pPr>
              <w:pStyle w:val="527"/>
              <w:rPr>
                <w:rFonts w:hint="eastAsia"/>
              </w:rPr>
            </w:pPr>
            <w:r>
              <w:rPr>
                <w:rFonts w:hint="eastAsia"/>
              </w:rPr>
              <w:t>现场记录</w:t>
            </w:r>
          </w:p>
        </w:tc>
        <w:tc>
          <w:tcPr>
            <w:tcW w:w="1211" w:type="pct"/>
            <w:shd w:val="clear" w:color="auto" w:fill="auto"/>
            <w:vAlign w:val="center"/>
          </w:tcPr>
          <w:p w14:paraId="59772CBE">
            <w:pPr>
              <w:pStyle w:val="527"/>
              <w:rPr>
                <w:rFonts w:hint="eastAsia"/>
              </w:rPr>
            </w:pPr>
            <w:r>
              <w:rPr>
                <w:rFonts w:hint="eastAsia"/>
              </w:rPr>
              <w:t>颜色</w:t>
            </w:r>
          </w:p>
        </w:tc>
        <w:tc>
          <w:tcPr>
            <w:tcW w:w="1055" w:type="pct"/>
            <w:vAlign w:val="center"/>
          </w:tcPr>
          <w:p w14:paraId="4BFC48CB">
            <w:pPr>
              <w:pStyle w:val="527"/>
              <w:rPr>
                <w:rFonts w:hint="eastAsia"/>
              </w:rPr>
            </w:pPr>
            <w:r>
              <w:rPr>
                <w:rFonts w:hint="eastAsia"/>
              </w:rPr>
              <w:t>黄色</w:t>
            </w:r>
          </w:p>
        </w:tc>
        <w:tc>
          <w:tcPr>
            <w:tcW w:w="1131" w:type="pct"/>
            <w:vAlign w:val="center"/>
          </w:tcPr>
          <w:p w14:paraId="2881706F">
            <w:pPr>
              <w:pStyle w:val="527"/>
              <w:rPr>
                <w:rFonts w:hint="eastAsia"/>
              </w:rPr>
            </w:pPr>
            <w:r>
              <w:rPr>
                <w:rFonts w:hint="eastAsia"/>
              </w:rPr>
              <w:t>黄色</w:t>
            </w:r>
          </w:p>
        </w:tc>
        <w:tc>
          <w:tcPr>
            <w:tcW w:w="1108" w:type="pct"/>
            <w:vAlign w:val="center"/>
          </w:tcPr>
          <w:p w14:paraId="08C32041">
            <w:pPr>
              <w:pStyle w:val="527"/>
              <w:rPr>
                <w:rFonts w:hint="eastAsia"/>
              </w:rPr>
            </w:pPr>
            <w:r>
              <w:rPr>
                <w:rFonts w:hint="eastAsia"/>
              </w:rPr>
              <w:t>黄色</w:t>
            </w:r>
          </w:p>
        </w:tc>
      </w:tr>
      <w:tr w14:paraId="7CD75C13">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1647773D">
            <w:pPr>
              <w:pStyle w:val="527"/>
              <w:rPr>
                <w:rFonts w:hint="eastAsia"/>
              </w:rPr>
            </w:pPr>
          </w:p>
        </w:tc>
        <w:tc>
          <w:tcPr>
            <w:tcW w:w="1211" w:type="pct"/>
            <w:shd w:val="clear" w:color="auto" w:fill="auto"/>
            <w:vAlign w:val="center"/>
          </w:tcPr>
          <w:p w14:paraId="4EB6182E">
            <w:pPr>
              <w:pStyle w:val="527"/>
              <w:rPr>
                <w:rFonts w:hint="eastAsia"/>
              </w:rPr>
            </w:pPr>
            <w:r>
              <w:rPr>
                <w:rFonts w:hint="eastAsia"/>
              </w:rPr>
              <w:t>结构</w:t>
            </w:r>
          </w:p>
        </w:tc>
        <w:tc>
          <w:tcPr>
            <w:tcW w:w="1055" w:type="pct"/>
            <w:vAlign w:val="center"/>
          </w:tcPr>
          <w:p w14:paraId="3ACA7F51">
            <w:pPr>
              <w:pStyle w:val="527"/>
              <w:rPr>
                <w:rFonts w:hint="eastAsia"/>
              </w:rPr>
            </w:pPr>
            <w:r>
              <w:rPr>
                <w:rFonts w:hint="eastAsia"/>
              </w:rPr>
              <w:t>块状</w:t>
            </w:r>
          </w:p>
        </w:tc>
        <w:tc>
          <w:tcPr>
            <w:tcW w:w="1131" w:type="pct"/>
          </w:tcPr>
          <w:p w14:paraId="058321C4">
            <w:pPr>
              <w:pStyle w:val="527"/>
              <w:rPr>
                <w:rFonts w:hint="eastAsia"/>
              </w:rPr>
            </w:pPr>
            <w:r>
              <w:rPr>
                <w:rFonts w:hint="eastAsia"/>
              </w:rPr>
              <w:t>块状</w:t>
            </w:r>
          </w:p>
        </w:tc>
        <w:tc>
          <w:tcPr>
            <w:tcW w:w="1108" w:type="pct"/>
          </w:tcPr>
          <w:p w14:paraId="12B31FCB">
            <w:pPr>
              <w:pStyle w:val="527"/>
              <w:rPr>
                <w:rFonts w:hint="eastAsia"/>
              </w:rPr>
            </w:pPr>
            <w:r>
              <w:rPr>
                <w:rFonts w:hint="eastAsia"/>
              </w:rPr>
              <w:t>块状</w:t>
            </w:r>
          </w:p>
        </w:tc>
      </w:tr>
      <w:tr w14:paraId="55341D3D">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6CF440FB">
            <w:pPr>
              <w:pStyle w:val="527"/>
              <w:rPr>
                <w:rFonts w:hint="eastAsia"/>
              </w:rPr>
            </w:pPr>
          </w:p>
        </w:tc>
        <w:tc>
          <w:tcPr>
            <w:tcW w:w="1211" w:type="pct"/>
            <w:shd w:val="clear" w:color="auto" w:fill="auto"/>
            <w:vAlign w:val="center"/>
          </w:tcPr>
          <w:p w14:paraId="716DD597">
            <w:pPr>
              <w:pStyle w:val="527"/>
              <w:rPr>
                <w:rFonts w:hint="eastAsia"/>
              </w:rPr>
            </w:pPr>
            <w:r>
              <w:rPr>
                <w:rFonts w:hint="eastAsia"/>
              </w:rPr>
              <w:t>质地</w:t>
            </w:r>
          </w:p>
        </w:tc>
        <w:tc>
          <w:tcPr>
            <w:tcW w:w="1055" w:type="pct"/>
            <w:vAlign w:val="center"/>
          </w:tcPr>
          <w:p w14:paraId="1DA7FE2A">
            <w:pPr>
              <w:pStyle w:val="527"/>
              <w:rPr>
                <w:rFonts w:hint="eastAsia"/>
              </w:rPr>
            </w:pPr>
            <w:r>
              <w:rPr>
                <w:rFonts w:hint="eastAsia"/>
              </w:rPr>
              <w:t>壤土</w:t>
            </w:r>
          </w:p>
        </w:tc>
        <w:tc>
          <w:tcPr>
            <w:tcW w:w="1131" w:type="pct"/>
            <w:vAlign w:val="center"/>
          </w:tcPr>
          <w:p w14:paraId="50CE51EC">
            <w:pPr>
              <w:pStyle w:val="527"/>
              <w:rPr>
                <w:rFonts w:hint="eastAsia"/>
              </w:rPr>
            </w:pPr>
            <w:r>
              <w:rPr>
                <w:rFonts w:hint="eastAsia"/>
              </w:rPr>
              <w:t>壤土</w:t>
            </w:r>
          </w:p>
        </w:tc>
        <w:tc>
          <w:tcPr>
            <w:tcW w:w="1108" w:type="pct"/>
            <w:vAlign w:val="center"/>
          </w:tcPr>
          <w:p w14:paraId="16299B36">
            <w:pPr>
              <w:pStyle w:val="527"/>
              <w:rPr>
                <w:rFonts w:hint="eastAsia"/>
              </w:rPr>
            </w:pPr>
            <w:r>
              <w:rPr>
                <w:rFonts w:hint="eastAsia"/>
              </w:rPr>
              <w:t>壤土</w:t>
            </w:r>
          </w:p>
        </w:tc>
      </w:tr>
      <w:tr w14:paraId="7C573EED">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1FD61826">
            <w:pPr>
              <w:pStyle w:val="527"/>
              <w:rPr>
                <w:rFonts w:hint="eastAsia"/>
              </w:rPr>
            </w:pPr>
          </w:p>
        </w:tc>
        <w:tc>
          <w:tcPr>
            <w:tcW w:w="1211" w:type="pct"/>
            <w:shd w:val="clear" w:color="auto" w:fill="auto"/>
            <w:vAlign w:val="center"/>
          </w:tcPr>
          <w:p w14:paraId="73692106">
            <w:pPr>
              <w:pStyle w:val="527"/>
              <w:rPr>
                <w:rFonts w:hint="eastAsia"/>
              </w:rPr>
            </w:pPr>
            <w:r>
              <w:rPr>
                <w:rFonts w:hint="eastAsia"/>
              </w:rPr>
              <w:t>其他异物</w:t>
            </w:r>
          </w:p>
        </w:tc>
        <w:tc>
          <w:tcPr>
            <w:tcW w:w="1055" w:type="pct"/>
            <w:vAlign w:val="center"/>
          </w:tcPr>
          <w:p w14:paraId="2324DE5D">
            <w:pPr>
              <w:pStyle w:val="527"/>
              <w:rPr>
                <w:rFonts w:hint="eastAsia"/>
              </w:rPr>
            </w:pPr>
            <w:r>
              <w:rPr>
                <w:rFonts w:hint="eastAsia"/>
              </w:rPr>
              <w:t>无</w:t>
            </w:r>
          </w:p>
        </w:tc>
        <w:tc>
          <w:tcPr>
            <w:tcW w:w="1131" w:type="pct"/>
          </w:tcPr>
          <w:p w14:paraId="587360F0">
            <w:pPr>
              <w:pStyle w:val="527"/>
              <w:rPr>
                <w:rFonts w:hint="eastAsia"/>
              </w:rPr>
            </w:pPr>
            <w:r>
              <w:rPr>
                <w:rFonts w:hint="eastAsia"/>
              </w:rPr>
              <w:t>无</w:t>
            </w:r>
          </w:p>
        </w:tc>
        <w:tc>
          <w:tcPr>
            <w:tcW w:w="1108" w:type="pct"/>
          </w:tcPr>
          <w:p w14:paraId="5D5AB825">
            <w:pPr>
              <w:pStyle w:val="527"/>
              <w:rPr>
                <w:rFonts w:hint="eastAsia"/>
              </w:rPr>
            </w:pPr>
            <w:r>
              <w:rPr>
                <w:rFonts w:hint="eastAsia"/>
              </w:rPr>
              <w:t>无</w:t>
            </w:r>
          </w:p>
        </w:tc>
      </w:tr>
      <w:tr w14:paraId="58DFDB74">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restart"/>
            <w:shd w:val="clear" w:color="auto" w:fill="auto"/>
            <w:vAlign w:val="center"/>
          </w:tcPr>
          <w:p w14:paraId="3A1601FC">
            <w:pPr>
              <w:pStyle w:val="527"/>
              <w:rPr>
                <w:rFonts w:hint="eastAsia"/>
              </w:rPr>
            </w:pPr>
            <w:r>
              <w:rPr>
                <w:rFonts w:hint="eastAsia"/>
              </w:rPr>
              <w:t>实验室测点</w:t>
            </w:r>
          </w:p>
        </w:tc>
        <w:tc>
          <w:tcPr>
            <w:tcW w:w="1211" w:type="pct"/>
            <w:shd w:val="clear" w:color="auto" w:fill="auto"/>
            <w:vAlign w:val="center"/>
          </w:tcPr>
          <w:p w14:paraId="7956EBFF">
            <w:pPr>
              <w:pStyle w:val="527"/>
              <w:rPr>
                <w:rFonts w:hint="eastAsia"/>
              </w:rPr>
            </w:pPr>
            <w:r>
              <w:rPr>
                <w:rFonts w:hint="eastAsia"/>
              </w:rPr>
              <w:t>p</w:t>
            </w:r>
            <w:r>
              <w:t>H</w:t>
            </w:r>
            <w:r>
              <w:rPr>
                <w:rFonts w:hint="eastAsia"/>
              </w:rPr>
              <w:t>值</w:t>
            </w:r>
          </w:p>
        </w:tc>
        <w:tc>
          <w:tcPr>
            <w:tcW w:w="1055" w:type="pct"/>
            <w:vAlign w:val="center"/>
          </w:tcPr>
          <w:p w14:paraId="16A89278">
            <w:pPr>
              <w:pStyle w:val="527"/>
              <w:rPr>
                <w:rFonts w:hint="eastAsia"/>
              </w:rPr>
            </w:pPr>
            <w:r>
              <w:rPr>
                <w:rFonts w:hint="eastAsia"/>
              </w:rPr>
              <w:t>8.65</w:t>
            </w:r>
          </w:p>
        </w:tc>
        <w:tc>
          <w:tcPr>
            <w:tcW w:w="1131" w:type="pct"/>
            <w:vAlign w:val="center"/>
          </w:tcPr>
          <w:p w14:paraId="5C07D0BF">
            <w:pPr>
              <w:pStyle w:val="527"/>
              <w:rPr>
                <w:rFonts w:hint="eastAsia"/>
              </w:rPr>
            </w:pPr>
            <w:r>
              <w:rPr>
                <w:rFonts w:hint="eastAsia"/>
              </w:rPr>
              <w:t>8.72</w:t>
            </w:r>
          </w:p>
        </w:tc>
        <w:tc>
          <w:tcPr>
            <w:tcW w:w="1108" w:type="pct"/>
          </w:tcPr>
          <w:p w14:paraId="32E01058">
            <w:pPr>
              <w:pStyle w:val="527"/>
              <w:rPr>
                <w:rFonts w:hint="eastAsia"/>
              </w:rPr>
            </w:pPr>
            <w:r>
              <w:rPr>
                <w:rFonts w:hint="eastAsia"/>
              </w:rPr>
              <w:t>8.44</w:t>
            </w:r>
          </w:p>
        </w:tc>
      </w:tr>
      <w:tr w14:paraId="6AFDE0B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1EF2E907">
            <w:pPr>
              <w:pStyle w:val="527"/>
              <w:rPr>
                <w:rFonts w:hint="eastAsia"/>
              </w:rPr>
            </w:pPr>
          </w:p>
        </w:tc>
        <w:tc>
          <w:tcPr>
            <w:tcW w:w="1211" w:type="pct"/>
            <w:shd w:val="clear" w:color="auto" w:fill="auto"/>
            <w:vAlign w:val="center"/>
          </w:tcPr>
          <w:p w14:paraId="67E27CFE">
            <w:pPr>
              <w:pStyle w:val="527"/>
              <w:rPr>
                <w:rFonts w:hint="eastAsia"/>
              </w:rPr>
            </w:pPr>
            <w:r>
              <w:rPr>
                <w:rFonts w:hint="eastAsia"/>
              </w:rPr>
              <w:t>阳离子交换量（cmo</w:t>
            </w:r>
            <w:r>
              <w:t>l/kg</w:t>
            </w:r>
            <w:r>
              <w:rPr>
                <w:rFonts w:hint="eastAsia"/>
              </w:rPr>
              <w:t>）</w:t>
            </w:r>
          </w:p>
        </w:tc>
        <w:tc>
          <w:tcPr>
            <w:tcW w:w="1055" w:type="pct"/>
            <w:vAlign w:val="center"/>
          </w:tcPr>
          <w:p w14:paraId="76E2191A">
            <w:pPr>
              <w:pStyle w:val="527"/>
              <w:rPr>
                <w:rFonts w:hint="eastAsia"/>
              </w:rPr>
            </w:pPr>
            <w:r>
              <w:rPr>
                <w:rFonts w:hint="eastAsia"/>
              </w:rPr>
              <w:t>12.1</w:t>
            </w:r>
          </w:p>
        </w:tc>
        <w:tc>
          <w:tcPr>
            <w:tcW w:w="1131" w:type="pct"/>
            <w:vAlign w:val="center"/>
          </w:tcPr>
          <w:p w14:paraId="5AE9EBCF">
            <w:pPr>
              <w:pStyle w:val="527"/>
              <w:rPr>
                <w:rFonts w:hint="eastAsia"/>
              </w:rPr>
            </w:pPr>
            <w:r>
              <w:rPr>
                <w:rFonts w:hint="eastAsia"/>
              </w:rPr>
              <w:t>12.6</w:t>
            </w:r>
          </w:p>
        </w:tc>
        <w:tc>
          <w:tcPr>
            <w:tcW w:w="1108" w:type="pct"/>
          </w:tcPr>
          <w:p w14:paraId="5B085DA8">
            <w:pPr>
              <w:pStyle w:val="527"/>
              <w:rPr>
                <w:rFonts w:hint="eastAsia"/>
              </w:rPr>
            </w:pPr>
            <w:r>
              <w:rPr>
                <w:rFonts w:hint="eastAsia"/>
              </w:rPr>
              <w:t>12.2</w:t>
            </w:r>
          </w:p>
        </w:tc>
      </w:tr>
      <w:tr w14:paraId="3E3A3F25">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28A33296">
            <w:pPr>
              <w:pStyle w:val="527"/>
              <w:rPr>
                <w:rFonts w:hint="eastAsia"/>
              </w:rPr>
            </w:pPr>
          </w:p>
        </w:tc>
        <w:tc>
          <w:tcPr>
            <w:tcW w:w="1211" w:type="pct"/>
            <w:shd w:val="clear" w:color="auto" w:fill="auto"/>
            <w:vAlign w:val="center"/>
          </w:tcPr>
          <w:p w14:paraId="17D87771">
            <w:pPr>
              <w:pStyle w:val="527"/>
              <w:rPr>
                <w:rFonts w:hint="eastAsia"/>
              </w:rPr>
            </w:pPr>
            <w:r>
              <w:rPr>
                <w:rFonts w:hint="eastAsia"/>
              </w:rPr>
              <w:t>氧化还原电位（m</w:t>
            </w:r>
            <w:r>
              <w:t>V</w:t>
            </w:r>
            <w:r>
              <w:rPr>
                <w:rFonts w:hint="eastAsia"/>
              </w:rPr>
              <w:t>）</w:t>
            </w:r>
          </w:p>
        </w:tc>
        <w:tc>
          <w:tcPr>
            <w:tcW w:w="1055" w:type="pct"/>
            <w:vAlign w:val="center"/>
          </w:tcPr>
          <w:p w14:paraId="666AE072">
            <w:pPr>
              <w:pStyle w:val="527"/>
              <w:rPr>
                <w:rFonts w:hint="eastAsia"/>
              </w:rPr>
            </w:pPr>
            <w:r>
              <w:rPr>
                <w:rFonts w:hint="eastAsia"/>
              </w:rPr>
              <w:t>366</w:t>
            </w:r>
          </w:p>
        </w:tc>
        <w:tc>
          <w:tcPr>
            <w:tcW w:w="1131" w:type="pct"/>
            <w:vAlign w:val="center"/>
          </w:tcPr>
          <w:p w14:paraId="2D3170AC">
            <w:pPr>
              <w:pStyle w:val="527"/>
              <w:rPr>
                <w:rFonts w:hint="eastAsia"/>
              </w:rPr>
            </w:pPr>
            <w:r>
              <w:rPr>
                <w:rFonts w:hint="eastAsia"/>
              </w:rPr>
              <w:t>415</w:t>
            </w:r>
          </w:p>
        </w:tc>
        <w:tc>
          <w:tcPr>
            <w:tcW w:w="1108" w:type="pct"/>
          </w:tcPr>
          <w:p w14:paraId="5CBC489B">
            <w:pPr>
              <w:pStyle w:val="527"/>
              <w:rPr>
                <w:rFonts w:hint="eastAsia"/>
              </w:rPr>
            </w:pPr>
            <w:r>
              <w:rPr>
                <w:rFonts w:hint="eastAsia"/>
              </w:rPr>
              <w:t>442</w:t>
            </w:r>
          </w:p>
        </w:tc>
      </w:tr>
      <w:tr w14:paraId="5360AE0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5B954A4D">
            <w:pPr>
              <w:pStyle w:val="527"/>
              <w:rPr>
                <w:rFonts w:hint="eastAsia"/>
              </w:rPr>
            </w:pPr>
          </w:p>
        </w:tc>
        <w:tc>
          <w:tcPr>
            <w:tcW w:w="1211" w:type="pct"/>
            <w:shd w:val="clear" w:color="auto" w:fill="auto"/>
            <w:vAlign w:val="center"/>
          </w:tcPr>
          <w:p w14:paraId="09506057">
            <w:pPr>
              <w:pStyle w:val="527"/>
              <w:rPr>
                <w:rFonts w:hint="eastAsia"/>
              </w:rPr>
            </w:pPr>
            <w:r>
              <w:rPr>
                <w:rFonts w:hint="eastAsia"/>
              </w:rPr>
              <w:t>饱和导水率（mm</w:t>
            </w:r>
            <w:r>
              <w:t>/min</w:t>
            </w:r>
            <w:r>
              <w:rPr>
                <w:rFonts w:hint="eastAsia"/>
              </w:rPr>
              <w:t>）</w:t>
            </w:r>
          </w:p>
        </w:tc>
        <w:tc>
          <w:tcPr>
            <w:tcW w:w="1055" w:type="pct"/>
            <w:vAlign w:val="center"/>
          </w:tcPr>
          <w:p w14:paraId="6B8CA073">
            <w:pPr>
              <w:pStyle w:val="527"/>
              <w:rPr>
                <w:rFonts w:hint="eastAsia"/>
              </w:rPr>
            </w:pPr>
            <w:r>
              <w:rPr>
                <w:rFonts w:hint="eastAsia"/>
              </w:rPr>
              <w:t>7.90</w:t>
            </w:r>
          </w:p>
        </w:tc>
        <w:tc>
          <w:tcPr>
            <w:tcW w:w="1131" w:type="pct"/>
            <w:vAlign w:val="center"/>
          </w:tcPr>
          <w:p w14:paraId="0CF45A7C">
            <w:pPr>
              <w:pStyle w:val="527"/>
              <w:rPr>
                <w:rFonts w:hint="eastAsia"/>
              </w:rPr>
            </w:pPr>
            <w:r>
              <w:rPr>
                <w:rFonts w:hint="eastAsia"/>
              </w:rPr>
              <w:t>7.96</w:t>
            </w:r>
          </w:p>
        </w:tc>
        <w:tc>
          <w:tcPr>
            <w:tcW w:w="1108" w:type="pct"/>
          </w:tcPr>
          <w:p w14:paraId="15400085">
            <w:pPr>
              <w:pStyle w:val="527"/>
              <w:rPr>
                <w:rFonts w:hint="eastAsia"/>
              </w:rPr>
            </w:pPr>
            <w:r>
              <w:rPr>
                <w:rFonts w:hint="eastAsia"/>
              </w:rPr>
              <w:t>8.34</w:t>
            </w:r>
          </w:p>
        </w:tc>
      </w:tr>
      <w:tr w14:paraId="046ADE1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3F004557">
            <w:pPr>
              <w:pStyle w:val="527"/>
              <w:rPr>
                <w:rFonts w:hint="eastAsia"/>
              </w:rPr>
            </w:pPr>
          </w:p>
        </w:tc>
        <w:tc>
          <w:tcPr>
            <w:tcW w:w="1211" w:type="pct"/>
            <w:shd w:val="clear" w:color="auto" w:fill="auto"/>
            <w:vAlign w:val="center"/>
          </w:tcPr>
          <w:p w14:paraId="0870E071">
            <w:pPr>
              <w:pStyle w:val="527"/>
              <w:rPr>
                <w:rFonts w:hint="eastAsia"/>
              </w:rPr>
            </w:pPr>
            <w:r>
              <w:rPr>
                <w:rFonts w:hint="eastAsia"/>
              </w:rPr>
              <w:t>土壤容重（g</w:t>
            </w:r>
            <w:r>
              <w:t>/cm</w:t>
            </w:r>
            <w:r>
              <w:rPr>
                <w:vertAlign w:val="superscript"/>
              </w:rPr>
              <w:t>3</w:t>
            </w:r>
            <w:r>
              <w:rPr>
                <w:rFonts w:hint="eastAsia"/>
              </w:rPr>
              <w:t>）</w:t>
            </w:r>
          </w:p>
        </w:tc>
        <w:tc>
          <w:tcPr>
            <w:tcW w:w="1055" w:type="pct"/>
            <w:vAlign w:val="center"/>
          </w:tcPr>
          <w:p w14:paraId="6D5F0D9D">
            <w:pPr>
              <w:pStyle w:val="527"/>
              <w:rPr>
                <w:rFonts w:hint="eastAsia"/>
              </w:rPr>
            </w:pPr>
            <w:r>
              <w:rPr>
                <w:rFonts w:hint="eastAsia"/>
              </w:rPr>
              <w:t>1.09</w:t>
            </w:r>
          </w:p>
        </w:tc>
        <w:tc>
          <w:tcPr>
            <w:tcW w:w="1131" w:type="pct"/>
            <w:vAlign w:val="center"/>
          </w:tcPr>
          <w:p w14:paraId="729A3392">
            <w:pPr>
              <w:pStyle w:val="527"/>
              <w:rPr>
                <w:rFonts w:hint="eastAsia"/>
              </w:rPr>
            </w:pPr>
            <w:r>
              <w:rPr>
                <w:rFonts w:hint="eastAsia"/>
              </w:rPr>
              <w:t>1.02</w:t>
            </w:r>
          </w:p>
        </w:tc>
        <w:tc>
          <w:tcPr>
            <w:tcW w:w="1108" w:type="pct"/>
          </w:tcPr>
          <w:p w14:paraId="20B96BD7">
            <w:pPr>
              <w:pStyle w:val="527"/>
              <w:rPr>
                <w:rFonts w:hint="eastAsia"/>
              </w:rPr>
            </w:pPr>
            <w:r>
              <w:rPr>
                <w:rFonts w:hint="eastAsia"/>
              </w:rPr>
              <w:t>1.21</w:t>
            </w:r>
          </w:p>
        </w:tc>
      </w:tr>
      <w:tr w14:paraId="5B5608F4">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284" w:hRule="atLeast"/>
        </w:trPr>
        <w:tc>
          <w:tcPr>
            <w:tcW w:w="495" w:type="pct"/>
            <w:vMerge w:val="continue"/>
            <w:shd w:val="clear" w:color="auto" w:fill="auto"/>
            <w:vAlign w:val="center"/>
          </w:tcPr>
          <w:p w14:paraId="12D5E62E">
            <w:pPr>
              <w:pStyle w:val="527"/>
              <w:rPr>
                <w:rFonts w:hint="eastAsia"/>
              </w:rPr>
            </w:pPr>
          </w:p>
        </w:tc>
        <w:tc>
          <w:tcPr>
            <w:tcW w:w="1211" w:type="pct"/>
            <w:shd w:val="clear" w:color="auto" w:fill="auto"/>
            <w:vAlign w:val="center"/>
          </w:tcPr>
          <w:p w14:paraId="32EC2870">
            <w:pPr>
              <w:pStyle w:val="527"/>
              <w:rPr>
                <w:rFonts w:hint="eastAsia"/>
              </w:rPr>
            </w:pPr>
            <w:r>
              <w:rPr>
                <w:rFonts w:hint="eastAsia"/>
              </w:rPr>
              <w:t>孔隙度（%）</w:t>
            </w:r>
          </w:p>
        </w:tc>
        <w:tc>
          <w:tcPr>
            <w:tcW w:w="1055" w:type="pct"/>
            <w:vAlign w:val="center"/>
          </w:tcPr>
          <w:p w14:paraId="28D80D3B">
            <w:pPr>
              <w:pStyle w:val="527"/>
              <w:rPr>
                <w:rFonts w:hint="eastAsia"/>
              </w:rPr>
            </w:pPr>
            <w:r>
              <w:rPr>
                <w:rFonts w:hint="eastAsia"/>
              </w:rPr>
              <w:t>28.6</w:t>
            </w:r>
          </w:p>
        </w:tc>
        <w:tc>
          <w:tcPr>
            <w:tcW w:w="1131" w:type="pct"/>
            <w:vAlign w:val="center"/>
          </w:tcPr>
          <w:p w14:paraId="03806149">
            <w:pPr>
              <w:pStyle w:val="527"/>
              <w:rPr>
                <w:rFonts w:hint="eastAsia"/>
              </w:rPr>
            </w:pPr>
            <w:r>
              <w:rPr>
                <w:rFonts w:hint="eastAsia"/>
              </w:rPr>
              <w:t>29.6</w:t>
            </w:r>
          </w:p>
        </w:tc>
        <w:tc>
          <w:tcPr>
            <w:tcW w:w="1108" w:type="pct"/>
          </w:tcPr>
          <w:p w14:paraId="6F20E09E">
            <w:pPr>
              <w:pStyle w:val="527"/>
              <w:rPr>
                <w:rFonts w:hint="eastAsia"/>
              </w:rPr>
            </w:pPr>
            <w:r>
              <w:rPr>
                <w:rFonts w:hint="eastAsia"/>
              </w:rPr>
              <w:t>27.1</w:t>
            </w:r>
          </w:p>
        </w:tc>
      </w:tr>
    </w:tbl>
    <w:p w14:paraId="56E53B2F">
      <w:pPr>
        <w:pStyle w:val="117"/>
        <w:ind w:firstLine="480"/>
        <w:rPr>
          <w:rFonts w:hint="eastAsia"/>
        </w:rPr>
      </w:pPr>
      <w:r>
        <w:rPr>
          <w:rFonts w:hint="eastAsia"/>
        </w:rPr>
        <w:t>由表</w:t>
      </w:r>
      <w:r>
        <w:t>4.3</w:t>
      </w:r>
      <w:r>
        <w:rPr>
          <w:rFonts w:hint="eastAsia"/>
        </w:rPr>
        <w:t>-</w:t>
      </w:r>
      <w:r>
        <w:t>1</w:t>
      </w:r>
      <w:r>
        <w:rPr>
          <w:rFonts w:hint="eastAsia"/>
        </w:rPr>
        <w:t>0、表</w:t>
      </w:r>
      <w:r>
        <w:t>4.3</w:t>
      </w:r>
      <w:r>
        <w:rPr>
          <w:rFonts w:hint="eastAsia"/>
        </w:rPr>
        <w:t>-</w:t>
      </w:r>
      <w:r>
        <w:t>1</w:t>
      </w:r>
      <w:r>
        <w:rPr>
          <w:rFonts w:hint="eastAsia"/>
        </w:rPr>
        <w:t>1、表4.3-12和表4.3-13可知：占地范围内土壤各监测因子和占地范围外各监测点石油烃、六价铬和挥发性、半挥发性有机物的监测浓度均满足《土壤环境质量  建设用地土壤污染风险管控标准（试行）》（GB36600-2018）中第二类用地筛选值要求，占地范围外各监测点的重金属及无机物监测浓度满足《土壤环境质量 农用地土壤污染风险管控标准（试行）》（GB15618-2018）。</w:t>
      </w:r>
    </w:p>
    <w:p w14:paraId="72E8D062">
      <w:pPr>
        <w:pStyle w:val="4"/>
        <w:rPr>
          <w:rFonts w:hint="eastAsia"/>
        </w:rPr>
      </w:pPr>
      <w:r>
        <w:rPr>
          <w:rFonts w:hint="eastAsia"/>
        </w:rPr>
        <w:t>生态环境现状调查与评价</w:t>
      </w:r>
    </w:p>
    <w:p w14:paraId="688F22F4">
      <w:pPr>
        <w:pStyle w:val="117"/>
        <w:ind w:firstLine="480"/>
        <w:rPr>
          <w:rFonts w:hint="eastAsia"/>
        </w:rPr>
      </w:pPr>
      <w:bookmarkStart w:id="458" w:name="_Hlk80201310"/>
      <w:r>
        <w:rPr>
          <w:rFonts w:hint="eastAsia"/>
        </w:rPr>
        <w:t>（1）生态功能区划</w:t>
      </w:r>
    </w:p>
    <w:p w14:paraId="485CC482">
      <w:pPr>
        <w:pStyle w:val="117"/>
        <w:spacing w:line="460" w:lineRule="exact"/>
        <w:ind w:firstLine="480"/>
        <w:rPr>
          <w:rFonts w:hint="eastAsia"/>
        </w:rPr>
      </w:pPr>
      <w:r>
        <w:rPr>
          <w:rFonts w:hint="eastAsia"/>
        </w:rPr>
        <w:t>根据</w:t>
      </w:r>
      <w:bookmarkStart w:id="459" w:name="_Hlk173773687"/>
      <w:r>
        <w:rPr>
          <w:rFonts w:hint="eastAsia"/>
        </w:rPr>
        <w:t>《新疆生产建设兵团生态功能区划简表》</w:t>
      </w:r>
      <w:bookmarkEnd w:id="459"/>
      <w:r>
        <w:rPr>
          <w:rFonts w:hint="eastAsia"/>
        </w:rPr>
        <w:t>，本项目所在区域属于Ⅱ兵团准噶尔盆地温带干旱荒漠与绿洲生态区—Ⅱ</w:t>
      </w:r>
      <w:r>
        <w:rPr>
          <w:rFonts w:hint="eastAsia"/>
          <w:vertAlign w:val="subscript"/>
        </w:rPr>
        <w:t>3</w:t>
      </w:r>
      <w:r>
        <w:rPr>
          <w:rFonts w:hint="eastAsia"/>
        </w:rPr>
        <w:t>六、七、八十二师准噶尔盆地南部灌木、半灌木荒漠绿洲农业生态亚区—13六师土墩子-奇台人工绿洲农业生态功能区。具体的生态功能见表4.3-15。</w:t>
      </w:r>
    </w:p>
    <w:p w14:paraId="793B3B73">
      <w:pPr>
        <w:pStyle w:val="19"/>
        <w:spacing w:after="0" w:line="500" w:lineRule="exact"/>
        <w:jc w:val="center"/>
        <w:rPr>
          <w:rFonts w:hint="eastAsia" w:ascii="黑体" w:hAnsi="黑体" w:eastAsia="黑体" w:cs="黑体"/>
          <w:szCs w:val="21"/>
        </w:rPr>
      </w:pPr>
      <w:r>
        <w:rPr>
          <w:rFonts w:hint="eastAsia" w:ascii="黑体" w:hAnsi="黑体" w:eastAsia="黑体" w:cs="黑体"/>
          <w:szCs w:val="21"/>
        </w:rPr>
        <w:t>表</w:t>
      </w:r>
      <w:r>
        <w:rPr>
          <w:rFonts w:ascii="黑体" w:hAnsi="黑体" w:eastAsia="黑体" w:cs="黑体"/>
          <w:szCs w:val="21"/>
        </w:rPr>
        <w:t>4.3</w:t>
      </w:r>
      <w:r>
        <w:rPr>
          <w:rFonts w:hint="eastAsia" w:ascii="黑体" w:hAnsi="黑体" w:eastAsia="黑体" w:cs="黑体"/>
          <w:szCs w:val="21"/>
        </w:rPr>
        <w:t>-</w:t>
      </w:r>
      <w:r>
        <w:rPr>
          <w:rFonts w:ascii="黑体" w:hAnsi="黑体" w:eastAsia="黑体" w:cs="黑体"/>
          <w:szCs w:val="21"/>
        </w:rPr>
        <w:t>1</w:t>
      </w:r>
      <w:r>
        <w:rPr>
          <w:rFonts w:hint="eastAsia" w:ascii="黑体" w:hAnsi="黑体" w:eastAsia="黑体" w:cs="黑体"/>
          <w:szCs w:val="21"/>
        </w:rPr>
        <w:t>5  区域生态功能区划</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87"/>
        <w:gridCol w:w="1773"/>
        <w:gridCol w:w="6286"/>
      </w:tblGrid>
      <w:tr w14:paraId="09E805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6" w:type="pct"/>
            <w:vMerge w:val="restart"/>
            <w:vAlign w:val="center"/>
          </w:tcPr>
          <w:p w14:paraId="10B85DEE">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所属生态功能区</w:t>
            </w:r>
          </w:p>
        </w:tc>
        <w:tc>
          <w:tcPr>
            <w:tcW w:w="990" w:type="pct"/>
            <w:vAlign w:val="center"/>
          </w:tcPr>
          <w:p w14:paraId="0BF82BF6">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生态区</w:t>
            </w:r>
          </w:p>
        </w:tc>
        <w:tc>
          <w:tcPr>
            <w:tcW w:w="3513" w:type="pct"/>
            <w:vAlign w:val="center"/>
          </w:tcPr>
          <w:p w14:paraId="4ABB2E32">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Ⅱ兵团准噶尔盆地温带干旱荒漠与绿洲生态区</w:t>
            </w:r>
          </w:p>
        </w:tc>
      </w:tr>
      <w:tr w14:paraId="27D02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6" w:type="pct"/>
            <w:vMerge w:val="continue"/>
            <w:vAlign w:val="center"/>
          </w:tcPr>
          <w:p w14:paraId="253A7BE0">
            <w:pPr>
              <w:adjustRightInd w:val="0"/>
              <w:snapToGrid w:val="0"/>
              <w:spacing w:line="300" w:lineRule="exact"/>
              <w:jc w:val="center"/>
              <w:rPr>
                <w:rFonts w:hint="eastAsia" w:ascii="宋体" w:hAnsi="宋体"/>
                <w:kern w:val="0"/>
                <w:szCs w:val="21"/>
                <w:lang w:bidi="ar"/>
              </w:rPr>
            </w:pPr>
          </w:p>
        </w:tc>
        <w:tc>
          <w:tcPr>
            <w:tcW w:w="990" w:type="pct"/>
            <w:vAlign w:val="center"/>
          </w:tcPr>
          <w:p w14:paraId="4FAF065B">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生态亚区</w:t>
            </w:r>
          </w:p>
        </w:tc>
        <w:tc>
          <w:tcPr>
            <w:tcW w:w="3513" w:type="pct"/>
            <w:vAlign w:val="center"/>
          </w:tcPr>
          <w:p w14:paraId="0893C3ED">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Ⅱ</w:t>
            </w:r>
            <w:r>
              <w:rPr>
                <w:rFonts w:hint="eastAsia" w:ascii="宋体" w:hAnsi="宋体"/>
                <w:kern w:val="0"/>
                <w:szCs w:val="21"/>
                <w:vertAlign w:val="subscript"/>
                <w:lang w:bidi="ar"/>
              </w:rPr>
              <w:t>3</w:t>
            </w:r>
            <w:r>
              <w:rPr>
                <w:rFonts w:hint="eastAsia" w:ascii="宋体" w:hAnsi="宋体"/>
                <w:kern w:val="0"/>
                <w:szCs w:val="21"/>
                <w:lang w:bidi="ar"/>
              </w:rPr>
              <w:t>六、七、八十二师准噶尔盆地南部灌木、半灌木荒漠、绿洲农业生态亚区</w:t>
            </w:r>
          </w:p>
        </w:tc>
      </w:tr>
      <w:tr w14:paraId="43571E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6" w:type="pct"/>
            <w:vMerge w:val="continue"/>
            <w:vAlign w:val="center"/>
          </w:tcPr>
          <w:p w14:paraId="7669B0F0">
            <w:pPr>
              <w:adjustRightInd w:val="0"/>
              <w:snapToGrid w:val="0"/>
              <w:spacing w:line="300" w:lineRule="exact"/>
              <w:jc w:val="center"/>
              <w:rPr>
                <w:rFonts w:hint="eastAsia" w:ascii="宋体" w:hAnsi="宋体"/>
                <w:kern w:val="0"/>
                <w:szCs w:val="21"/>
                <w:lang w:bidi="ar"/>
              </w:rPr>
            </w:pPr>
          </w:p>
        </w:tc>
        <w:tc>
          <w:tcPr>
            <w:tcW w:w="990" w:type="pct"/>
            <w:vAlign w:val="center"/>
          </w:tcPr>
          <w:p w14:paraId="4FB5E5D1">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生态功能区</w:t>
            </w:r>
          </w:p>
        </w:tc>
        <w:tc>
          <w:tcPr>
            <w:tcW w:w="3513" w:type="pct"/>
            <w:vAlign w:val="center"/>
          </w:tcPr>
          <w:p w14:paraId="103E5BDE">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13 六师土墩子-奇台人工绿洲农业生态功能区</w:t>
            </w:r>
          </w:p>
        </w:tc>
      </w:tr>
      <w:tr w14:paraId="0586CE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00372015">
            <w:pPr>
              <w:adjustRightInd w:val="0"/>
              <w:snapToGrid w:val="0"/>
              <w:spacing w:line="300" w:lineRule="exact"/>
              <w:jc w:val="center"/>
              <w:rPr>
                <w:rFonts w:hint="eastAsia" w:ascii="宋体" w:hAnsi="宋体"/>
                <w:kern w:val="0"/>
                <w:szCs w:val="21"/>
                <w:lang w:bidi="ar"/>
              </w:rPr>
            </w:pPr>
            <w:r>
              <w:rPr>
                <w:rFonts w:hint="eastAsia" w:ascii="宋体" w:hAnsi="宋体"/>
                <w:kern w:val="0"/>
                <w:szCs w:val="21"/>
                <w:lang w:bidi="ar"/>
              </w:rPr>
              <w:t>隶属师团场</w:t>
            </w:r>
          </w:p>
        </w:tc>
        <w:tc>
          <w:tcPr>
            <w:tcW w:w="3513" w:type="pct"/>
            <w:vAlign w:val="center"/>
          </w:tcPr>
          <w:p w14:paraId="5DD668FE">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六师的土墩子农场、红旗农场、107～110团、奇台农场的平原区</w:t>
            </w:r>
          </w:p>
        </w:tc>
      </w:tr>
      <w:tr w14:paraId="63C195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1FA4B1F8">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主要生态环境问题</w:t>
            </w:r>
          </w:p>
        </w:tc>
        <w:tc>
          <w:tcPr>
            <w:tcW w:w="3513" w:type="pct"/>
            <w:vAlign w:val="center"/>
          </w:tcPr>
          <w:p w14:paraId="0C4C3CB5">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水资源不足、荒漠草场退化</w:t>
            </w:r>
          </w:p>
        </w:tc>
      </w:tr>
      <w:tr w14:paraId="5EEF65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148DDD0D">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主要生态服务功能</w:t>
            </w:r>
          </w:p>
        </w:tc>
        <w:tc>
          <w:tcPr>
            <w:tcW w:w="3513" w:type="pct"/>
            <w:vAlign w:val="center"/>
          </w:tcPr>
          <w:p w14:paraId="2165F186">
            <w:pPr>
              <w:adjustRightInd w:val="0"/>
              <w:snapToGrid w:val="0"/>
              <w:spacing w:line="300" w:lineRule="exact"/>
              <w:rPr>
                <w:rFonts w:hint="eastAsia" w:ascii="宋体" w:hAnsi="宋体"/>
                <w:kern w:val="0"/>
                <w:szCs w:val="21"/>
                <w:lang w:bidi="ar"/>
              </w:rPr>
            </w:pPr>
            <w:r>
              <w:rPr>
                <w:rFonts w:ascii="宋体" w:hAnsi="宋体"/>
                <w:kern w:val="0"/>
                <w:szCs w:val="21"/>
                <w:lang w:bidi="ar"/>
              </w:rPr>
              <w:t>荒漠化控制、农产品生产</w:t>
            </w:r>
          </w:p>
        </w:tc>
      </w:tr>
      <w:tr w14:paraId="7D2430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2109D588">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主要保护目标</w:t>
            </w:r>
          </w:p>
        </w:tc>
        <w:tc>
          <w:tcPr>
            <w:tcW w:w="3513" w:type="pct"/>
            <w:vAlign w:val="center"/>
          </w:tcPr>
          <w:p w14:paraId="115175E3">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保护荒漠植被、保护绿洲生态环境</w:t>
            </w:r>
          </w:p>
        </w:tc>
      </w:tr>
      <w:tr w14:paraId="67865A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706FF551">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适宜发展方向</w:t>
            </w:r>
          </w:p>
        </w:tc>
        <w:tc>
          <w:tcPr>
            <w:tcW w:w="3513" w:type="pct"/>
            <w:vAlign w:val="center"/>
          </w:tcPr>
          <w:p w14:paraId="12231918">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发展节水农业和以番茄酱、红花为代表的特色农业；同时稳定粮、油生产</w:t>
            </w:r>
          </w:p>
        </w:tc>
      </w:tr>
      <w:tr w14:paraId="15ECBE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87" w:type="pct"/>
            <w:gridSpan w:val="2"/>
            <w:vAlign w:val="center"/>
          </w:tcPr>
          <w:p w14:paraId="283D58FF">
            <w:pPr>
              <w:adjustRightInd w:val="0"/>
              <w:snapToGrid w:val="0"/>
              <w:spacing w:line="300" w:lineRule="exact"/>
              <w:jc w:val="center"/>
              <w:rPr>
                <w:rFonts w:hint="eastAsia" w:ascii="宋体" w:hAnsi="宋体"/>
                <w:kern w:val="0"/>
                <w:szCs w:val="21"/>
                <w:lang w:bidi="ar"/>
              </w:rPr>
            </w:pPr>
            <w:r>
              <w:rPr>
                <w:rFonts w:ascii="宋体" w:hAnsi="宋体"/>
                <w:kern w:val="0"/>
                <w:szCs w:val="21"/>
                <w:lang w:bidi="ar"/>
              </w:rPr>
              <w:t>主要保护措施</w:t>
            </w:r>
          </w:p>
        </w:tc>
        <w:tc>
          <w:tcPr>
            <w:tcW w:w="3513" w:type="pct"/>
            <w:vAlign w:val="center"/>
          </w:tcPr>
          <w:p w14:paraId="548BE569">
            <w:pPr>
              <w:adjustRightInd w:val="0"/>
              <w:snapToGrid w:val="0"/>
              <w:spacing w:line="300" w:lineRule="exact"/>
              <w:rPr>
                <w:rFonts w:hint="eastAsia" w:ascii="宋体" w:hAnsi="宋体"/>
                <w:kern w:val="0"/>
                <w:szCs w:val="21"/>
                <w:lang w:bidi="ar"/>
              </w:rPr>
            </w:pPr>
            <w:r>
              <w:rPr>
                <w:rFonts w:hint="eastAsia" w:ascii="宋体" w:hAnsi="宋体"/>
                <w:kern w:val="0"/>
                <w:szCs w:val="21"/>
                <w:lang w:bidi="ar"/>
              </w:rPr>
              <w:t>荒漠草场禁牧或休牧，节水灌溉，完善防护林体系</w:t>
            </w:r>
          </w:p>
        </w:tc>
      </w:tr>
    </w:tbl>
    <w:p w14:paraId="08C10504">
      <w:pPr>
        <w:pStyle w:val="117"/>
        <w:ind w:firstLine="480"/>
        <w:rPr>
          <w:rFonts w:hint="eastAsia"/>
        </w:rPr>
      </w:pPr>
      <w:bookmarkStart w:id="460" w:name="_Hlk160376418"/>
      <w:bookmarkStart w:id="461" w:name="_Hlk147591298"/>
      <w:r>
        <w:rPr>
          <w:rFonts w:hint="eastAsia"/>
        </w:rPr>
        <w:t>（</w:t>
      </w:r>
      <w:r>
        <w:t>2</w:t>
      </w:r>
      <w:r>
        <w:rPr>
          <w:rFonts w:hint="eastAsia"/>
        </w:rPr>
        <w:t>）土地利用现状与评价</w:t>
      </w:r>
    </w:p>
    <w:p w14:paraId="6FEA1BAE">
      <w:pPr>
        <w:pStyle w:val="117"/>
        <w:ind w:firstLine="480"/>
        <w:rPr>
          <w:rFonts w:hint="eastAsia"/>
        </w:rPr>
      </w:pPr>
      <w:r>
        <w:rPr>
          <w:rFonts w:hint="eastAsia"/>
        </w:rPr>
        <w:t>参照全国土地利用现状调查技术规程、全国土地利用现状分类系统，通过现场踏勘及收集资料绘制土地利用类型示意图，土地利用类型为中覆盖度草地和林地，不占用耕地，详见图</w:t>
      </w:r>
      <w:r>
        <w:t>4</w:t>
      </w:r>
      <w:r>
        <w:rPr>
          <w:rFonts w:hint="eastAsia"/>
        </w:rPr>
        <w:t>.3-6</w:t>
      </w:r>
      <w:r>
        <w:t>。</w:t>
      </w:r>
    </w:p>
    <w:bookmarkEnd w:id="460"/>
    <w:p w14:paraId="4F7FC8F5">
      <w:pPr>
        <w:pStyle w:val="117"/>
        <w:spacing w:line="360" w:lineRule="auto"/>
        <w:ind w:firstLine="0" w:firstLineChars="0"/>
        <w:rPr>
          <w:rFonts w:hint="eastAsia"/>
        </w:rPr>
      </w:pPr>
      <w:r>
        <w:rPr>
          <w:rFonts w:hint="eastAsia"/>
        </w:rPr>
        <w:drawing>
          <wp:inline distT="0" distB="0" distL="0" distR="0">
            <wp:extent cx="5253355" cy="3303270"/>
            <wp:effectExtent l="0" t="0" r="4445"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896"/>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68087" cy="3312920"/>
                    </a:xfrm>
                    <a:prstGeom prst="rect">
                      <a:avLst/>
                    </a:prstGeom>
                  </pic:spPr>
                </pic:pic>
              </a:graphicData>
            </a:graphic>
          </wp:inline>
        </w:drawing>
      </w:r>
    </w:p>
    <w:p w14:paraId="449262D3">
      <w:pPr>
        <w:pStyle w:val="19"/>
        <w:spacing w:after="0" w:line="500" w:lineRule="exact"/>
        <w:jc w:val="center"/>
        <w:rPr>
          <w:rFonts w:hint="eastAsia" w:ascii="黑体" w:hAnsi="黑体" w:eastAsia="黑体" w:cs="黑体"/>
          <w:szCs w:val="21"/>
        </w:rPr>
      </w:pPr>
      <w:r>
        <w:rPr>
          <w:rFonts w:hint="eastAsia" w:ascii="黑体" w:hAnsi="黑体" w:eastAsia="黑体" w:cs="黑体"/>
          <w:szCs w:val="21"/>
        </w:rPr>
        <w:t>图4.3-6  土地利用现状示意图</w:t>
      </w:r>
    </w:p>
    <w:p w14:paraId="0334C904">
      <w:pPr>
        <w:pStyle w:val="117"/>
        <w:ind w:firstLine="480"/>
        <w:rPr>
          <w:rFonts w:hint="eastAsia"/>
        </w:rPr>
      </w:pPr>
      <w:r>
        <w:rPr>
          <w:rFonts w:hint="eastAsia"/>
        </w:rPr>
        <w:t>（</w:t>
      </w:r>
      <w:r>
        <w:t>3</w:t>
      </w:r>
      <w:r>
        <w:rPr>
          <w:rFonts w:hint="eastAsia"/>
        </w:rPr>
        <w:t>）植物现状调查与评价</w:t>
      </w:r>
    </w:p>
    <w:p w14:paraId="4475857A">
      <w:pPr>
        <w:pStyle w:val="117"/>
        <w:ind w:firstLine="480"/>
        <w:rPr>
          <w:rFonts w:hint="eastAsia"/>
        </w:rPr>
      </w:pPr>
      <w:bookmarkStart w:id="462" w:name="_Hlk91195853"/>
      <w:bookmarkStart w:id="463" w:name="_Hlk3978320"/>
      <w:r>
        <w:rPr>
          <w:rFonts w:hint="eastAsia"/>
        </w:rPr>
        <w:t>①植被类型</w:t>
      </w:r>
    </w:p>
    <w:p w14:paraId="344F1372">
      <w:pPr>
        <w:pStyle w:val="117"/>
        <w:ind w:firstLine="480"/>
        <w:rPr>
          <w:rFonts w:hint="eastAsia"/>
        </w:rPr>
      </w:pPr>
      <w:r>
        <w:rPr>
          <w:rFonts w:hint="eastAsia"/>
        </w:rPr>
        <w:t>项目区所在地生态环境属于荒漠草地生态系统，主要植被类型为荒漠植被，按中国植被自然地理区划划分，项目所在区域属新疆荒漠区、北疆荒漠亚区、准噶尔荒漠省、准噶尔荒漠亚省、乌苏</w:t>
      </w:r>
      <w:r>
        <w:t>—</w:t>
      </w:r>
      <w:r>
        <w:rPr>
          <w:rFonts w:hint="eastAsia"/>
        </w:rPr>
        <w:t>奇台州。区域内植被类型分布有樟味藜、短叶假木贼荒漠、多枝柽柳灌丛、盐节木盐漠、芨芨草草甸及农田。植被类型见图4.3-7</w:t>
      </w:r>
      <w:r>
        <w:t>。</w:t>
      </w:r>
    </w:p>
    <w:p w14:paraId="5D8B82C3">
      <w:pPr>
        <w:pStyle w:val="117"/>
        <w:ind w:firstLine="480"/>
        <w:rPr>
          <w:rFonts w:hint="eastAsia"/>
        </w:rPr>
      </w:pPr>
      <w:r>
        <w:rPr>
          <w:rFonts w:hint="eastAsia"/>
        </w:rPr>
        <w:t>根据现场调查，项目占地范围植被类型主要有多枝柽柳、琵琶柴荒荒漠。评价区域野生高等植物估算在近20科90种以上，这里仅将油区主要分布的9科22种野生高等植物分布状况见表4.3-16。根据《新疆国家重点保护野生植物名录》（2022）、《新疆维吾尔自治区重点保护野生植物名录》（2024），评价范围内无受保护的野生植物分布。</w:t>
      </w:r>
    </w:p>
    <w:p w14:paraId="66F5AD46">
      <w:pPr>
        <w:spacing w:line="500" w:lineRule="atLeast"/>
        <w:jc w:val="center"/>
        <w:rPr>
          <w:rFonts w:hint="eastAsia" w:ascii="宋体" w:hAnsi="宋体" w:eastAsia="黑体"/>
          <w:szCs w:val="20"/>
        </w:rPr>
      </w:pPr>
      <w:r>
        <w:rPr>
          <w:rFonts w:ascii="宋体" w:hAnsi="宋体" w:eastAsia="黑体"/>
          <w:szCs w:val="20"/>
        </w:rPr>
        <w:drawing>
          <wp:inline distT="0" distB="0" distL="0" distR="0">
            <wp:extent cx="5543550" cy="3613150"/>
            <wp:effectExtent l="0" t="0" r="0" b="635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898"/>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43550" cy="3613150"/>
                    </a:xfrm>
                    <a:prstGeom prst="rect">
                      <a:avLst/>
                    </a:prstGeom>
                  </pic:spPr>
                </pic:pic>
              </a:graphicData>
            </a:graphic>
          </wp:inline>
        </w:drawing>
      </w:r>
    </w:p>
    <w:p w14:paraId="38CA82AA">
      <w:pPr>
        <w:spacing w:line="500" w:lineRule="atLeast"/>
        <w:jc w:val="center"/>
        <w:rPr>
          <w:rFonts w:hint="eastAsia" w:ascii="宋体" w:hAnsi="宋体" w:eastAsia="黑体"/>
          <w:szCs w:val="20"/>
        </w:rPr>
      </w:pPr>
      <w:r>
        <w:rPr>
          <w:rFonts w:hint="eastAsia" w:ascii="宋体" w:hAnsi="宋体" w:eastAsia="黑体"/>
          <w:szCs w:val="20"/>
        </w:rPr>
        <w:t>图4.3-7  植被类型示意图</w:t>
      </w:r>
    </w:p>
    <w:p w14:paraId="1CEE44C3">
      <w:pPr>
        <w:spacing w:line="500" w:lineRule="atLeast"/>
        <w:jc w:val="center"/>
        <w:rPr>
          <w:rFonts w:hint="eastAsia" w:ascii="宋体" w:hAnsi="宋体" w:eastAsia="黑体" w:cs="宋体"/>
          <w:szCs w:val="21"/>
        </w:rPr>
      </w:pPr>
      <w:r>
        <w:rPr>
          <w:rFonts w:hint="eastAsia" w:ascii="宋体" w:hAnsi="宋体" w:eastAsia="黑体"/>
          <w:szCs w:val="20"/>
        </w:rPr>
        <w:t>表4.3-16</w:t>
      </w:r>
      <w:r>
        <w:rPr>
          <w:rFonts w:ascii="宋体" w:hAnsi="宋体" w:eastAsia="黑体" w:cs="宋体"/>
          <w:szCs w:val="21"/>
        </w:rPr>
        <w:t xml:space="preserve"> </w:t>
      </w:r>
      <w:r>
        <w:rPr>
          <w:rFonts w:hint="eastAsia" w:ascii="宋体" w:hAnsi="宋体" w:eastAsia="黑体" w:cs="宋体"/>
          <w:szCs w:val="21"/>
        </w:rPr>
        <w:t xml:space="preserve"> 主要植物名录</w:t>
      </w:r>
    </w:p>
    <w:tbl>
      <w:tblPr>
        <w:tblStyle w:val="51"/>
        <w:tblW w:w="5000" w:type="pct"/>
        <w:tblInd w:w="0" w:type="dxa"/>
        <w:tblLayout w:type="autofit"/>
        <w:tblCellMar>
          <w:top w:w="0" w:type="dxa"/>
          <w:left w:w="0" w:type="dxa"/>
          <w:bottom w:w="0" w:type="dxa"/>
          <w:right w:w="0" w:type="dxa"/>
        </w:tblCellMar>
      </w:tblPr>
      <w:tblGrid>
        <w:gridCol w:w="2336"/>
        <w:gridCol w:w="4630"/>
        <w:gridCol w:w="1764"/>
      </w:tblGrid>
      <w:tr w14:paraId="30669C98">
        <w:tblPrEx>
          <w:tblCellMar>
            <w:top w:w="0" w:type="dxa"/>
            <w:left w:w="0" w:type="dxa"/>
            <w:bottom w:w="0" w:type="dxa"/>
            <w:right w:w="0" w:type="dxa"/>
          </w:tblCellMar>
        </w:tblPrEx>
        <w:trPr>
          <w:trHeight w:val="340" w:hRule="atLeast"/>
        </w:trPr>
        <w:tc>
          <w:tcPr>
            <w:tcW w:w="1338" w:type="pct"/>
            <w:tcBorders>
              <w:top w:val="single" w:color="000000" w:sz="12" w:space="0"/>
              <w:left w:val="nil"/>
              <w:bottom w:val="single" w:color="000000" w:sz="4" w:space="0"/>
              <w:right w:val="single" w:color="000000" w:sz="4" w:space="0"/>
            </w:tcBorders>
            <w:vAlign w:val="center"/>
          </w:tcPr>
          <w:p w14:paraId="7BD0AEEC">
            <w:pPr>
              <w:spacing w:line="240" w:lineRule="exact"/>
              <w:jc w:val="center"/>
              <w:rPr>
                <w:rFonts w:hint="eastAsia" w:ascii="宋体" w:hAnsi="宋体"/>
                <w:kern w:val="0"/>
                <w:szCs w:val="21"/>
              </w:rPr>
            </w:pPr>
            <w:r>
              <w:rPr>
                <w:rFonts w:hint="eastAsia" w:ascii="宋体" w:hAnsi="宋体"/>
                <w:kern w:val="0"/>
                <w:szCs w:val="21"/>
              </w:rPr>
              <w:t>中文名</w:t>
            </w:r>
          </w:p>
        </w:tc>
        <w:tc>
          <w:tcPr>
            <w:tcW w:w="2652" w:type="pct"/>
            <w:tcBorders>
              <w:top w:val="single" w:color="000000" w:sz="12" w:space="0"/>
              <w:left w:val="single" w:color="000000" w:sz="4" w:space="0"/>
              <w:bottom w:val="single" w:color="000000" w:sz="4" w:space="0"/>
              <w:right w:val="single" w:color="000000" w:sz="4" w:space="0"/>
            </w:tcBorders>
            <w:vAlign w:val="center"/>
          </w:tcPr>
          <w:p w14:paraId="0FD39BE2">
            <w:pPr>
              <w:spacing w:line="240" w:lineRule="exact"/>
              <w:jc w:val="center"/>
              <w:rPr>
                <w:rFonts w:hint="eastAsia" w:ascii="宋体" w:hAnsi="宋体"/>
                <w:kern w:val="0"/>
                <w:szCs w:val="21"/>
              </w:rPr>
            </w:pPr>
            <w:r>
              <w:rPr>
                <w:rFonts w:hint="eastAsia" w:ascii="宋体" w:hAnsi="宋体"/>
                <w:kern w:val="0"/>
                <w:szCs w:val="21"/>
              </w:rPr>
              <w:t>学名</w:t>
            </w:r>
          </w:p>
        </w:tc>
        <w:tc>
          <w:tcPr>
            <w:tcW w:w="1010" w:type="pct"/>
            <w:tcBorders>
              <w:top w:val="single" w:color="000000" w:sz="12" w:space="0"/>
              <w:left w:val="single" w:color="000000" w:sz="4" w:space="0"/>
              <w:bottom w:val="single" w:color="000000" w:sz="4" w:space="0"/>
              <w:right w:val="nil"/>
            </w:tcBorders>
            <w:vAlign w:val="center"/>
          </w:tcPr>
          <w:p w14:paraId="440FE23A">
            <w:pPr>
              <w:spacing w:line="240" w:lineRule="exact"/>
              <w:jc w:val="center"/>
              <w:rPr>
                <w:rFonts w:hint="eastAsia" w:ascii="宋体" w:hAnsi="宋体"/>
                <w:kern w:val="0"/>
                <w:szCs w:val="21"/>
              </w:rPr>
            </w:pPr>
            <w:r>
              <w:rPr>
                <w:rFonts w:hint="eastAsia" w:ascii="宋体" w:hAnsi="宋体"/>
                <w:kern w:val="0"/>
                <w:szCs w:val="21"/>
              </w:rPr>
              <w:t>分布</w:t>
            </w:r>
          </w:p>
        </w:tc>
      </w:tr>
      <w:tr w14:paraId="7A630DB3">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6B923EAB">
            <w:pPr>
              <w:spacing w:line="240" w:lineRule="exact"/>
              <w:jc w:val="center"/>
              <w:rPr>
                <w:rFonts w:hint="eastAsia" w:ascii="宋体" w:hAnsi="宋体"/>
                <w:kern w:val="0"/>
                <w:szCs w:val="21"/>
              </w:rPr>
            </w:pPr>
            <w:r>
              <w:rPr>
                <w:rFonts w:hint="eastAsia" w:ascii="宋体" w:hAnsi="宋体"/>
                <w:kern w:val="0"/>
                <w:szCs w:val="21"/>
              </w:rPr>
              <w:t>一、禾本科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647B22F3">
            <w:pPr>
              <w:spacing w:line="240" w:lineRule="exact"/>
              <w:jc w:val="center"/>
              <w:rPr>
                <w:rFonts w:hint="eastAsia" w:ascii="宋体" w:hAnsi="宋体"/>
                <w:i/>
                <w:iCs/>
                <w:spacing w:val="-2"/>
                <w:kern w:val="0"/>
                <w:szCs w:val="21"/>
              </w:rPr>
            </w:pPr>
            <w:r>
              <w:rPr>
                <w:rFonts w:ascii="宋体" w:hAnsi="宋体"/>
                <w:i/>
                <w:iCs/>
                <w:spacing w:val="-2"/>
                <w:kern w:val="0"/>
                <w:szCs w:val="21"/>
              </w:rPr>
              <w:t>Gramineae</w:t>
            </w:r>
          </w:p>
        </w:tc>
        <w:tc>
          <w:tcPr>
            <w:tcW w:w="1010" w:type="pct"/>
            <w:tcBorders>
              <w:top w:val="single" w:color="000000" w:sz="4" w:space="0"/>
              <w:left w:val="single" w:color="000000" w:sz="4" w:space="0"/>
              <w:bottom w:val="single" w:color="000000" w:sz="4" w:space="0"/>
              <w:right w:val="nil"/>
            </w:tcBorders>
            <w:vAlign w:val="center"/>
          </w:tcPr>
          <w:p w14:paraId="62F8B5CB">
            <w:pPr>
              <w:spacing w:line="240" w:lineRule="exact"/>
              <w:jc w:val="center"/>
              <w:rPr>
                <w:rFonts w:hint="eastAsia" w:ascii="宋体" w:hAnsi="宋体"/>
                <w:kern w:val="0"/>
                <w:szCs w:val="21"/>
              </w:rPr>
            </w:pPr>
          </w:p>
        </w:tc>
      </w:tr>
      <w:tr w14:paraId="74895F1A">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45118DE1">
            <w:pPr>
              <w:spacing w:line="240" w:lineRule="exact"/>
              <w:jc w:val="center"/>
              <w:rPr>
                <w:rFonts w:hint="eastAsia" w:ascii="宋体" w:hAnsi="宋体"/>
                <w:kern w:val="0"/>
                <w:szCs w:val="21"/>
              </w:rPr>
            </w:pPr>
            <w:r>
              <w:rPr>
                <w:rFonts w:hint="eastAsia" w:ascii="宋体" w:hAnsi="宋体"/>
                <w:kern w:val="0"/>
                <w:szCs w:val="21"/>
              </w:rPr>
              <w:t>羽状三芒草</w:t>
            </w:r>
          </w:p>
        </w:tc>
        <w:tc>
          <w:tcPr>
            <w:tcW w:w="2652" w:type="pct"/>
            <w:tcBorders>
              <w:top w:val="single" w:color="000000" w:sz="4" w:space="0"/>
              <w:left w:val="single" w:color="000000" w:sz="4" w:space="0"/>
              <w:bottom w:val="single" w:color="000000" w:sz="4" w:space="0"/>
              <w:right w:val="single" w:color="000000" w:sz="4" w:space="0"/>
            </w:tcBorders>
            <w:vAlign w:val="center"/>
          </w:tcPr>
          <w:p w14:paraId="4D7CC256">
            <w:pPr>
              <w:spacing w:line="240" w:lineRule="exact"/>
              <w:jc w:val="center"/>
              <w:rPr>
                <w:rFonts w:hint="eastAsia" w:ascii="宋体" w:hAnsi="宋体"/>
                <w:i/>
                <w:iCs/>
                <w:spacing w:val="-2"/>
                <w:kern w:val="0"/>
                <w:szCs w:val="21"/>
              </w:rPr>
            </w:pPr>
            <w:r>
              <w:rPr>
                <w:rFonts w:ascii="宋体" w:hAnsi="宋体"/>
                <w:i/>
                <w:iCs/>
                <w:kern w:val="0"/>
                <w:szCs w:val="21"/>
              </w:rPr>
              <w:t>Aristida</w:t>
            </w:r>
            <w:r>
              <w:rPr>
                <w:rFonts w:ascii="宋体" w:hAnsi="宋体"/>
                <w:i/>
                <w:iCs/>
                <w:spacing w:val="-9"/>
                <w:kern w:val="0"/>
                <w:szCs w:val="21"/>
              </w:rPr>
              <w:t xml:space="preserve"> </w:t>
            </w:r>
            <w:r>
              <w:rPr>
                <w:rFonts w:ascii="宋体" w:hAnsi="宋体"/>
                <w:i/>
                <w:iCs/>
                <w:spacing w:val="-2"/>
                <w:kern w:val="0"/>
                <w:szCs w:val="21"/>
              </w:rPr>
              <w:t>pennata</w:t>
            </w:r>
          </w:p>
        </w:tc>
        <w:tc>
          <w:tcPr>
            <w:tcW w:w="1010" w:type="pct"/>
            <w:tcBorders>
              <w:top w:val="single" w:color="000000" w:sz="4" w:space="0"/>
              <w:left w:val="single" w:color="000000" w:sz="4" w:space="0"/>
              <w:bottom w:val="single" w:color="000000" w:sz="4" w:space="0"/>
              <w:right w:val="nil"/>
            </w:tcBorders>
            <w:vAlign w:val="center"/>
          </w:tcPr>
          <w:p w14:paraId="46382FAA">
            <w:pPr>
              <w:spacing w:line="240" w:lineRule="exact"/>
              <w:jc w:val="center"/>
              <w:rPr>
                <w:rFonts w:hint="eastAsia" w:ascii="宋体" w:hAnsi="宋体"/>
                <w:w w:val="99"/>
                <w:kern w:val="0"/>
                <w:szCs w:val="21"/>
              </w:rPr>
            </w:pPr>
            <w:r>
              <w:rPr>
                <w:rFonts w:ascii="宋体" w:hAnsi="宋体"/>
                <w:w w:val="99"/>
                <w:kern w:val="0"/>
                <w:szCs w:val="21"/>
              </w:rPr>
              <w:t>+</w:t>
            </w:r>
          </w:p>
        </w:tc>
      </w:tr>
      <w:tr w14:paraId="4A21537D">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55125A2F">
            <w:pPr>
              <w:spacing w:line="240" w:lineRule="exact"/>
              <w:jc w:val="center"/>
              <w:rPr>
                <w:rFonts w:hint="eastAsia" w:ascii="宋体" w:hAnsi="宋体"/>
                <w:kern w:val="0"/>
                <w:szCs w:val="21"/>
              </w:rPr>
            </w:pPr>
            <w:r>
              <w:rPr>
                <w:rFonts w:hint="eastAsia" w:ascii="宋体" w:hAnsi="宋体"/>
                <w:kern w:val="0"/>
                <w:szCs w:val="21"/>
              </w:rPr>
              <w:t>二、杨柳科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3C1AB316">
            <w:pPr>
              <w:spacing w:line="240" w:lineRule="exact"/>
              <w:jc w:val="center"/>
              <w:rPr>
                <w:rFonts w:hint="eastAsia" w:ascii="宋体" w:hAnsi="宋体"/>
                <w:i/>
                <w:iCs/>
                <w:spacing w:val="-2"/>
                <w:kern w:val="0"/>
                <w:szCs w:val="21"/>
              </w:rPr>
            </w:pPr>
            <w:r>
              <w:rPr>
                <w:rFonts w:ascii="宋体" w:hAnsi="宋体"/>
                <w:i/>
                <w:iCs/>
                <w:spacing w:val="-2"/>
                <w:kern w:val="0"/>
                <w:szCs w:val="21"/>
              </w:rPr>
              <w:t>Salicaceae</w:t>
            </w:r>
          </w:p>
        </w:tc>
        <w:tc>
          <w:tcPr>
            <w:tcW w:w="1010" w:type="pct"/>
            <w:tcBorders>
              <w:top w:val="single" w:color="000000" w:sz="4" w:space="0"/>
              <w:left w:val="single" w:color="000000" w:sz="4" w:space="0"/>
              <w:bottom w:val="single" w:color="000000" w:sz="4" w:space="0"/>
              <w:right w:val="nil"/>
            </w:tcBorders>
            <w:vAlign w:val="center"/>
          </w:tcPr>
          <w:p w14:paraId="6755300D">
            <w:pPr>
              <w:spacing w:line="240" w:lineRule="exact"/>
              <w:jc w:val="center"/>
              <w:rPr>
                <w:rFonts w:hint="eastAsia" w:ascii="宋体" w:hAnsi="宋体"/>
                <w:kern w:val="0"/>
                <w:szCs w:val="21"/>
              </w:rPr>
            </w:pPr>
          </w:p>
        </w:tc>
      </w:tr>
      <w:tr w14:paraId="4B18FF0B">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7B8CCA68">
            <w:pPr>
              <w:spacing w:line="240" w:lineRule="exact"/>
              <w:jc w:val="center"/>
              <w:rPr>
                <w:rFonts w:hint="eastAsia" w:ascii="宋体" w:hAnsi="宋体"/>
                <w:kern w:val="0"/>
                <w:szCs w:val="21"/>
              </w:rPr>
            </w:pPr>
            <w:r>
              <w:rPr>
                <w:rFonts w:hint="eastAsia" w:ascii="宋体" w:hAnsi="宋体"/>
                <w:kern w:val="0"/>
                <w:szCs w:val="21"/>
              </w:rPr>
              <w:t>白柳</w:t>
            </w:r>
          </w:p>
        </w:tc>
        <w:tc>
          <w:tcPr>
            <w:tcW w:w="2652" w:type="pct"/>
            <w:tcBorders>
              <w:top w:val="single" w:color="000000" w:sz="4" w:space="0"/>
              <w:left w:val="single" w:color="000000" w:sz="4" w:space="0"/>
              <w:bottom w:val="single" w:color="000000" w:sz="4" w:space="0"/>
              <w:right w:val="single" w:color="000000" w:sz="4" w:space="0"/>
            </w:tcBorders>
            <w:vAlign w:val="center"/>
          </w:tcPr>
          <w:p w14:paraId="633DFC7A">
            <w:pPr>
              <w:spacing w:line="240" w:lineRule="exact"/>
              <w:jc w:val="center"/>
              <w:rPr>
                <w:rFonts w:hint="eastAsia" w:ascii="宋体" w:hAnsi="宋体"/>
                <w:i/>
                <w:iCs/>
                <w:kern w:val="0"/>
                <w:szCs w:val="21"/>
              </w:rPr>
            </w:pPr>
            <w:r>
              <w:rPr>
                <w:rFonts w:ascii="宋体" w:hAnsi="宋体"/>
                <w:i/>
                <w:iCs/>
                <w:kern w:val="0"/>
                <w:szCs w:val="21"/>
              </w:rPr>
              <w:t>Sect alba</w:t>
            </w:r>
          </w:p>
        </w:tc>
        <w:tc>
          <w:tcPr>
            <w:tcW w:w="1010" w:type="pct"/>
            <w:tcBorders>
              <w:top w:val="single" w:color="000000" w:sz="4" w:space="0"/>
              <w:left w:val="single" w:color="000000" w:sz="4" w:space="0"/>
              <w:bottom w:val="single" w:color="000000" w:sz="4" w:space="0"/>
              <w:right w:val="nil"/>
            </w:tcBorders>
            <w:vAlign w:val="center"/>
          </w:tcPr>
          <w:p w14:paraId="5C0BC888">
            <w:pPr>
              <w:spacing w:line="240" w:lineRule="exact"/>
              <w:jc w:val="center"/>
              <w:rPr>
                <w:rFonts w:hint="eastAsia" w:ascii="宋体" w:hAnsi="宋体"/>
                <w:w w:val="99"/>
                <w:kern w:val="0"/>
                <w:szCs w:val="21"/>
              </w:rPr>
            </w:pPr>
            <w:r>
              <w:rPr>
                <w:rFonts w:ascii="宋体" w:hAnsi="宋体"/>
                <w:w w:val="99"/>
                <w:kern w:val="0"/>
                <w:szCs w:val="21"/>
              </w:rPr>
              <w:t>+</w:t>
            </w:r>
          </w:p>
        </w:tc>
      </w:tr>
      <w:tr w14:paraId="7D8C4C06">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8FD2995">
            <w:pPr>
              <w:spacing w:line="240" w:lineRule="exact"/>
              <w:jc w:val="center"/>
              <w:rPr>
                <w:rFonts w:hint="eastAsia" w:ascii="宋体" w:hAnsi="宋体"/>
                <w:kern w:val="0"/>
                <w:szCs w:val="21"/>
              </w:rPr>
            </w:pPr>
            <w:r>
              <w:rPr>
                <w:rFonts w:hint="eastAsia" w:ascii="宋体" w:hAnsi="宋体"/>
                <w:kern w:val="0"/>
                <w:szCs w:val="21"/>
              </w:rPr>
              <w:t>三、藜科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4330F1C6">
            <w:pPr>
              <w:spacing w:line="240" w:lineRule="exact"/>
              <w:jc w:val="center"/>
              <w:rPr>
                <w:rFonts w:hint="eastAsia" w:ascii="宋体" w:hAnsi="宋体"/>
                <w:i/>
                <w:iCs/>
                <w:spacing w:val="-2"/>
                <w:kern w:val="0"/>
                <w:szCs w:val="21"/>
              </w:rPr>
            </w:pPr>
            <w:r>
              <w:rPr>
                <w:rFonts w:ascii="宋体" w:hAnsi="宋体"/>
                <w:i/>
                <w:iCs/>
                <w:spacing w:val="-2"/>
                <w:kern w:val="0"/>
                <w:szCs w:val="21"/>
              </w:rPr>
              <w:t>Chenopodiaceae</w:t>
            </w:r>
          </w:p>
        </w:tc>
        <w:tc>
          <w:tcPr>
            <w:tcW w:w="1010" w:type="pct"/>
            <w:tcBorders>
              <w:top w:val="single" w:color="000000" w:sz="4" w:space="0"/>
              <w:left w:val="single" w:color="000000" w:sz="4" w:space="0"/>
              <w:bottom w:val="single" w:color="000000" w:sz="4" w:space="0"/>
              <w:right w:val="nil"/>
            </w:tcBorders>
            <w:vAlign w:val="center"/>
          </w:tcPr>
          <w:p w14:paraId="47B81F0F">
            <w:pPr>
              <w:spacing w:line="240" w:lineRule="exact"/>
              <w:jc w:val="center"/>
              <w:rPr>
                <w:rFonts w:hint="eastAsia" w:ascii="宋体" w:hAnsi="宋体"/>
                <w:kern w:val="0"/>
                <w:szCs w:val="21"/>
              </w:rPr>
            </w:pPr>
          </w:p>
        </w:tc>
      </w:tr>
      <w:tr w14:paraId="073D47EF">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0A4D909F">
            <w:pPr>
              <w:spacing w:line="240" w:lineRule="exact"/>
              <w:jc w:val="center"/>
              <w:rPr>
                <w:rFonts w:hint="eastAsia" w:ascii="宋体" w:hAnsi="宋体"/>
                <w:kern w:val="0"/>
                <w:szCs w:val="21"/>
              </w:rPr>
            </w:pPr>
            <w:r>
              <w:rPr>
                <w:rFonts w:hint="eastAsia" w:ascii="宋体" w:hAnsi="宋体"/>
                <w:kern w:val="0"/>
                <w:szCs w:val="21"/>
              </w:rPr>
              <w:t>盐节木</w:t>
            </w:r>
          </w:p>
        </w:tc>
        <w:tc>
          <w:tcPr>
            <w:tcW w:w="2652" w:type="pct"/>
            <w:tcBorders>
              <w:top w:val="single" w:color="000000" w:sz="4" w:space="0"/>
              <w:left w:val="single" w:color="000000" w:sz="4" w:space="0"/>
              <w:bottom w:val="single" w:color="000000" w:sz="4" w:space="0"/>
              <w:right w:val="single" w:color="000000" w:sz="4" w:space="0"/>
            </w:tcBorders>
            <w:vAlign w:val="center"/>
          </w:tcPr>
          <w:p w14:paraId="5CB1E2C6">
            <w:pPr>
              <w:spacing w:line="240" w:lineRule="exact"/>
              <w:jc w:val="center"/>
              <w:rPr>
                <w:rFonts w:hint="eastAsia" w:ascii="宋体" w:hAnsi="宋体"/>
                <w:i/>
                <w:iCs/>
                <w:spacing w:val="-2"/>
                <w:w w:val="95"/>
                <w:kern w:val="0"/>
                <w:szCs w:val="21"/>
              </w:rPr>
            </w:pPr>
            <w:r>
              <w:rPr>
                <w:rFonts w:ascii="宋体" w:hAnsi="宋体"/>
                <w:i/>
                <w:iCs/>
                <w:w w:val="95"/>
                <w:kern w:val="0"/>
                <w:szCs w:val="21"/>
              </w:rPr>
              <w:t>Halocnemum</w:t>
            </w:r>
            <w:r>
              <w:rPr>
                <w:rFonts w:ascii="宋体" w:hAnsi="宋体"/>
                <w:i/>
                <w:iCs/>
                <w:spacing w:val="45"/>
                <w:kern w:val="0"/>
                <w:szCs w:val="21"/>
              </w:rPr>
              <w:t xml:space="preserve"> </w:t>
            </w:r>
            <w:r>
              <w:rPr>
                <w:rFonts w:ascii="宋体" w:hAnsi="宋体"/>
                <w:i/>
                <w:iCs/>
                <w:spacing w:val="-2"/>
                <w:w w:val="95"/>
                <w:kern w:val="0"/>
                <w:szCs w:val="21"/>
              </w:rPr>
              <w:t>strobilaceum</w:t>
            </w:r>
          </w:p>
        </w:tc>
        <w:tc>
          <w:tcPr>
            <w:tcW w:w="1010" w:type="pct"/>
            <w:tcBorders>
              <w:top w:val="single" w:color="000000" w:sz="4" w:space="0"/>
              <w:left w:val="single" w:color="000000" w:sz="4" w:space="0"/>
              <w:bottom w:val="single" w:color="000000" w:sz="4" w:space="0"/>
              <w:right w:val="nil"/>
            </w:tcBorders>
            <w:vAlign w:val="center"/>
          </w:tcPr>
          <w:p w14:paraId="2F55BCEB">
            <w:pPr>
              <w:spacing w:line="240" w:lineRule="exact"/>
              <w:jc w:val="center"/>
              <w:rPr>
                <w:rFonts w:hint="eastAsia" w:ascii="宋体" w:hAnsi="宋体"/>
                <w:spacing w:val="-5"/>
                <w:kern w:val="0"/>
                <w:szCs w:val="21"/>
              </w:rPr>
            </w:pPr>
            <w:r>
              <w:rPr>
                <w:rFonts w:ascii="宋体" w:hAnsi="宋体"/>
                <w:spacing w:val="-5"/>
                <w:kern w:val="0"/>
                <w:szCs w:val="21"/>
              </w:rPr>
              <w:t>++</w:t>
            </w:r>
          </w:p>
        </w:tc>
      </w:tr>
      <w:tr w14:paraId="313F34FD">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54FD5704">
            <w:pPr>
              <w:spacing w:line="240" w:lineRule="exact"/>
              <w:jc w:val="center"/>
              <w:rPr>
                <w:rFonts w:hint="eastAsia" w:ascii="宋体" w:hAnsi="宋体"/>
                <w:kern w:val="0"/>
                <w:szCs w:val="21"/>
              </w:rPr>
            </w:pPr>
            <w:r>
              <w:rPr>
                <w:rFonts w:hint="eastAsia" w:ascii="宋体" w:hAnsi="宋体"/>
                <w:kern w:val="0"/>
                <w:szCs w:val="21"/>
              </w:rPr>
              <w:t>盐穗木</w:t>
            </w:r>
          </w:p>
        </w:tc>
        <w:tc>
          <w:tcPr>
            <w:tcW w:w="2652" w:type="pct"/>
            <w:tcBorders>
              <w:top w:val="single" w:color="000000" w:sz="4" w:space="0"/>
              <w:left w:val="single" w:color="000000" w:sz="4" w:space="0"/>
              <w:bottom w:val="single" w:color="000000" w:sz="4" w:space="0"/>
              <w:right w:val="single" w:color="000000" w:sz="4" w:space="0"/>
            </w:tcBorders>
            <w:vAlign w:val="center"/>
          </w:tcPr>
          <w:p w14:paraId="16002154">
            <w:pPr>
              <w:spacing w:line="240" w:lineRule="exact"/>
              <w:jc w:val="center"/>
              <w:rPr>
                <w:rFonts w:hint="eastAsia" w:ascii="宋体" w:hAnsi="宋体"/>
                <w:i/>
                <w:iCs/>
                <w:spacing w:val="-2"/>
                <w:kern w:val="0"/>
                <w:szCs w:val="21"/>
              </w:rPr>
            </w:pPr>
            <w:r>
              <w:rPr>
                <w:rFonts w:ascii="宋体" w:hAnsi="宋体"/>
                <w:i/>
                <w:iCs/>
                <w:kern w:val="0"/>
                <w:szCs w:val="21"/>
              </w:rPr>
              <w:t>Halostachys</w:t>
            </w:r>
            <w:r>
              <w:rPr>
                <w:rFonts w:ascii="宋体" w:hAnsi="宋体"/>
                <w:i/>
                <w:iCs/>
                <w:spacing w:val="-11"/>
                <w:kern w:val="0"/>
                <w:szCs w:val="21"/>
              </w:rPr>
              <w:t xml:space="preserve"> </w:t>
            </w:r>
            <w:r>
              <w:rPr>
                <w:rFonts w:ascii="宋体" w:hAnsi="宋体"/>
                <w:i/>
                <w:iCs/>
                <w:spacing w:val="-2"/>
                <w:kern w:val="0"/>
                <w:szCs w:val="21"/>
              </w:rPr>
              <w:t>caspica</w:t>
            </w:r>
          </w:p>
        </w:tc>
        <w:tc>
          <w:tcPr>
            <w:tcW w:w="1010" w:type="pct"/>
            <w:tcBorders>
              <w:top w:val="single" w:color="000000" w:sz="4" w:space="0"/>
              <w:left w:val="single" w:color="000000" w:sz="4" w:space="0"/>
              <w:bottom w:val="single" w:color="000000" w:sz="4" w:space="0"/>
              <w:right w:val="nil"/>
            </w:tcBorders>
            <w:vAlign w:val="center"/>
          </w:tcPr>
          <w:p w14:paraId="1E0B4412">
            <w:pPr>
              <w:spacing w:line="240" w:lineRule="exact"/>
              <w:jc w:val="center"/>
              <w:rPr>
                <w:rFonts w:hint="eastAsia" w:ascii="宋体" w:hAnsi="宋体"/>
                <w:w w:val="99"/>
                <w:kern w:val="0"/>
                <w:szCs w:val="21"/>
              </w:rPr>
            </w:pPr>
            <w:r>
              <w:rPr>
                <w:rFonts w:ascii="宋体" w:hAnsi="宋体"/>
                <w:w w:val="99"/>
                <w:kern w:val="0"/>
                <w:szCs w:val="21"/>
              </w:rPr>
              <w:t>-</w:t>
            </w:r>
          </w:p>
        </w:tc>
      </w:tr>
      <w:tr w14:paraId="2CFF04CE">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60E0AE91">
            <w:pPr>
              <w:spacing w:line="240" w:lineRule="exact"/>
              <w:jc w:val="center"/>
              <w:rPr>
                <w:rFonts w:hint="eastAsia" w:ascii="宋体" w:hAnsi="宋体"/>
                <w:kern w:val="0"/>
                <w:szCs w:val="21"/>
              </w:rPr>
            </w:pPr>
            <w:r>
              <w:rPr>
                <w:rFonts w:hint="eastAsia" w:ascii="宋体" w:hAnsi="宋体"/>
                <w:kern w:val="0"/>
                <w:szCs w:val="21"/>
              </w:rPr>
              <w:t>猪毛菜</w:t>
            </w:r>
          </w:p>
        </w:tc>
        <w:tc>
          <w:tcPr>
            <w:tcW w:w="2652" w:type="pct"/>
            <w:tcBorders>
              <w:top w:val="single" w:color="000000" w:sz="4" w:space="0"/>
              <w:left w:val="single" w:color="000000" w:sz="4" w:space="0"/>
              <w:bottom w:val="single" w:color="000000" w:sz="4" w:space="0"/>
              <w:right w:val="single" w:color="000000" w:sz="4" w:space="0"/>
            </w:tcBorders>
            <w:vAlign w:val="center"/>
          </w:tcPr>
          <w:p w14:paraId="2695D6A8">
            <w:pPr>
              <w:spacing w:line="240" w:lineRule="exact"/>
              <w:jc w:val="center"/>
              <w:rPr>
                <w:rFonts w:hint="eastAsia" w:ascii="宋体" w:hAnsi="宋体"/>
                <w:i/>
                <w:iCs/>
                <w:spacing w:val="-2"/>
                <w:kern w:val="0"/>
                <w:szCs w:val="21"/>
              </w:rPr>
            </w:pPr>
            <w:r>
              <w:rPr>
                <w:rFonts w:ascii="宋体" w:hAnsi="宋体"/>
                <w:i/>
                <w:iCs/>
                <w:kern w:val="0"/>
                <w:szCs w:val="21"/>
              </w:rPr>
              <w:t>Salsola</w:t>
            </w:r>
            <w:r>
              <w:rPr>
                <w:rFonts w:ascii="宋体" w:hAnsi="宋体"/>
                <w:i/>
                <w:iCs/>
                <w:spacing w:val="-7"/>
                <w:kern w:val="0"/>
                <w:szCs w:val="21"/>
              </w:rPr>
              <w:t xml:space="preserve"> </w:t>
            </w:r>
            <w:r>
              <w:rPr>
                <w:rFonts w:ascii="宋体" w:hAnsi="宋体"/>
                <w:i/>
                <w:iCs/>
                <w:spacing w:val="-2"/>
                <w:kern w:val="0"/>
                <w:szCs w:val="21"/>
              </w:rPr>
              <w:t>collina</w:t>
            </w:r>
          </w:p>
        </w:tc>
        <w:tc>
          <w:tcPr>
            <w:tcW w:w="1010" w:type="pct"/>
            <w:tcBorders>
              <w:top w:val="single" w:color="000000" w:sz="4" w:space="0"/>
              <w:left w:val="single" w:color="000000" w:sz="4" w:space="0"/>
              <w:bottom w:val="single" w:color="000000" w:sz="4" w:space="0"/>
              <w:right w:val="nil"/>
            </w:tcBorders>
            <w:vAlign w:val="center"/>
          </w:tcPr>
          <w:p w14:paraId="5D58A6AC">
            <w:pPr>
              <w:spacing w:line="240" w:lineRule="exact"/>
              <w:jc w:val="center"/>
              <w:rPr>
                <w:rFonts w:hint="eastAsia" w:ascii="宋体" w:hAnsi="宋体"/>
                <w:spacing w:val="-5"/>
                <w:kern w:val="0"/>
                <w:szCs w:val="21"/>
              </w:rPr>
            </w:pPr>
            <w:r>
              <w:rPr>
                <w:rFonts w:ascii="宋体" w:hAnsi="宋体"/>
                <w:spacing w:val="-5"/>
                <w:kern w:val="0"/>
                <w:szCs w:val="21"/>
              </w:rPr>
              <w:t>++</w:t>
            </w:r>
          </w:p>
        </w:tc>
      </w:tr>
      <w:tr w14:paraId="6EB4A828">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4E681107">
            <w:pPr>
              <w:spacing w:line="240" w:lineRule="exact"/>
              <w:jc w:val="center"/>
              <w:rPr>
                <w:rFonts w:hint="eastAsia" w:ascii="宋体" w:hAnsi="宋体"/>
                <w:kern w:val="0"/>
                <w:szCs w:val="21"/>
              </w:rPr>
            </w:pPr>
            <w:r>
              <w:rPr>
                <w:rFonts w:hint="eastAsia" w:ascii="宋体" w:hAnsi="宋体"/>
                <w:kern w:val="0"/>
                <w:szCs w:val="21"/>
              </w:rPr>
              <w:t>盐爪爪</w:t>
            </w:r>
          </w:p>
        </w:tc>
        <w:tc>
          <w:tcPr>
            <w:tcW w:w="2652" w:type="pct"/>
            <w:tcBorders>
              <w:top w:val="single" w:color="000000" w:sz="4" w:space="0"/>
              <w:left w:val="single" w:color="000000" w:sz="4" w:space="0"/>
              <w:bottom w:val="single" w:color="000000" w:sz="4" w:space="0"/>
              <w:right w:val="single" w:color="000000" w:sz="4" w:space="0"/>
            </w:tcBorders>
            <w:vAlign w:val="center"/>
          </w:tcPr>
          <w:p w14:paraId="09620A3F">
            <w:pPr>
              <w:spacing w:line="240" w:lineRule="exact"/>
              <w:jc w:val="center"/>
              <w:rPr>
                <w:rFonts w:hint="eastAsia" w:ascii="宋体" w:hAnsi="宋体"/>
                <w:i/>
                <w:iCs/>
                <w:spacing w:val="-2"/>
                <w:kern w:val="0"/>
                <w:szCs w:val="21"/>
              </w:rPr>
            </w:pPr>
            <w:r>
              <w:rPr>
                <w:rFonts w:ascii="宋体" w:hAnsi="宋体"/>
                <w:i/>
                <w:iCs/>
                <w:kern w:val="0"/>
                <w:szCs w:val="21"/>
              </w:rPr>
              <w:t>Kalidium</w:t>
            </w:r>
            <w:r>
              <w:rPr>
                <w:rFonts w:ascii="宋体" w:hAnsi="宋体"/>
                <w:i/>
                <w:iCs/>
                <w:spacing w:val="-6"/>
                <w:kern w:val="0"/>
                <w:szCs w:val="21"/>
              </w:rPr>
              <w:t xml:space="preserve"> </w:t>
            </w:r>
            <w:r>
              <w:rPr>
                <w:rFonts w:ascii="宋体" w:hAnsi="宋体"/>
                <w:i/>
                <w:iCs/>
                <w:spacing w:val="-2"/>
                <w:kern w:val="0"/>
                <w:szCs w:val="21"/>
              </w:rPr>
              <w:t>cuspidatum</w:t>
            </w:r>
          </w:p>
        </w:tc>
        <w:tc>
          <w:tcPr>
            <w:tcW w:w="1010" w:type="pct"/>
            <w:tcBorders>
              <w:top w:val="single" w:color="000000" w:sz="4" w:space="0"/>
              <w:left w:val="single" w:color="000000" w:sz="4" w:space="0"/>
              <w:bottom w:val="single" w:color="000000" w:sz="4" w:space="0"/>
              <w:right w:val="nil"/>
            </w:tcBorders>
            <w:vAlign w:val="center"/>
          </w:tcPr>
          <w:p w14:paraId="112FB80E">
            <w:pPr>
              <w:spacing w:line="240" w:lineRule="exact"/>
              <w:jc w:val="center"/>
              <w:rPr>
                <w:rFonts w:hint="eastAsia" w:ascii="宋体" w:hAnsi="宋体"/>
                <w:w w:val="99"/>
                <w:kern w:val="0"/>
                <w:szCs w:val="21"/>
              </w:rPr>
            </w:pPr>
            <w:r>
              <w:rPr>
                <w:rFonts w:ascii="宋体" w:hAnsi="宋体"/>
                <w:w w:val="99"/>
                <w:kern w:val="0"/>
                <w:szCs w:val="21"/>
              </w:rPr>
              <w:t>-</w:t>
            </w:r>
          </w:p>
        </w:tc>
      </w:tr>
      <w:tr w14:paraId="24B9CDC1">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23A3F3C7">
            <w:pPr>
              <w:spacing w:line="240" w:lineRule="exact"/>
              <w:jc w:val="center"/>
              <w:rPr>
                <w:rFonts w:hint="eastAsia" w:ascii="宋体" w:hAnsi="宋体"/>
                <w:kern w:val="0"/>
                <w:szCs w:val="21"/>
              </w:rPr>
            </w:pPr>
            <w:r>
              <w:rPr>
                <w:rFonts w:hint="eastAsia" w:ascii="宋体" w:hAnsi="宋体"/>
                <w:kern w:val="0"/>
                <w:szCs w:val="21"/>
              </w:rPr>
              <w:t>角果碱蓬</w:t>
            </w:r>
          </w:p>
        </w:tc>
        <w:tc>
          <w:tcPr>
            <w:tcW w:w="2652" w:type="pct"/>
            <w:tcBorders>
              <w:top w:val="single" w:color="000000" w:sz="4" w:space="0"/>
              <w:left w:val="single" w:color="000000" w:sz="4" w:space="0"/>
              <w:bottom w:val="single" w:color="000000" w:sz="4" w:space="0"/>
              <w:right w:val="single" w:color="000000" w:sz="4" w:space="0"/>
            </w:tcBorders>
            <w:vAlign w:val="center"/>
          </w:tcPr>
          <w:p w14:paraId="63CBECD6">
            <w:pPr>
              <w:spacing w:line="240" w:lineRule="exact"/>
              <w:jc w:val="center"/>
              <w:rPr>
                <w:rFonts w:hint="eastAsia" w:ascii="宋体" w:hAnsi="宋体"/>
                <w:i/>
                <w:iCs/>
                <w:spacing w:val="-2"/>
                <w:kern w:val="0"/>
                <w:szCs w:val="21"/>
              </w:rPr>
            </w:pPr>
            <w:r>
              <w:rPr>
                <w:rFonts w:ascii="宋体" w:hAnsi="宋体"/>
                <w:i/>
                <w:iCs/>
                <w:kern w:val="0"/>
                <w:szCs w:val="21"/>
              </w:rPr>
              <w:t>Suaeda</w:t>
            </w:r>
            <w:r>
              <w:rPr>
                <w:rFonts w:ascii="宋体" w:hAnsi="宋体"/>
                <w:i/>
                <w:iCs/>
                <w:spacing w:val="-7"/>
                <w:kern w:val="0"/>
                <w:szCs w:val="21"/>
              </w:rPr>
              <w:t xml:space="preserve"> </w:t>
            </w:r>
            <w:r>
              <w:rPr>
                <w:rFonts w:ascii="宋体" w:hAnsi="宋体"/>
                <w:i/>
                <w:iCs/>
                <w:spacing w:val="-2"/>
                <w:kern w:val="0"/>
                <w:szCs w:val="21"/>
              </w:rPr>
              <w:t>corniculate</w:t>
            </w:r>
          </w:p>
        </w:tc>
        <w:tc>
          <w:tcPr>
            <w:tcW w:w="1010" w:type="pct"/>
            <w:tcBorders>
              <w:top w:val="single" w:color="000000" w:sz="4" w:space="0"/>
              <w:left w:val="single" w:color="000000" w:sz="4" w:space="0"/>
              <w:bottom w:val="single" w:color="000000" w:sz="4" w:space="0"/>
              <w:right w:val="nil"/>
            </w:tcBorders>
            <w:vAlign w:val="center"/>
          </w:tcPr>
          <w:p w14:paraId="2149BBE4">
            <w:pPr>
              <w:spacing w:line="240" w:lineRule="exact"/>
              <w:jc w:val="center"/>
              <w:rPr>
                <w:rFonts w:hint="eastAsia" w:ascii="宋体" w:hAnsi="宋体"/>
                <w:w w:val="99"/>
                <w:kern w:val="0"/>
                <w:szCs w:val="21"/>
              </w:rPr>
            </w:pPr>
            <w:r>
              <w:rPr>
                <w:rFonts w:ascii="宋体" w:hAnsi="宋体"/>
                <w:w w:val="99"/>
                <w:kern w:val="0"/>
                <w:szCs w:val="21"/>
              </w:rPr>
              <w:t>-</w:t>
            </w:r>
          </w:p>
        </w:tc>
      </w:tr>
      <w:tr w14:paraId="26245998">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07173A3C">
            <w:pPr>
              <w:spacing w:line="240" w:lineRule="exact"/>
              <w:jc w:val="center"/>
              <w:rPr>
                <w:rFonts w:hint="eastAsia" w:ascii="宋体" w:hAnsi="宋体"/>
                <w:kern w:val="0"/>
                <w:szCs w:val="21"/>
              </w:rPr>
            </w:pPr>
            <w:r>
              <w:rPr>
                <w:rFonts w:hint="eastAsia" w:ascii="宋体" w:hAnsi="宋体"/>
                <w:kern w:val="0"/>
                <w:szCs w:val="21"/>
              </w:rPr>
              <w:t>驼绒藜</w:t>
            </w:r>
          </w:p>
        </w:tc>
        <w:tc>
          <w:tcPr>
            <w:tcW w:w="2652" w:type="pct"/>
            <w:tcBorders>
              <w:top w:val="single" w:color="000000" w:sz="4" w:space="0"/>
              <w:left w:val="single" w:color="000000" w:sz="4" w:space="0"/>
              <w:bottom w:val="single" w:color="000000" w:sz="4" w:space="0"/>
              <w:right w:val="single" w:color="000000" w:sz="4" w:space="0"/>
            </w:tcBorders>
            <w:vAlign w:val="center"/>
          </w:tcPr>
          <w:p w14:paraId="2121D076">
            <w:pPr>
              <w:spacing w:line="240" w:lineRule="exact"/>
              <w:jc w:val="center"/>
              <w:rPr>
                <w:rFonts w:hint="eastAsia" w:ascii="宋体" w:hAnsi="宋体"/>
                <w:i/>
                <w:iCs/>
                <w:spacing w:val="-2"/>
                <w:kern w:val="0"/>
                <w:szCs w:val="21"/>
              </w:rPr>
            </w:pPr>
            <w:r>
              <w:rPr>
                <w:rFonts w:ascii="宋体" w:hAnsi="宋体"/>
                <w:i/>
                <w:iCs/>
                <w:kern w:val="0"/>
                <w:szCs w:val="21"/>
              </w:rPr>
              <w:t>Ceratoides</w:t>
            </w:r>
            <w:r>
              <w:rPr>
                <w:rFonts w:ascii="宋体" w:hAnsi="宋体"/>
                <w:i/>
                <w:iCs/>
                <w:spacing w:val="-10"/>
                <w:kern w:val="0"/>
                <w:szCs w:val="21"/>
              </w:rPr>
              <w:t xml:space="preserve"> </w:t>
            </w:r>
            <w:r>
              <w:rPr>
                <w:rFonts w:ascii="宋体" w:hAnsi="宋体"/>
                <w:i/>
                <w:iCs/>
                <w:spacing w:val="-2"/>
                <w:kern w:val="0"/>
                <w:szCs w:val="21"/>
              </w:rPr>
              <w:t>ewersmanniana</w:t>
            </w:r>
          </w:p>
        </w:tc>
        <w:tc>
          <w:tcPr>
            <w:tcW w:w="1010" w:type="pct"/>
            <w:tcBorders>
              <w:top w:val="single" w:color="000000" w:sz="4" w:space="0"/>
              <w:left w:val="single" w:color="000000" w:sz="4" w:space="0"/>
              <w:bottom w:val="single" w:color="000000" w:sz="4" w:space="0"/>
              <w:right w:val="nil"/>
            </w:tcBorders>
            <w:vAlign w:val="center"/>
          </w:tcPr>
          <w:p w14:paraId="29470F58">
            <w:pPr>
              <w:spacing w:line="240" w:lineRule="exact"/>
              <w:jc w:val="center"/>
              <w:rPr>
                <w:rFonts w:hint="eastAsia" w:ascii="宋体" w:hAnsi="宋体"/>
                <w:spacing w:val="-5"/>
                <w:kern w:val="0"/>
                <w:szCs w:val="21"/>
              </w:rPr>
            </w:pPr>
            <w:r>
              <w:rPr>
                <w:rFonts w:ascii="宋体" w:hAnsi="宋体"/>
                <w:spacing w:val="-5"/>
                <w:kern w:val="0"/>
                <w:szCs w:val="21"/>
              </w:rPr>
              <w:t>++</w:t>
            </w:r>
          </w:p>
        </w:tc>
      </w:tr>
      <w:tr w14:paraId="306A156B">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5B8DDFA7">
            <w:pPr>
              <w:spacing w:line="240" w:lineRule="exact"/>
              <w:jc w:val="center"/>
              <w:rPr>
                <w:rFonts w:hint="eastAsia" w:ascii="宋体" w:hAnsi="宋体"/>
                <w:kern w:val="0"/>
                <w:szCs w:val="21"/>
              </w:rPr>
            </w:pPr>
            <w:r>
              <w:rPr>
                <w:rFonts w:hint="eastAsia" w:ascii="宋体" w:hAnsi="宋体"/>
                <w:kern w:val="0"/>
                <w:szCs w:val="21"/>
              </w:rPr>
              <w:t>盐生草</w:t>
            </w:r>
          </w:p>
        </w:tc>
        <w:tc>
          <w:tcPr>
            <w:tcW w:w="2652" w:type="pct"/>
            <w:tcBorders>
              <w:top w:val="single" w:color="000000" w:sz="4" w:space="0"/>
              <w:left w:val="single" w:color="000000" w:sz="4" w:space="0"/>
              <w:bottom w:val="single" w:color="000000" w:sz="4" w:space="0"/>
              <w:right w:val="single" w:color="000000" w:sz="4" w:space="0"/>
            </w:tcBorders>
            <w:vAlign w:val="center"/>
          </w:tcPr>
          <w:p w14:paraId="6CC9F5C9">
            <w:pPr>
              <w:spacing w:line="240" w:lineRule="exact"/>
              <w:jc w:val="center"/>
              <w:rPr>
                <w:rFonts w:hint="eastAsia" w:ascii="宋体" w:hAnsi="宋体"/>
                <w:i/>
                <w:iCs/>
                <w:spacing w:val="-2"/>
                <w:kern w:val="0"/>
                <w:szCs w:val="21"/>
              </w:rPr>
            </w:pPr>
            <w:r>
              <w:rPr>
                <w:rFonts w:ascii="宋体" w:hAnsi="宋体"/>
                <w:i/>
                <w:iCs/>
                <w:kern w:val="0"/>
                <w:szCs w:val="21"/>
              </w:rPr>
              <w:t>Halogeton</w:t>
            </w:r>
            <w:r>
              <w:rPr>
                <w:rFonts w:ascii="宋体" w:hAnsi="宋体"/>
                <w:i/>
                <w:iCs/>
                <w:spacing w:val="-6"/>
                <w:kern w:val="0"/>
                <w:szCs w:val="21"/>
              </w:rPr>
              <w:t xml:space="preserve"> </w:t>
            </w:r>
            <w:r>
              <w:rPr>
                <w:rFonts w:ascii="宋体" w:hAnsi="宋体"/>
                <w:i/>
                <w:iCs/>
                <w:spacing w:val="-2"/>
                <w:kern w:val="0"/>
                <w:szCs w:val="21"/>
              </w:rPr>
              <w:t>glomeratus</w:t>
            </w:r>
          </w:p>
        </w:tc>
        <w:tc>
          <w:tcPr>
            <w:tcW w:w="1010" w:type="pct"/>
            <w:tcBorders>
              <w:top w:val="single" w:color="000000" w:sz="4" w:space="0"/>
              <w:left w:val="single" w:color="000000" w:sz="4" w:space="0"/>
              <w:bottom w:val="single" w:color="000000" w:sz="4" w:space="0"/>
              <w:right w:val="nil"/>
            </w:tcBorders>
            <w:vAlign w:val="center"/>
          </w:tcPr>
          <w:p w14:paraId="1AE72458">
            <w:pPr>
              <w:spacing w:line="240" w:lineRule="exact"/>
              <w:jc w:val="center"/>
              <w:rPr>
                <w:rFonts w:hint="eastAsia" w:ascii="宋体" w:hAnsi="宋体"/>
                <w:spacing w:val="-5"/>
                <w:kern w:val="0"/>
                <w:szCs w:val="21"/>
              </w:rPr>
            </w:pPr>
            <w:r>
              <w:rPr>
                <w:rFonts w:ascii="宋体" w:hAnsi="宋体"/>
                <w:spacing w:val="-5"/>
                <w:kern w:val="0"/>
                <w:szCs w:val="21"/>
              </w:rPr>
              <w:t>++</w:t>
            </w:r>
          </w:p>
        </w:tc>
      </w:tr>
      <w:tr w14:paraId="7BF9943C">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70C46E5A">
            <w:pPr>
              <w:spacing w:line="240" w:lineRule="exact"/>
              <w:jc w:val="center"/>
              <w:rPr>
                <w:rFonts w:hint="eastAsia" w:ascii="宋体" w:hAnsi="宋体"/>
                <w:kern w:val="0"/>
                <w:szCs w:val="21"/>
              </w:rPr>
            </w:pPr>
            <w:r>
              <w:rPr>
                <w:rFonts w:hint="eastAsia" w:ascii="宋体" w:hAnsi="宋体"/>
                <w:kern w:val="0"/>
                <w:szCs w:val="21"/>
              </w:rPr>
              <w:t>叉毛蓬</w:t>
            </w:r>
          </w:p>
        </w:tc>
        <w:tc>
          <w:tcPr>
            <w:tcW w:w="2652" w:type="pct"/>
            <w:tcBorders>
              <w:top w:val="single" w:color="000000" w:sz="4" w:space="0"/>
              <w:left w:val="single" w:color="000000" w:sz="4" w:space="0"/>
              <w:bottom w:val="single" w:color="000000" w:sz="4" w:space="0"/>
              <w:right w:val="single" w:color="000000" w:sz="4" w:space="0"/>
            </w:tcBorders>
            <w:vAlign w:val="center"/>
          </w:tcPr>
          <w:p w14:paraId="3ACA73A6">
            <w:pPr>
              <w:spacing w:line="240" w:lineRule="exact"/>
              <w:jc w:val="center"/>
              <w:rPr>
                <w:rFonts w:hint="eastAsia" w:ascii="宋体" w:hAnsi="宋体"/>
                <w:i/>
                <w:iCs/>
                <w:spacing w:val="-2"/>
                <w:kern w:val="0"/>
                <w:szCs w:val="21"/>
              </w:rPr>
            </w:pPr>
            <w:r>
              <w:rPr>
                <w:rFonts w:ascii="宋体" w:hAnsi="宋体"/>
                <w:i/>
                <w:iCs/>
                <w:spacing w:val="-2"/>
                <w:kern w:val="0"/>
                <w:szCs w:val="21"/>
              </w:rPr>
              <w:t>Petrosimonia</w:t>
            </w:r>
            <w:r>
              <w:rPr>
                <w:rFonts w:ascii="宋体" w:hAnsi="宋体"/>
                <w:i/>
                <w:iCs/>
                <w:spacing w:val="4"/>
                <w:kern w:val="0"/>
                <w:szCs w:val="21"/>
              </w:rPr>
              <w:t xml:space="preserve"> </w:t>
            </w:r>
            <w:r>
              <w:rPr>
                <w:rFonts w:ascii="宋体" w:hAnsi="宋体"/>
                <w:i/>
                <w:iCs/>
                <w:spacing w:val="-2"/>
                <w:kern w:val="0"/>
                <w:szCs w:val="21"/>
              </w:rPr>
              <w:t>sibirica</w:t>
            </w:r>
          </w:p>
        </w:tc>
        <w:tc>
          <w:tcPr>
            <w:tcW w:w="1010" w:type="pct"/>
            <w:tcBorders>
              <w:top w:val="single" w:color="000000" w:sz="4" w:space="0"/>
              <w:left w:val="single" w:color="000000" w:sz="4" w:space="0"/>
              <w:bottom w:val="single" w:color="000000" w:sz="4" w:space="0"/>
              <w:right w:val="nil"/>
            </w:tcBorders>
            <w:vAlign w:val="center"/>
          </w:tcPr>
          <w:p w14:paraId="03C37203">
            <w:pPr>
              <w:spacing w:line="240" w:lineRule="exact"/>
              <w:jc w:val="center"/>
              <w:rPr>
                <w:rFonts w:hint="eastAsia" w:ascii="宋体" w:hAnsi="宋体"/>
                <w:spacing w:val="-5"/>
                <w:kern w:val="0"/>
                <w:szCs w:val="21"/>
              </w:rPr>
            </w:pPr>
            <w:r>
              <w:rPr>
                <w:rFonts w:ascii="宋体" w:hAnsi="宋体"/>
                <w:spacing w:val="-5"/>
                <w:kern w:val="0"/>
                <w:szCs w:val="21"/>
              </w:rPr>
              <w:t>++</w:t>
            </w:r>
          </w:p>
        </w:tc>
      </w:tr>
      <w:tr w14:paraId="65ED4F0C">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30B8B603">
            <w:pPr>
              <w:spacing w:line="240" w:lineRule="exact"/>
              <w:jc w:val="center"/>
              <w:rPr>
                <w:rFonts w:hint="eastAsia" w:ascii="宋体" w:hAnsi="宋体"/>
                <w:kern w:val="0"/>
                <w:szCs w:val="21"/>
              </w:rPr>
            </w:pPr>
            <w:r>
              <w:rPr>
                <w:rFonts w:hint="eastAsia" w:ascii="宋体" w:hAnsi="宋体"/>
                <w:kern w:val="0"/>
                <w:szCs w:val="21"/>
              </w:rPr>
              <w:t>盐生假木贼</w:t>
            </w:r>
          </w:p>
        </w:tc>
        <w:tc>
          <w:tcPr>
            <w:tcW w:w="2652" w:type="pct"/>
            <w:tcBorders>
              <w:top w:val="single" w:color="000000" w:sz="4" w:space="0"/>
              <w:left w:val="single" w:color="000000" w:sz="4" w:space="0"/>
              <w:bottom w:val="single" w:color="000000" w:sz="4" w:space="0"/>
              <w:right w:val="single" w:color="000000" w:sz="4" w:space="0"/>
            </w:tcBorders>
            <w:vAlign w:val="center"/>
          </w:tcPr>
          <w:p w14:paraId="392B6071">
            <w:pPr>
              <w:spacing w:line="240" w:lineRule="exact"/>
              <w:jc w:val="center"/>
              <w:rPr>
                <w:rFonts w:hint="eastAsia" w:ascii="宋体" w:hAnsi="宋体"/>
                <w:i/>
                <w:iCs/>
                <w:spacing w:val="-2"/>
                <w:kern w:val="0"/>
                <w:szCs w:val="21"/>
              </w:rPr>
            </w:pPr>
            <w:r>
              <w:rPr>
                <w:rFonts w:ascii="宋体" w:hAnsi="宋体"/>
                <w:i/>
                <w:iCs/>
                <w:kern w:val="0"/>
                <w:szCs w:val="21"/>
              </w:rPr>
              <w:t>Anabasis</w:t>
            </w:r>
            <w:r>
              <w:rPr>
                <w:rFonts w:ascii="宋体" w:hAnsi="宋体"/>
                <w:i/>
                <w:iCs/>
                <w:spacing w:val="-6"/>
                <w:kern w:val="0"/>
                <w:szCs w:val="21"/>
              </w:rPr>
              <w:t xml:space="preserve"> </w:t>
            </w:r>
            <w:r>
              <w:rPr>
                <w:rFonts w:ascii="宋体" w:hAnsi="宋体"/>
                <w:i/>
                <w:iCs/>
                <w:spacing w:val="-2"/>
                <w:kern w:val="0"/>
                <w:szCs w:val="21"/>
              </w:rPr>
              <w:t>salsa</w:t>
            </w:r>
          </w:p>
        </w:tc>
        <w:tc>
          <w:tcPr>
            <w:tcW w:w="1010" w:type="pct"/>
            <w:tcBorders>
              <w:top w:val="single" w:color="000000" w:sz="4" w:space="0"/>
              <w:left w:val="single" w:color="000000" w:sz="4" w:space="0"/>
              <w:bottom w:val="single" w:color="000000" w:sz="4" w:space="0"/>
              <w:right w:val="nil"/>
            </w:tcBorders>
            <w:vAlign w:val="center"/>
          </w:tcPr>
          <w:p w14:paraId="501F903D">
            <w:pPr>
              <w:spacing w:line="240" w:lineRule="exact"/>
              <w:jc w:val="center"/>
              <w:rPr>
                <w:rFonts w:hint="eastAsia" w:ascii="宋体" w:hAnsi="宋体"/>
                <w:spacing w:val="-5"/>
                <w:kern w:val="0"/>
                <w:szCs w:val="21"/>
              </w:rPr>
            </w:pPr>
            <w:r>
              <w:rPr>
                <w:rFonts w:ascii="宋体" w:hAnsi="宋体"/>
                <w:spacing w:val="-5"/>
                <w:kern w:val="0"/>
                <w:szCs w:val="21"/>
              </w:rPr>
              <w:t>++</w:t>
            </w:r>
          </w:p>
        </w:tc>
      </w:tr>
      <w:tr w14:paraId="6E3EC3DC">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5BFE65DC">
            <w:pPr>
              <w:spacing w:line="240" w:lineRule="exact"/>
              <w:jc w:val="center"/>
              <w:rPr>
                <w:rFonts w:hint="eastAsia" w:ascii="宋体" w:hAnsi="宋体"/>
                <w:kern w:val="0"/>
                <w:szCs w:val="21"/>
              </w:rPr>
            </w:pPr>
            <w:r>
              <w:rPr>
                <w:rFonts w:hint="eastAsia" w:ascii="宋体" w:hAnsi="宋体"/>
                <w:kern w:val="0"/>
                <w:szCs w:val="21"/>
              </w:rPr>
              <w:t>短叶假木贼</w:t>
            </w:r>
          </w:p>
        </w:tc>
        <w:tc>
          <w:tcPr>
            <w:tcW w:w="2652" w:type="pct"/>
            <w:tcBorders>
              <w:top w:val="single" w:color="000000" w:sz="4" w:space="0"/>
              <w:left w:val="single" w:color="000000" w:sz="4" w:space="0"/>
              <w:bottom w:val="single" w:color="000000" w:sz="4" w:space="0"/>
              <w:right w:val="single" w:color="000000" w:sz="4" w:space="0"/>
            </w:tcBorders>
            <w:vAlign w:val="center"/>
          </w:tcPr>
          <w:p w14:paraId="49969558">
            <w:pPr>
              <w:spacing w:line="240" w:lineRule="exact"/>
              <w:jc w:val="center"/>
              <w:rPr>
                <w:rFonts w:hint="eastAsia" w:ascii="宋体" w:hAnsi="宋体"/>
                <w:i/>
                <w:iCs/>
                <w:spacing w:val="-2"/>
                <w:kern w:val="0"/>
                <w:szCs w:val="21"/>
              </w:rPr>
            </w:pPr>
            <w:r>
              <w:rPr>
                <w:rFonts w:ascii="宋体" w:hAnsi="宋体"/>
                <w:i/>
                <w:iCs/>
                <w:kern w:val="0"/>
                <w:szCs w:val="21"/>
              </w:rPr>
              <w:t>Anabasis</w:t>
            </w:r>
            <w:r>
              <w:rPr>
                <w:rFonts w:ascii="宋体" w:hAnsi="宋体"/>
                <w:i/>
                <w:iCs/>
                <w:spacing w:val="-8"/>
                <w:kern w:val="0"/>
                <w:szCs w:val="21"/>
              </w:rPr>
              <w:t xml:space="preserve"> </w:t>
            </w:r>
            <w:r>
              <w:rPr>
                <w:rFonts w:ascii="宋体" w:hAnsi="宋体"/>
                <w:i/>
                <w:iCs/>
                <w:spacing w:val="-2"/>
                <w:kern w:val="0"/>
                <w:szCs w:val="21"/>
              </w:rPr>
              <w:t>brevifolia</w:t>
            </w:r>
          </w:p>
        </w:tc>
        <w:tc>
          <w:tcPr>
            <w:tcW w:w="1010" w:type="pct"/>
            <w:tcBorders>
              <w:top w:val="single" w:color="000000" w:sz="4" w:space="0"/>
              <w:left w:val="single" w:color="000000" w:sz="4" w:space="0"/>
              <w:bottom w:val="single" w:color="000000" w:sz="4" w:space="0"/>
              <w:right w:val="nil"/>
            </w:tcBorders>
            <w:vAlign w:val="center"/>
          </w:tcPr>
          <w:p w14:paraId="30EC2471">
            <w:pPr>
              <w:spacing w:line="240" w:lineRule="exact"/>
              <w:jc w:val="center"/>
              <w:rPr>
                <w:rFonts w:hint="eastAsia" w:ascii="宋体" w:hAnsi="宋体"/>
                <w:spacing w:val="-5"/>
                <w:kern w:val="0"/>
                <w:szCs w:val="21"/>
              </w:rPr>
            </w:pPr>
            <w:r>
              <w:rPr>
                <w:rFonts w:ascii="宋体" w:hAnsi="宋体"/>
                <w:spacing w:val="-5"/>
                <w:kern w:val="0"/>
                <w:szCs w:val="21"/>
              </w:rPr>
              <w:t>++</w:t>
            </w:r>
          </w:p>
        </w:tc>
      </w:tr>
      <w:tr w14:paraId="35304377">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78ECD3B1">
            <w:pPr>
              <w:spacing w:line="240" w:lineRule="exact"/>
              <w:jc w:val="center"/>
              <w:rPr>
                <w:rFonts w:hint="eastAsia" w:ascii="宋体" w:hAnsi="宋体"/>
                <w:kern w:val="0"/>
                <w:szCs w:val="21"/>
              </w:rPr>
            </w:pPr>
            <w:r>
              <w:rPr>
                <w:rFonts w:hint="eastAsia" w:ascii="宋体" w:hAnsi="宋体"/>
                <w:kern w:val="0"/>
                <w:szCs w:val="21"/>
              </w:rPr>
              <w:t>小蓬</w:t>
            </w:r>
          </w:p>
        </w:tc>
        <w:tc>
          <w:tcPr>
            <w:tcW w:w="2652" w:type="pct"/>
            <w:tcBorders>
              <w:top w:val="single" w:color="000000" w:sz="4" w:space="0"/>
              <w:left w:val="single" w:color="000000" w:sz="4" w:space="0"/>
              <w:bottom w:val="single" w:color="000000" w:sz="4" w:space="0"/>
              <w:right w:val="single" w:color="000000" w:sz="4" w:space="0"/>
            </w:tcBorders>
            <w:vAlign w:val="center"/>
          </w:tcPr>
          <w:p w14:paraId="30822869">
            <w:pPr>
              <w:spacing w:line="240" w:lineRule="exact"/>
              <w:jc w:val="center"/>
              <w:rPr>
                <w:rFonts w:hint="eastAsia" w:ascii="宋体" w:hAnsi="宋体"/>
                <w:i/>
                <w:iCs/>
                <w:spacing w:val="-2"/>
                <w:kern w:val="0"/>
                <w:szCs w:val="21"/>
              </w:rPr>
            </w:pPr>
            <w:r>
              <w:rPr>
                <w:rFonts w:ascii="宋体" w:hAnsi="宋体"/>
                <w:i/>
                <w:iCs/>
                <w:kern w:val="0"/>
                <w:szCs w:val="21"/>
              </w:rPr>
              <w:t>Nanophyton</w:t>
            </w:r>
            <w:r>
              <w:rPr>
                <w:rFonts w:ascii="宋体" w:hAnsi="宋体"/>
                <w:i/>
                <w:iCs/>
                <w:spacing w:val="-10"/>
                <w:kern w:val="0"/>
                <w:szCs w:val="21"/>
              </w:rPr>
              <w:t xml:space="preserve"> </w:t>
            </w:r>
            <w:r>
              <w:rPr>
                <w:rFonts w:ascii="宋体" w:hAnsi="宋体"/>
                <w:i/>
                <w:iCs/>
                <w:spacing w:val="-2"/>
                <w:kern w:val="0"/>
                <w:szCs w:val="21"/>
              </w:rPr>
              <w:t>erinaceum</w:t>
            </w:r>
          </w:p>
        </w:tc>
        <w:tc>
          <w:tcPr>
            <w:tcW w:w="1010" w:type="pct"/>
            <w:tcBorders>
              <w:top w:val="single" w:color="000000" w:sz="4" w:space="0"/>
              <w:left w:val="single" w:color="000000" w:sz="4" w:space="0"/>
              <w:bottom w:val="single" w:color="000000" w:sz="4" w:space="0"/>
              <w:right w:val="nil"/>
            </w:tcBorders>
            <w:vAlign w:val="center"/>
          </w:tcPr>
          <w:p w14:paraId="0C550868">
            <w:pPr>
              <w:spacing w:line="240" w:lineRule="exact"/>
              <w:jc w:val="center"/>
              <w:rPr>
                <w:rFonts w:hint="eastAsia" w:ascii="宋体" w:hAnsi="宋体"/>
                <w:spacing w:val="-5"/>
                <w:kern w:val="0"/>
                <w:szCs w:val="21"/>
              </w:rPr>
            </w:pPr>
            <w:r>
              <w:rPr>
                <w:rFonts w:ascii="宋体" w:hAnsi="宋体"/>
                <w:spacing w:val="-5"/>
                <w:kern w:val="0"/>
                <w:szCs w:val="21"/>
              </w:rPr>
              <w:t>++</w:t>
            </w:r>
          </w:p>
        </w:tc>
      </w:tr>
      <w:tr w14:paraId="346A823F">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799033A">
            <w:pPr>
              <w:spacing w:line="240" w:lineRule="exact"/>
              <w:jc w:val="center"/>
              <w:rPr>
                <w:rFonts w:hint="eastAsia" w:ascii="宋体" w:hAnsi="宋体"/>
                <w:kern w:val="0"/>
                <w:szCs w:val="21"/>
              </w:rPr>
            </w:pPr>
            <w:r>
              <w:rPr>
                <w:rFonts w:hint="eastAsia" w:ascii="宋体" w:hAnsi="宋体"/>
                <w:kern w:val="0"/>
                <w:szCs w:val="21"/>
              </w:rPr>
              <w:t>梭梭</w:t>
            </w:r>
          </w:p>
        </w:tc>
        <w:tc>
          <w:tcPr>
            <w:tcW w:w="2652" w:type="pct"/>
            <w:tcBorders>
              <w:top w:val="single" w:color="000000" w:sz="4" w:space="0"/>
              <w:left w:val="single" w:color="000000" w:sz="4" w:space="0"/>
              <w:bottom w:val="single" w:color="000000" w:sz="4" w:space="0"/>
              <w:right w:val="single" w:color="000000" w:sz="4" w:space="0"/>
            </w:tcBorders>
            <w:vAlign w:val="center"/>
          </w:tcPr>
          <w:p w14:paraId="641D7720">
            <w:pPr>
              <w:spacing w:line="240" w:lineRule="exact"/>
              <w:jc w:val="center"/>
              <w:rPr>
                <w:rFonts w:hint="eastAsia" w:ascii="宋体" w:hAnsi="宋体"/>
                <w:i/>
                <w:iCs/>
                <w:spacing w:val="-2"/>
                <w:kern w:val="0"/>
                <w:szCs w:val="21"/>
              </w:rPr>
            </w:pPr>
            <w:r>
              <w:rPr>
                <w:rFonts w:ascii="宋体" w:hAnsi="宋体"/>
                <w:i/>
                <w:iCs/>
                <w:kern w:val="0"/>
                <w:szCs w:val="21"/>
              </w:rPr>
              <w:t>Haloxylon</w:t>
            </w:r>
            <w:r>
              <w:rPr>
                <w:rFonts w:ascii="宋体" w:hAnsi="宋体"/>
                <w:i/>
                <w:iCs/>
                <w:spacing w:val="-7"/>
                <w:kern w:val="0"/>
                <w:szCs w:val="21"/>
              </w:rPr>
              <w:t xml:space="preserve"> </w:t>
            </w:r>
            <w:r>
              <w:rPr>
                <w:rFonts w:ascii="宋体" w:hAnsi="宋体"/>
                <w:i/>
                <w:iCs/>
                <w:spacing w:val="-2"/>
                <w:kern w:val="0"/>
                <w:szCs w:val="21"/>
              </w:rPr>
              <w:t>ammodendron</w:t>
            </w:r>
          </w:p>
        </w:tc>
        <w:tc>
          <w:tcPr>
            <w:tcW w:w="1010" w:type="pct"/>
            <w:tcBorders>
              <w:top w:val="single" w:color="000000" w:sz="4" w:space="0"/>
              <w:left w:val="single" w:color="000000" w:sz="4" w:space="0"/>
              <w:bottom w:val="single" w:color="000000" w:sz="4" w:space="0"/>
              <w:right w:val="nil"/>
            </w:tcBorders>
            <w:vAlign w:val="center"/>
          </w:tcPr>
          <w:p w14:paraId="596FE329">
            <w:pPr>
              <w:spacing w:line="240" w:lineRule="exact"/>
              <w:jc w:val="center"/>
              <w:rPr>
                <w:rFonts w:hint="eastAsia" w:ascii="宋体" w:hAnsi="宋体"/>
                <w:w w:val="99"/>
                <w:kern w:val="0"/>
                <w:szCs w:val="21"/>
              </w:rPr>
            </w:pPr>
            <w:r>
              <w:rPr>
                <w:rFonts w:ascii="宋体" w:hAnsi="宋体"/>
                <w:w w:val="99"/>
                <w:kern w:val="0"/>
                <w:szCs w:val="21"/>
              </w:rPr>
              <w:t>+</w:t>
            </w:r>
          </w:p>
        </w:tc>
      </w:tr>
      <w:tr w14:paraId="49098FCE">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7513895E">
            <w:pPr>
              <w:spacing w:line="240" w:lineRule="exact"/>
              <w:jc w:val="center"/>
              <w:rPr>
                <w:rFonts w:hint="eastAsia" w:ascii="宋体" w:hAnsi="宋体"/>
                <w:kern w:val="0"/>
                <w:szCs w:val="21"/>
              </w:rPr>
            </w:pPr>
            <w:r>
              <w:rPr>
                <w:rFonts w:hint="eastAsia" w:ascii="宋体" w:hAnsi="宋体"/>
                <w:kern w:val="0"/>
                <w:szCs w:val="21"/>
              </w:rPr>
              <w:t>四、十字花科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0989DD3A">
            <w:pPr>
              <w:spacing w:line="240" w:lineRule="exact"/>
              <w:jc w:val="center"/>
              <w:rPr>
                <w:rFonts w:hint="eastAsia" w:ascii="宋体" w:hAnsi="宋体"/>
                <w:i/>
                <w:iCs/>
                <w:spacing w:val="-2"/>
                <w:kern w:val="0"/>
                <w:szCs w:val="21"/>
              </w:rPr>
            </w:pPr>
            <w:r>
              <w:rPr>
                <w:rFonts w:ascii="宋体" w:hAnsi="宋体"/>
                <w:i/>
                <w:iCs/>
                <w:spacing w:val="-2"/>
                <w:kern w:val="0"/>
                <w:szCs w:val="21"/>
              </w:rPr>
              <w:t>Cruciferae</w:t>
            </w:r>
          </w:p>
        </w:tc>
        <w:tc>
          <w:tcPr>
            <w:tcW w:w="1010" w:type="pct"/>
            <w:tcBorders>
              <w:top w:val="single" w:color="000000" w:sz="4" w:space="0"/>
              <w:left w:val="single" w:color="000000" w:sz="4" w:space="0"/>
              <w:bottom w:val="single" w:color="000000" w:sz="4" w:space="0"/>
              <w:right w:val="nil"/>
            </w:tcBorders>
            <w:vAlign w:val="center"/>
          </w:tcPr>
          <w:p w14:paraId="08F8BA23">
            <w:pPr>
              <w:spacing w:line="240" w:lineRule="exact"/>
              <w:jc w:val="center"/>
              <w:rPr>
                <w:rFonts w:hint="eastAsia" w:ascii="宋体" w:hAnsi="宋体"/>
                <w:kern w:val="0"/>
                <w:szCs w:val="21"/>
              </w:rPr>
            </w:pPr>
          </w:p>
        </w:tc>
      </w:tr>
      <w:tr w14:paraId="4F4B57E5">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0EDEA96E">
            <w:pPr>
              <w:spacing w:line="240" w:lineRule="exact"/>
              <w:jc w:val="center"/>
              <w:rPr>
                <w:rFonts w:hint="eastAsia" w:ascii="宋体" w:hAnsi="宋体"/>
                <w:kern w:val="0"/>
                <w:szCs w:val="21"/>
              </w:rPr>
            </w:pPr>
            <w:r>
              <w:rPr>
                <w:rFonts w:hint="eastAsia" w:ascii="宋体" w:hAnsi="宋体"/>
                <w:kern w:val="0"/>
                <w:szCs w:val="21"/>
              </w:rPr>
              <w:t>荒漠庭荠</w:t>
            </w:r>
          </w:p>
        </w:tc>
        <w:tc>
          <w:tcPr>
            <w:tcW w:w="2652" w:type="pct"/>
            <w:tcBorders>
              <w:top w:val="single" w:color="000000" w:sz="4" w:space="0"/>
              <w:left w:val="single" w:color="000000" w:sz="4" w:space="0"/>
              <w:bottom w:val="single" w:color="000000" w:sz="4" w:space="0"/>
              <w:right w:val="single" w:color="000000" w:sz="4" w:space="0"/>
            </w:tcBorders>
            <w:vAlign w:val="center"/>
          </w:tcPr>
          <w:p w14:paraId="0F16A167">
            <w:pPr>
              <w:spacing w:line="240" w:lineRule="exact"/>
              <w:jc w:val="center"/>
              <w:rPr>
                <w:rFonts w:hint="eastAsia" w:ascii="宋体" w:hAnsi="宋体"/>
                <w:i/>
                <w:iCs/>
                <w:spacing w:val="-2"/>
                <w:kern w:val="0"/>
                <w:szCs w:val="21"/>
              </w:rPr>
            </w:pPr>
            <w:r>
              <w:rPr>
                <w:rFonts w:ascii="宋体" w:hAnsi="宋体"/>
                <w:i/>
                <w:iCs/>
                <w:kern w:val="0"/>
                <w:szCs w:val="21"/>
              </w:rPr>
              <w:t>Alyssum</w:t>
            </w:r>
            <w:r>
              <w:rPr>
                <w:rFonts w:ascii="宋体" w:hAnsi="宋体"/>
                <w:i/>
                <w:iCs/>
                <w:spacing w:val="-8"/>
                <w:kern w:val="0"/>
                <w:szCs w:val="21"/>
              </w:rPr>
              <w:t xml:space="preserve"> </w:t>
            </w:r>
            <w:r>
              <w:rPr>
                <w:rFonts w:ascii="宋体" w:hAnsi="宋体"/>
                <w:i/>
                <w:iCs/>
                <w:spacing w:val="-2"/>
                <w:kern w:val="0"/>
                <w:szCs w:val="21"/>
              </w:rPr>
              <w:t>desertorum</w:t>
            </w:r>
          </w:p>
        </w:tc>
        <w:tc>
          <w:tcPr>
            <w:tcW w:w="1010" w:type="pct"/>
            <w:tcBorders>
              <w:top w:val="single" w:color="000000" w:sz="4" w:space="0"/>
              <w:left w:val="single" w:color="000000" w:sz="4" w:space="0"/>
              <w:bottom w:val="single" w:color="000000" w:sz="4" w:space="0"/>
              <w:right w:val="nil"/>
            </w:tcBorders>
            <w:vAlign w:val="center"/>
          </w:tcPr>
          <w:p w14:paraId="723AA7FC">
            <w:pPr>
              <w:spacing w:line="240" w:lineRule="exact"/>
              <w:jc w:val="center"/>
              <w:rPr>
                <w:rFonts w:hint="eastAsia" w:ascii="宋体" w:hAnsi="宋体"/>
                <w:spacing w:val="-5"/>
                <w:kern w:val="0"/>
                <w:szCs w:val="21"/>
              </w:rPr>
            </w:pPr>
            <w:r>
              <w:rPr>
                <w:rFonts w:ascii="宋体" w:hAnsi="宋体"/>
                <w:spacing w:val="-5"/>
                <w:kern w:val="0"/>
                <w:szCs w:val="21"/>
              </w:rPr>
              <w:t>++</w:t>
            </w:r>
          </w:p>
        </w:tc>
      </w:tr>
      <w:tr w14:paraId="0F710250">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877D505">
            <w:pPr>
              <w:spacing w:line="240" w:lineRule="exact"/>
              <w:jc w:val="center"/>
              <w:rPr>
                <w:rFonts w:hint="eastAsia" w:ascii="宋体" w:hAnsi="宋体"/>
                <w:kern w:val="0"/>
                <w:szCs w:val="21"/>
              </w:rPr>
            </w:pPr>
            <w:r>
              <w:rPr>
                <w:rFonts w:hint="eastAsia" w:ascii="宋体" w:hAnsi="宋体"/>
                <w:kern w:val="0"/>
                <w:szCs w:val="21"/>
              </w:rPr>
              <w:t>五、蒺藜科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4833D8B6">
            <w:pPr>
              <w:spacing w:line="240" w:lineRule="exact"/>
              <w:jc w:val="center"/>
              <w:rPr>
                <w:rFonts w:hint="eastAsia" w:ascii="宋体" w:hAnsi="宋体"/>
                <w:kern w:val="0"/>
                <w:szCs w:val="21"/>
              </w:rPr>
            </w:pPr>
          </w:p>
        </w:tc>
        <w:tc>
          <w:tcPr>
            <w:tcW w:w="1010" w:type="pct"/>
            <w:tcBorders>
              <w:top w:val="single" w:color="000000" w:sz="4" w:space="0"/>
              <w:left w:val="single" w:color="000000" w:sz="4" w:space="0"/>
              <w:bottom w:val="single" w:color="000000" w:sz="4" w:space="0"/>
              <w:right w:val="nil"/>
            </w:tcBorders>
            <w:vAlign w:val="center"/>
          </w:tcPr>
          <w:p w14:paraId="080DAB4B">
            <w:pPr>
              <w:spacing w:line="240" w:lineRule="exact"/>
              <w:jc w:val="center"/>
              <w:rPr>
                <w:rFonts w:hint="eastAsia" w:ascii="宋体" w:hAnsi="宋体"/>
                <w:kern w:val="0"/>
                <w:szCs w:val="21"/>
              </w:rPr>
            </w:pPr>
          </w:p>
        </w:tc>
      </w:tr>
      <w:tr w14:paraId="4224BC6D">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7D727506">
            <w:pPr>
              <w:spacing w:line="240" w:lineRule="exact"/>
              <w:jc w:val="center"/>
              <w:rPr>
                <w:rFonts w:hint="eastAsia" w:ascii="宋体" w:hAnsi="宋体"/>
                <w:kern w:val="0"/>
                <w:szCs w:val="21"/>
              </w:rPr>
            </w:pPr>
            <w:r>
              <w:rPr>
                <w:rFonts w:hint="eastAsia" w:ascii="宋体" w:hAnsi="宋体"/>
                <w:kern w:val="0"/>
                <w:szCs w:val="21"/>
              </w:rPr>
              <w:t>西伯利亚白刺</w:t>
            </w:r>
          </w:p>
        </w:tc>
        <w:tc>
          <w:tcPr>
            <w:tcW w:w="2652" w:type="pct"/>
            <w:tcBorders>
              <w:top w:val="single" w:color="000000" w:sz="4" w:space="0"/>
              <w:left w:val="single" w:color="000000" w:sz="4" w:space="0"/>
              <w:bottom w:val="single" w:color="000000" w:sz="4" w:space="0"/>
              <w:right w:val="single" w:color="000000" w:sz="4" w:space="0"/>
            </w:tcBorders>
            <w:vAlign w:val="center"/>
          </w:tcPr>
          <w:p w14:paraId="2B006FB3">
            <w:pPr>
              <w:spacing w:line="240" w:lineRule="exact"/>
              <w:jc w:val="center"/>
              <w:rPr>
                <w:rFonts w:hint="eastAsia" w:ascii="宋体" w:hAnsi="宋体"/>
                <w:i/>
                <w:iCs/>
                <w:spacing w:val="-2"/>
                <w:kern w:val="0"/>
                <w:szCs w:val="21"/>
              </w:rPr>
            </w:pPr>
            <w:r>
              <w:rPr>
                <w:rFonts w:ascii="宋体" w:hAnsi="宋体"/>
                <w:i/>
                <w:iCs/>
                <w:kern w:val="0"/>
                <w:szCs w:val="21"/>
              </w:rPr>
              <w:t>Nitraria</w:t>
            </w:r>
            <w:r>
              <w:rPr>
                <w:rFonts w:ascii="宋体" w:hAnsi="宋体"/>
                <w:i/>
                <w:iCs/>
                <w:spacing w:val="-7"/>
                <w:kern w:val="0"/>
                <w:szCs w:val="21"/>
              </w:rPr>
              <w:t xml:space="preserve"> </w:t>
            </w:r>
            <w:r>
              <w:rPr>
                <w:rFonts w:ascii="宋体" w:hAnsi="宋体"/>
                <w:i/>
                <w:iCs/>
                <w:spacing w:val="-2"/>
                <w:kern w:val="0"/>
                <w:szCs w:val="21"/>
              </w:rPr>
              <w:t>sibirica</w:t>
            </w:r>
          </w:p>
        </w:tc>
        <w:tc>
          <w:tcPr>
            <w:tcW w:w="1010" w:type="pct"/>
            <w:tcBorders>
              <w:top w:val="single" w:color="000000" w:sz="4" w:space="0"/>
              <w:left w:val="single" w:color="000000" w:sz="4" w:space="0"/>
              <w:bottom w:val="single" w:color="000000" w:sz="4" w:space="0"/>
              <w:right w:val="nil"/>
            </w:tcBorders>
            <w:vAlign w:val="center"/>
          </w:tcPr>
          <w:p w14:paraId="4AC9FE11">
            <w:pPr>
              <w:spacing w:line="240" w:lineRule="exact"/>
              <w:jc w:val="center"/>
              <w:rPr>
                <w:rFonts w:hint="eastAsia" w:ascii="宋体" w:hAnsi="宋体"/>
                <w:w w:val="99"/>
                <w:kern w:val="0"/>
                <w:szCs w:val="21"/>
              </w:rPr>
            </w:pPr>
            <w:r>
              <w:rPr>
                <w:rFonts w:ascii="宋体" w:hAnsi="宋体"/>
                <w:w w:val="99"/>
                <w:kern w:val="0"/>
                <w:szCs w:val="21"/>
              </w:rPr>
              <w:t>+</w:t>
            </w:r>
          </w:p>
        </w:tc>
      </w:tr>
      <w:tr w14:paraId="6F9297C5">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65D6ACE">
            <w:pPr>
              <w:spacing w:line="240" w:lineRule="exact"/>
              <w:jc w:val="center"/>
              <w:rPr>
                <w:rFonts w:hint="eastAsia" w:ascii="宋体" w:hAnsi="宋体"/>
                <w:kern w:val="0"/>
                <w:szCs w:val="21"/>
              </w:rPr>
            </w:pPr>
            <w:r>
              <w:rPr>
                <w:rFonts w:hint="eastAsia" w:ascii="宋体" w:hAnsi="宋体"/>
                <w:kern w:val="0"/>
                <w:szCs w:val="21"/>
              </w:rPr>
              <w:t>六、大戟科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18D72613">
            <w:pPr>
              <w:spacing w:line="240" w:lineRule="exact"/>
              <w:jc w:val="center"/>
              <w:rPr>
                <w:rFonts w:hint="eastAsia" w:ascii="宋体" w:hAnsi="宋体"/>
                <w:i/>
                <w:iCs/>
                <w:spacing w:val="-2"/>
                <w:kern w:val="0"/>
                <w:szCs w:val="21"/>
              </w:rPr>
            </w:pPr>
            <w:r>
              <w:rPr>
                <w:rFonts w:ascii="宋体" w:hAnsi="宋体"/>
                <w:i/>
                <w:iCs/>
                <w:spacing w:val="-2"/>
                <w:kern w:val="0"/>
                <w:szCs w:val="21"/>
              </w:rPr>
              <w:t>Euphorbiacea</w:t>
            </w:r>
          </w:p>
        </w:tc>
        <w:tc>
          <w:tcPr>
            <w:tcW w:w="1010" w:type="pct"/>
            <w:tcBorders>
              <w:top w:val="single" w:color="000000" w:sz="4" w:space="0"/>
              <w:left w:val="single" w:color="000000" w:sz="4" w:space="0"/>
              <w:bottom w:val="single" w:color="000000" w:sz="4" w:space="0"/>
              <w:right w:val="nil"/>
            </w:tcBorders>
            <w:vAlign w:val="center"/>
          </w:tcPr>
          <w:p w14:paraId="10DC5416">
            <w:pPr>
              <w:spacing w:line="240" w:lineRule="exact"/>
              <w:jc w:val="center"/>
              <w:rPr>
                <w:rFonts w:hint="eastAsia" w:ascii="宋体" w:hAnsi="宋体"/>
                <w:kern w:val="0"/>
                <w:szCs w:val="21"/>
              </w:rPr>
            </w:pPr>
          </w:p>
        </w:tc>
      </w:tr>
      <w:tr w14:paraId="0761528F">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65D56137">
            <w:pPr>
              <w:spacing w:line="240" w:lineRule="exact"/>
              <w:jc w:val="center"/>
              <w:rPr>
                <w:rFonts w:hint="eastAsia" w:ascii="宋体" w:hAnsi="宋体"/>
                <w:kern w:val="0"/>
                <w:szCs w:val="21"/>
              </w:rPr>
            </w:pPr>
            <w:r>
              <w:rPr>
                <w:rFonts w:hint="eastAsia" w:ascii="宋体" w:hAnsi="宋体"/>
                <w:kern w:val="0"/>
                <w:szCs w:val="21"/>
              </w:rPr>
              <w:t>沙生大戟</w:t>
            </w:r>
          </w:p>
        </w:tc>
        <w:tc>
          <w:tcPr>
            <w:tcW w:w="2652" w:type="pct"/>
            <w:tcBorders>
              <w:top w:val="single" w:color="000000" w:sz="4" w:space="0"/>
              <w:left w:val="single" w:color="000000" w:sz="4" w:space="0"/>
              <w:bottom w:val="single" w:color="000000" w:sz="4" w:space="0"/>
              <w:right w:val="single" w:color="000000" w:sz="4" w:space="0"/>
            </w:tcBorders>
            <w:vAlign w:val="center"/>
          </w:tcPr>
          <w:p w14:paraId="45FF768A">
            <w:pPr>
              <w:spacing w:line="240" w:lineRule="exact"/>
              <w:jc w:val="center"/>
              <w:rPr>
                <w:rFonts w:hint="eastAsia" w:ascii="宋体" w:hAnsi="宋体"/>
                <w:i/>
                <w:iCs/>
                <w:spacing w:val="-2"/>
                <w:kern w:val="0"/>
                <w:szCs w:val="21"/>
              </w:rPr>
            </w:pPr>
            <w:r>
              <w:rPr>
                <w:rFonts w:ascii="宋体" w:hAnsi="宋体"/>
                <w:i/>
                <w:iCs/>
                <w:kern w:val="0"/>
                <w:szCs w:val="21"/>
              </w:rPr>
              <w:t>Euphorbia</w:t>
            </w:r>
            <w:r>
              <w:rPr>
                <w:rFonts w:ascii="宋体" w:hAnsi="宋体"/>
                <w:i/>
                <w:iCs/>
                <w:spacing w:val="-7"/>
                <w:kern w:val="0"/>
                <w:szCs w:val="21"/>
              </w:rPr>
              <w:t xml:space="preserve"> </w:t>
            </w:r>
            <w:r>
              <w:rPr>
                <w:rFonts w:ascii="宋体" w:hAnsi="宋体"/>
                <w:i/>
                <w:iCs/>
                <w:spacing w:val="-2"/>
                <w:kern w:val="0"/>
                <w:szCs w:val="21"/>
              </w:rPr>
              <w:t>turazaninovii</w:t>
            </w:r>
          </w:p>
        </w:tc>
        <w:tc>
          <w:tcPr>
            <w:tcW w:w="1010" w:type="pct"/>
            <w:tcBorders>
              <w:top w:val="single" w:color="000000" w:sz="4" w:space="0"/>
              <w:left w:val="single" w:color="000000" w:sz="4" w:space="0"/>
              <w:bottom w:val="single" w:color="000000" w:sz="4" w:space="0"/>
              <w:right w:val="nil"/>
            </w:tcBorders>
            <w:vAlign w:val="center"/>
          </w:tcPr>
          <w:p w14:paraId="747353C3">
            <w:pPr>
              <w:spacing w:line="240" w:lineRule="exact"/>
              <w:jc w:val="center"/>
              <w:rPr>
                <w:rFonts w:hint="eastAsia" w:ascii="宋体" w:hAnsi="宋体"/>
                <w:w w:val="99"/>
                <w:kern w:val="0"/>
                <w:szCs w:val="21"/>
              </w:rPr>
            </w:pPr>
            <w:r>
              <w:rPr>
                <w:rFonts w:ascii="宋体" w:hAnsi="宋体"/>
                <w:w w:val="99"/>
                <w:kern w:val="0"/>
                <w:szCs w:val="21"/>
              </w:rPr>
              <w:t>+</w:t>
            </w:r>
          </w:p>
        </w:tc>
      </w:tr>
      <w:tr w14:paraId="3D8D0676">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3BA8EF06">
            <w:pPr>
              <w:spacing w:line="240" w:lineRule="exact"/>
              <w:jc w:val="center"/>
              <w:rPr>
                <w:rFonts w:hint="eastAsia" w:ascii="宋体" w:hAnsi="宋体"/>
                <w:kern w:val="0"/>
                <w:szCs w:val="21"/>
              </w:rPr>
            </w:pPr>
            <w:r>
              <w:rPr>
                <w:rFonts w:hint="eastAsia" w:ascii="宋体" w:hAnsi="宋体"/>
                <w:kern w:val="0"/>
                <w:szCs w:val="21"/>
              </w:rPr>
              <w:t>七、菊科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5AE6800F">
            <w:pPr>
              <w:spacing w:line="240" w:lineRule="exact"/>
              <w:jc w:val="center"/>
              <w:rPr>
                <w:rFonts w:hint="eastAsia" w:ascii="宋体" w:hAnsi="宋体"/>
                <w:i/>
                <w:iCs/>
                <w:spacing w:val="-2"/>
                <w:kern w:val="0"/>
                <w:szCs w:val="21"/>
              </w:rPr>
            </w:pPr>
            <w:r>
              <w:rPr>
                <w:rFonts w:ascii="宋体" w:hAnsi="宋体"/>
                <w:i/>
                <w:iCs/>
                <w:spacing w:val="-2"/>
                <w:kern w:val="0"/>
                <w:szCs w:val="21"/>
              </w:rPr>
              <w:t>Compsitae</w:t>
            </w:r>
          </w:p>
        </w:tc>
        <w:tc>
          <w:tcPr>
            <w:tcW w:w="1010" w:type="pct"/>
            <w:tcBorders>
              <w:top w:val="single" w:color="000000" w:sz="4" w:space="0"/>
              <w:left w:val="single" w:color="000000" w:sz="4" w:space="0"/>
              <w:bottom w:val="single" w:color="000000" w:sz="4" w:space="0"/>
              <w:right w:val="nil"/>
            </w:tcBorders>
            <w:vAlign w:val="center"/>
          </w:tcPr>
          <w:p w14:paraId="57CBB935">
            <w:pPr>
              <w:spacing w:line="240" w:lineRule="exact"/>
              <w:jc w:val="center"/>
              <w:rPr>
                <w:rFonts w:hint="eastAsia" w:ascii="宋体" w:hAnsi="宋体"/>
                <w:kern w:val="0"/>
                <w:szCs w:val="21"/>
              </w:rPr>
            </w:pPr>
          </w:p>
        </w:tc>
      </w:tr>
      <w:tr w14:paraId="1DE28CA9">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663DBF65">
            <w:pPr>
              <w:spacing w:line="240" w:lineRule="exact"/>
              <w:jc w:val="center"/>
              <w:rPr>
                <w:rFonts w:hint="eastAsia" w:ascii="宋体" w:hAnsi="宋体"/>
                <w:kern w:val="0"/>
                <w:szCs w:val="21"/>
              </w:rPr>
            </w:pPr>
            <w:r>
              <w:rPr>
                <w:rFonts w:hint="eastAsia" w:ascii="宋体" w:hAnsi="宋体"/>
                <w:kern w:val="0"/>
                <w:szCs w:val="21"/>
              </w:rPr>
              <w:t>苦艾蒿</w:t>
            </w:r>
          </w:p>
        </w:tc>
        <w:tc>
          <w:tcPr>
            <w:tcW w:w="2652" w:type="pct"/>
            <w:tcBorders>
              <w:top w:val="single" w:color="000000" w:sz="4" w:space="0"/>
              <w:left w:val="single" w:color="000000" w:sz="4" w:space="0"/>
              <w:bottom w:val="single" w:color="000000" w:sz="4" w:space="0"/>
              <w:right w:val="single" w:color="000000" w:sz="4" w:space="0"/>
            </w:tcBorders>
            <w:vAlign w:val="center"/>
          </w:tcPr>
          <w:p w14:paraId="69E4806C">
            <w:pPr>
              <w:spacing w:line="240" w:lineRule="exact"/>
              <w:jc w:val="center"/>
              <w:rPr>
                <w:rFonts w:hint="eastAsia" w:ascii="宋体" w:hAnsi="宋体"/>
                <w:i/>
                <w:iCs/>
                <w:spacing w:val="-2"/>
                <w:kern w:val="0"/>
                <w:szCs w:val="21"/>
              </w:rPr>
            </w:pPr>
            <w:r>
              <w:rPr>
                <w:rFonts w:ascii="宋体" w:hAnsi="宋体"/>
                <w:i/>
                <w:iCs/>
                <w:kern w:val="0"/>
                <w:szCs w:val="21"/>
              </w:rPr>
              <w:t>Artemisia</w:t>
            </w:r>
            <w:r>
              <w:rPr>
                <w:rFonts w:ascii="宋体" w:hAnsi="宋体"/>
                <w:i/>
                <w:iCs/>
                <w:spacing w:val="-10"/>
                <w:kern w:val="0"/>
                <w:szCs w:val="21"/>
              </w:rPr>
              <w:t xml:space="preserve"> </w:t>
            </w:r>
            <w:r>
              <w:rPr>
                <w:rFonts w:ascii="宋体" w:hAnsi="宋体"/>
                <w:i/>
                <w:iCs/>
                <w:spacing w:val="-2"/>
                <w:kern w:val="0"/>
                <w:szCs w:val="21"/>
              </w:rPr>
              <w:t>santolina</w:t>
            </w:r>
          </w:p>
        </w:tc>
        <w:tc>
          <w:tcPr>
            <w:tcW w:w="1010" w:type="pct"/>
            <w:tcBorders>
              <w:top w:val="single" w:color="000000" w:sz="4" w:space="0"/>
              <w:left w:val="single" w:color="000000" w:sz="4" w:space="0"/>
              <w:bottom w:val="single" w:color="000000" w:sz="4" w:space="0"/>
              <w:right w:val="nil"/>
            </w:tcBorders>
            <w:vAlign w:val="center"/>
          </w:tcPr>
          <w:p w14:paraId="7E1F9D4D">
            <w:pPr>
              <w:spacing w:line="240" w:lineRule="exact"/>
              <w:jc w:val="center"/>
              <w:rPr>
                <w:rFonts w:hint="eastAsia" w:ascii="宋体" w:hAnsi="宋体"/>
                <w:w w:val="99"/>
                <w:kern w:val="0"/>
                <w:szCs w:val="21"/>
              </w:rPr>
            </w:pPr>
            <w:r>
              <w:rPr>
                <w:rFonts w:ascii="宋体" w:hAnsi="宋体"/>
                <w:w w:val="99"/>
                <w:kern w:val="0"/>
                <w:szCs w:val="21"/>
              </w:rPr>
              <w:t>+</w:t>
            </w:r>
          </w:p>
        </w:tc>
      </w:tr>
      <w:tr w14:paraId="22FC6056">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73AE246">
            <w:pPr>
              <w:spacing w:line="240" w:lineRule="exact"/>
              <w:jc w:val="center"/>
              <w:rPr>
                <w:rFonts w:hint="eastAsia" w:ascii="宋体" w:hAnsi="宋体"/>
                <w:kern w:val="0"/>
                <w:szCs w:val="21"/>
              </w:rPr>
            </w:pPr>
            <w:r>
              <w:rPr>
                <w:rFonts w:hint="eastAsia" w:ascii="宋体" w:hAnsi="宋体"/>
                <w:kern w:val="0"/>
                <w:szCs w:val="21"/>
              </w:rPr>
              <w:t>地白蒿</w:t>
            </w:r>
          </w:p>
        </w:tc>
        <w:tc>
          <w:tcPr>
            <w:tcW w:w="2652" w:type="pct"/>
            <w:tcBorders>
              <w:top w:val="single" w:color="000000" w:sz="4" w:space="0"/>
              <w:left w:val="single" w:color="000000" w:sz="4" w:space="0"/>
              <w:bottom w:val="single" w:color="000000" w:sz="4" w:space="0"/>
              <w:right w:val="single" w:color="000000" w:sz="4" w:space="0"/>
            </w:tcBorders>
            <w:vAlign w:val="center"/>
          </w:tcPr>
          <w:p w14:paraId="490757B8">
            <w:pPr>
              <w:spacing w:line="240" w:lineRule="exact"/>
              <w:jc w:val="center"/>
              <w:rPr>
                <w:rFonts w:hint="eastAsia" w:ascii="宋体" w:hAnsi="宋体"/>
                <w:i/>
                <w:iCs/>
                <w:w w:val="95"/>
                <w:kern w:val="0"/>
                <w:szCs w:val="21"/>
              </w:rPr>
            </w:pPr>
            <w:r>
              <w:rPr>
                <w:rFonts w:ascii="宋体" w:hAnsi="宋体"/>
                <w:i/>
                <w:iCs/>
                <w:w w:val="95"/>
                <w:kern w:val="0"/>
                <w:szCs w:val="21"/>
              </w:rPr>
              <w:t>Areemisia</w:t>
            </w:r>
            <w:r>
              <w:rPr>
                <w:rFonts w:ascii="宋体" w:hAnsi="宋体"/>
                <w:i/>
                <w:iCs/>
                <w:spacing w:val="48"/>
                <w:kern w:val="0"/>
                <w:szCs w:val="21"/>
              </w:rPr>
              <w:t xml:space="preserve"> </w:t>
            </w:r>
            <w:r>
              <w:rPr>
                <w:rFonts w:ascii="宋体" w:hAnsi="宋体"/>
                <w:i/>
                <w:iCs/>
                <w:w w:val="95"/>
                <w:kern w:val="0"/>
                <w:szCs w:val="21"/>
              </w:rPr>
              <w:t>terrae-ablae</w:t>
            </w:r>
          </w:p>
        </w:tc>
        <w:tc>
          <w:tcPr>
            <w:tcW w:w="1010" w:type="pct"/>
            <w:tcBorders>
              <w:top w:val="single" w:color="000000" w:sz="4" w:space="0"/>
              <w:left w:val="single" w:color="000000" w:sz="4" w:space="0"/>
              <w:bottom w:val="single" w:color="000000" w:sz="4" w:space="0"/>
              <w:right w:val="nil"/>
            </w:tcBorders>
            <w:vAlign w:val="center"/>
          </w:tcPr>
          <w:p w14:paraId="39BD01D7">
            <w:pPr>
              <w:spacing w:line="240" w:lineRule="exact"/>
              <w:jc w:val="center"/>
              <w:rPr>
                <w:rFonts w:hint="eastAsia" w:ascii="宋体" w:hAnsi="宋体"/>
                <w:w w:val="99"/>
                <w:kern w:val="0"/>
                <w:szCs w:val="21"/>
              </w:rPr>
            </w:pPr>
            <w:r>
              <w:rPr>
                <w:rFonts w:ascii="宋体" w:hAnsi="宋体"/>
                <w:w w:val="99"/>
                <w:kern w:val="0"/>
                <w:szCs w:val="21"/>
              </w:rPr>
              <w:t>+</w:t>
            </w:r>
          </w:p>
        </w:tc>
      </w:tr>
      <w:tr w14:paraId="3BCA3351">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470884CE">
            <w:pPr>
              <w:spacing w:line="240" w:lineRule="exact"/>
              <w:jc w:val="center"/>
              <w:rPr>
                <w:rFonts w:hint="eastAsia" w:ascii="宋体" w:hAnsi="宋体"/>
                <w:kern w:val="0"/>
                <w:szCs w:val="21"/>
              </w:rPr>
            </w:pPr>
            <w:r>
              <w:rPr>
                <w:rFonts w:hint="eastAsia" w:ascii="宋体" w:hAnsi="宋体"/>
                <w:kern w:val="0"/>
                <w:szCs w:val="21"/>
              </w:rPr>
              <w:t>沙地千里光</w:t>
            </w:r>
          </w:p>
        </w:tc>
        <w:tc>
          <w:tcPr>
            <w:tcW w:w="2652" w:type="pct"/>
            <w:tcBorders>
              <w:top w:val="single" w:color="000000" w:sz="4" w:space="0"/>
              <w:left w:val="single" w:color="000000" w:sz="4" w:space="0"/>
              <w:bottom w:val="single" w:color="000000" w:sz="4" w:space="0"/>
              <w:right w:val="single" w:color="000000" w:sz="4" w:space="0"/>
            </w:tcBorders>
            <w:vAlign w:val="center"/>
          </w:tcPr>
          <w:p w14:paraId="2CDBAA34">
            <w:pPr>
              <w:spacing w:line="240" w:lineRule="exact"/>
              <w:jc w:val="center"/>
              <w:rPr>
                <w:rFonts w:hint="eastAsia" w:ascii="宋体" w:hAnsi="宋体"/>
                <w:i/>
                <w:iCs/>
                <w:spacing w:val="-2"/>
                <w:kern w:val="0"/>
                <w:szCs w:val="21"/>
              </w:rPr>
            </w:pPr>
            <w:r>
              <w:rPr>
                <w:rFonts w:ascii="宋体" w:hAnsi="宋体"/>
                <w:i/>
                <w:iCs/>
                <w:kern w:val="0"/>
                <w:szCs w:val="21"/>
              </w:rPr>
              <w:t>Senecio</w:t>
            </w:r>
            <w:r>
              <w:rPr>
                <w:rFonts w:ascii="宋体" w:hAnsi="宋体"/>
                <w:i/>
                <w:iCs/>
                <w:spacing w:val="-9"/>
                <w:kern w:val="0"/>
                <w:szCs w:val="21"/>
              </w:rPr>
              <w:t xml:space="preserve"> </w:t>
            </w:r>
            <w:r>
              <w:rPr>
                <w:rFonts w:ascii="宋体" w:hAnsi="宋体"/>
                <w:i/>
                <w:iCs/>
                <w:spacing w:val="-2"/>
                <w:kern w:val="0"/>
                <w:szCs w:val="21"/>
              </w:rPr>
              <w:t>subdentatus</w:t>
            </w:r>
          </w:p>
        </w:tc>
        <w:tc>
          <w:tcPr>
            <w:tcW w:w="1010" w:type="pct"/>
            <w:tcBorders>
              <w:top w:val="single" w:color="000000" w:sz="4" w:space="0"/>
              <w:left w:val="single" w:color="000000" w:sz="4" w:space="0"/>
              <w:bottom w:val="single" w:color="000000" w:sz="4" w:space="0"/>
              <w:right w:val="nil"/>
            </w:tcBorders>
            <w:vAlign w:val="center"/>
          </w:tcPr>
          <w:p w14:paraId="021D5ECB">
            <w:pPr>
              <w:spacing w:line="240" w:lineRule="exact"/>
              <w:jc w:val="center"/>
              <w:rPr>
                <w:rFonts w:hint="eastAsia" w:ascii="宋体" w:hAnsi="宋体"/>
                <w:spacing w:val="-5"/>
                <w:kern w:val="0"/>
                <w:szCs w:val="21"/>
              </w:rPr>
            </w:pPr>
            <w:r>
              <w:rPr>
                <w:rFonts w:ascii="宋体" w:hAnsi="宋体"/>
                <w:spacing w:val="-5"/>
                <w:kern w:val="0"/>
                <w:szCs w:val="21"/>
              </w:rPr>
              <w:t>++</w:t>
            </w:r>
          </w:p>
        </w:tc>
      </w:tr>
      <w:tr w14:paraId="7C38AC79">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571F6C4A">
            <w:pPr>
              <w:spacing w:line="240" w:lineRule="exact"/>
              <w:jc w:val="center"/>
              <w:rPr>
                <w:rFonts w:hint="eastAsia" w:ascii="宋体" w:hAnsi="宋体"/>
                <w:kern w:val="0"/>
                <w:szCs w:val="21"/>
              </w:rPr>
            </w:pPr>
            <w:r>
              <w:rPr>
                <w:rFonts w:hint="eastAsia" w:ascii="宋体" w:hAnsi="宋体"/>
                <w:kern w:val="0"/>
                <w:szCs w:val="21"/>
              </w:rPr>
              <w:t>八、莎草科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6B8A36C3">
            <w:pPr>
              <w:spacing w:line="240" w:lineRule="exact"/>
              <w:jc w:val="center"/>
              <w:rPr>
                <w:rFonts w:hint="eastAsia" w:ascii="宋体" w:hAnsi="宋体"/>
                <w:kern w:val="0"/>
                <w:szCs w:val="21"/>
              </w:rPr>
            </w:pPr>
          </w:p>
        </w:tc>
        <w:tc>
          <w:tcPr>
            <w:tcW w:w="1010" w:type="pct"/>
            <w:tcBorders>
              <w:top w:val="single" w:color="000000" w:sz="4" w:space="0"/>
              <w:left w:val="single" w:color="000000" w:sz="4" w:space="0"/>
              <w:bottom w:val="single" w:color="000000" w:sz="4" w:space="0"/>
              <w:right w:val="nil"/>
            </w:tcBorders>
            <w:vAlign w:val="center"/>
          </w:tcPr>
          <w:p w14:paraId="3063B58D">
            <w:pPr>
              <w:spacing w:line="240" w:lineRule="exact"/>
              <w:jc w:val="center"/>
              <w:rPr>
                <w:rFonts w:hint="eastAsia" w:ascii="宋体" w:hAnsi="宋体"/>
                <w:kern w:val="0"/>
                <w:szCs w:val="21"/>
              </w:rPr>
            </w:pPr>
          </w:p>
        </w:tc>
      </w:tr>
      <w:tr w14:paraId="622E1ECA">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253D9E63">
            <w:pPr>
              <w:spacing w:line="240" w:lineRule="exact"/>
              <w:jc w:val="center"/>
              <w:rPr>
                <w:rFonts w:hint="eastAsia" w:ascii="宋体" w:hAnsi="宋体"/>
                <w:kern w:val="0"/>
                <w:szCs w:val="21"/>
              </w:rPr>
            </w:pPr>
            <w:r>
              <w:rPr>
                <w:rFonts w:hint="eastAsia" w:ascii="宋体" w:hAnsi="宋体"/>
                <w:kern w:val="0"/>
                <w:szCs w:val="21"/>
              </w:rPr>
              <w:t>囊果苔草</w:t>
            </w:r>
          </w:p>
        </w:tc>
        <w:tc>
          <w:tcPr>
            <w:tcW w:w="2652" w:type="pct"/>
            <w:tcBorders>
              <w:top w:val="single" w:color="000000" w:sz="4" w:space="0"/>
              <w:left w:val="single" w:color="000000" w:sz="4" w:space="0"/>
              <w:bottom w:val="single" w:color="000000" w:sz="4" w:space="0"/>
              <w:right w:val="single" w:color="000000" w:sz="4" w:space="0"/>
            </w:tcBorders>
            <w:vAlign w:val="center"/>
          </w:tcPr>
          <w:p w14:paraId="47F1FC54">
            <w:pPr>
              <w:spacing w:line="240" w:lineRule="exact"/>
              <w:jc w:val="center"/>
              <w:rPr>
                <w:rFonts w:hint="eastAsia" w:ascii="宋体" w:hAnsi="宋体"/>
                <w:i/>
                <w:iCs/>
                <w:spacing w:val="-2"/>
                <w:kern w:val="0"/>
                <w:szCs w:val="21"/>
              </w:rPr>
            </w:pPr>
            <w:r>
              <w:rPr>
                <w:rFonts w:ascii="宋体" w:hAnsi="宋体"/>
                <w:i/>
                <w:iCs/>
                <w:spacing w:val="-2"/>
                <w:kern w:val="0"/>
                <w:szCs w:val="21"/>
              </w:rPr>
              <w:t>Carex</w:t>
            </w:r>
            <w:r>
              <w:rPr>
                <w:rFonts w:ascii="宋体" w:hAnsi="宋体"/>
                <w:i/>
                <w:iCs/>
                <w:spacing w:val="-5"/>
                <w:kern w:val="0"/>
                <w:szCs w:val="21"/>
              </w:rPr>
              <w:t xml:space="preserve"> </w:t>
            </w:r>
            <w:r>
              <w:rPr>
                <w:rFonts w:ascii="宋体" w:hAnsi="宋体"/>
                <w:i/>
                <w:iCs/>
                <w:spacing w:val="-2"/>
                <w:kern w:val="0"/>
                <w:szCs w:val="21"/>
              </w:rPr>
              <w:t>physodes</w:t>
            </w:r>
          </w:p>
        </w:tc>
        <w:tc>
          <w:tcPr>
            <w:tcW w:w="1010" w:type="pct"/>
            <w:tcBorders>
              <w:top w:val="single" w:color="000000" w:sz="4" w:space="0"/>
              <w:left w:val="single" w:color="000000" w:sz="4" w:space="0"/>
              <w:bottom w:val="single" w:color="000000" w:sz="4" w:space="0"/>
              <w:right w:val="nil"/>
            </w:tcBorders>
            <w:vAlign w:val="center"/>
          </w:tcPr>
          <w:p w14:paraId="2969FD7B">
            <w:pPr>
              <w:spacing w:line="240" w:lineRule="exact"/>
              <w:jc w:val="center"/>
              <w:rPr>
                <w:rFonts w:hint="eastAsia" w:ascii="宋体" w:hAnsi="宋体"/>
                <w:w w:val="99"/>
                <w:kern w:val="0"/>
                <w:szCs w:val="21"/>
              </w:rPr>
            </w:pPr>
            <w:r>
              <w:rPr>
                <w:rFonts w:ascii="宋体" w:hAnsi="宋体"/>
                <w:w w:val="99"/>
                <w:kern w:val="0"/>
                <w:szCs w:val="21"/>
              </w:rPr>
              <w:t>+</w:t>
            </w:r>
          </w:p>
        </w:tc>
      </w:tr>
      <w:tr w14:paraId="68A554D8">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1E6013AF">
            <w:pPr>
              <w:spacing w:line="240" w:lineRule="exact"/>
              <w:jc w:val="center"/>
              <w:rPr>
                <w:rFonts w:hint="eastAsia" w:ascii="宋体" w:hAnsi="宋体"/>
                <w:kern w:val="0"/>
                <w:szCs w:val="21"/>
              </w:rPr>
            </w:pPr>
            <w:r>
              <w:rPr>
                <w:rFonts w:hint="eastAsia" w:ascii="宋体" w:hAnsi="宋体"/>
                <w:kern w:val="0"/>
                <w:szCs w:val="21"/>
              </w:rPr>
              <w:t>九、柽柳科</w:t>
            </w:r>
          </w:p>
        </w:tc>
        <w:tc>
          <w:tcPr>
            <w:tcW w:w="2652" w:type="pct"/>
            <w:tcBorders>
              <w:top w:val="single" w:color="000000" w:sz="4" w:space="0"/>
              <w:left w:val="single" w:color="000000" w:sz="4" w:space="0"/>
              <w:bottom w:val="single" w:color="000000" w:sz="4" w:space="0"/>
              <w:right w:val="single" w:color="000000" w:sz="4" w:space="0"/>
            </w:tcBorders>
            <w:vAlign w:val="center"/>
          </w:tcPr>
          <w:p w14:paraId="66DFF46B">
            <w:pPr>
              <w:spacing w:line="240" w:lineRule="exact"/>
              <w:jc w:val="center"/>
              <w:rPr>
                <w:rFonts w:hint="eastAsia" w:ascii="宋体" w:hAnsi="宋体"/>
                <w:i/>
                <w:iCs/>
                <w:spacing w:val="-2"/>
                <w:kern w:val="0"/>
                <w:szCs w:val="21"/>
              </w:rPr>
            </w:pPr>
            <w:r>
              <w:rPr>
                <w:rFonts w:ascii="宋体" w:hAnsi="宋体"/>
                <w:i/>
                <w:iCs/>
                <w:spacing w:val="-2"/>
                <w:kern w:val="0"/>
                <w:szCs w:val="21"/>
              </w:rPr>
              <w:t>Tamaricacene</w:t>
            </w:r>
          </w:p>
        </w:tc>
        <w:tc>
          <w:tcPr>
            <w:tcW w:w="1010" w:type="pct"/>
            <w:tcBorders>
              <w:top w:val="single" w:color="000000" w:sz="4" w:space="0"/>
              <w:left w:val="single" w:color="000000" w:sz="4" w:space="0"/>
              <w:bottom w:val="single" w:color="000000" w:sz="4" w:space="0"/>
              <w:right w:val="nil"/>
            </w:tcBorders>
            <w:vAlign w:val="center"/>
          </w:tcPr>
          <w:p w14:paraId="38B09087">
            <w:pPr>
              <w:spacing w:line="240" w:lineRule="exact"/>
              <w:jc w:val="center"/>
              <w:rPr>
                <w:rFonts w:hint="eastAsia" w:ascii="宋体" w:hAnsi="宋体"/>
                <w:kern w:val="0"/>
                <w:szCs w:val="21"/>
              </w:rPr>
            </w:pPr>
          </w:p>
        </w:tc>
      </w:tr>
      <w:tr w14:paraId="4DBE903D">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4" w:space="0"/>
              <w:right w:val="single" w:color="000000" w:sz="4" w:space="0"/>
            </w:tcBorders>
            <w:vAlign w:val="center"/>
          </w:tcPr>
          <w:p w14:paraId="29B4DF73">
            <w:pPr>
              <w:spacing w:line="240" w:lineRule="exact"/>
              <w:jc w:val="center"/>
              <w:rPr>
                <w:rFonts w:hint="eastAsia" w:ascii="宋体" w:hAnsi="宋体"/>
                <w:kern w:val="0"/>
                <w:szCs w:val="21"/>
              </w:rPr>
            </w:pPr>
            <w:r>
              <w:rPr>
                <w:rFonts w:hint="eastAsia" w:ascii="宋体" w:hAnsi="宋体"/>
                <w:kern w:val="0"/>
                <w:szCs w:val="21"/>
              </w:rPr>
              <w:t>琵琶柴</w:t>
            </w:r>
          </w:p>
        </w:tc>
        <w:tc>
          <w:tcPr>
            <w:tcW w:w="2652" w:type="pct"/>
            <w:tcBorders>
              <w:top w:val="single" w:color="000000" w:sz="4" w:space="0"/>
              <w:left w:val="single" w:color="000000" w:sz="4" w:space="0"/>
              <w:bottom w:val="single" w:color="000000" w:sz="4" w:space="0"/>
              <w:right w:val="single" w:color="000000" w:sz="4" w:space="0"/>
            </w:tcBorders>
            <w:vAlign w:val="center"/>
          </w:tcPr>
          <w:p w14:paraId="1AED17B8">
            <w:pPr>
              <w:spacing w:line="240" w:lineRule="exact"/>
              <w:jc w:val="center"/>
              <w:rPr>
                <w:rFonts w:hint="eastAsia" w:ascii="宋体" w:hAnsi="宋体"/>
                <w:i/>
                <w:iCs/>
                <w:spacing w:val="-2"/>
                <w:kern w:val="0"/>
                <w:szCs w:val="21"/>
              </w:rPr>
            </w:pPr>
            <w:r>
              <w:rPr>
                <w:rFonts w:ascii="宋体" w:hAnsi="宋体"/>
                <w:i/>
                <w:iCs/>
                <w:kern w:val="0"/>
                <w:szCs w:val="21"/>
              </w:rPr>
              <w:t>Reaumuria</w:t>
            </w:r>
            <w:r>
              <w:rPr>
                <w:rFonts w:ascii="宋体" w:hAnsi="宋体"/>
                <w:i/>
                <w:iCs/>
                <w:spacing w:val="-8"/>
                <w:kern w:val="0"/>
                <w:szCs w:val="21"/>
              </w:rPr>
              <w:t xml:space="preserve"> </w:t>
            </w:r>
            <w:r>
              <w:rPr>
                <w:rFonts w:ascii="宋体" w:hAnsi="宋体"/>
                <w:i/>
                <w:iCs/>
                <w:spacing w:val="-2"/>
                <w:kern w:val="0"/>
                <w:szCs w:val="21"/>
              </w:rPr>
              <w:t>soongorica</w:t>
            </w:r>
          </w:p>
        </w:tc>
        <w:tc>
          <w:tcPr>
            <w:tcW w:w="1010" w:type="pct"/>
            <w:tcBorders>
              <w:top w:val="single" w:color="000000" w:sz="4" w:space="0"/>
              <w:left w:val="single" w:color="000000" w:sz="4" w:space="0"/>
              <w:bottom w:val="single" w:color="000000" w:sz="4" w:space="0"/>
              <w:right w:val="nil"/>
            </w:tcBorders>
            <w:vAlign w:val="center"/>
          </w:tcPr>
          <w:p w14:paraId="14B3B8A0">
            <w:pPr>
              <w:spacing w:line="240" w:lineRule="exact"/>
              <w:jc w:val="center"/>
              <w:rPr>
                <w:rFonts w:hint="eastAsia" w:ascii="宋体" w:hAnsi="宋体"/>
                <w:spacing w:val="-5"/>
                <w:kern w:val="0"/>
                <w:szCs w:val="21"/>
              </w:rPr>
            </w:pPr>
            <w:r>
              <w:rPr>
                <w:rFonts w:ascii="宋体" w:hAnsi="宋体"/>
                <w:spacing w:val="-5"/>
                <w:kern w:val="0"/>
                <w:szCs w:val="21"/>
              </w:rPr>
              <w:t>++</w:t>
            </w:r>
          </w:p>
        </w:tc>
      </w:tr>
      <w:tr w14:paraId="5E17CDD2">
        <w:tblPrEx>
          <w:tblCellMar>
            <w:top w:w="0" w:type="dxa"/>
            <w:left w:w="0" w:type="dxa"/>
            <w:bottom w:w="0" w:type="dxa"/>
            <w:right w:w="0" w:type="dxa"/>
          </w:tblCellMar>
        </w:tblPrEx>
        <w:trPr>
          <w:trHeight w:val="340" w:hRule="atLeast"/>
        </w:trPr>
        <w:tc>
          <w:tcPr>
            <w:tcW w:w="1338" w:type="pct"/>
            <w:tcBorders>
              <w:top w:val="single" w:color="000000" w:sz="4" w:space="0"/>
              <w:left w:val="nil"/>
              <w:bottom w:val="single" w:color="000000" w:sz="12" w:space="0"/>
              <w:right w:val="single" w:color="000000" w:sz="4" w:space="0"/>
            </w:tcBorders>
            <w:vAlign w:val="center"/>
          </w:tcPr>
          <w:p w14:paraId="22B06441">
            <w:pPr>
              <w:spacing w:line="240" w:lineRule="exact"/>
              <w:jc w:val="center"/>
              <w:rPr>
                <w:rFonts w:hint="eastAsia" w:ascii="宋体" w:hAnsi="宋体"/>
                <w:kern w:val="0"/>
                <w:szCs w:val="21"/>
              </w:rPr>
            </w:pPr>
            <w:r>
              <w:rPr>
                <w:rFonts w:hint="eastAsia" w:ascii="宋体" w:hAnsi="宋体"/>
                <w:kern w:val="0"/>
                <w:szCs w:val="21"/>
              </w:rPr>
              <w:t>多枝柽柳</w:t>
            </w:r>
          </w:p>
        </w:tc>
        <w:tc>
          <w:tcPr>
            <w:tcW w:w="2652" w:type="pct"/>
            <w:tcBorders>
              <w:top w:val="single" w:color="000000" w:sz="4" w:space="0"/>
              <w:left w:val="single" w:color="000000" w:sz="4" w:space="0"/>
              <w:bottom w:val="single" w:color="000000" w:sz="12" w:space="0"/>
              <w:right w:val="single" w:color="000000" w:sz="4" w:space="0"/>
            </w:tcBorders>
            <w:vAlign w:val="center"/>
          </w:tcPr>
          <w:p w14:paraId="6402E143">
            <w:pPr>
              <w:spacing w:line="240" w:lineRule="exact"/>
              <w:jc w:val="center"/>
              <w:rPr>
                <w:rFonts w:hint="eastAsia" w:ascii="宋体" w:hAnsi="宋体"/>
                <w:i/>
                <w:iCs/>
                <w:spacing w:val="-2"/>
                <w:kern w:val="0"/>
                <w:szCs w:val="21"/>
              </w:rPr>
            </w:pPr>
            <w:r>
              <w:rPr>
                <w:rFonts w:ascii="宋体" w:hAnsi="宋体"/>
                <w:i/>
                <w:iCs/>
                <w:kern w:val="0"/>
                <w:szCs w:val="21"/>
              </w:rPr>
              <w:t xml:space="preserve">Tamarix </w:t>
            </w:r>
            <w:r>
              <w:rPr>
                <w:rFonts w:ascii="宋体" w:hAnsi="宋体"/>
                <w:i/>
                <w:iCs/>
                <w:spacing w:val="-2"/>
                <w:kern w:val="0"/>
                <w:szCs w:val="21"/>
              </w:rPr>
              <w:t>ramosissima</w:t>
            </w:r>
          </w:p>
        </w:tc>
        <w:tc>
          <w:tcPr>
            <w:tcW w:w="1010" w:type="pct"/>
            <w:tcBorders>
              <w:top w:val="single" w:color="000000" w:sz="4" w:space="0"/>
              <w:left w:val="single" w:color="000000" w:sz="4" w:space="0"/>
              <w:bottom w:val="single" w:color="000000" w:sz="12" w:space="0"/>
              <w:right w:val="nil"/>
            </w:tcBorders>
            <w:vAlign w:val="center"/>
          </w:tcPr>
          <w:p w14:paraId="5D88A466">
            <w:pPr>
              <w:spacing w:line="240" w:lineRule="exact"/>
              <w:jc w:val="center"/>
              <w:rPr>
                <w:rFonts w:hint="eastAsia" w:ascii="宋体" w:hAnsi="宋体"/>
                <w:w w:val="99"/>
                <w:kern w:val="0"/>
                <w:szCs w:val="21"/>
              </w:rPr>
            </w:pPr>
            <w:r>
              <w:rPr>
                <w:rFonts w:ascii="宋体" w:hAnsi="宋体"/>
                <w:w w:val="99"/>
                <w:kern w:val="0"/>
                <w:szCs w:val="21"/>
              </w:rPr>
              <w:t>+</w:t>
            </w:r>
          </w:p>
        </w:tc>
      </w:tr>
    </w:tbl>
    <w:p w14:paraId="523FD94A">
      <w:pPr>
        <w:spacing w:line="300" w:lineRule="atLeast"/>
        <w:ind w:firstLine="422"/>
        <w:jc w:val="left"/>
        <w:rPr>
          <w:rFonts w:hint="eastAsia" w:ascii="宋体" w:hAnsi="宋体"/>
          <w:b/>
          <w:kern w:val="0"/>
          <w:sz w:val="20"/>
          <w:szCs w:val="21"/>
        </w:rPr>
      </w:pPr>
      <w:r>
        <w:rPr>
          <w:rFonts w:ascii="宋体" w:hAnsi="宋体"/>
          <w:b/>
          <w:kern w:val="0"/>
          <w:sz w:val="20"/>
          <w:szCs w:val="21"/>
        </w:rPr>
        <w:t>注：++多见，+少见，-偶见。</w:t>
      </w:r>
    </w:p>
    <w:p w14:paraId="2B10421F">
      <w:pPr>
        <w:pStyle w:val="117"/>
        <w:ind w:firstLine="480"/>
        <w:rPr>
          <w:rFonts w:hint="eastAsia"/>
        </w:rPr>
      </w:pPr>
      <w:r>
        <w:rPr>
          <w:rFonts w:hint="eastAsia"/>
        </w:rPr>
        <w:t>②样方调查</w:t>
      </w:r>
    </w:p>
    <w:p w14:paraId="75266057">
      <w:pPr>
        <w:pStyle w:val="117"/>
        <w:ind w:firstLine="480"/>
        <w:rPr>
          <w:rFonts w:hint="eastAsia"/>
        </w:rPr>
      </w:pPr>
      <w:bookmarkStart w:id="464" w:name="_Hlk163693462"/>
      <w:r>
        <w:t>本项目生态</w:t>
      </w:r>
      <w:r>
        <w:rPr>
          <w:rFonts w:hint="eastAsia"/>
        </w:rPr>
        <w:t>环境影响</w:t>
      </w:r>
      <w:r>
        <w:t>评价</w:t>
      </w:r>
      <w:r>
        <w:rPr>
          <w:rFonts w:hint="eastAsia"/>
        </w:rPr>
        <w:t>等级</w:t>
      </w:r>
      <w:r>
        <w:t>为二级，根据《环境影响评价技术导则 生态影响》（HJ 19-2022）要求，根据植物群落类型（宜以群系及以下分类单位为调查单元）设置调查样地，</w:t>
      </w:r>
      <w:r>
        <w:rPr>
          <w:rFonts w:hint="eastAsia"/>
        </w:rPr>
        <w:t>二</w:t>
      </w:r>
      <w:r>
        <w:t>级评价每种群落类型设置的样方数量不少于</w:t>
      </w:r>
      <w:r>
        <w:rPr>
          <w:rFonts w:hint="eastAsia"/>
        </w:rPr>
        <w:t>3</w:t>
      </w:r>
      <w:r>
        <w:t>个。</w:t>
      </w:r>
      <w:r>
        <w:rPr>
          <w:rFonts w:hint="eastAsia"/>
        </w:rPr>
        <w:t>本次评价于2024年7月18日至2024年7月19日对评价范围内的植被进行了现场样方调查，评价范围内涉及两种植物群落类型，本次共设6个样方</w:t>
      </w:r>
      <w:r>
        <w:t>选择重点工程建设地点和有代表性植被类型作为调查样地，在样地中统计植物种类、群落结构等数据，详细记录样方中的植物种类、盖度、高度等信息，并记录生境特征，拍摄群落照片。</w:t>
      </w:r>
    </w:p>
    <w:bookmarkEnd w:id="464"/>
    <w:p w14:paraId="5262EFD5">
      <w:pPr>
        <w:pStyle w:val="117"/>
        <w:ind w:firstLine="480"/>
        <w:rPr>
          <w:rFonts w:hint="eastAsia"/>
        </w:rPr>
      </w:pPr>
      <w:r>
        <w:rPr>
          <w:rFonts w:hint="eastAsia"/>
        </w:rPr>
        <w:t>※植物群落类型：多枝柽柳群系</w:t>
      </w:r>
    </w:p>
    <w:p w14:paraId="3897979F">
      <w:pPr>
        <w:pStyle w:val="117"/>
        <w:ind w:firstLine="480"/>
        <w:rPr>
          <w:rFonts w:hint="eastAsia"/>
        </w:rPr>
      </w:pPr>
      <w:r>
        <w:t>样方大小：</w:t>
      </w:r>
      <w:r>
        <w:rPr>
          <w:rFonts w:hint="eastAsia"/>
        </w:rPr>
        <w:t>5</w:t>
      </w:r>
      <w:r>
        <w:t>m×</w:t>
      </w:r>
      <w:r>
        <w:rPr>
          <w:rFonts w:hint="eastAsia"/>
        </w:rPr>
        <w:t>5</w:t>
      </w:r>
      <w:r>
        <w:t>m   总盖度：</w:t>
      </w:r>
      <w:bookmarkStart w:id="465" w:name="OLE_LINK412"/>
      <w:r>
        <w:rPr>
          <w:rFonts w:hint="eastAsia"/>
        </w:rPr>
        <w:t>30～45</w:t>
      </w:r>
      <w:r>
        <w:t>％</w:t>
      </w:r>
      <w:bookmarkEnd w:id="465"/>
      <w:r>
        <w:t>，统计结果见表4.</w:t>
      </w:r>
      <w:r>
        <w:rPr>
          <w:rFonts w:hint="eastAsia"/>
        </w:rPr>
        <w:t>3-17</w:t>
      </w:r>
      <w:r>
        <w:t>。</w:t>
      </w:r>
    </w:p>
    <w:p w14:paraId="2AA06F0D">
      <w:pPr>
        <w:pStyle w:val="117"/>
        <w:ind w:firstLine="0" w:firstLineChars="0"/>
        <w:jc w:val="center"/>
        <w:rPr>
          <w:rFonts w:hint="eastAsia" w:ascii="黑体" w:hAnsi="黑体" w:eastAsia="黑体"/>
          <w:sz w:val="21"/>
          <w:szCs w:val="21"/>
        </w:rPr>
      </w:pPr>
      <w:r>
        <w:rPr>
          <w:rFonts w:ascii="黑体" w:hAnsi="黑体" w:eastAsia="黑体"/>
          <w:sz w:val="21"/>
          <w:szCs w:val="21"/>
        </w:rPr>
        <w:t>表4.</w:t>
      </w:r>
      <w:r>
        <w:rPr>
          <w:rFonts w:hint="eastAsia" w:ascii="黑体" w:hAnsi="黑体" w:eastAsia="黑体"/>
          <w:sz w:val="21"/>
          <w:szCs w:val="21"/>
        </w:rPr>
        <w:t>3</w:t>
      </w:r>
      <w:r>
        <w:rPr>
          <w:rFonts w:ascii="黑体" w:hAnsi="黑体" w:eastAsia="黑体"/>
          <w:sz w:val="21"/>
          <w:szCs w:val="21"/>
        </w:rPr>
        <w:t>-</w:t>
      </w:r>
      <w:r>
        <w:rPr>
          <w:rFonts w:hint="eastAsia" w:ascii="黑体" w:hAnsi="黑体" w:eastAsia="黑体"/>
          <w:sz w:val="21"/>
          <w:szCs w:val="21"/>
        </w:rPr>
        <w:t>17</w:t>
      </w:r>
      <w:r>
        <w:rPr>
          <w:rFonts w:ascii="黑体" w:hAnsi="黑体" w:eastAsia="黑体"/>
          <w:sz w:val="21"/>
          <w:szCs w:val="21"/>
        </w:rPr>
        <w:t xml:space="preserve"> </w:t>
      </w:r>
      <w:r>
        <w:rPr>
          <w:rFonts w:hint="eastAsia" w:ascii="黑体" w:hAnsi="黑体" w:eastAsia="黑体"/>
          <w:sz w:val="21"/>
          <w:szCs w:val="21"/>
        </w:rPr>
        <w:t xml:space="preserve"> 多枝柽柳群系</w:t>
      </w:r>
      <w:r>
        <w:rPr>
          <w:rFonts w:ascii="黑体" w:hAnsi="黑体" w:eastAsia="黑体"/>
          <w:sz w:val="21"/>
          <w:szCs w:val="21"/>
        </w:rPr>
        <w:t>统计表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26"/>
        <w:gridCol w:w="1308"/>
        <w:gridCol w:w="1478"/>
        <w:gridCol w:w="1338"/>
        <w:gridCol w:w="1018"/>
        <w:gridCol w:w="3078"/>
      </w:tblGrid>
      <w:tr w14:paraId="02C71F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67D119B7">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样方</w:t>
            </w:r>
          </w:p>
        </w:tc>
        <w:tc>
          <w:tcPr>
            <w:tcW w:w="731" w:type="pct"/>
            <w:vAlign w:val="center"/>
          </w:tcPr>
          <w:p w14:paraId="5BD47312">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地点</w:t>
            </w:r>
          </w:p>
        </w:tc>
        <w:tc>
          <w:tcPr>
            <w:tcW w:w="826" w:type="pct"/>
            <w:vAlign w:val="center"/>
          </w:tcPr>
          <w:p w14:paraId="004F6178">
            <w:pPr>
              <w:adjustRightInd w:val="0"/>
              <w:snapToGrid w:val="0"/>
              <w:spacing w:line="300" w:lineRule="exact"/>
              <w:jc w:val="center"/>
              <w:textAlignment w:val="baseline"/>
              <w:rPr>
                <w:rFonts w:hint="eastAsia" w:ascii="宋体" w:hAnsi="宋体"/>
                <w:spacing w:val="-8"/>
                <w:szCs w:val="21"/>
              </w:rPr>
            </w:pPr>
            <w:r>
              <w:rPr>
                <w:rFonts w:ascii="宋体" w:hAnsi="宋体"/>
                <w:spacing w:val="-8"/>
                <w:szCs w:val="21"/>
              </w:rPr>
              <w:t>植物种</w:t>
            </w:r>
          </w:p>
        </w:tc>
        <w:tc>
          <w:tcPr>
            <w:tcW w:w="748" w:type="pct"/>
            <w:vAlign w:val="center"/>
          </w:tcPr>
          <w:p w14:paraId="005AE99A">
            <w:pPr>
              <w:adjustRightInd w:val="0"/>
              <w:snapToGrid w:val="0"/>
              <w:spacing w:line="300" w:lineRule="exact"/>
              <w:jc w:val="center"/>
              <w:textAlignment w:val="baseline"/>
              <w:rPr>
                <w:rFonts w:hint="eastAsia" w:ascii="宋体" w:hAnsi="宋体"/>
                <w:spacing w:val="-8"/>
                <w:szCs w:val="21"/>
              </w:rPr>
            </w:pPr>
            <w:r>
              <w:rPr>
                <w:rFonts w:ascii="宋体" w:hAnsi="宋体"/>
                <w:spacing w:val="-8"/>
                <w:szCs w:val="21"/>
              </w:rPr>
              <w:t>株高（cm）</w:t>
            </w:r>
          </w:p>
        </w:tc>
        <w:tc>
          <w:tcPr>
            <w:tcW w:w="569" w:type="pct"/>
            <w:vAlign w:val="center"/>
          </w:tcPr>
          <w:p w14:paraId="3AC0647B">
            <w:pPr>
              <w:adjustRightInd w:val="0"/>
              <w:snapToGrid w:val="0"/>
              <w:spacing w:line="300" w:lineRule="exact"/>
              <w:jc w:val="center"/>
              <w:textAlignment w:val="baseline"/>
              <w:rPr>
                <w:rFonts w:hint="eastAsia" w:ascii="宋体" w:hAnsi="宋体"/>
                <w:spacing w:val="-8"/>
                <w:szCs w:val="21"/>
              </w:rPr>
            </w:pPr>
            <w:r>
              <w:rPr>
                <w:rFonts w:ascii="宋体" w:hAnsi="宋体"/>
                <w:spacing w:val="-8"/>
                <w:szCs w:val="21"/>
              </w:rPr>
              <w:t>盖度</w:t>
            </w:r>
            <w:r>
              <w:rPr>
                <w:rFonts w:hint="eastAsia" w:ascii="宋体" w:hAnsi="宋体"/>
                <w:spacing w:val="-8"/>
                <w:szCs w:val="21"/>
              </w:rPr>
              <w:t>（</w:t>
            </w:r>
            <w:r>
              <w:rPr>
                <w:rFonts w:ascii="宋体" w:hAnsi="宋体"/>
                <w:spacing w:val="-8"/>
                <w:szCs w:val="21"/>
              </w:rPr>
              <w:t>％</w:t>
            </w:r>
            <w:r>
              <w:rPr>
                <w:rFonts w:hint="eastAsia" w:ascii="宋体" w:hAnsi="宋体"/>
                <w:spacing w:val="-8"/>
                <w:szCs w:val="21"/>
              </w:rPr>
              <w:t>）</w:t>
            </w:r>
          </w:p>
        </w:tc>
        <w:tc>
          <w:tcPr>
            <w:tcW w:w="1720" w:type="pct"/>
            <w:vAlign w:val="center"/>
          </w:tcPr>
          <w:p w14:paraId="6088FFB8">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照片</w:t>
            </w:r>
          </w:p>
        </w:tc>
      </w:tr>
      <w:tr w14:paraId="2A05F15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2C12F9D5">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w:t>
            </w:r>
          </w:p>
        </w:tc>
        <w:tc>
          <w:tcPr>
            <w:tcW w:w="731" w:type="pct"/>
            <w:vAlign w:val="center"/>
          </w:tcPr>
          <w:p w14:paraId="6F073965">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井场周围</w:t>
            </w:r>
          </w:p>
        </w:tc>
        <w:tc>
          <w:tcPr>
            <w:tcW w:w="826" w:type="pct"/>
            <w:vAlign w:val="center"/>
          </w:tcPr>
          <w:p w14:paraId="0331C072">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多枝柽柳</w:t>
            </w:r>
          </w:p>
        </w:tc>
        <w:tc>
          <w:tcPr>
            <w:tcW w:w="748" w:type="pct"/>
            <w:vAlign w:val="center"/>
          </w:tcPr>
          <w:p w14:paraId="26B0867E">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130</w:t>
            </w:r>
          </w:p>
        </w:tc>
        <w:tc>
          <w:tcPr>
            <w:tcW w:w="569" w:type="pct"/>
            <w:vAlign w:val="center"/>
          </w:tcPr>
          <w:p w14:paraId="5D2468A4">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35</w:t>
            </w:r>
          </w:p>
        </w:tc>
        <w:tc>
          <w:tcPr>
            <w:tcW w:w="1720" w:type="pct"/>
            <w:vAlign w:val="center"/>
          </w:tcPr>
          <w:p w14:paraId="165DDD78">
            <w:pPr>
              <w:adjustRightInd w:val="0"/>
              <w:snapToGrid w:val="0"/>
              <w:spacing w:line="360" w:lineRule="auto"/>
              <w:jc w:val="center"/>
              <w:textAlignment w:val="baseline"/>
              <w:rPr>
                <w:rFonts w:hint="eastAsia" w:ascii="宋体" w:hAnsi="宋体"/>
                <w:spacing w:val="-8"/>
                <w:szCs w:val="21"/>
              </w:rPr>
            </w:pPr>
            <w:r>
              <w:rPr>
                <w:rFonts w:ascii="宋体" w:hAnsi="宋体"/>
                <w:spacing w:val="-8"/>
                <w:szCs w:val="21"/>
              </w:rPr>
              <w:drawing>
                <wp:inline distT="0" distB="0" distL="0" distR="0">
                  <wp:extent cx="1674495" cy="1256030"/>
                  <wp:effectExtent l="0" t="0" r="1905" b="1270"/>
                  <wp:docPr id="932"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9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rot="10800000">
                            <a:off x="0" y="0"/>
                            <a:ext cx="1695809" cy="1271954"/>
                          </a:xfrm>
                          <a:prstGeom prst="rect">
                            <a:avLst/>
                          </a:prstGeom>
                          <a:noFill/>
                          <a:ln>
                            <a:noFill/>
                          </a:ln>
                        </pic:spPr>
                      </pic:pic>
                    </a:graphicData>
                  </a:graphic>
                </wp:inline>
              </w:drawing>
            </w:r>
          </w:p>
        </w:tc>
      </w:tr>
      <w:tr w14:paraId="7187341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4107E7DA">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w:t>
            </w:r>
          </w:p>
        </w:tc>
        <w:tc>
          <w:tcPr>
            <w:tcW w:w="731" w:type="pct"/>
            <w:vAlign w:val="center"/>
          </w:tcPr>
          <w:p w14:paraId="675662D8">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管线沿线</w:t>
            </w:r>
          </w:p>
        </w:tc>
        <w:tc>
          <w:tcPr>
            <w:tcW w:w="826" w:type="pct"/>
            <w:vAlign w:val="center"/>
          </w:tcPr>
          <w:p w14:paraId="781AF1B3">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多枝柽柳</w:t>
            </w:r>
          </w:p>
        </w:tc>
        <w:tc>
          <w:tcPr>
            <w:tcW w:w="748" w:type="pct"/>
            <w:vAlign w:val="center"/>
          </w:tcPr>
          <w:p w14:paraId="3CB75C2F">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160</w:t>
            </w:r>
          </w:p>
        </w:tc>
        <w:tc>
          <w:tcPr>
            <w:tcW w:w="569" w:type="pct"/>
            <w:vAlign w:val="center"/>
          </w:tcPr>
          <w:p w14:paraId="6158502A">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30</w:t>
            </w:r>
          </w:p>
        </w:tc>
        <w:tc>
          <w:tcPr>
            <w:tcW w:w="1720" w:type="pct"/>
            <w:vAlign w:val="center"/>
          </w:tcPr>
          <w:p w14:paraId="2E96FD7B">
            <w:pPr>
              <w:pStyle w:val="535"/>
              <w:adjustRightInd w:val="0"/>
              <w:snapToGrid w:val="0"/>
              <w:spacing w:after="0" w:line="360" w:lineRule="auto"/>
              <w:ind w:firstLine="0"/>
              <w:jc w:val="center"/>
              <w:rPr>
                <w:rFonts w:hint="eastAsia" w:ascii="宋体" w:hAnsi="宋体"/>
                <w:kern w:val="2"/>
                <w:sz w:val="24"/>
              </w:rPr>
            </w:pPr>
            <w:r>
              <w:rPr>
                <w:rFonts w:ascii="宋体" w:hAnsi="宋体"/>
                <w:kern w:val="2"/>
                <w:sz w:val="24"/>
              </w:rPr>
              <w:drawing>
                <wp:inline distT="0" distB="0" distL="0" distR="0">
                  <wp:extent cx="1715135" cy="1285875"/>
                  <wp:effectExtent l="0" t="0" r="0" b="9525"/>
                  <wp:docPr id="933" name="图片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9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rot="10800000">
                            <a:off x="0" y="0"/>
                            <a:ext cx="1744557" cy="1308117"/>
                          </a:xfrm>
                          <a:prstGeom prst="rect">
                            <a:avLst/>
                          </a:prstGeom>
                          <a:noFill/>
                          <a:ln>
                            <a:noFill/>
                          </a:ln>
                        </pic:spPr>
                      </pic:pic>
                    </a:graphicData>
                  </a:graphic>
                </wp:inline>
              </w:drawing>
            </w:r>
          </w:p>
        </w:tc>
      </w:tr>
      <w:tr w14:paraId="0FD771F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06" w:type="pct"/>
            <w:vAlign w:val="center"/>
          </w:tcPr>
          <w:p w14:paraId="6AE56EF4">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3</w:t>
            </w:r>
          </w:p>
        </w:tc>
        <w:tc>
          <w:tcPr>
            <w:tcW w:w="731" w:type="pct"/>
            <w:vAlign w:val="center"/>
          </w:tcPr>
          <w:p w14:paraId="7EDE6D5D">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管线沿线</w:t>
            </w:r>
          </w:p>
        </w:tc>
        <w:tc>
          <w:tcPr>
            <w:tcW w:w="826" w:type="pct"/>
            <w:vAlign w:val="center"/>
          </w:tcPr>
          <w:p w14:paraId="36168A30">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多枝柽柳</w:t>
            </w:r>
          </w:p>
        </w:tc>
        <w:tc>
          <w:tcPr>
            <w:tcW w:w="748" w:type="pct"/>
            <w:vAlign w:val="center"/>
          </w:tcPr>
          <w:p w14:paraId="19C02197">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200</w:t>
            </w:r>
          </w:p>
        </w:tc>
        <w:tc>
          <w:tcPr>
            <w:tcW w:w="569" w:type="pct"/>
            <w:vAlign w:val="center"/>
          </w:tcPr>
          <w:p w14:paraId="7AD562A3">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30</w:t>
            </w:r>
          </w:p>
        </w:tc>
        <w:tc>
          <w:tcPr>
            <w:tcW w:w="1720" w:type="pct"/>
            <w:vAlign w:val="center"/>
          </w:tcPr>
          <w:p w14:paraId="0C9A2057">
            <w:pPr>
              <w:adjustRightInd w:val="0"/>
              <w:snapToGrid w:val="0"/>
              <w:spacing w:line="360" w:lineRule="auto"/>
              <w:jc w:val="center"/>
              <w:rPr>
                <w:rFonts w:hint="eastAsia" w:ascii="宋体" w:hAnsi="宋体"/>
              </w:rPr>
            </w:pPr>
            <w:r>
              <w:rPr>
                <w:rFonts w:ascii="宋体" w:hAnsi="宋体"/>
              </w:rPr>
              <w:drawing>
                <wp:inline distT="0" distB="0" distL="0" distR="0">
                  <wp:extent cx="1721485" cy="1290955"/>
                  <wp:effectExtent l="0" t="0" r="0" b="4445"/>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9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737749" cy="1303410"/>
                          </a:xfrm>
                          <a:prstGeom prst="rect">
                            <a:avLst/>
                          </a:prstGeom>
                          <a:noFill/>
                          <a:ln>
                            <a:noFill/>
                          </a:ln>
                        </pic:spPr>
                      </pic:pic>
                    </a:graphicData>
                  </a:graphic>
                </wp:inline>
              </w:drawing>
            </w:r>
          </w:p>
        </w:tc>
      </w:tr>
    </w:tbl>
    <w:p w14:paraId="500D8ADB">
      <w:pPr>
        <w:pStyle w:val="117"/>
        <w:ind w:firstLine="480"/>
        <w:rPr>
          <w:rFonts w:hint="eastAsia"/>
        </w:rPr>
      </w:pPr>
      <w:r>
        <w:rPr>
          <w:rFonts w:hint="eastAsia"/>
        </w:rPr>
        <w:t>※植物群落类型</w:t>
      </w:r>
      <w:r>
        <w:t>盐</w:t>
      </w:r>
      <w:r>
        <w:rPr>
          <w:rFonts w:hint="eastAsia"/>
        </w:rPr>
        <w:t>节</w:t>
      </w:r>
      <w:r>
        <w:t>木群系</w:t>
      </w:r>
    </w:p>
    <w:p w14:paraId="3294DD95">
      <w:pPr>
        <w:pStyle w:val="117"/>
        <w:ind w:firstLine="480"/>
        <w:rPr>
          <w:rFonts w:hint="eastAsia"/>
        </w:rPr>
      </w:pPr>
      <w:r>
        <w:t>样方大小：</w:t>
      </w:r>
      <w:r>
        <w:rPr>
          <w:rFonts w:hint="eastAsia"/>
        </w:rPr>
        <w:t>1</w:t>
      </w:r>
      <w:r>
        <w:t>m×</w:t>
      </w:r>
      <w:r>
        <w:rPr>
          <w:rFonts w:hint="eastAsia"/>
        </w:rPr>
        <w:t>1</w:t>
      </w:r>
      <w:r>
        <w:t>m   总盖度：30</w:t>
      </w:r>
      <w:r>
        <w:rPr>
          <w:rFonts w:hint="eastAsia"/>
        </w:rPr>
        <w:t>%～</w:t>
      </w:r>
      <w:r>
        <w:t>45</w:t>
      </w:r>
      <w:r>
        <w:rPr>
          <w:rFonts w:hint="eastAsia"/>
        </w:rPr>
        <w:t>%</w:t>
      </w:r>
      <w:r>
        <w:t>，统计结果见</w:t>
      </w:r>
      <w:r>
        <w:rPr>
          <w:rFonts w:hint="eastAsia"/>
        </w:rPr>
        <w:t>表4.3-18</w:t>
      </w:r>
      <w:r>
        <w:t>。</w:t>
      </w:r>
    </w:p>
    <w:p w14:paraId="140577CC">
      <w:pPr>
        <w:pStyle w:val="117"/>
        <w:ind w:firstLine="0" w:firstLineChars="0"/>
        <w:jc w:val="center"/>
        <w:rPr>
          <w:rFonts w:hint="eastAsia" w:ascii="黑体" w:hAnsi="黑体" w:eastAsia="黑体"/>
          <w:sz w:val="21"/>
          <w:szCs w:val="21"/>
        </w:rPr>
      </w:pPr>
      <w:r>
        <w:rPr>
          <w:rFonts w:ascii="黑体" w:hAnsi="黑体" w:eastAsia="黑体"/>
          <w:sz w:val="21"/>
          <w:szCs w:val="21"/>
        </w:rPr>
        <w:t>表4.</w:t>
      </w:r>
      <w:r>
        <w:rPr>
          <w:rFonts w:hint="eastAsia" w:ascii="黑体" w:hAnsi="黑体" w:eastAsia="黑体"/>
          <w:sz w:val="21"/>
          <w:szCs w:val="21"/>
        </w:rPr>
        <w:t xml:space="preserve">3-18  </w:t>
      </w:r>
      <w:r>
        <w:rPr>
          <w:rFonts w:ascii="黑体" w:hAnsi="黑体" w:eastAsia="黑体"/>
          <w:sz w:val="21"/>
          <w:szCs w:val="21"/>
        </w:rPr>
        <w:t>盐</w:t>
      </w:r>
      <w:r>
        <w:rPr>
          <w:rFonts w:hint="eastAsia" w:ascii="黑体" w:hAnsi="黑体" w:eastAsia="黑体"/>
          <w:sz w:val="21"/>
          <w:szCs w:val="21"/>
        </w:rPr>
        <w:t>节</w:t>
      </w:r>
      <w:r>
        <w:rPr>
          <w:rFonts w:ascii="黑体" w:hAnsi="黑体" w:eastAsia="黑体"/>
          <w:sz w:val="21"/>
          <w:szCs w:val="21"/>
        </w:rPr>
        <w:t>木群系</w:t>
      </w:r>
      <w:r>
        <w:rPr>
          <w:rFonts w:hint="eastAsia" w:ascii="黑体" w:hAnsi="黑体" w:eastAsia="黑体"/>
          <w:sz w:val="21"/>
          <w:szCs w:val="21"/>
        </w:rPr>
        <w:t>样方</w:t>
      </w:r>
      <w:r>
        <w:rPr>
          <w:rFonts w:ascii="黑体" w:hAnsi="黑体" w:eastAsia="黑体"/>
          <w:sz w:val="21"/>
          <w:szCs w:val="21"/>
        </w:rPr>
        <w:t>统计表</w:t>
      </w:r>
    </w:p>
    <w:tbl>
      <w:tblPr>
        <w:tblStyle w:val="425"/>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12"/>
        <w:gridCol w:w="1236"/>
        <w:gridCol w:w="1004"/>
        <w:gridCol w:w="1004"/>
        <w:gridCol w:w="1322"/>
        <w:gridCol w:w="3568"/>
      </w:tblGrid>
      <w:tr w14:paraId="4507D1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54" w:type="pct"/>
            <w:vAlign w:val="center"/>
          </w:tcPr>
          <w:p w14:paraId="02910D2D">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样方</w:t>
            </w:r>
          </w:p>
        </w:tc>
        <w:tc>
          <w:tcPr>
            <w:tcW w:w="691" w:type="pct"/>
            <w:vAlign w:val="center"/>
          </w:tcPr>
          <w:p w14:paraId="11B31D57">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地点</w:t>
            </w:r>
          </w:p>
        </w:tc>
        <w:tc>
          <w:tcPr>
            <w:tcW w:w="561" w:type="pct"/>
            <w:vAlign w:val="center"/>
          </w:tcPr>
          <w:p w14:paraId="1F79499C">
            <w:pPr>
              <w:adjustRightInd w:val="0"/>
              <w:snapToGrid w:val="0"/>
              <w:spacing w:line="300" w:lineRule="exact"/>
              <w:jc w:val="center"/>
              <w:textAlignment w:val="baseline"/>
              <w:rPr>
                <w:rFonts w:hint="eastAsia" w:ascii="宋体" w:hAnsi="宋体"/>
                <w:spacing w:val="-8"/>
                <w:szCs w:val="21"/>
              </w:rPr>
            </w:pPr>
            <w:r>
              <w:rPr>
                <w:rFonts w:ascii="宋体" w:hAnsi="宋体"/>
                <w:spacing w:val="-8"/>
                <w:szCs w:val="21"/>
              </w:rPr>
              <w:t>植物种</w:t>
            </w:r>
          </w:p>
        </w:tc>
        <w:tc>
          <w:tcPr>
            <w:tcW w:w="561" w:type="pct"/>
            <w:vAlign w:val="center"/>
          </w:tcPr>
          <w:p w14:paraId="0B09963B">
            <w:pPr>
              <w:adjustRightInd w:val="0"/>
              <w:snapToGrid w:val="0"/>
              <w:spacing w:line="300" w:lineRule="exact"/>
              <w:jc w:val="center"/>
              <w:textAlignment w:val="baseline"/>
              <w:rPr>
                <w:rFonts w:hint="eastAsia" w:ascii="宋体" w:hAnsi="宋体"/>
                <w:spacing w:val="-8"/>
                <w:szCs w:val="21"/>
              </w:rPr>
            </w:pPr>
            <w:r>
              <w:rPr>
                <w:rFonts w:ascii="宋体" w:hAnsi="宋体"/>
                <w:spacing w:val="-8"/>
                <w:szCs w:val="21"/>
              </w:rPr>
              <w:t>株高（cm）</w:t>
            </w:r>
          </w:p>
        </w:tc>
        <w:tc>
          <w:tcPr>
            <w:tcW w:w="739" w:type="pct"/>
            <w:vAlign w:val="center"/>
          </w:tcPr>
          <w:p w14:paraId="09D4FD86">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样方范围内植物数量</w:t>
            </w:r>
          </w:p>
        </w:tc>
        <w:tc>
          <w:tcPr>
            <w:tcW w:w="1994" w:type="pct"/>
            <w:vAlign w:val="center"/>
          </w:tcPr>
          <w:p w14:paraId="0EB4B170">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照片</w:t>
            </w:r>
          </w:p>
        </w:tc>
      </w:tr>
      <w:tr w14:paraId="4ED38FC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54" w:type="pct"/>
            <w:vAlign w:val="center"/>
          </w:tcPr>
          <w:p w14:paraId="57F673D5">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w:t>
            </w:r>
          </w:p>
        </w:tc>
        <w:tc>
          <w:tcPr>
            <w:tcW w:w="691" w:type="pct"/>
            <w:vAlign w:val="center"/>
          </w:tcPr>
          <w:p w14:paraId="24C696EF">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管线沿线</w:t>
            </w:r>
          </w:p>
        </w:tc>
        <w:tc>
          <w:tcPr>
            <w:tcW w:w="561" w:type="pct"/>
            <w:vAlign w:val="center"/>
          </w:tcPr>
          <w:p w14:paraId="71991F85">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花花柴</w:t>
            </w:r>
          </w:p>
        </w:tc>
        <w:tc>
          <w:tcPr>
            <w:tcW w:w="561" w:type="pct"/>
            <w:vAlign w:val="center"/>
          </w:tcPr>
          <w:p w14:paraId="1A5B2336">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20</w:t>
            </w:r>
          </w:p>
        </w:tc>
        <w:tc>
          <w:tcPr>
            <w:tcW w:w="739" w:type="pct"/>
            <w:vAlign w:val="center"/>
          </w:tcPr>
          <w:p w14:paraId="356285B1">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1棵</w:t>
            </w:r>
          </w:p>
        </w:tc>
        <w:tc>
          <w:tcPr>
            <w:tcW w:w="1994" w:type="pct"/>
            <w:vAlign w:val="center"/>
          </w:tcPr>
          <w:p w14:paraId="2F544479">
            <w:pPr>
              <w:adjustRightInd w:val="0"/>
              <w:snapToGrid w:val="0"/>
              <w:spacing w:line="360" w:lineRule="auto"/>
              <w:jc w:val="center"/>
              <w:textAlignment w:val="baseline"/>
              <w:rPr>
                <w:rFonts w:hint="eastAsia" w:ascii="宋体" w:hAnsi="宋体"/>
                <w:spacing w:val="-8"/>
                <w:szCs w:val="21"/>
              </w:rPr>
            </w:pPr>
            <w:r>
              <w:rPr>
                <w:rFonts w:ascii="宋体" w:hAnsi="宋体"/>
                <w:spacing w:val="-8"/>
                <w:szCs w:val="21"/>
              </w:rPr>
              <w:drawing>
                <wp:inline distT="0" distB="0" distL="0" distR="0">
                  <wp:extent cx="1700530" cy="1176020"/>
                  <wp:effectExtent l="0" t="0" r="0" b="508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919"/>
                          <pic:cNvPicPr>
                            <a:picLocks noChangeAspect="1" noChangeArrowheads="1"/>
                          </pic:cNvPicPr>
                        </pic:nvPicPr>
                        <pic:blipFill>
                          <a:blip r:embed="rId62" cstate="print">
                            <a:extLst>
                              <a:ext uri="{28A0092B-C50C-407E-A947-70E740481C1C}">
                                <a14:useLocalDpi xmlns:a14="http://schemas.microsoft.com/office/drawing/2010/main" val="0"/>
                              </a:ext>
                            </a:extLst>
                          </a:blip>
                          <a:srcRect b="7851"/>
                          <a:stretch>
                            <a:fillRect/>
                          </a:stretch>
                        </pic:blipFill>
                        <pic:spPr>
                          <a:xfrm>
                            <a:off x="0" y="0"/>
                            <a:ext cx="1735945" cy="1200199"/>
                          </a:xfrm>
                          <a:prstGeom prst="rect">
                            <a:avLst/>
                          </a:prstGeom>
                          <a:noFill/>
                          <a:ln>
                            <a:noFill/>
                          </a:ln>
                        </pic:spPr>
                      </pic:pic>
                    </a:graphicData>
                  </a:graphic>
                </wp:inline>
              </w:drawing>
            </w:r>
          </w:p>
        </w:tc>
      </w:tr>
      <w:tr w14:paraId="4C79281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54" w:type="pct"/>
            <w:vAlign w:val="center"/>
          </w:tcPr>
          <w:p w14:paraId="25408E01">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w:t>
            </w:r>
          </w:p>
        </w:tc>
        <w:tc>
          <w:tcPr>
            <w:tcW w:w="691" w:type="pct"/>
            <w:vAlign w:val="center"/>
          </w:tcPr>
          <w:p w14:paraId="389490BC">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管线沿线</w:t>
            </w:r>
          </w:p>
        </w:tc>
        <w:tc>
          <w:tcPr>
            <w:tcW w:w="561" w:type="pct"/>
            <w:vAlign w:val="center"/>
          </w:tcPr>
          <w:p w14:paraId="36814401">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盐节木</w:t>
            </w:r>
          </w:p>
        </w:tc>
        <w:tc>
          <w:tcPr>
            <w:tcW w:w="561" w:type="pct"/>
            <w:vAlign w:val="center"/>
          </w:tcPr>
          <w:p w14:paraId="181AADB0">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25</w:t>
            </w:r>
          </w:p>
        </w:tc>
        <w:tc>
          <w:tcPr>
            <w:tcW w:w="739" w:type="pct"/>
            <w:vAlign w:val="center"/>
          </w:tcPr>
          <w:p w14:paraId="5285EBD0">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1棵</w:t>
            </w:r>
          </w:p>
        </w:tc>
        <w:tc>
          <w:tcPr>
            <w:tcW w:w="1994" w:type="pct"/>
            <w:vAlign w:val="center"/>
          </w:tcPr>
          <w:p w14:paraId="03681EFB">
            <w:pPr>
              <w:pStyle w:val="535"/>
              <w:adjustRightInd w:val="0"/>
              <w:snapToGrid w:val="0"/>
              <w:spacing w:after="0" w:line="360" w:lineRule="auto"/>
              <w:ind w:firstLine="0"/>
              <w:jc w:val="center"/>
              <w:rPr>
                <w:rFonts w:hint="eastAsia" w:ascii="宋体" w:hAnsi="宋体"/>
                <w:kern w:val="2"/>
                <w:sz w:val="24"/>
              </w:rPr>
            </w:pPr>
            <w:r>
              <w:rPr>
                <w:rFonts w:ascii="宋体" w:hAnsi="宋体"/>
                <w:kern w:val="2"/>
                <w:sz w:val="24"/>
              </w:rPr>
              <w:drawing>
                <wp:inline distT="0" distB="0" distL="0" distR="0">
                  <wp:extent cx="1711960" cy="1283970"/>
                  <wp:effectExtent l="0" t="0" r="2540" b="0"/>
                  <wp:docPr id="921" name="图片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9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rot="10800000" flipV="1">
                            <a:off x="0" y="0"/>
                            <a:ext cx="1756031" cy="1317123"/>
                          </a:xfrm>
                          <a:prstGeom prst="rect">
                            <a:avLst/>
                          </a:prstGeom>
                          <a:noFill/>
                          <a:ln>
                            <a:noFill/>
                          </a:ln>
                        </pic:spPr>
                      </pic:pic>
                    </a:graphicData>
                  </a:graphic>
                </wp:inline>
              </w:drawing>
            </w:r>
          </w:p>
        </w:tc>
      </w:tr>
      <w:tr w14:paraId="35D4E14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454" w:type="pct"/>
            <w:vAlign w:val="center"/>
          </w:tcPr>
          <w:p w14:paraId="5F051C27">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3</w:t>
            </w:r>
          </w:p>
        </w:tc>
        <w:tc>
          <w:tcPr>
            <w:tcW w:w="691" w:type="pct"/>
            <w:vAlign w:val="center"/>
          </w:tcPr>
          <w:p w14:paraId="6215FDC6">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管线沿线</w:t>
            </w:r>
          </w:p>
        </w:tc>
        <w:tc>
          <w:tcPr>
            <w:tcW w:w="561" w:type="pct"/>
            <w:vAlign w:val="center"/>
          </w:tcPr>
          <w:p w14:paraId="00B58D92">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花花柴和骆驼刺</w:t>
            </w:r>
          </w:p>
        </w:tc>
        <w:tc>
          <w:tcPr>
            <w:tcW w:w="561" w:type="pct"/>
            <w:vAlign w:val="center"/>
          </w:tcPr>
          <w:p w14:paraId="5004B816">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25</w:t>
            </w:r>
          </w:p>
        </w:tc>
        <w:tc>
          <w:tcPr>
            <w:tcW w:w="739" w:type="pct"/>
            <w:vAlign w:val="center"/>
          </w:tcPr>
          <w:p w14:paraId="6016F79D">
            <w:pPr>
              <w:adjustRightInd w:val="0"/>
              <w:snapToGrid w:val="0"/>
              <w:spacing w:line="300" w:lineRule="exact"/>
              <w:jc w:val="center"/>
              <w:textAlignment w:val="baseline"/>
              <w:rPr>
                <w:rFonts w:hint="eastAsia" w:ascii="宋体" w:hAnsi="宋体"/>
                <w:spacing w:val="-8"/>
                <w:szCs w:val="21"/>
              </w:rPr>
            </w:pPr>
            <w:r>
              <w:rPr>
                <w:rFonts w:hint="eastAsia" w:ascii="宋体" w:hAnsi="宋体"/>
                <w:spacing w:val="-8"/>
                <w:szCs w:val="21"/>
              </w:rPr>
              <w:t>花花柴和骆驼刺各1棵</w:t>
            </w:r>
          </w:p>
        </w:tc>
        <w:tc>
          <w:tcPr>
            <w:tcW w:w="1994" w:type="pct"/>
            <w:vAlign w:val="center"/>
          </w:tcPr>
          <w:p w14:paraId="0D169167">
            <w:pPr>
              <w:adjustRightInd w:val="0"/>
              <w:snapToGrid w:val="0"/>
              <w:spacing w:line="360" w:lineRule="auto"/>
              <w:jc w:val="center"/>
              <w:rPr>
                <w:rFonts w:hint="eastAsia" w:ascii="宋体" w:hAnsi="宋体"/>
              </w:rPr>
            </w:pPr>
            <w:r>
              <w:rPr>
                <w:rFonts w:ascii="宋体" w:hAnsi="宋体"/>
              </w:rPr>
              <w:drawing>
                <wp:inline distT="0" distB="0" distL="0" distR="0">
                  <wp:extent cx="1741170" cy="1306195"/>
                  <wp:effectExtent l="0" t="0" r="0" b="8255"/>
                  <wp:docPr id="931" name="图片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9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768800" cy="1326701"/>
                          </a:xfrm>
                          <a:prstGeom prst="rect">
                            <a:avLst/>
                          </a:prstGeom>
                          <a:noFill/>
                          <a:ln>
                            <a:noFill/>
                          </a:ln>
                        </pic:spPr>
                      </pic:pic>
                    </a:graphicData>
                  </a:graphic>
                </wp:inline>
              </w:drawing>
            </w:r>
          </w:p>
        </w:tc>
      </w:tr>
    </w:tbl>
    <w:p w14:paraId="04C7B9A3">
      <w:pPr>
        <w:pStyle w:val="117"/>
        <w:spacing w:line="460" w:lineRule="exact"/>
        <w:ind w:firstLine="480"/>
        <w:rPr>
          <w:rFonts w:hint="eastAsia"/>
        </w:rPr>
      </w:pPr>
      <w:r>
        <w:rPr>
          <w:rFonts w:hint="eastAsia"/>
        </w:rPr>
        <w:t>（4）</w:t>
      </w:r>
      <w:r>
        <w:t>动物资源</w:t>
      </w:r>
      <w:r>
        <w:rPr>
          <w:rFonts w:hint="eastAsia"/>
        </w:rPr>
        <w:t>调查</w:t>
      </w:r>
    </w:p>
    <w:p w14:paraId="2B69F5EA">
      <w:pPr>
        <w:pStyle w:val="117"/>
        <w:ind w:firstLine="480"/>
        <w:rPr>
          <w:rFonts w:hint="eastAsia"/>
        </w:rPr>
      </w:pPr>
      <w:r>
        <w:rPr>
          <w:rFonts w:hint="eastAsia"/>
        </w:rPr>
        <w:t>①动物种类调查</w:t>
      </w:r>
    </w:p>
    <w:p w14:paraId="7D294F78">
      <w:pPr>
        <w:pStyle w:val="117"/>
        <w:ind w:firstLine="480"/>
        <w:rPr>
          <w:rFonts w:hint="eastAsia"/>
        </w:rPr>
      </w:pPr>
      <w:r>
        <w:rPr>
          <w:rFonts w:hint="eastAsia"/>
        </w:rPr>
        <w:t>项目区动物区系类型属古北界、中亚亚界、蒙新区、西部荒漠亚区、准噶尔盆地小区。主要分布有适于荒漠及荒漠草原和人工绿洲生活的动物。爬行动物的蜥脚类种数较多，如快步麻蜥、变色沙蜥等。鸟类中麻雀、斑鸠等较为常见。哺乳类大沙鼠、小家鼠等啮齿动物在该区分布很广，数量较大。</w:t>
      </w:r>
    </w:p>
    <w:p w14:paraId="34DAA3B5">
      <w:pPr>
        <w:pStyle w:val="117"/>
        <w:ind w:firstLine="480"/>
        <w:rPr>
          <w:rFonts w:hint="eastAsia"/>
        </w:rPr>
      </w:pPr>
      <w:r>
        <w:rPr>
          <w:rFonts w:hint="eastAsia"/>
        </w:rPr>
        <w:t>由于项目区所在准噶尔盆地边缘严酷的气候条件，野生动物分布种类少，主要为小型爬行类、啮齿类动物。根据《国家重点保护野生动物名录》（2021）及《新疆国家重点保护野生动物名录》（2021），项目区域内未发现国家重点保护野生动物及其生境。</w:t>
      </w:r>
      <w:r>
        <w:t>野生动物种类</w:t>
      </w:r>
      <w:r>
        <w:rPr>
          <w:rFonts w:hint="eastAsia"/>
        </w:rPr>
        <w:t>见表4.3-19。</w:t>
      </w:r>
    </w:p>
    <w:p w14:paraId="42C72CFF">
      <w:pPr>
        <w:pStyle w:val="109"/>
        <w:rPr>
          <w:rFonts w:hint="eastAsia"/>
        </w:rPr>
      </w:pPr>
      <w:bookmarkStart w:id="466" w:name="_Ref139480590"/>
      <w:r>
        <w:t>表</w:t>
      </w:r>
      <w:bookmarkEnd w:id="466"/>
      <w:r>
        <w:rPr>
          <w:rFonts w:hint="eastAsia"/>
        </w:rPr>
        <w:t>4.3-19</w:t>
      </w:r>
      <w:r>
        <w:t xml:space="preserve"> </w:t>
      </w:r>
      <w:r>
        <w:rPr>
          <w:rFonts w:hint="eastAsia"/>
        </w:rPr>
        <w:t xml:space="preserve"> 评价区</w:t>
      </w:r>
      <w:r>
        <w:t>及周围主要脊椎动物的种类</w:t>
      </w:r>
    </w:p>
    <w:tbl>
      <w:tblPr>
        <w:tblStyle w:val="51"/>
        <w:tblW w:w="8532" w:type="dxa"/>
        <w:tblInd w:w="21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4"/>
        <w:gridCol w:w="2028"/>
        <w:gridCol w:w="3807"/>
        <w:gridCol w:w="1134"/>
        <w:gridCol w:w="829"/>
      </w:tblGrid>
      <w:tr w14:paraId="2A5AA0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2" w:type="dxa"/>
            <w:gridSpan w:val="2"/>
            <w:vMerge w:val="restart"/>
            <w:shd w:val="clear" w:color="auto" w:fill="auto"/>
            <w:vAlign w:val="center"/>
          </w:tcPr>
          <w:p w14:paraId="6E160F19">
            <w:pPr>
              <w:pStyle w:val="278"/>
              <w:rPr>
                <w:rFonts w:hint="eastAsia"/>
              </w:rPr>
            </w:pPr>
            <w:r>
              <w:rPr>
                <w:rFonts w:hint="eastAsia"/>
              </w:rPr>
              <w:t>中文名</w:t>
            </w:r>
          </w:p>
        </w:tc>
        <w:tc>
          <w:tcPr>
            <w:tcW w:w="3807" w:type="dxa"/>
            <w:vMerge w:val="restart"/>
            <w:shd w:val="clear" w:color="auto" w:fill="auto"/>
            <w:vAlign w:val="center"/>
          </w:tcPr>
          <w:p w14:paraId="5F4E1177">
            <w:pPr>
              <w:pStyle w:val="278"/>
              <w:rPr>
                <w:rFonts w:hint="eastAsia"/>
              </w:rPr>
            </w:pPr>
            <w:r>
              <w:t>学名</w:t>
            </w:r>
          </w:p>
        </w:tc>
        <w:tc>
          <w:tcPr>
            <w:tcW w:w="1963" w:type="dxa"/>
            <w:gridSpan w:val="2"/>
            <w:shd w:val="clear" w:color="auto" w:fill="auto"/>
            <w:vAlign w:val="center"/>
          </w:tcPr>
          <w:p w14:paraId="5100E4E9">
            <w:pPr>
              <w:pStyle w:val="278"/>
              <w:rPr>
                <w:rFonts w:hint="eastAsia"/>
              </w:rPr>
            </w:pPr>
            <w:r>
              <w:t>分布</w:t>
            </w:r>
          </w:p>
        </w:tc>
      </w:tr>
      <w:tr w14:paraId="0D2E8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2" w:type="dxa"/>
            <w:gridSpan w:val="2"/>
            <w:vMerge w:val="continue"/>
            <w:shd w:val="clear" w:color="auto" w:fill="auto"/>
            <w:vAlign w:val="center"/>
          </w:tcPr>
          <w:p w14:paraId="71DD701A">
            <w:pPr>
              <w:pStyle w:val="278"/>
              <w:rPr>
                <w:rFonts w:hint="eastAsia"/>
              </w:rPr>
            </w:pPr>
          </w:p>
        </w:tc>
        <w:tc>
          <w:tcPr>
            <w:tcW w:w="3807" w:type="dxa"/>
            <w:vMerge w:val="continue"/>
            <w:shd w:val="clear" w:color="auto" w:fill="auto"/>
            <w:vAlign w:val="center"/>
          </w:tcPr>
          <w:p w14:paraId="57228FE1">
            <w:pPr>
              <w:pStyle w:val="278"/>
              <w:ind w:firstLine="416"/>
              <w:rPr>
                <w:rFonts w:hint="eastAsia" w:ascii="Times New Roman" w:eastAsia="等线"/>
                <w:i/>
                <w:iCs/>
                <w:spacing w:val="-2"/>
              </w:rPr>
            </w:pPr>
          </w:p>
        </w:tc>
        <w:tc>
          <w:tcPr>
            <w:tcW w:w="1134" w:type="dxa"/>
            <w:shd w:val="clear" w:color="auto" w:fill="auto"/>
            <w:vAlign w:val="center"/>
          </w:tcPr>
          <w:p w14:paraId="63F67D15">
            <w:pPr>
              <w:pStyle w:val="278"/>
              <w:rPr>
                <w:rFonts w:hint="eastAsia"/>
              </w:rPr>
            </w:pPr>
            <w:r>
              <w:rPr>
                <w:rFonts w:hint="eastAsia"/>
              </w:rPr>
              <w:t>荒漠草原</w:t>
            </w:r>
          </w:p>
        </w:tc>
        <w:tc>
          <w:tcPr>
            <w:tcW w:w="829" w:type="dxa"/>
            <w:shd w:val="clear" w:color="auto" w:fill="auto"/>
            <w:vAlign w:val="center"/>
          </w:tcPr>
          <w:p w14:paraId="02298060">
            <w:pPr>
              <w:pStyle w:val="278"/>
              <w:rPr>
                <w:rFonts w:hint="eastAsia"/>
              </w:rPr>
            </w:pPr>
            <w:r>
              <w:t>农田</w:t>
            </w:r>
          </w:p>
        </w:tc>
      </w:tr>
      <w:tr w14:paraId="6BECCF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4DBE1E37">
            <w:pPr>
              <w:pStyle w:val="278"/>
              <w:rPr>
                <w:rFonts w:hint="eastAsia"/>
              </w:rPr>
            </w:pPr>
            <w:r>
              <w:t>1</w:t>
            </w:r>
          </w:p>
        </w:tc>
        <w:tc>
          <w:tcPr>
            <w:tcW w:w="2028" w:type="dxa"/>
            <w:shd w:val="clear" w:color="auto" w:fill="auto"/>
            <w:vAlign w:val="center"/>
          </w:tcPr>
          <w:p w14:paraId="119A0DA0">
            <w:pPr>
              <w:pStyle w:val="278"/>
              <w:rPr>
                <w:rFonts w:hint="eastAsia"/>
              </w:rPr>
            </w:pPr>
            <w:r>
              <w:rPr>
                <w:rFonts w:hint="eastAsia"/>
              </w:rPr>
              <w:t>变色沙蜥</w:t>
            </w:r>
          </w:p>
        </w:tc>
        <w:tc>
          <w:tcPr>
            <w:tcW w:w="3807" w:type="dxa"/>
            <w:shd w:val="clear" w:color="auto" w:fill="auto"/>
            <w:vAlign w:val="center"/>
          </w:tcPr>
          <w:p w14:paraId="5E095BA9">
            <w:pPr>
              <w:pStyle w:val="278"/>
              <w:ind w:firstLine="399"/>
              <w:rPr>
                <w:rFonts w:hint="eastAsia" w:ascii="Times New Roman" w:eastAsia="等线"/>
                <w:i/>
                <w:iCs/>
                <w:w w:val="95"/>
              </w:rPr>
            </w:pPr>
            <w:r>
              <w:rPr>
                <w:rFonts w:ascii="Times New Roman" w:eastAsia="等线"/>
                <w:i/>
                <w:iCs/>
                <w:w w:val="95"/>
              </w:rPr>
              <w:t>Phrynocephalus</w:t>
            </w:r>
            <w:r>
              <w:rPr>
                <w:rFonts w:ascii="Times New Roman" w:eastAsia="等线"/>
                <w:i/>
                <w:iCs/>
                <w:spacing w:val="54"/>
              </w:rPr>
              <w:t xml:space="preserve"> </w:t>
            </w:r>
            <w:r>
              <w:rPr>
                <w:rFonts w:ascii="Times New Roman" w:eastAsia="等线"/>
                <w:i/>
                <w:iCs/>
                <w:spacing w:val="-2"/>
              </w:rPr>
              <w:t>Versicolor</w:t>
            </w:r>
          </w:p>
        </w:tc>
        <w:tc>
          <w:tcPr>
            <w:tcW w:w="1134" w:type="dxa"/>
            <w:shd w:val="clear" w:color="auto" w:fill="auto"/>
            <w:vAlign w:val="center"/>
          </w:tcPr>
          <w:p w14:paraId="280E4680">
            <w:pPr>
              <w:pStyle w:val="278"/>
              <w:ind w:firstLine="410"/>
              <w:rPr>
                <w:rFonts w:hint="eastAsia" w:ascii="Times New Roman" w:eastAsia="等线"/>
                <w:spacing w:val="-5"/>
              </w:rPr>
            </w:pPr>
            <w:r>
              <w:rPr>
                <w:rFonts w:ascii="Times New Roman" w:eastAsia="等线"/>
                <w:spacing w:val="-5"/>
              </w:rPr>
              <w:t>++</w:t>
            </w:r>
          </w:p>
        </w:tc>
        <w:tc>
          <w:tcPr>
            <w:tcW w:w="829" w:type="dxa"/>
            <w:shd w:val="clear" w:color="auto" w:fill="auto"/>
            <w:vAlign w:val="center"/>
          </w:tcPr>
          <w:p w14:paraId="46B369C0">
            <w:pPr>
              <w:pStyle w:val="278"/>
              <w:ind w:firstLine="440"/>
              <w:rPr>
                <w:rFonts w:hint="eastAsia" w:ascii="Times New Roman" w:eastAsia="等线"/>
                <w:sz w:val="22"/>
                <w:szCs w:val="22"/>
              </w:rPr>
            </w:pPr>
          </w:p>
        </w:tc>
      </w:tr>
      <w:tr w14:paraId="6A5168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76CE348C">
            <w:pPr>
              <w:pStyle w:val="278"/>
              <w:rPr>
                <w:rFonts w:hint="eastAsia"/>
              </w:rPr>
            </w:pPr>
            <w:r>
              <w:t>2</w:t>
            </w:r>
          </w:p>
        </w:tc>
        <w:tc>
          <w:tcPr>
            <w:tcW w:w="2028" w:type="dxa"/>
            <w:shd w:val="clear" w:color="auto" w:fill="auto"/>
            <w:vAlign w:val="center"/>
          </w:tcPr>
          <w:p w14:paraId="5FC2E14F">
            <w:pPr>
              <w:pStyle w:val="278"/>
              <w:rPr>
                <w:rFonts w:hint="eastAsia"/>
              </w:rPr>
            </w:pPr>
            <w:r>
              <w:rPr>
                <w:rFonts w:hint="eastAsia"/>
              </w:rPr>
              <w:t>快步麻蜥</w:t>
            </w:r>
          </w:p>
        </w:tc>
        <w:tc>
          <w:tcPr>
            <w:tcW w:w="3807" w:type="dxa"/>
            <w:shd w:val="clear" w:color="auto" w:fill="auto"/>
            <w:vAlign w:val="center"/>
          </w:tcPr>
          <w:p w14:paraId="524A76AE">
            <w:pPr>
              <w:pStyle w:val="278"/>
              <w:rPr>
                <w:rFonts w:hint="eastAsia" w:ascii="Times New Roman" w:eastAsia="等线"/>
                <w:i/>
                <w:iCs/>
                <w:spacing w:val="-2"/>
              </w:rPr>
            </w:pPr>
            <w:r>
              <w:rPr>
                <w:rFonts w:ascii="Times New Roman" w:eastAsia="等线"/>
                <w:i/>
                <w:iCs/>
              </w:rPr>
              <w:t>Eryx</w:t>
            </w:r>
            <w:r>
              <w:rPr>
                <w:rFonts w:ascii="Times New Roman" w:eastAsia="等线"/>
                <w:i/>
                <w:iCs/>
                <w:spacing w:val="-4"/>
              </w:rPr>
              <w:t xml:space="preserve"> </w:t>
            </w:r>
            <w:r>
              <w:rPr>
                <w:rFonts w:ascii="Times New Roman" w:eastAsia="等线"/>
                <w:i/>
                <w:iCs/>
                <w:spacing w:val="-2"/>
              </w:rPr>
              <w:t>tataricus</w:t>
            </w:r>
          </w:p>
        </w:tc>
        <w:tc>
          <w:tcPr>
            <w:tcW w:w="1134" w:type="dxa"/>
            <w:shd w:val="clear" w:color="auto" w:fill="auto"/>
            <w:vAlign w:val="center"/>
          </w:tcPr>
          <w:p w14:paraId="0DB7C908">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5EA7E6E2">
            <w:pPr>
              <w:pStyle w:val="278"/>
              <w:ind w:firstLine="415"/>
              <w:rPr>
                <w:rFonts w:hint="eastAsia" w:ascii="Times New Roman" w:eastAsia="等线"/>
                <w:w w:val="99"/>
              </w:rPr>
            </w:pPr>
            <w:r>
              <w:rPr>
                <w:rFonts w:ascii="Times New Roman" w:eastAsia="等线"/>
                <w:w w:val="99"/>
              </w:rPr>
              <w:t>+</w:t>
            </w:r>
          </w:p>
        </w:tc>
      </w:tr>
      <w:tr w14:paraId="3AAD33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5010E561">
            <w:pPr>
              <w:pStyle w:val="278"/>
              <w:rPr>
                <w:rFonts w:hint="eastAsia"/>
              </w:rPr>
            </w:pPr>
            <w:r>
              <w:t>3</w:t>
            </w:r>
          </w:p>
        </w:tc>
        <w:tc>
          <w:tcPr>
            <w:tcW w:w="2028" w:type="dxa"/>
            <w:shd w:val="clear" w:color="auto" w:fill="auto"/>
            <w:vAlign w:val="center"/>
          </w:tcPr>
          <w:p w14:paraId="333C9859">
            <w:pPr>
              <w:pStyle w:val="278"/>
              <w:rPr>
                <w:rFonts w:hint="eastAsia"/>
              </w:rPr>
            </w:pPr>
            <w:r>
              <w:rPr>
                <w:rFonts w:hint="eastAsia"/>
              </w:rPr>
              <w:t>黄脊游蛇</w:t>
            </w:r>
          </w:p>
        </w:tc>
        <w:tc>
          <w:tcPr>
            <w:tcW w:w="3807" w:type="dxa"/>
            <w:shd w:val="clear" w:color="auto" w:fill="auto"/>
            <w:vAlign w:val="center"/>
          </w:tcPr>
          <w:p w14:paraId="36AD6D91">
            <w:pPr>
              <w:pStyle w:val="278"/>
              <w:rPr>
                <w:rFonts w:hint="eastAsia" w:ascii="Times New Roman" w:eastAsia="等线"/>
                <w:i/>
                <w:iCs/>
                <w:spacing w:val="-2"/>
              </w:rPr>
            </w:pPr>
            <w:r>
              <w:rPr>
                <w:rFonts w:ascii="Times New Roman" w:eastAsia="等线"/>
                <w:i/>
                <w:iCs/>
              </w:rPr>
              <w:t>Coluber</w:t>
            </w:r>
            <w:r>
              <w:rPr>
                <w:rFonts w:ascii="Times New Roman" w:eastAsia="等线"/>
                <w:i/>
                <w:iCs/>
                <w:spacing w:val="-8"/>
              </w:rPr>
              <w:t xml:space="preserve"> </w:t>
            </w:r>
            <w:r>
              <w:rPr>
                <w:rFonts w:ascii="Times New Roman" w:eastAsia="等线"/>
                <w:i/>
                <w:iCs/>
                <w:spacing w:val="-2"/>
              </w:rPr>
              <w:t>spinalis</w:t>
            </w:r>
          </w:p>
        </w:tc>
        <w:tc>
          <w:tcPr>
            <w:tcW w:w="1134" w:type="dxa"/>
            <w:shd w:val="clear" w:color="auto" w:fill="auto"/>
            <w:vAlign w:val="center"/>
          </w:tcPr>
          <w:p w14:paraId="36512858">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62859B8C">
            <w:pPr>
              <w:pStyle w:val="278"/>
              <w:ind w:firstLine="415"/>
              <w:rPr>
                <w:rFonts w:hint="eastAsia" w:ascii="Times New Roman" w:eastAsia="等线"/>
                <w:w w:val="99"/>
              </w:rPr>
            </w:pPr>
            <w:r>
              <w:rPr>
                <w:rFonts w:ascii="Times New Roman" w:eastAsia="等线"/>
                <w:w w:val="99"/>
              </w:rPr>
              <w:t>-</w:t>
            </w:r>
          </w:p>
        </w:tc>
      </w:tr>
      <w:tr w14:paraId="2B1087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32" w:type="dxa"/>
            <w:gridSpan w:val="5"/>
            <w:shd w:val="clear" w:color="auto" w:fill="auto"/>
            <w:vAlign w:val="center"/>
          </w:tcPr>
          <w:p w14:paraId="218CA131">
            <w:pPr>
              <w:pStyle w:val="278"/>
              <w:rPr>
                <w:rFonts w:hint="eastAsia"/>
              </w:rPr>
            </w:pPr>
            <w:r>
              <w:rPr>
                <w:rFonts w:hint="eastAsia"/>
              </w:rPr>
              <w:t>鸟类</w:t>
            </w:r>
          </w:p>
        </w:tc>
      </w:tr>
      <w:tr w14:paraId="03AC44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3417FFAA">
            <w:pPr>
              <w:pStyle w:val="278"/>
              <w:rPr>
                <w:rFonts w:hint="eastAsia"/>
              </w:rPr>
            </w:pPr>
            <w:r>
              <w:t>4</w:t>
            </w:r>
          </w:p>
        </w:tc>
        <w:tc>
          <w:tcPr>
            <w:tcW w:w="2028" w:type="dxa"/>
            <w:shd w:val="clear" w:color="auto" w:fill="auto"/>
            <w:vAlign w:val="center"/>
          </w:tcPr>
          <w:p w14:paraId="17B7EF7B">
            <w:pPr>
              <w:pStyle w:val="278"/>
              <w:rPr>
                <w:rFonts w:hint="eastAsia"/>
              </w:rPr>
            </w:pPr>
            <w:r>
              <w:rPr>
                <w:rFonts w:hint="eastAsia"/>
              </w:rPr>
              <w:t>家燕</w:t>
            </w:r>
          </w:p>
        </w:tc>
        <w:tc>
          <w:tcPr>
            <w:tcW w:w="3807" w:type="dxa"/>
            <w:shd w:val="clear" w:color="auto" w:fill="auto"/>
            <w:vAlign w:val="center"/>
          </w:tcPr>
          <w:p w14:paraId="066B098B">
            <w:pPr>
              <w:pStyle w:val="278"/>
              <w:rPr>
                <w:rFonts w:hint="eastAsia" w:ascii="Times New Roman" w:eastAsia="等线"/>
                <w:i/>
                <w:iCs/>
                <w:spacing w:val="-2"/>
              </w:rPr>
            </w:pPr>
            <w:r>
              <w:rPr>
                <w:rFonts w:ascii="Times New Roman" w:eastAsia="等线"/>
                <w:i/>
                <w:iCs/>
              </w:rPr>
              <w:t>Hirundo</w:t>
            </w:r>
            <w:r>
              <w:rPr>
                <w:rFonts w:ascii="Times New Roman" w:eastAsia="等线"/>
                <w:i/>
                <w:iCs/>
                <w:spacing w:val="-7"/>
              </w:rPr>
              <w:t xml:space="preserve"> </w:t>
            </w:r>
            <w:r>
              <w:rPr>
                <w:rFonts w:ascii="Times New Roman" w:eastAsia="等线"/>
                <w:i/>
                <w:iCs/>
                <w:spacing w:val="-2"/>
              </w:rPr>
              <w:t>rustica</w:t>
            </w:r>
          </w:p>
        </w:tc>
        <w:tc>
          <w:tcPr>
            <w:tcW w:w="1134" w:type="dxa"/>
            <w:shd w:val="clear" w:color="auto" w:fill="auto"/>
            <w:vAlign w:val="center"/>
          </w:tcPr>
          <w:p w14:paraId="5359D464">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3835D154">
            <w:pPr>
              <w:pStyle w:val="278"/>
              <w:ind w:firstLine="410"/>
              <w:rPr>
                <w:rFonts w:hint="eastAsia" w:ascii="Times New Roman" w:eastAsia="等线"/>
                <w:spacing w:val="-5"/>
              </w:rPr>
            </w:pPr>
            <w:r>
              <w:rPr>
                <w:rFonts w:ascii="Times New Roman" w:eastAsia="等线"/>
                <w:spacing w:val="-5"/>
              </w:rPr>
              <w:t>++</w:t>
            </w:r>
          </w:p>
        </w:tc>
      </w:tr>
      <w:tr w14:paraId="32659F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02CEC88B">
            <w:pPr>
              <w:pStyle w:val="278"/>
              <w:rPr>
                <w:rFonts w:hint="eastAsia"/>
              </w:rPr>
            </w:pPr>
            <w:r>
              <w:t>5</w:t>
            </w:r>
          </w:p>
        </w:tc>
        <w:tc>
          <w:tcPr>
            <w:tcW w:w="2028" w:type="dxa"/>
            <w:shd w:val="clear" w:color="auto" w:fill="auto"/>
            <w:vAlign w:val="center"/>
          </w:tcPr>
          <w:p w14:paraId="51F01E83">
            <w:pPr>
              <w:pStyle w:val="278"/>
              <w:rPr>
                <w:rFonts w:hint="eastAsia"/>
              </w:rPr>
            </w:pPr>
            <w:r>
              <w:rPr>
                <w:rFonts w:hint="eastAsia"/>
              </w:rPr>
              <w:t>麻雀</w:t>
            </w:r>
          </w:p>
        </w:tc>
        <w:tc>
          <w:tcPr>
            <w:tcW w:w="3807" w:type="dxa"/>
            <w:shd w:val="clear" w:color="auto" w:fill="auto"/>
            <w:vAlign w:val="center"/>
          </w:tcPr>
          <w:p w14:paraId="03CF7345">
            <w:pPr>
              <w:pStyle w:val="278"/>
              <w:rPr>
                <w:rFonts w:hint="eastAsia" w:ascii="Times New Roman" w:eastAsia="等线"/>
                <w:i/>
                <w:iCs/>
                <w:spacing w:val="-2"/>
              </w:rPr>
            </w:pPr>
            <w:r>
              <w:rPr>
                <w:rFonts w:ascii="Times New Roman" w:eastAsia="等线"/>
                <w:i/>
                <w:iCs/>
              </w:rPr>
              <w:t>Passer</w:t>
            </w:r>
            <w:r>
              <w:rPr>
                <w:rFonts w:ascii="Times New Roman" w:eastAsia="等线"/>
                <w:i/>
                <w:iCs/>
                <w:spacing w:val="-6"/>
              </w:rPr>
              <w:t xml:space="preserve"> </w:t>
            </w:r>
            <w:r>
              <w:rPr>
                <w:rFonts w:ascii="Times New Roman" w:eastAsia="等线"/>
                <w:i/>
                <w:iCs/>
                <w:spacing w:val="-2"/>
              </w:rPr>
              <w:t>domesticus</w:t>
            </w:r>
          </w:p>
        </w:tc>
        <w:tc>
          <w:tcPr>
            <w:tcW w:w="1134" w:type="dxa"/>
            <w:shd w:val="clear" w:color="auto" w:fill="auto"/>
            <w:vAlign w:val="center"/>
          </w:tcPr>
          <w:p w14:paraId="4885C2DB">
            <w:pPr>
              <w:pStyle w:val="278"/>
              <w:ind w:firstLine="410"/>
              <w:rPr>
                <w:rFonts w:hint="eastAsia" w:ascii="Times New Roman" w:eastAsia="等线"/>
                <w:spacing w:val="-5"/>
              </w:rPr>
            </w:pPr>
            <w:r>
              <w:rPr>
                <w:rFonts w:ascii="Times New Roman" w:eastAsia="等线"/>
                <w:spacing w:val="-5"/>
              </w:rPr>
              <w:t>++</w:t>
            </w:r>
          </w:p>
        </w:tc>
        <w:tc>
          <w:tcPr>
            <w:tcW w:w="829" w:type="dxa"/>
            <w:shd w:val="clear" w:color="auto" w:fill="auto"/>
            <w:vAlign w:val="center"/>
          </w:tcPr>
          <w:p w14:paraId="4E912C84">
            <w:pPr>
              <w:pStyle w:val="278"/>
              <w:ind w:firstLine="410"/>
              <w:rPr>
                <w:rFonts w:hint="eastAsia" w:ascii="Times New Roman" w:eastAsia="等线"/>
                <w:spacing w:val="-5"/>
              </w:rPr>
            </w:pPr>
            <w:r>
              <w:rPr>
                <w:rFonts w:ascii="Times New Roman" w:eastAsia="等线"/>
                <w:spacing w:val="-5"/>
              </w:rPr>
              <w:t>++</w:t>
            </w:r>
          </w:p>
        </w:tc>
      </w:tr>
      <w:tr w14:paraId="7D8034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7FA28392">
            <w:pPr>
              <w:pStyle w:val="278"/>
              <w:rPr>
                <w:rFonts w:hint="eastAsia"/>
              </w:rPr>
            </w:pPr>
            <w:r>
              <w:t>6</w:t>
            </w:r>
          </w:p>
        </w:tc>
        <w:tc>
          <w:tcPr>
            <w:tcW w:w="2028" w:type="dxa"/>
            <w:shd w:val="clear" w:color="auto" w:fill="auto"/>
            <w:vAlign w:val="center"/>
          </w:tcPr>
          <w:p w14:paraId="189E69DC">
            <w:pPr>
              <w:pStyle w:val="278"/>
              <w:rPr>
                <w:rFonts w:hint="eastAsia"/>
              </w:rPr>
            </w:pPr>
            <w:r>
              <w:rPr>
                <w:rFonts w:hint="eastAsia"/>
              </w:rPr>
              <w:t>斑鸠</w:t>
            </w:r>
          </w:p>
        </w:tc>
        <w:tc>
          <w:tcPr>
            <w:tcW w:w="3807" w:type="dxa"/>
            <w:shd w:val="clear" w:color="auto" w:fill="auto"/>
            <w:vAlign w:val="center"/>
          </w:tcPr>
          <w:p w14:paraId="104FCD1B">
            <w:pPr>
              <w:pStyle w:val="278"/>
              <w:rPr>
                <w:rFonts w:hint="eastAsia" w:ascii="Times New Roman" w:eastAsia="等线"/>
                <w:i/>
                <w:iCs/>
                <w:spacing w:val="-2"/>
              </w:rPr>
            </w:pPr>
            <w:r>
              <w:rPr>
                <w:rFonts w:ascii="Times New Roman" w:eastAsia="等线"/>
                <w:i/>
                <w:iCs/>
              </w:rPr>
              <w:t>Streptopelia</w:t>
            </w:r>
            <w:r>
              <w:rPr>
                <w:rFonts w:ascii="Times New Roman" w:eastAsia="等线"/>
                <w:i/>
                <w:iCs/>
                <w:spacing w:val="-10"/>
              </w:rPr>
              <w:t xml:space="preserve"> </w:t>
            </w:r>
            <w:r>
              <w:rPr>
                <w:rFonts w:ascii="Times New Roman" w:eastAsia="等线"/>
                <w:i/>
                <w:iCs/>
                <w:spacing w:val="-2"/>
              </w:rPr>
              <w:t>decaocta</w:t>
            </w:r>
          </w:p>
        </w:tc>
        <w:tc>
          <w:tcPr>
            <w:tcW w:w="1134" w:type="dxa"/>
            <w:shd w:val="clear" w:color="auto" w:fill="auto"/>
            <w:vAlign w:val="center"/>
          </w:tcPr>
          <w:p w14:paraId="607C306A">
            <w:pPr>
              <w:pStyle w:val="278"/>
              <w:ind w:firstLine="440"/>
              <w:rPr>
                <w:rFonts w:hint="eastAsia" w:ascii="Times New Roman" w:eastAsia="等线"/>
                <w:sz w:val="22"/>
                <w:szCs w:val="22"/>
              </w:rPr>
            </w:pPr>
          </w:p>
        </w:tc>
        <w:tc>
          <w:tcPr>
            <w:tcW w:w="829" w:type="dxa"/>
            <w:shd w:val="clear" w:color="auto" w:fill="auto"/>
            <w:vAlign w:val="center"/>
          </w:tcPr>
          <w:p w14:paraId="175A47C6">
            <w:pPr>
              <w:pStyle w:val="278"/>
              <w:ind w:firstLine="410"/>
              <w:rPr>
                <w:rFonts w:hint="eastAsia" w:ascii="Times New Roman" w:eastAsia="等线"/>
                <w:spacing w:val="-5"/>
              </w:rPr>
            </w:pPr>
            <w:r>
              <w:rPr>
                <w:rFonts w:ascii="Times New Roman" w:eastAsia="等线"/>
                <w:spacing w:val="-5"/>
              </w:rPr>
              <w:t>++</w:t>
            </w:r>
          </w:p>
        </w:tc>
      </w:tr>
      <w:tr w14:paraId="5C8F6F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3A7177BC">
            <w:pPr>
              <w:pStyle w:val="278"/>
              <w:rPr>
                <w:rFonts w:hint="eastAsia"/>
              </w:rPr>
            </w:pPr>
            <w:r>
              <w:t>7</w:t>
            </w:r>
          </w:p>
        </w:tc>
        <w:tc>
          <w:tcPr>
            <w:tcW w:w="2028" w:type="dxa"/>
            <w:shd w:val="clear" w:color="auto" w:fill="auto"/>
            <w:vAlign w:val="center"/>
          </w:tcPr>
          <w:p w14:paraId="2E0B4BA1">
            <w:pPr>
              <w:pStyle w:val="278"/>
              <w:rPr>
                <w:rFonts w:hint="eastAsia"/>
              </w:rPr>
            </w:pPr>
            <w:r>
              <w:rPr>
                <w:rFonts w:hint="eastAsia"/>
              </w:rPr>
              <w:t>乌鸦</w:t>
            </w:r>
          </w:p>
        </w:tc>
        <w:tc>
          <w:tcPr>
            <w:tcW w:w="3807" w:type="dxa"/>
            <w:shd w:val="clear" w:color="auto" w:fill="auto"/>
            <w:vAlign w:val="center"/>
          </w:tcPr>
          <w:p w14:paraId="02611B49">
            <w:pPr>
              <w:pStyle w:val="278"/>
              <w:rPr>
                <w:rFonts w:hint="eastAsia" w:ascii="Times New Roman" w:eastAsia="等线"/>
                <w:i/>
                <w:iCs/>
                <w:spacing w:val="-4"/>
              </w:rPr>
            </w:pPr>
            <w:r>
              <w:rPr>
                <w:rFonts w:ascii="Times New Roman" w:eastAsia="等线"/>
                <w:i/>
                <w:iCs/>
              </w:rPr>
              <w:t>Corvus</w:t>
            </w:r>
            <w:r>
              <w:rPr>
                <w:rFonts w:ascii="Times New Roman" w:eastAsia="等线"/>
                <w:i/>
                <w:iCs/>
                <w:spacing w:val="-6"/>
              </w:rPr>
              <w:t xml:space="preserve"> </w:t>
            </w:r>
            <w:r>
              <w:rPr>
                <w:rFonts w:ascii="Times New Roman" w:eastAsia="等线"/>
                <w:i/>
                <w:iCs/>
                <w:spacing w:val="-4"/>
              </w:rPr>
              <w:t>Spp.</w:t>
            </w:r>
          </w:p>
        </w:tc>
        <w:tc>
          <w:tcPr>
            <w:tcW w:w="1134" w:type="dxa"/>
            <w:shd w:val="clear" w:color="auto" w:fill="auto"/>
            <w:vAlign w:val="center"/>
          </w:tcPr>
          <w:p w14:paraId="6260710C">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28DDB5AD">
            <w:pPr>
              <w:pStyle w:val="278"/>
              <w:ind w:firstLine="410"/>
              <w:rPr>
                <w:rFonts w:hint="eastAsia" w:ascii="Times New Roman" w:eastAsia="等线"/>
                <w:spacing w:val="-5"/>
              </w:rPr>
            </w:pPr>
            <w:r>
              <w:rPr>
                <w:rFonts w:ascii="Times New Roman" w:eastAsia="等线"/>
                <w:spacing w:val="-5"/>
              </w:rPr>
              <w:t>++</w:t>
            </w:r>
          </w:p>
        </w:tc>
      </w:tr>
      <w:tr w14:paraId="29D457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05C6059C">
            <w:pPr>
              <w:pStyle w:val="278"/>
              <w:rPr>
                <w:rFonts w:hint="eastAsia"/>
              </w:rPr>
            </w:pPr>
            <w:r>
              <w:t>8</w:t>
            </w:r>
          </w:p>
        </w:tc>
        <w:tc>
          <w:tcPr>
            <w:tcW w:w="2028" w:type="dxa"/>
            <w:shd w:val="clear" w:color="auto" w:fill="auto"/>
            <w:vAlign w:val="center"/>
          </w:tcPr>
          <w:p w14:paraId="18D1E6B9">
            <w:pPr>
              <w:pStyle w:val="278"/>
              <w:rPr>
                <w:rFonts w:hint="eastAsia"/>
              </w:rPr>
            </w:pPr>
            <w:r>
              <w:rPr>
                <w:rFonts w:hint="eastAsia"/>
              </w:rPr>
              <w:t>黑尾地鸦</w:t>
            </w:r>
          </w:p>
        </w:tc>
        <w:tc>
          <w:tcPr>
            <w:tcW w:w="3807" w:type="dxa"/>
            <w:shd w:val="clear" w:color="auto" w:fill="auto"/>
            <w:vAlign w:val="center"/>
          </w:tcPr>
          <w:p w14:paraId="478D11C3">
            <w:pPr>
              <w:pStyle w:val="278"/>
              <w:rPr>
                <w:rFonts w:hint="eastAsia" w:ascii="Times New Roman" w:eastAsia="等线"/>
                <w:i/>
                <w:iCs/>
                <w:spacing w:val="-2"/>
              </w:rPr>
            </w:pPr>
            <w:r>
              <w:rPr>
                <w:rFonts w:ascii="Times New Roman" w:eastAsia="等线"/>
                <w:i/>
                <w:iCs/>
              </w:rPr>
              <w:t>Podoces</w:t>
            </w:r>
            <w:r>
              <w:rPr>
                <w:rFonts w:ascii="Times New Roman" w:eastAsia="等线"/>
                <w:i/>
                <w:iCs/>
                <w:spacing w:val="-8"/>
              </w:rPr>
              <w:t xml:space="preserve"> </w:t>
            </w:r>
            <w:r>
              <w:rPr>
                <w:rFonts w:ascii="Times New Roman" w:eastAsia="等线"/>
                <w:i/>
                <w:iCs/>
                <w:spacing w:val="-2"/>
              </w:rPr>
              <w:t>hendersoni</w:t>
            </w:r>
          </w:p>
        </w:tc>
        <w:tc>
          <w:tcPr>
            <w:tcW w:w="1134" w:type="dxa"/>
            <w:shd w:val="clear" w:color="auto" w:fill="auto"/>
            <w:vAlign w:val="center"/>
          </w:tcPr>
          <w:p w14:paraId="09EF356B">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38E0F99A">
            <w:pPr>
              <w:pStyle w:val="278"/>
              <w:ind w:firstLine="440"/>
              <w:rPr>
                <w:rFonts w:hint="eastAsia" w:ascii="Times New Roman" w:eastAsia="等线"/>
                <w:sz w:val="22"/>
                <w:szCs w:val="22"/>
              </w:rPr>
            </w:pPr>
          </w:p>
        </w:tc>
      </w:tr>
      <w:tr w14:paraId="0FF30C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32" w:type="dxa"/>
            <w:gridSpan w:val="5"/>
            <w:shd w:val="clear" w:color="auto" w:fill="auto"/>
            <w:vAlign w:val="center"/>
          </w:tcPr>
          <w:p w14:paraId="522C7E38">
            <w:pPr>
              <w:pStyle w:val="278"/>
              <w:rPr>
                <w:rFonts w:hint="eastAsia"/>
              </w:rPr>
            </w:pPr>
            <w:r>
              <w:rPr>
                <w:rFonts w:hint="eastAsia"/>
              </w:rPr>
              <w:t>哺乳类</w:t>
            </w:r>
          </w:p>
        </w:tc>
      </w:tr>
      <w:tr w14:paraId="400BF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7A27E2E8">
            <w:pPr>
              <w:pStyle w:val="278"/>
              <w:rPr>
                <w:rFonts w:hint="eastAsia"/>
              </w:rPr>
            </w:pPr>
            <w:r>
              <w:t>9</w:t>
            </w:r>
          </w:p>
        </w:tc>
        <w:tc>
          <w:tcPr>
            <w:tcW w:w="2028" w:type="dxa"/>
            <w:shd w:val="clear" w:color="auto" w:fill="auto"/>
            <w:vAlign w:val="center"/>
          </w:tcPr>
          <w:p w14:paraId="6738CB13">
            <w:pPr>
              <w:pStyle w:val="278"/>
              <w:rPr>
                <w:rFonts w:hint="eastAsia"/>
              </w:rPr>
            </w:pPr>
            <w:r>
              <w:rPr>
                <w:rFonts w:hint="eastAsia"/>
              </w:rPr>
              <w:t>小五趾跳鼠</w:t>
            </w:r>
          </w:p>
        </w:tc>
        <w:tc>
          <w:tcPr>
            <w:tcW w:w="3807" w:type="dxa"/>
            <w:shd w:val="clear" w:color="auto" w:fill="auto"/>
            <w:vAlign w:val="center"/>
          </w:tcPr>
          <w:p w14:paraId="08D38E38">
            <w:pPr>
              <w:pStyle w:val="278"/>
              <w:rPr>
                <w:rFonts w:hint="eastAsia" w:ascii="Times New Roman" w:eastAsia="等线"/>
                <w:i/>
                <w:iCs/>
                <w:spacing w:val="-2"/>
              </w:rPr>
            </w:pPr>
            <w:r>
              <w:rPr>
                <w:rFonts w:ascii="Times New Roman" w:eastAsia="等线"/>
                <w:i/>
                <w:iCs/>
              </w:rPr>
              <w:t>Allactage</w:t>
            </w:r>
            <w:r>
              <w:rPr>
                <w:rFonts w:ascii="Times New Roman" w:eastAsia="等线"/>
                <w:i/>
                <w:iCs/>
                <w:spacing w:val="-9"/>
              </w:rPr>
              <w:t xml:space="preserve"> </w:t>
            </w:r>
            <w:r>
              <w:rPr>
                <w:rFonts w:ascii="Times New Roman" w:eastAsia="等线"/>
                <w:i/>
                <w:iCs/>
                <w:spacing w:val="-2"/>
              </w:rPr>
              <w:t>elater</w:t>
            </w:r>
          </w:p>
        </w:tc>
        <w:tc>
          <w:tcPr>
            <w:tcW w:w="1134" w:type="dxa"/>
            <w:shd w:val="clear" w:color="auto" w:fill="auto"/>
            <w:vAlign w:val="center"/>
          </w:tcPr>
          <w:p w14:paraId="3703A68D">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22194F82">
            <w:pPr>
              <w:pStyle w:val="278"/>
              <w:ind w:firstLine="415"/>
              <w:rPr>
                <w:rFonts w:hint="eastAsia" w:ascii="Times New Roman" w:eastAsia="等线"/>
                <w:w w:val="99"/>
              </w:rPr>
            </w:pPr>
            <w:r>
              <w:rPr>
                <w:rFonts w:ascii="Times New Roman" w:eastAsia="等线"/>
                <w:w w:val="99"/>
              </w:rPr>
              <w:t>+</w:t>
            </w:r>
          </w:p>
        </w:tc>
      </w:tr>
      <w:tr w14:paraId="42D333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25374D09">
            <w:pPr>
              <w:pStyle w:val="278"/>
              <w:rPr>
                <w:rFonts w:hint="eastAsia"/>
              </w:rPr>
            </w:pPr>
            <w:r>
              <w:t>10</w:t>
            </w:r>
          </w:p>
        </w:tc>
        <w:tc>
          <w:tcPr>
            <w:tcW w:w="2028" w:type="dxa"/>
            <w:shd w:val="clear" w:color="auto" w:fill="auto"/>
            <w:vAlign w:val="center"/>
          </w:tcPr>
          <w:p w14:paraId="55931A59">
            <w:pPr>
              <w:pStyle w:val="278"/>
              <w:rPr>
                <w:rFonts w:hint="eastAsia"/>
              </w:rPr>
            </w:pPr>
            <w:r>
              <w:rPr>
                <w:rFonts w:hint="eastAsia"/>
              </w:rPr>
              <w:t>小家鼠</w:t>
            </w:r>
          </w:p>
        </w:tc>
        <w:tc>
          <w:tcPr>
            <w:tcW w:w="3807" w:type="dxa"/>
            <w:shd w:val="clear" w:color="auto" w:fill="auto"/>
            <w:vAlign w:val="center"/>
          </w:tcPr>
          <w:p w14:paraId="0766BE7F">
            <w:pPr>
              <w:pStyle w:val="278"/>
              <w:rPr>
                <w:rFonts w:hint="eastAsia" w:ascii="Times New Roman" w:eastAsia="等线"/>
                <w:i/>
                <w:iCs/>
                <w:spacing w:val="-2"/>
              </w:rPr>
            </w:pPr>
            <w:r>
              <w:rPr>
                <w:rFonts w:ascii="Times New Roman" w:eastAsia="等线"/>
                <w:i/>
                <w:iCs/>
              </w:rPr>
              <w:t xml:space="preserve">Mus </w:t>
            </w:r>
            <w:r>
              <w:rPr>
                <w:rFonts w:ascii="Times New Roman" w:eastAsia="等线"/>
                <w:i/>
                <w:iCs/>
                <w:spacing w:val="-2"/>
              </w:rPr>
              <w:t>musculus</w:t>
            </w:r>
          </w:p>
        </w:tc>
        <w:tc>
          <w:tcPr>
            <w:tcW w:w="1134" w:type="dxa"/>
            <w:shd w:val="clear" w:color="auto" w:fill="auto"/>
            <w:vAlign w:val="center"/>
          </w:tcPr>
          <w:p w14:paraId="0BA6D2C6">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19F0B818">
            <w:pPr>
              <w:pStyle w:val="278"/>
              <w:ind w:firstLine="410"/>
              <w:rPr>
                <w:rFonts w:hint="eastAsia" w:ascii="Times New Roman" w:eastAsia="等线"/>
                <w:spacing w:val="-5"/>
              </w:rPr>
            </w:pPr>
            <w:r>
              <w:rPr>
                <w:rFonts w:ascii="Times New Roman" w:eastAsia="等线"/>
                <w:spacing w:val="-5"/>
              </w:rPr>
              <w:t>++</w:t>
            </w:r>
          </w:p>
        </w:tc>
      </w:tr>
      <w:tr w14:paraId="12F58F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3B5C6A1A">
            <w:pPr>
              <w:pStyle w:val="278"/>
              <w:rPr>
                <w:rFonts w:hint="eastAsia"/>
              </w:rPr>
            </w:pPr>
            <w:r>
              <w:t>11</w:t>
            </w:r>
          </w:p>
        </w:tc>
        <w:tc>
          <w:tcPr>
            <w:tcW w:w="2028" w:type="dxa"/>
            <w:shd w:val="clear" w:color="auto" w:fill="auto"/>
            <w:vAlign w:val="center"/>
          </w:tcPr>
          <w:p w14:paraId="635F325F">
            <w:pPr>
              <w:pStyle w:val="278"/>
              <w:rPr>
                <w:rFonts w:hint="eastAsia"/>
              </w:rPr>
            </w:pPr>
            <w:r>
              <w:rPr>
                <w:rFonts w:hint="eastAsia"/>
              </w:rPr>
              <w:t>毛脚跳鼠</w:t>
            </w:r>
          </w:p>
        </w:tc>
        <w:tc>
          <w:tcPr>
            <w:tcW w:w="3807" w:type="dxa"/>
            <w:shd w:val="clear" w:color="auto" w:fill="auto"/>
            <w:vAlign w:val="center"/>
          </w:tcPr>
          <w:p w14:paraId="561C58ED">
            <w:pPr>
              <w:pStyle w:val="278"/>
              <w:rPr>
                <w:rFonts w:hint="eastAsia" w:ascii="Times New Roman" w:eastAsia="等线"/>
                <w:i/>
                <w:iCs/>
                <w:spacing w:val="-2"/>
              </w:rPr>
            </w:pPr>
            <w:r>
              <w:rPr>
                <w:rFonts w:ascii="Times New Roman" w:eastAsia="等线"/>
                <w:i/>
                <w:iCs/>
              </w:rPr>
              <w:t>Dipus</w:t>
            </w:r>
            <w:r>
              <w:rPr>
                <w:rFonts w:ascii="Times New Roman" w:eastAsia="等线"/>
                <w:i/>
                <w:iCs/>
                <w:spacing w:val="-5"/>
              </w:rPr>
              <w:t xml:space="preserve"> </w:t>
            </w:r>
            <w:r>
              <w:rPr>
                <w:rFonts w:ascii="Times New Roman" w:eastAsia="等线"/>
                <w:i/>
                <w:iCs/>
                <w:spacing w:val="-2"/>
              </w:rPr>
              <w:t>sagitta</w:t>
            </w:r>
          </w:p>
        </w:tc>
        <w:tc>
          <w:tcPr>
            <w:tcW w:w="1134" w:type="dxa"/>
            <w:shd w:val="clear" w:color="auto" w:fill="auto"/>
            <w:vAlign w:val="center"/>
          </w:tcPr>
          <w:p w14:paraId="188C63F3">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5CE331AD">
            <w:pPr>
              <w:pStyle w:val="278"/>
              <w:ind w:firstLine="415"/>
              <w:rPr>
                <w:rFonts w:hint="eastAsia" w:ascii="Times New Roman" w:eastAsia="等线"/>
                <w:w w:val="99"/>
              </w:rPr>
            </w:pPr>
            <w:r>
              <w:rPr>
                <w:rFonts w:ascii="Times New Roman" w:eastAsia="等线"/>
                <w:w w:val="99"/>
              </w:rPr>
              <w:t>-</w:t>
            </w:r>
          </w:p>
        </w:tc>
      </w:tr>
      <w:tr w14:paraId="09B3CC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719CFF34">
            <w:pPr>
              <w:pStyle w:val="278"/>
              <w:rPr>
                <w:rFonts w:hint="eastAsia"/>
              </w:rPr>
            </w:pPr>
            <w:r>
              <w:t>12</w:t>
            </w:r>
          </w:p>
        </w:tc>
        <w:tc>
          <w:tcPr>
            <w:tcW w:w="2028" w:type="dxa"/>
            <w:shd w:val="clear" w:color="auto" w:fill="auto"/>
            <w:vAlign w:val="center"/>
          </w:tcPr>
          <w:p w14:paraId="2EF759A4">
            <w:pPr>
              <w:pStyle w:val="278"/>
              <w:rPr>
                <w:rFonts w:hint="eastAsia"/>
              </w:rPr>
            </w:pPr>
            <w:r>
              <w:rPr>
                <w:rFonts w:hint="eastAsia"/>
              </w:rPr>
              <w:t>大沙鼠</w:t>
            </w:r>
          </w:p>
        </w:tc>
        <w:tc>
          <w:tcPr>
            <w:tcW w:w="3807" w:type="dxa"/>
            <w:shd w:val="clear" w:color="auto" w:fill="auto"/>
            <w:vAlign w:val="center"/>
          </w:tcPr>
          <w:p w14:paraId="6236A3D8">
            <w:pPr>
              <w:pStyle w:val="278"/>
              <w:rPr>
                <w:rFonts w:hint="eastAsia" w:ascii="Times New Roman" w:eastAsia="等线"/>
                <w:i/>
                <w:iCs/>
                <w:spacing w:val="-2"/>
              </w:rPr>
            </w:pPr>
            <w:r>
              <w:rPr>
                <w:rFonts w:ascii="Times New Roman" w:eastAsia="等线"/>
                <w:i/>
                <w:iCs/>
              </w:rPr>
              <w:t>Rhombomys</w:t>
            </w:r>
            <w:r>
              <w:rPr>
                <w:rFonts w:ascii="Times New Roman" w:eastAsia="等线"/>
                <w:i/>
                <w:iCs/>
                <w:spacing w:val="-8"/>
              </w:rPr>
              <w:t xml:space="preserve"> </w:t>
            </w:r>
            <w:r>
              <w:rPr>
                <w:rFonts w:ascii="Times New Roman" w:eastAsia="等线"/>
                <w:i/>
                <w:iCs/>
                <w:spacing w:val="-2"/>
              </w:rPr>
              <w:t>opimus</w:t>
            </w:r>
          </w:p>
        </w:tc>
        <w:tc>
          <w:tcPr>
            <w:tcW w:w="1134" w:type="dxa"/>
            <w:shd w:val="clear" w:color="auto" w:fill="auto"/>
            <w:vAlign w:val="center"/>
          </w:tcPr>
          <w:p w14:paraId="6538894E">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44F86E7F">
            <w:pPr>
              <w:pStyle w:val="278"/>
              <w:ind w:firstLine="415"/>
              <w:rPr>
                <w:rFonts w:hint="eastAsia" w:ascii="Times New Roman" w:eastAsia="等线"/>
                <w:w w:val="99"/>
              </w:rPr>
            </w:pPr>
            <w:r>
              <w:rPr>
                <w:rFonts w:ascii="Times New Roman" w:eastAsia="等线"/>
                <w:w w:val="99"/>
              </w:rPr>
              <w:t>-</w:t>
            </w:r>
          </w:p>
        </w:tc>
      </w:tr>
      <w:tr w14:paraId="6C1C5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4" w:type="dxa"/>
            <w:shd w:val="clear" w:color="auto" w:fill="auto"/>
            <w:vAlign w:val="center"/>
          </w:tcPr>
          <w:p w14:paraId="51CAD681">
            <w:pPr>
              <w:pStyle w:val="278"/>
              <w:rPr>
                <w:rFonts w:hint="eastAsia"/>
              </w:rPr>
            </w:pPr>
            <w:r>
              <w:t>13</w:t>
            </w:r>
          </w:p>
        </w:tc>
        <w:tc>
          <w:tcPr>
            <w:tcW w:w="2028" w:type="dxa"/>
            <w:shd w:val="clear" w:color="auto" w:fill="auto"/>
            <w:vAlign w:val="center"/>
          </w:tcPr>
          <w:p w14:paraId="6D93E43C">
            <w:pPr>
              <w:pStyle w:val="278"/>
              <w:rPr>
                <w:rFonts w:hint="eastAsia"/>
              </w:rPr>
            </w:pPr>
            <w:r>
              <w:rPr>
                <w:rFonts w:hint="eastAsia"/>
              </w:rPr>
              <w:t>子午沙鼠</w:t>
            </w:r>
          </w:p>
        </w:tc>
        <w:tc>
          <w:tcPr>
            <w:tcW w:w="3807" w:type="dxa"/>
            <w:shd w:val="clear" w:color="auto" w:fill="auto"/>
            <w:vAlign w:val="center"/>
          </w:tcPr>
          <w:p w14:paraId="5DA7B5AD">
            <w:pPr>
              <w:pStyle w:val="278"/>
              <w:rPr>
                <w:rFonts w:hint="eastAsia" w:ascii="Times New Roman" w:eastAsia="等线"/>
                <w:i/>
                <w:iCs/>
                <w:spacing w:val="-2"/>
              </w:rPr>
            </w:pPr>
            <w:r>
              <w:rPr>
                <w:rFonts w:ascii="Times New Roman" w:eastAsia="等线"/>
                <w:i/>
                <w:iCs/>
              </w:rPr>
              <w:t>Meriones</w:t>
            </w:r>
            <w:r>
              <w:rPr>
                <w:rFonts w:ascii="Times New Roman" w:eastAsia="等线"/>
                <w:i/>
                <w:iCs/>
                <w:spacing w:val="-9"/>
              </w:rPr>
              <w:t xml:space="preserve"> </w:t>
            </w:r>
            <w:r>
              <w:rPr>
                <w:rFonts w:ascii="Times New Roman" w:eastAsia="等线"/>
                <w:i/>
                <w:iCs/>
                <w:spacing w:val="-2"/>
              </w:rPr>
              <w:t>meridianus</w:t>
            </w:r>
          </w:p>
        </w:tc>
        <w:tc>
          <w:tcPr>
            <w:tcW w:w="1134" w:type="dxa"/>
            <w:shd w:val="clear" w:color="auto" w:fill="auto"/>
            <w:vAlign w:val="center"/>
          </w:tcPr>
          <w:p w14:paraId="05F18CA3">
            <w:pPr>
              <w:pStyle w:val="278"/>
              <w:ind w:firstLine="415"/>
              <w:rPr>
                <w:rFonts w:hint="eastAsia" w:ascii="Times New Roman" w:eastAsia="等线"/>
                <w:w w:val="99"/>
              </w:rPr>
            </w:pPr>
            <w:r>
              <w:rPr>
                <w:rFonts w:ascii="Times New Roman" w:eastAsia="等线"/>
                <w:w w:val="99"/>
              </w:rPr>
              <w:t>+</w:t>
            </w:r>
          </w:p>
        </w:tc>
        <w:tc>
          <w:tcPr>
            <w:tcW w:w="829" w:type="dxa"/>
            <w:shd w:val="clear" w:color="auto" w:fill="auto"/>
            <w:vAlign w:val="center"/>
          </w:tcPr>
          <w:p w14:paraId="1EACF414">
            <w:pPr>
              <w:pStyle w:val="278"/>
              <w:ind w:firstLine="415"/>
              <w:rPr>
                <w:rFonts w:hint="eastAsia" w:ascii="Times New Roman" w:eastAsia="等线"/>
                <w:w w:val="99"/>
              </w:rPr>
            </w:pPr>
            <w:r>
              <w:rPr>
                <w:rFonts w:ascii="Times New Roman" w:eastAsia="等线"/>
                <w:w w:val="99"/>
              </w:rPr>
              <w:t>-</w:t>
            </w:r>
          </w:p>
        </w:tc>
      </w:tr>
    </w:tbl>
    <w:p w14:paraId="15A30F6C">
      <w:pPr>
        <w:spacing w:line="300" w:lineRule="atLeast"/>
        <w:ind w:firstLine="422"/>
        <w:jc w:val="left"/>
        <w:rPr>
          <w:rFonts w:hint="eastAsia" w:ascii="宋体" w:hAnsi="宋体"/>
          <w:b/>
          <w:kern w:val="0"/>
          <w:sz w:val="20"/>
          <w:szCs w:val="21"/>
        </w:rPr>
      </w:pPr>
      <w:r>
        <w:rPr>
          <w:rFonts w:hint="eastAsia" w:ascii="宋体" w:hAnsi="宋体"/>
          <w:b/>
          <w:kern w:val="0"/>
          <w:sz w:val="20"/>
          <w:szCs w:val="21"/>
        </w:rPr>
        <w:t>注：</w:t>
      </w:r>
      <w:r>
        <w:rPr>
          <w:rFonts w:ascii="宋体" w:hAnsi="宋体"/>
          <w:b/>
          <w:kern w:val="0"/>
          <w:sz w:val="20"/>
          <w:szCs w:val="21"/>
        </w:rPr>
        <w:t>“</w:t>
      </w:r>
      <w:r>
        <w:rPr>
          <w:rFonts w:hint="eastAsia" w:ascii="宋体" w:hAnsi="宋体"/>
          <w:b/>
          <w:kern w:val="0"/>
          <w:sz w:val="20"/>
          <w:szCs w:val="21"/>
        </w:rPr>
        <w:t>＋</w:t>
      </w:r>
      <w:r>
        <w:rPr>
          <w:rFonts w:ascii="宋体" w:hAnsi="宋体"/>
          <w:b/>
          <w:kern w:val="0"/>
          <w:sz w:val="20"/>
          <w:szCs w:val="21"/>
        </w:rPr>
        <w:t>”</w:t>
      </w:r>
      <w:r>
        <w:rPr>
          <w:rFonts w:hint="eastAsia" w:ascii="宋体" w:hAnsi="宋体"/>
          <w:b/>
          <w:kern w:val="0"/>
          <w:sz w:val="20"/>
          <w:szCs w:val="21"/>
        </w:rPr>
        <w:t>常见种；</w:t>
      </w:r>
      <w:r>
        <w:rPr>
          <w:rFonts w:ascii="宋体" w:hAnsi="宋体"/>
          <w:b/>
          <w:kern w:val="0"/>
          <w:sz w:val="20"/>
          <w:szCs w:val="21"/>
        </w:rPr>
        <w:t>“</w:t>
      </w:r>
      <w:r>
        <w:rPr>
          <w:rFonts w:hint="eastAsia" w:ascii="宋体" w:hAnsi="宋体"/>
          <w:b/>
          <w:kern w:val="0"/>
          <w:sz w:val="20"/>
          <w:szCs w:val="21"/>
        </w:rPr>
        <w:t>－</w:t>
      </w:r>
      <w:r>
        <w:rPr>
          <w:rFonts w:ascii="宋体" w:hAnsi="宋体"/>
          <w:b/>
          <w:kern w:val="0"/>
          <w:sz w:val="20"/>
          <w:szCs w:val="21"/>
        </w:rPr>
        <w:t>”</w:t>
      </w:r>
      <w:r>
        <w:rPr>
          <w:rFonts w:hint="eastAsia" w:ascii="宋体" w:hAnsi="宋体"/>
          <w:b/>
          <w:kern w:val="0"/>
          <w:sz w:val="20"/>
          <w:szCs w:val="21"/>
        </w:rPr>
        <w:t>偶见种。</w:t>
      </w:r>
    </w:p>
    <w:p w14:paraId="29FF846D">
      <w:pPr>
        <w:pStyle w:val="191"/>
        <w:ind w:firstLine="480"/>
        <w:rPr>
          <w:rFonts w:hint="eastAsia"/>
        </w:rPr>
      </w:pPr>
      <w:r>
        <w:rPr>
          <w:rFonts w:hint="eastAsia"/>
        </w:rPr>
        <w:t>②样线调查</w:t>
      </w:r>
    </w:p>
    <w:p w14:paraId="5FFE7CD0">
      <w:pPr>
        <w:pStyle w:val="191"/>
        <w:ind w:firstLine="480"/>
        <w:rPr>
          <w:rFonts w:hint="eastAsia"/>
        </w:rPr>
      </w:pPr>
      <w:r>
        <w:t>本项目生态评价为二级，根据《环境影响评价技术导则 生态影响》（HJ 19-2022）要求，二级评价每种生境类型设置的野生动物调查样线数量不少于3条。本次单条样线调查长度为</w:t>
      </w:r>
      <w:r>
        <w:rPr>
          <w:rFonts w:hint="eastAsia"/>
        </w:rPr>
        <w:t>1</w:t>
      </w:r>
      <w:r>
        <w:t>00m～</w:t>
      </w:r>
      <w:r>
        <w:rPr>
          <w:rFonts w:hint="eastAsia"/>
        </w:rPr>
        <w:t>500</w:t>
      </w:r>
      <w:r>
        <w:t>m，在有道路的区域通过驱车观测的方式进行调查，在无路且车辆不能通行的区域通过步行观测的方式进行调查，在调查样线内记录该空间范围内出现的陆生野生动物。</w:t>
      </w:r>
    </w:p>
    <w:p w14:paraId="791C3BE8">
      <w:pPr>
        <w:pStyle w:val="191"/>
        <w:spacing w:line="360" w:lineRule="auto"/>
        <w:ind w:firstLine="0" w:firstLineChars="0"/>
        <w:jc w:val="center"/>
        <w:rPr>
          <w:rFonts w:hint="eastAsia"/>
        </w:rPr>
      </w:pPr>
      <w:r>
        <mc:AlternateContent>
          <mc:Choice Requires="wps">
            <w:drawing>
              <wp:anchor distT="0" distB="0" distL="114300" distR="114300" simplePos="0" relativeHeight="251682816" behindDoc="0" locked="0" layoutInCell="1" allowOverlap="1">
                <wp:simplePos x="0" y="0"/>
                <wp:positionH relativeFrom="column">
                  <wp:posOffset>2846070</wp:posOffset>
                </wp:positionH>
                <wp:positionV relativeFrom="paragraph">
                  <wp:posOffset>825500</wp:posOffset>
                </wp:positionV>
                <wp:extent cx="1524000" cy="787400"/>
                <wp:effectExtent l="0" t="0" r="19050" b="31750"/>
                <wp:wrapNone/>
                <wp:docPr id="936" name="直接连接符 936"/>
                <wp:cNvGraphicFramePr/>
                <a:graphic xmlns:a="http://schemas.openxmlformats.org/drawingml/2006/main">
                  <a:graphicData uri="http://schemas.microsoft.com/office/word/2010/wordprocessingShape">
                    <wps:wsp>
                      <wps:cNvCnPr/>
                      <wps:spPr>
                        <a:xfrm>
                          <a:off x="0" y="0"/>
                          <a:ext cx="1524000" cy="787400"/>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4.1pt;margin-top:65pt;height:62pt;width:120pt;z-index:251682816;mso-width-relative:page;mso-height-relative:page;" filled="f" stroked="t" coordsize="21600,21600" o:gfxdata="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E&#10;rTeU2AAAAAsBAAAPAAAAAAAAAAEAIAAAACIAAABkcnMvZG93bnJldi54bWxQSwECFAAUAAAACACH&#10;TuJAM/azKOsBAAC7AwAADgAAAAAAAAABACAAAAAnAQAAZHJzL2Uyb0RvYy54bWxQSwUGAAAAAAYA&#10;BgBZAQAAhAUAAAAA&#10;">
                <v:fill on="f" focussize="0,0"/>
                <v:stroke weight="1.75pt" color="#FF0000 [3204]" miterlimit="8" joinstyle="miter"/>
                <v:imagedata o:title=""/>
                <o:lock v:ext="edit" aspectratio="f"/>
              </v:line>
            </w:pict>
          </mc:Fallback>
        </mc:AlternateContent>
      </w:r>
      <w:r>
        <w:drawing>
          <wp:inline distT="0" distB="0" distL="0" distR="0">
            <wp:extent cx="3681095" cy="2762250"/>
            <wp:effectExtent l="0" t="0" r="0" b="0"/>
            <wp:docPr id="935" name="图片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9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690525" cy="2768951"/>
                    </a:xfrm>
                    <a:prstGeom prst="rect">
                      <a:avLst/>
                    </a:prstGeom>
                    <a:noFill/>
                    <a:ln>
                      <a:noFill/>
                    </a:ln>
                  </pic:spPr>
                </pic:pic>
              </a:graphicData>
            </a:graphic>
          </wp:inline>
        </w:drawing>
      </w:r>
    </w:p>
    <w:p w14:paraId="0314D2C9">
      <w:pPr>
        <w:pStyle w:val="109"/>
        <w:rPr>
          <w:rFonts w:hint="eastAsia"/>
        </w:rPr>
      </w:pPr>
      <w:r>
        <w:rPr>
          <w:rFonts w:hint="eastAsia"/>
        </w:rPr>
        <w:t>样线1</w:t>
      </w:r>
    </w:p>
    <w:p w14:paraId="4C9EECEC">
      <w:pPr>
        <w:pStyle w:val="191"/>
        <w:spacing w:line="360" w:lineRule="auto"/>
        <w:ind w:firstLine="0" w:firstLineChars="0"/>
        <w:jc w:val="center"/>
        <w:rPr>
          <w:rFonts w:hint="eastAsia"/>
        </w:rPr>
      </w:pPr>
      <w:r>
        <mc:AlternateContent>
          <mc:Choice Requires="wps">
            <w:drawing>
              <wp:anchor distT="0" distB="0" distL="114300" distR="114300" simplePos="0" relativeHeight="251683840" behindDoc="0" locked="0" layoutInCell="1" allowOverlap="1">
                <wp:simplePos x="0" y="0"/>
                <wp:positionH relativeFrom="column">
                  <wp:posOffset>2502535</wp:posOffset>
                </wp:positionH>
                <wp:positionV relativeFrom="paragraph">
                  <wp:posOffset>505460</wp:posOffset>
                </wp:positionV>
                <wp:extent cx="1147445" cy="2268855"/>
                <wp:effectExtent l="0" t="0" r="34290" b="36830"/>
                <wp:wrapNone/>
                <wp:docPr id="938" name="直接连接符 938"/>
                <wp:cNvGraphicFramePr/>
                <a:graphic xmlns:a="http://schemas.openxmlformats.org/drawingml/2006/main">
                  <a:graphicData uri="http://schemas.microsoft.com/office/word/2010/wordprocessingShape">
                    <wps:wsp>
                      <wps:cNvCnPr/>
                      <wps:spPr>
                        <a:xfrm>
                          <a:off x="0" y="0"/>
                          <a:ext cx="1147313" cy="2268747"/>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97.05pt;margin-top:39.8pt;height:178.65pt;width:90.35pt;z-index:251683840;mso-width-relative:page;mso-height-relative:page;" filled="f" stroked="t" coordsize="21600,21600" o:gfxdata="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c136q2gAAAAoBAAAPAAAAAAAAAAEAIAAAACIAAABkcnMvZG93bnJldi54bWxQSwECFAAU&#10;AAAACACHTuJAbZxRA+8BAAC8AwAADgAAAAAAAAABACAAAAApAQAAZHJzL2Uyb0RvYy54bWxQSwUG&#10;AAAAAAYABgBZAQAAigUAAAAA&#10;">
                <v:fill on="f" focussize="0,0"/>
                <v:stroke weight="1.75pt" color="#FF0000 [3204]" miterlimit="8" joinstyle="miter"/>
                <v:imagedata o:title=""/>
                <o:lock v:ext="edit" aspectratio="f"/>
              </v:line>
            </w:pict>
          </mc:Fallback>
        </mc:AlternateContent>
      </w:r>
      <w:r>
        <w:drawing>
          <wp:inline distT="0" distB="0" distL="0" distR="0">
            <wp:extent cx="3924300" cy="2943225"/>
            <wp:effectExtent l="0" t="0" r="0" b="9525"/>
            <wp:docPr id="937" name="图片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93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931721" cy="2949015"/>
                    </a:xfrm>
                    <a:prstGeom prst="rect">
                      <a:avLst/>
                    </a:prstGeom>
                    <a:noFill/>
                    <a:ln>
                      <a:noFill/>
                    </a:ln>
                  </pic:spPr>
                </pic:pic>
              </a:graphicData>
            </a:graphic>
          </wp:inline>
        </w:drawing>
      </w:r>
    </w:p>
    <w:p w14:paraId="37AE3F3A">
      <w:pPr>
        <w:pStyle w:val="109"/>
        <w:rPr>
          <w:rFonts w:hint="eastAsia"/>
        </w:rPr>
      </w:pPr>
      <w:r>
        <w:rPr>
          <w:rFonts w:hint="eastAsia"/>
        </w:rPr>
        <w:t>样线2</w:t>
      </w:r>
    </w:p>
    <w:p w14:paraId="1952FF1B">
      <w:pPr>
        <w:pStyle w:val="191"/>
        <w:spacing w:line="360" w:lineRule="auto"/>
        <w:ind w:firstLine="199" w:firstLineChars="83"/>
        <w:jc w:val="center"/>
        <w:rPr>
          <w:rFonts w:hint="eastAsia"/>
        </w:rPr>
      </w:pPr>
      <w:r>
        <mc:AlternateContent>
          <mc:Choice Requires="wps">
            <w:drawing>
              <wp:anchor distT="0" distB="0" distL="114300" distR="114300" simplePos="0" relativeHeight="251684864" behindDoc="0" locked="0" layoutInCell="1" allowOverlap="1">
                <wp:simplePos x="0" y="0"/>
                <wp:positionH relativeFrom="column">
                  <wp:posOffset>867410</wp:posOffset>
                </wp:positionH>
                <wp:positionV relativeFrom="paragraph">
                  <wp:posOffset>1057910</wp:posOffset>
                </wp:positionV>
                <wp:extent cx="3253740" cy="1282700"/>
                <wp:effectExtent l="0" t="0" r="22860" b="32385"/>
                <wp:wrapNone/>
                <wp:docPr id="940" name="直接连接符 940"/>
                <wp:cNvGraphicFramePr/>
                <a:graphic xmlns:a="http://schemas.openxmlformats.org/drawingml/2006/main">
                  <a:graphicData uri="http://schemas.microsoft.com/office/word/2010/wordprocessingShape">
                    <wps:wsp>
                      <wps:cNvCnPr/>
                      <wps:spPr>
                        <a:xfrm flipH="1" flipV="1">
                          <a:off x="0" y="0"/>
                          <a:ext cx="3253839" cy="1282535"/>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68.3pt;margin-top:83.3pt;height:101pt;width:256.2pt;z-index:251684864;mso-width-relative:page;mso-height-relative:page;" filled="f" stroked="t" coordsize="21600,21600" o:gfxdata="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y5fL3YAAAACwEAAA8AAAAAAAAAAQAgAAAAIgAAAGRycy9kb3ducmV2Lnht&#10;bFBLAQIUABQAAAAIAIdO4kAvLF1W+QEAANADAAAOAAAAAAAAAAEAIAAAACcBAABkcnMvZTJvRG9j&#10;LnhtbFBLBQYAAAAABgAGAFkBAACSBQAAAAA=&#10;">
                <v:fill on="f" focussize="0,0"/>
                <v:stroke weight="1.75pt" color="#FF0000 [3204]" miterlimit="8" joinstyle="miter"/>
                <v:imagedata o:title=""/>
                <o:lock v:ext="edit" aspectratio="f"/>
              </v:line>
            </w:pict>
          </mc:Fallback>
        </mc:AlternateContent>
      </w:r>
      <w:r>
        <w:drawing>
          <wp:inline distT="0" distB="0" distL="0" distR="0">
            <wp:extent cx="4156075" cy="3117850"/>
            <wp:effectExtent l="0" t="0" r="0" b="6350"/>
            <wp:docPr id="939" name="图片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9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rot="10800000">
                      <a:off x="0" y="0"/>
                      <a:ext cx="4169116" cy="3128031"/>
                    </a:xfrm>
                    <a:prstGeom prst="rect">
                      <a:avLst/>
                    </a:prstGeom>
                    <a:noFill/>
                    <a:ln>
                      <a:noFill/>
                    </a:ln>
                  </pic:spPr>
                </pic:pic>
              </a:graphicData>
            </a:graphic>
          </wp:inline>
        </w:drawing>
      </w:r>
    </w:p>
    <w:p w14:paraId="56C352E1">
      <w:pPr>
        <w:pStyle w:val="109"/>
        <w:rPr>
          <w:rFonts w:hint="eastAsia"/>
        </w:rPr>
      </w:pPr>
      <w:bookmarkStart w:id="467" w:name="OLE_LINK413"/>
      <w:r>
        <w:rPr>
          <w:rFonts w:hint="eastAsia"/>
        </w:rPr>
        <w:t>样线3</w:t>
      </w:r>
    </w:p>
    <w:bookmarkEnd w:id="467"/>
    <w:p w14:paraId="57533320">
      <w:pPr>
        <w:pStyle w:val="191"/>
        <w:ind w:firstLine="480"/>
        <w:rPr>
          <w:rFonts w:hint="eastAsia"/>
        </w:rPr>
      </w:pPr>
      <w:r>
        <w:t>在调查过程中，未发现哺乳类野生动物出没，也未发现哺乳类野生动物的粪便、足印、洞穴等，在林地内可听闻有鸟类叫声，可见爬行类动物的踪迹。调查结果表明，项目区域内由于受到人为活动的干扰，大型野生动物比较少见，主要为爬行类和鸟类。</w:t>
      </w:r>
    </w:p>
    <w:bookmarkEnd w:id="458"/>
    <w:bookmarkEnd w:id="461"/>
    <w:bookmarkEnd w:id="462"/>
    <w:bookmarkEnd w:id="463"/>
    <w:p w14:paraId="5D19343F">
      <w:pPr>
        <w:pStyle w:val="4"/>
        <w:rPr>
          <w:rFonts w:hint="eastAsia"/>
        </w:rPr>
      </w:pPr>
      <w:r>
        <w:rPr>
          <w:rFonts w:hint="eastAsia"/>
        </w:rPr>
        <w:t>区域沙化土地现状</w:t>
      </w:r>
    </w:p>
    <w:p w14:paraId="2FA9FE08">
      <w:pPr>
        <w:pStyle w:val="191"/>
        <w:ind w:firstLine="480"/>
        <w:rPr>
          <w:rFonts w:hint="eastAsia"/>
        </w:rPr>
      </w:pPr>
      <w:bookmarkStart w:id="468" w:name="_Hlk80874981"/>
      <w:r>
        <w:rPr>
          <w:rFonts w:hint="eastAsia"/>
        </w:rPr>
        <w:t>本项目位于红旗农场，紧邻吉木萨尔县。由于《新疆维吾尔自治区第五次沙化土地监测报告》（2015年3月）中未表明红旗农场的沙化相关情况，因此以吉木萨尔县的沙化土地变化情况作为项目区的土地沙化现状调查内容。项目区为非沙化土地，详见图4.3-8。</w:t>
      </w:r>
    </w:p>
    <w:p w14:paraId="2A5BA71C">
      <w:pPr>
        <w:pStyle w:val="117"/>
        <w:adjustRightInd w:val="0"/>
        <w:snapToGrid w:val="0"/>
        <w:spacing w:line="360" w:lineRule="auto"/>
        <w:ind w:firstLine="0" w:firstLineChars="0"/>
        <w:jc w:val="center"/>
        <w:rPr>
          <w:rFonts w:hint="eastAsia" w:ascii="黑体" w:hAnsi="黑体" w:eastAsia="黑体"/>
          <w:sz w:val="21"/>
          <w:szCs w:val="21"/>
        </w:rPr>
      </w:pPr>
      <w:r>
        <w:rPr>
          <w:rFonts w:ascii="黑体" w:hAnsi="黑体" w:eastAsia="黑体"/>
          <w:sz w:val="21"/>
          <w:szCs w:val="21"/>
        </w:rPr>
        <w:drawing>
          <wp:inline distT="0" distB="0" distL="0" distR="0">
            <wp:extent cx="5543550" cy="3958590"/>
            <wp:effectExtent l="0" t="0" r="0" b="3810"/>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901"/>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543550" cy="3958590"/>
                    </a:xfrm>
                    <a:prstGeom prst="rect">
                      <a:avLst/>
                    </a:prstGeom>
                  </pic:spPr>
                </pic:pic>
              </a:graphicData>
            </a:graphic>
          </wp:inline>
        </w:drawing>
      </w:r>
    </w:p>
    <w:p w14:paraId="19269406">
      <w:pPr>
        <w:pStyle w:val="117"/>
        <w:adjustRightInd w:val="0"/>
        <w:snapToGrid w:val="0"/>
        <w:spacing w:line="240" w:lineRule="auto"/>
        <w:ind w:firstLine="0" w:firstLineChars="0"/>
        <w:jc w:val="center"/>
        <w:rPr>
          <w:rFonts w:hint="eastAsia" w:ascii="黑体" w:hAnsi="黑体" w:eastAsia="黑体"/>
          <w:sz w:val="21"/>
          <w:szCs w:val="21"/>
        </w:rPr>
      </w:pPr>
      <w:r>
        <w:rPr>
          <w:rFonts w:hint="eastAsia" w:ascii="黑体" w:hAnsi="黑体" w:eastAsia="黑体"/>
          <w:sz w:val="21"/>
          <w:szCs w:val="21"/>
        </w:rPr>
        <w:t>图4</w:t>
      </w:r>
      <w:r>
        <w:rPr>
          <w:rFonts w:ascii="黑体" w:hAnsi="黑体" w:eastAsia="黑体"/>
          <w:sz w:val="21"/>
          <w:szCs w:val="21"/>
        </w:rPr>
        <w:t>.3</w:t>
      </w:r>
      <w:r>
        <w:rPr>
          <w:rFonts w:hint="eastAsia" w:ascii="黑体" w:hAnsi="黑体" w:eastAsia="黑体"/>
          <w:sz w:val="21"/>
          <w:szCs w:val="21"/>
        </w:rPr>
        <w:t>-8</w:t>
      </w:r>
      <w:r>
        <w:rPr>
          <w:rFonts w:ascii="黑体" w:hAnsi="黑体" w:eastAsia="黑体"/>
          <w:sz w:val="21"/>
          <w:szCs w:val="21"/>
        </w:rPr>
        <w:t xml:space="preserve">  </w:t>
      </w:r>
      <w:r>
        <w:rPr>
          <w:rFonts w:hint="eastAsia" w:ascii="黑体" w:hAnsi="黑体" w:eastAsia="黑体"/>
          <w:sz w:val="21"/>
          <w:szCs w:val="21"/>
        </w:rPr>
        <w:t>区域沙化现状示意图</w:t>
      </w:r>
    </w:p>
    <w:p w14:paraId="20BF348E">
      <w:pPr>
        <w:pStyle w:val="191"/>
        <w:ind w:firstLine="480"/>
        <w:rPr>
          <w:rFonts w:hint="eastAsia"/>
        </w:rPr>
      </w:pPr>
      <w:r>
        <w:rPr>
          <w:rFonts w:hint="eastAsia"/>
        </w:rPr>
        <w:t>土地沙化形成的自然因素主要为气候干旱、降水稀少，多风的动力条件是沙化土地发生发展的主要自然营力，丰富的沙物质是发生土地沙化的物质基础。人口快速增长，盲目开垦土地，过度放牧，过度樵采和不合理的水资源利用等是土地沙化的人为因素。本项目所在区域的土地沙化形成的主要原因多为自然因素。</w:t>
      </w:r>
    </w:p>
    <w:p w14:paraId="116175D3">
      <w:pPr>
        <w:pStyle w:val="4"/>
        <w:rPr>
          <w:rFonts w:hint="eastAsia"/>
        </w:rPr>
      </w:pPr>
      <w:bookmarkStart w:id="469" w:name="OLE_LINK159"/>
      <w:r>
        <w:rPr>
          <w:rFonts w:hint="eastAsia"/>
        </w:rPr>
        <w:t>水土流失现状调查</w:t>
      </w:r>
    </w:p>
    <w:p w14:paraId="62F1DB85">
      <w:pPr>
        <w:pStyle w:val="117"/>
        <w:adjustRightInd w:val="0"/>
        <w:snapToGrid w:val="0"/>
        <w:ind w:firstLine="480"/>
        <w:rPr>
          <w:rFonts w:hint="eastAsia"/>
        </w:rPr>
      </w:pPr>
      <w:bookmarkStart w:id="470" w:name="OLE_LINK35"/>
      <w:r>
        <w:rPr>
          <w:rFonts w:hint="eastAsia"/>
        </w:rPr>
        <w:t>根据</w:t>
      </w:r>
      <w:bookmarkStart w:id="471" w:name="OLE_LINK285"/>
      <w:r>
        <w:rPr>
          <w:rFonts w:hint="eastAsia"/>
        </w:rPr>
        <w:t>《新疆生产建设兵团水土保持规划》（</w:t>
      </w:r>
      <w:r>
        <w:t>2015-2030</w:t>
      </w:r>
      <w:r>
        <w:rPr>
          <w:rFonts w:hint="eastAsia"/>
        </w:rPr>
        <w:t>年）</w:t>
      </w:r>
      <w:bookmarkEnd w:id="471"/>
      <w:r>
        <w:rPr>
          <w:rFonts w:hint="eastAsia"/>
        </w:rPr>
        <w:t>第六师红旗农场位于准噶尔盆地南缘人居环境农田防护区，属于准噶尔盆地南缘兵团级水土流失重点治理区。结合项目区地理位置、地形地貌和气候环境特点，确定项目区水土流失类型主要为风力侵蚀，侵蚀强度主要以轻度为主。</w:t>
      </w:r>
    </w:p>
    <w:bookmarkEnd w:id="468"/>
    <w:bookmarkEnd w:id="469"/>
    <w:bookmarkEnd w:id="470"/>
    <w:p w14:paraId="102AAADD">
      <w:pPr>
        <w:pStyle w:val="4"/>
        <w:rPr>
          <w:rFonts w:hint="eastAsia"/>
        </w:rPr>
      </w:pPr>
      <w:bookmarkStart w:id="472" w:name="_Hlk147587103"/>
      <w:bookmarkStart w:id="473" w:name="_Hlk92204648"/>
      <w:r>
        <w:rPr>
          <w:rFonts w:hint="eastAsia"/>
        </w:rPr>
        <w:t>既有工程实际生态影响及采取的生态保护措施</w:t>
      </w:r>
    </w:p>
    <w:p w14:paraId="4FE9908A">
      <w:pPr>
        <w:pStyle w:val="117"/>
        <w:ind w:firstLine="480"/>
        <w:rPr>
          <w:rFonts w:hint="eastAsia"/>
        </w:rPr>
      </w:pPr>
      <w:r>
        <w:rPr>
          <w:rFonts w:hint="eastAsia"/>
        </w:rPr>
        <w:t>（</w:t>
      </w:r>
      <w:r>
        <w:t>1</w:t>
      </w:r>
      <w:r>
        <w:rPr>
          <w:rFonts w:hint="eastAsia"/>
        </w:rPr>
        <w:t>）既有工程实际生态影响</w:t>
      </w:r>
    </w:p>
    <w:p w14:paraId="4114FDB1">
      <w:pPr>
        <w:pStyle w:val="117"/>
        <w:ind w:firstLine="480"/>
        <w:rPr>
          <w:rFonts w:hint="eastAsia"/>
        </w:rPr>
      </w:pPr>
      <w:r>
        <w:rPr>
          <w:rFonts w:hint="eastAsia"/>
        </w:rPr>
        <w:t>本项目为改扩建项目，既有工程对生态的影响主要表现在占地对土壤结构破坏、植被损失、对景观格局的影响以及各种机械产生的噪声和人员活动对野生动物的影响。</w:t>
      </w:r>
    </w:p>
    <w:p w14:paraId="69E8E545">
      <w:pPr>
        <w:pStyle w:val="117"/>
        <w:ind w:firstLine="480"/>
        <w:rPr>
          <w:rFonts w:hint="eastAsia"/>
        </w:rPr>
      </w:pPr>
      <w:r>
        <w:rPr>
          <w:rFonts w:hint="eastAsia"/>
        </w:rPr>
        <w:t>既有工程对土壤的影响主要是工程建设时对土壤的扰动、流失，对植被的影响主要表现为工程建设过程中，占地范围内的植被灭失，以及永久占地范围内植被生产力的减小。对景观生态格局的影响主要表现在油田道路、管线及各类场站的建设，对生态景观的切割，增大了区域景观生态格局的破碎化程度。对野生动物的影响主要为占地范围内植被的灭失和减少对野生动物生境和食源的影响。既有工程已开发区域内植被状况恢复较好的地段，动物活动的痕迹较多，而在井场和站场附近则很少有活动的迹象，这主要是由于现有工程各类生产井数量多，开发活动使得区域内自然植被的覆盖度降低，影响了爬行类及鼠类动物生存及栖息的基本环境条件。</w:t>
      </w:r>
    </w:p>
    <w:p w14:paraId="26B084D3">
      <w:pPr>
        <w:pStyle w:val="117"/>
        <w:ind w:firstLine="480"/>
        <w:rPr>
          <w:rFonts w:hint="eastAsia"/>
        </w:rPr>
      </w:pPr>
      <w:r>
        <w:rPr>
          <w:rFonts w:hint="eastAsia"/>
        </w:rPr>
        <w:t>（</w:t>
      </w:r>
      <w:r>
        <w:t>2</w:t>
      </w:r>
      <w:r>
        <w:rPr>
          <w:rFonts w:hint="eastAsia"/>
        </w:rPr>
        <w:t>）既有工程实际采取的生态保护措施有效性评价</w:t>
      </w:r>
    </w:p>
    <w:p w14:paraId="773E639E">
      <w:pPr>
        <w:pStyle w:val="117"/>
        <w:ind w:firstLine="480"/>
        <w:rPr>
          <w:rFonts w:hint="eastAsia"/>
        </w:rPr>
      </w:pPr>
      <w:r>
        <w:rPr>
          <w:rFonts w:hint="eastAsia"/>
        </w:rPr>
        <w:t>根据现场踏勘可知，既有工程已建井场永久性占地范围内进行了砾石铺垫，站场地面进行了水泥或砾石铺垫等硬化，有效的防止了因既有工程临时占地引起的水土流失和土地沙化。临时占地内的梭梭、白梭梭等野生植被在自然缓慢恢复。</w:t>
      </w:r>
    </w:p>
    <w:p w14:paraId="2EF364C1">
      <w:pPr>
        <w:pStyle w:val="117"/>
        <w:adjustRightInd w:val="0"/>
        <w:snapToGrid w:val="0"/>
        <w:spacing w:line="480" w:lineRule="exact"/>
        <w:ind w:firstLine="480"/>
        <w:rPr>
          <w:rFonts w:hint="eastAsia"/>
        </w:rPr>
      </w:pPr>
    </w:p>
    <w:bookmarkEnd w:id="472"/>
    <w:p w14:paraId="75D22EA4">
      <w:pPr>
        <w:pStyle w:val="117"/>
        <w:adjustRightInd w:val="0"/>
        <w:snapToGrid w:val="0"/>
        <w:ind w:firstLine="480"/>
        <w:rPr>
          <w:rFonts w:hint="eastAsia"/>
        </w:rPr>
        <w:sectPr>
          <w:pgSz w:w="11906" w:h="16838"/>
          <w:pgMar w:top="1418" w:right="1588" w:bottom="1418" w:left="1588" w:header="1020" w:footer="1020" w:gutter="0"/>
          <w:cols w:space="720" w:num="1"/>
          <w:docGrid w:type="lines" w:linePitch="312" w:charSpace="0"/>
        </w:sectPr>
      </w:pPr>
    </w:p>
    <w:bookmarkEnd w:id="473"/>
    <w:p w14:paraId="3729C4A6">
      <w:pPr>
        <w:pStyle w:val="3"/>
        <w:rPr>
          <w:rFonts w:hint="eastAsia"/>
        </w:rPr>
      </w:pPr>
      <w:bookmarkStart w:id="474" w:name="_Toc160382095"/>
      <w:r>
        <w:rPr>
          <w:rFonts w:hint="eastAsia"/>
        </w:rPr>
        <w:t>环境影响预测与评价</w:t>
      </w:r>
      <w:bookmarkEnd w:id="474"/>
    </w:p>
    <w:p w14:paraId="5869DF62">
      <w:pPr>
        <w:pStyle w:val="2"/>
        <w:rPr>
          <w:rFonts w:hint="eastAsia"/>
        </w:rPr>
      </w:pPr>
      <w:bookmarkStart w:id="475" w:name="_Toc475624481"/>
      <w:bookmarkStart w:id="476" w:name="_Toc474793586"/>
      <w:bookmarkStart w:id="477" w:name="_Toc160382096"/>
      <w:r>
        <w:rPr>
          <w:rFonts w:hint="eastAsia"/>
        </w:rPr>
        <w:t>施工期环境影响预测与评价</w:t>
      </w:r>
      <w:bookmarkEnd w:id="475"/>
      <w:bookmarkEnd w:id="476"/>
      <w:bookmarkEnd w:id="477"/>
    </w:p>
    <w:p w14:paraId="70AB8C96">
      <w:pPr>
        <w:pStyle w:val="4"/>
        <w:rPr>
          <w:rFonts w:hint="eastAsia"/>
        </w:rPr>
      </w:pPr>
      <w:bookmarkStart w:id="478" w:name="_Toc474793587"/>
      <w:bookmarkStart w:id="479" w:name="_Hlk511377578"/>
      <w:bookmarkStart w:id="480" w:name="_Toc475624482"/>
      <w:r>
        <w:rPr>
          <w:rFonts w:hint="eastAsia"/>
        </w:rPr>
        <w:t>施工期大气环境影响分析</w:t>
      </w:r>
    </w:p>
    <w:p w14:paraId="47681BEA">
      <w:pPr>
        <w:pStyle w:val="117"/>
        <w:ind w:firstLine="480"/>
        <w:rPr>
          <w:rFonts w:hint="eastAsia"/>
        </w:rPr>
      </w:pPr>
      <w:bookmarkStart w:id="481" w:name="_Hlk33634555"/>
      <w:bookmarkStart w:id="482" w:name="_Hlk87267769"/>
      <w:bookmarkStart w:id="483" w:name="_Toc445996412"/>
      <w:bookmarkStart w:id="484" w:name="_Toc445842090"/>
      <w:bookmarkStart w:id="485" w:name="_Toc1992"/>
      <w:r>
        <w:rPr>
          <w:rFonts w:hint="eastAsia"/>
        </w:rPr>
        <w:t>一期工程、二期工程废气主要为</w:t>
      </w:r>
      <w:bookmarkStart w:id="486" w:name="_Hlk33634148"/>
      <w:r>
        <w:rPr>
          <w:rFonts w:hint="eastAsia"/>
        </w:rPr>
        <w:t>施工扬尘、柴油机及发电机燃烧烟气、施工机械及施工车辆尾气</w:t>
      </w:r>
      <w:bookmarkEnd w:id="481"/>
      <w:bookmarkEnd w:id="486"/>
      <w:r>
        <w:rPr>
          <w:rFonts w:hint="eastAsia"/>
        </w:rPr>
        <w:t>、焊接烟尘。</w:t>
      </w:r>
    </w:p>
    <w:p w14:paraId="0003BCD9">
      <w:pPr>
        <w:pStyle w:val="117"/>
        <w:ind w:firstLine="480"/>
        <w:rPr>
          <w:rFonts w:hint="eastAsia"/>
        </w:rPr>
      </w:pPr>
      <w:r>
        <w:rPr>
          <w:rFonts w:hint="eastAsia"/>
        </w:rPr>
        <w:t>（</w:t>
      </w:r>
      <w:r>
        <w:t>1</w:t>
      </w:r>
      <w:r>
        <w:rPr>
          <w:rFonts w:hint="eastAsia"/>
        </w:rPr>
        <w:t>）施工扬尘</w:t>
      </w:r>
    </w:p>
    <w:p w14:paraId="2A708655">
      <w:pPr>
        <w:pStyle w:val="117"/>
        <w:ind w:firstLine="480"/>
        <w:rPr>
          <w:rFonts w:hint="eastAsia"/>
        </w:rPr>
      </w:pPr>
      <w:r>
        <w:rPr>
          <w:rFonts w:hint="eastAsia"/>
        </w:rPr>
        <w:t>在井场建设、管沟开挖、回填</w:t>
      </w:r>
      <w:r>
        <w:rPr>
          <w:rFonts w:hint="eastAsia" w:cs="宋体"/>
          <w:lang w:val="zh-CN"/>
        </w:rPr>
        <w:t>等地面工程</w:t>
      </w:r>
      <w:r>
        <w:rPr>
          <w:rFonts w:hint="eastAsia"/>
        </w:rPr>
        <w:t>施工过程中都会产生扬尘，同时运输车辆行驶以及所用材料的装卸、运输及堆放等均会产生扬尘，对周围环境空气产生一定的影响，污染物主要为T</w:t>
      </w:r>
      <w:r>
        <w:t>SP</w:t>
      </w:r>
      <w:r>
        <w:rPr>
          <w:rFonts w:hint="eastAsia"/>
        </w:rPr>
        <w:t>。</w:t>
      </w:r>
      <w:r>
        <w:rPr>
          <w:rFonts w:hint="eastAsia" w:cs="宋体"/>
          <w:lang w:val="zh-CN"/>
        </w:rPr>
        <w:t>项目区远离人群居住区，周围空旷,扩散条件良好，类比同类工程，本项目施工过程中产生的扬尘不会对环境空气产生明显影响</w:t>
      </w:r>
      <w:r>
        <w:rPr>
          <w:rFonts w:hint="eastAsia"/>
        </w:rPr>
        <w:t>。</w:t>
      </w:r>
    </w:p>
    <w:p w14:paraId="39DE38E2">
      <w:pPr>
        <w:pStyle w:val="117"/>
        <w:ind w:firstLine="480" w:firstLineChars="0"/>
        <w:rPr>
          <w:rFonts w:hint="eastAsia"/>
        </w:rPr>
      </w:pPr>
      <w:r>
        <w:rPr>
          <w:rFonts w:hint="eastAsia" w:cs="宋体"/>
          <w:lang w:val="zh-CN"/>
        </w:rPr>
        <w:t>（2）</w:t>
      </w:r>
      <w:r>
        <w:rPr>
          <w:rFonts w:hint="eastAsia"/>
        </w:rPr>
        <w:t>柴油机及发电机燃烧烟气</w:t>
      </w:r>
    </w:p>
    <w:p w14:paraId="1D38FAC7">
      <w:pPr>
        <w:pStyle w:val="117"/>
        <w:ind w:firstLine="480"/>
        <w:rPr>
          <w:rFonts w:hint="eastAsia" w:cs="宋体"/>
          <w:lang w:val="zh-CN"/>
        </w:rPr>
      </w:pPr>
      <w:r>
        <w:rPr>
          <w:rFonts w:hint="eastAsia"/>
        </w:rPr>
        <w:t>钻井过程中</w:t>
      </w:r>
      <w:r>
        <w:rPr>
          <w:rFonts w:hint="eastAsia" w:cs="宋体"/>
          <w:lang w:val="zh-CN"/>
        </w:rPr>
        <w:t>柴油机、柴油发电机组均使用符合国家标准的燃料，钻井周期短暂、周边无居民区、地域空旷，大气扩散条件良好，随着钻井工程的结束而停止排放，不会对周围环境产生明显影响。</w:t>
      </w:r>
    </w:p>
    <w:p w14:paraId="2DF956CC">
      <w:pPr>
        <w:pStyle w:val="117"/>
        <w:ind w:firstLine="480" w:firstLineChars="0"/>
        <w:rPr>
          <w:rFonts w:hint="eastAsia" w:cs="宋体"/>
          <w:lang w:val="zh-CN"/>
        </w:rPr>
      </w:pPr>
      <w:r>
        <w:rPr>
          <w:rFonts w:hint="eastAsia" w:cs="宋体"/>
          <w:lang w:val="zh-CN"/>
        </w:rPr>
        <w:t>（3）</w:t>
      </w:r>
      <w:r>
        <w:rPr>
          <w:rFonts w:hint="eastAsia"/>
        </w:rPr>
        <w:t>施工机械及施工车辆</w:t>
      </w:r>
      <w:r>
        <w:rPr>
          <w:rFonts w:hint="eastAsia" w:cs="宋体"/>
          <w:lang w:val="zh-CN"/>
        </w:rPr>
        <w:t>尾气</w:t>
      </w:r>
    </w:p>
    <w:p w14:paraId="518393EB">
      <w:pPr>
        <w:pStyle w:val="117"/>
        <w:ind w:firstLine="480"/>
        <w:rPr>
          <w:rFonts w:hint="eastAsia" w:cs="宋体"/>
          <w:lang w:val="zh-CN"/>
        </w:rPr>
      </w:pPr>
      <w:r>
        <w:rPr>
          <w:rFonts w:hint="eastAsia" w:cs="宋体"/>
          <w:lang w:val="zh-CN"/>
        </w:rPr>
        <w:t>施工机械及运输车辆燃料燃烧产生的汽车尾气会对环境空气造成影响，各施工机械及车辆均采用合格油品，对周围大气环境影响较小。</w:t>
      </w:r>
    </w:p>
    <w:p w14:paraId="3FCE86F9">
      <w:pPr>
        <w:pStyle w:val="117"/>
        <w:ind w:firstLine="480" w:firstLineChars="0"/>
        <w:rPr>
          <w:rFonts w:hint="eastAsia" w:cs="宋体"/>
          <w:lang w:val="zh-CN"/>
        </w:rPr>
      </w:pPr>
      <w:r>
        <w:rPr>
          <w:rFonts w:cs="宋体"/>
          <w:lang w:val="zh-CN"/>
        </w:rPr>
        <w:t>（</w:t>
      </w:r>
      <w:r>
        <w:rPr>
          <w:rFonts w:hint="eastAsia" w:cs="宋体"/>
          <w:lang w:val="zh-CN"/>
        </w:rPr>
        <w:t>4</w:t>
      </w:r>
      <w:r>
        <w:rPr>
          <w:rFonts w:cs="宋体"/>
          <w:lang w:val="zh-CN"/>
        </w:rPr>
        <w:t>）焊接烟尘</w:t>
      </w:r>
    </w:p>
    <w:p w14:paraId="711CC7CF">
      <w:pPr>
        <w:pStyle w:val="117"/>
        <w:ind w:firstLine="480" w:firstLineChars="0"/>
        <w:rPr>
          <w:rFonts w:hint="eastAsia" w:cs="宋体"/>
          <w:lang w:val="zh-CN"/>
        </w:rPr>
      </w:pPr>
      <w:r>
        <w:rPr>
          <w:rFonts w:cs="宋体"/>
          <w:lang w:val="zh-CN"/>
        </w:rPr>
        <w:t>管道组对连接过程中将有一定量的焊接烟尘产生，主要污染物为CO、CO</w:t>
      </w:r>
      <w:r>
        <w:rPr>
          <w:rFonts w:cs="宋体"/>
          <w:vertAlign w:val="subscript"/>
          <w:lang w:val="zh-CN"/>
        </w:rPr>
        <w:t>2</w:t>
      </w:r>
      <w:r>
        <w:rPr>
          <w:rFonts w:cs="宋体"/>
          <w:lang w:val="zh-CN"/>
        </w:rPr>
        <w:t>、NO</w:t>
      </w:r>
      <w:r>
        <w:rPr>
          <w:rFonts w:cs="宋体"/>
          <w:vertAlign w:val="subscript"/>
          <w:lang w:val="zh-CN"/>
        </w:rPr>
        <w:t>X</w:t>
      </w:r>
      <w:r>
        <w:rPr>
          <w:rFonts w:cs="宋体"/>
          <w:lang w:val="zh-CN"/>
        </w:rPr>
        <w:t>、CH</w:t>
      </w:r>
      <w:r>
        <w:rPr>
          <w:rFonts w:cs="宋体"/>
          <w:vertAlign w:val="subscript"/>
          <w:lang w:val="zh-CN"/>
        </w:rPr>
        <w:t>4</w:t>
      </w:r>
      <w:r>
        <w:rPr>
          <w:rFonts w:cs="宋体"/>
          <w:lang w:val="zh-CN"/>
        </w:rPr>
        <w:t>，该废气排放量很少，</w:t>
      </w:r>
      <w:r>
        <w:rPr>
          <w:rFonts w:hint="eastAsia" w:cs="宋体"/>
          <w:lang w:val="zh-CN"/>
        </w:rPr>
        <w:t>焊条使用国家合格产品，且为间歇不连续排放，</w:t>
      </w:r>
      <w:r>
        <w:rPr>
          <w:rFonts w:cs="宋体"/>
          <w:lang w:val="zh-CN"/>
        </w:rPr>
        <w:t>施工场地位于开阔通风状况良好的户外，焊接烟尘易于扩散，</w:t>
      </w:r>
      <w:r>
        <w:rPr>
          <w:rFonts w:hint="eastAsia" w:cs="宋体"/>
          <w:lang w:val="zh-CN"/>
        </w:rPr>
        <w:t>焊接烟尘随着施工期的结束而消失，</w:t>
      </w:r>
      <w:r>
        <w:rPr>
          <w:rFonts w:cs="宋体"/>
          <w:lang w:val="zh-CN"/>
        </w:rPr>
        <w:t>对周围大气环境影响很小。</w:t>
      </w:r>
    </w:p>
    <w:bookmarkEnd w:id="482"/>
    <w:p w14:paraId="3411C1EF">
      <w:pPr>
        <w:pStyle w:val="4"/>
        <w:rPr>
          <w:rFonts w:hint="eastAsia"/>
        </w:rPr>
      </w:pPr>
      <w:r>
        <w:rPr>
          <w:rFonts w:hint="eastAsia"/>
        </w:rPr>
        <w:t>施工期</w:t>
      </w:r>
      <w:r>
        <w:t>水环境影响分析</w:t>
      </w:r>
      <w:bookmarkEnd w:id="483"/>
      <w:bookmarkEnd w:id="484"/>
      <w:bookmarkEnd w:id="485"/>
    </w:p>
    <w:p w14:paraId="2849C6D7">
      <w:pPr>
        <w:pStyle w:val="117"/>
        <w:ind w:firstLine="480"/>
        <w:rPr>
          <w:rFonts w:hint="eastAsia" w:cs="宋体"/>
          <w:lang w:val="zh-CN"/>
        </w:rPr>
      </w:pPr>
      <w:bookmarkStart w:id="487" w:name="_Toc445996417"/>
      <w:bookmarkStart w:id="488" w:name="_Toc445842095"/>
      <w:bookmarkStart w:id="489" w:name="_Toc234"/>
      <w:r>
        <w:rPr>
          <w:rFonts w:hint="eastAsia" w:cs="宋体"/>
          <w:lang w:val="zh-CN"/>
        </w:rPr>
        <w:t>（1）废水对周围水环境影响分析</w:t>
      </w:r>
    </w:p>
    <w:p w14:paraId="315DF7DA">
      <w:pPr>
        <w:pStyle w:val="117"/>
        <w:ind w:firstLine="480"/>
        <w:rPr>
          <w:rFonts w:hint="eastAsia" w:cs="宋体"/>
          <w:lang w:val="zh-CN"/>
        </w:rPr>
      </w:pPr>
      <w:r>
        <w:rPr>
          <w:rFonts w:hint="eastAsia" w:cs="宋体"/>
          <w:lang w:val="zh-CN"/>
        </w:rPr>
        <w:t>一期工程废水主要为管道试压废水、混凝土养护废水、压裂返排液和生活污水，二期工程废水主要为管道试压废水。管道试压采用清水，废水中污染物主要为悬浮物，试压结束后用于项目区的洒水抑尘；混凝土养护废水污染物主要为悬浮物，用于项目区的洒水抑尘；压裂返排液集中收集后送至压裂返排液处理装置处理达标后用于压裂液的复配；生活污水排至防渗收集池，最终清运至吉木萨尔县生活污水处理厂处理；项目产生的各类废水均得到妥善处置，不会对周围水环境产生不利影响。</w:t>
      </w:r>
    </w:p>
    <w:p w14:paraId="253C7581">
      <w:pPr>
        <w:pStyle w:val="117"/>
        <w:spacing w:line="480" w:lineRule="exact"/>
        <w:ind w:firstLine="480"/>
        <w:rPr>
          <w:rFonts w:hint="eastAsia"/>
          <w:lang w:bidi="ar"/>
        </w:rPr>
      </w:pPr>
      <w:r>
        <w:rPr>
          <w:rFonts w:hint="eastAsia"/>
          <w:lang w:bidi="ar"/>
        </w:rPr>
        <w:t>（</w:t>
      </w:r>
      <w:r>
        <w:rPr>
          <w:lang w:bidi="ar"/>
        </w:rPr>
        <w:t>2</w:t>
      </w:r>
      <w:r>
        <w:rPr>
          <w:rFonts w:hint="eastAsia"/>
          <w:lang w:bidi="ar"/>
        </w:rPr>
        <w:t>）管线施工对地下水环境影响分析</w:t>
      </w:r>
    </w:p>
    <w:p w14:paraId="1B74A54A">
      <w:pPr>
        <w:pStyle w:val="117"/>
        <w:ind w:firstLine="480"/>
        <w:rPr>
          <w:rFonts w:hint="eastAsia"/>
          <w:lang w:bidi="ar"/>
        </w:rPr>
      </w:pPr>
      <w:r>
        <w:rPr>
          <w:rFonts w:hint="eastAsia"/>
          <w:lang w:bidi="ar"/>
        </w:rPr>
        <w:t>拟建管线采用埋地敷设，在施工过程中的辅料、废料等在降水的淋滤作用下产生的浸出液，可能进入地下含水层，将对地下水造成不同程度的影响，其影响程度决定于下渗量及其饱和地带的厚度、岩性和对污染物的阻滞、吸附分解等自然净化能力。由于管线施工期短，项目区少雨，发生降水淋滤的可能性很小，且管道沿线表层土壤有一定的自然净化能力，管线施工对地下水的影响很小。因此，正常的管线埋设不会对地下水造成不利影响。</w:t>
      </w:r>
    </w:p>
    <w:p w14:paraId="4595569F">
      <w:pPr>
        <w:pStyle w:val="117"/>
        <w:ind w:firstLine="480"/>
        <w:rPr>
          <w:rFonts w:hint="eastAsia" w:cs="宋体"/>
          <w:lang w:val="zh-CN"/>
        </w:rPr>
      </w:pPr>
      <w:r>
        <w:rPr>
          <w:rFonts w:hint="eastAsia" w:cs="宋体"/>
          <w:lang w:val="zh-CN"/>
        </w:rPr>
        <w:t>（3）钻井作业对地下水含水层影响分析</w:t>
      </w:r>
    </w:p>
    <w:p w14:paraId="0D28E5FC">
      <w:pPr>
        <w:pStyle w:val="117"/>
        <w:ind w:firstLine="480"/>
        <w:rPr>
          <w:rFonts w:hint="eastAsia"/>
          <w:lang w:bidi="ar"/>
        </w:rPr>
      </w:pPr>
      <w:r>
        <w:rPr>
          <w:rFonts w:hint="eastAsia"/>
          <w:lang w:bidi="ar"/>
        </w:rPr>
        <w:t>钻井作业正常工况下不会对地下水造成影响，钻井对水环境的影响主要表现为钻井过程中可能发生井漏、钻井液进入地层等事故。钻井过程中采用套管与土壤隔离，并在套管与地层之间注入水泥进行固井，水泥浆返至地面，封隔疏松地层和水层；表层套管的下土深度可满足地下水保护需要，可有效的保护地下水环境不受污染。井场产生的岩屑均进罐，水基钻井岩屑由岩屑处置单位拉走处置，油基钻井岩屑交由有相应危险废物处理资质的单位处理，不会对地下水造成影响；井场柴油机、发电机房、材料堆场、柴油罐、岩屑储罐等关键部位均采用防渗膜防渗，正常情况下，项目对水环境影响不大。</w:t>
      </w:r>
    </w:p>
    <w:p w14:paraId="64F5D009">
      <w:pPr>
        <w:pStyle w:val="4"/>
        <w:rPr>
          <w:rFonts w:hint="eastAsia"/>
        </w:rPr>
      </w:pPr>
      <w:r>
        <w:rPr>
          <w:rFonts w:hint="eastAsia"/>
        </w:rPr>
        <w:t>施工期声环境</w:t>
      </w:r>
      <w:r>
        <w:t>影响分析</w:t>
      </w:r>
      <w:bookmarkEnd w:id="487"/>
      <w:bookmarkEnd w:id="488"/>
      <w:bookmarkEnd w:id="489"/>
    </w:p>
    <w:p w14:paraId="2D96BC3E">
      <w:pPr>
        <w:pStyle w:val="117"/>
        <w:ind w:firstLine="480"/>
        <w:rPr>
          <w:rFonts w:hint="eastAsia"/>
        </w:rPr>
      </w:pPr>
      <w:bookmarkStart w:id="490" w:name="_Toc22582"/>
      <w:bookmarkStart w:id="491" w:name="_Toc445996421"/>
      <w:bookmarkStart w:id="492" w:name="_Toc445842100"/>
      <w:r>
        <w:rPr>
          <w:rFonts w:hint="eastAsia"/>
        </w:rPr>
        <w:t>一期工程噪声源主要为钻机、发电机等</w:t>
      </w:r>
      <w:bookmarkStart w:id="493" w:name="OLE_LINK45"/>
      <w:r>
        <w:rPr>
          <w:rFonts w:hint="eastAsia"/>
        </w:rPr>
        <w:t>施工机械及施工车辆</w:t>
      </w:r>
      <w:bookmarkEnd w:id="493"/>
      <w:r>
        <w:rPr>
          <w:rFonts w:hint="eastAsia"/>
        </w:rPr>
        <w:t>，二期工程噪声源主要为施工机械及施工车辆，</w:t>
      </w:r>
      <w:r>
        <w:rPr>
          <w:rFonts w:hint="eastAsia" w:hAnsi="Times New Roman"/>
          <w:szCs w:val="20"/>
        </w:rPr>
        <w:t>源强</w:t>
      </w:r>
      <w:r>
        <w:rPr>
          <w:rFonts w:hint="eastAsia"/>
        </w:rPr>
        <w:t>一般为</w:t>
      </w:r>
      <w:r>
        <w:t>60</w:t>
      </w:r>
      <w:r>
        <w:rPr>
          <w:rFonts w:hint="eastAsia"/>
        </w:rPr>
        <w:t>～105dB（A）。根据现场调查，声环境评价范围内没有固定居住人群等声敏感目标，不会造成扰民现象，施工期的噪声仅对施工人员产生影响。通过类比调查可知，施工期场界外</w:t>
      </w:r>
      <w:r>
        <w:t>200m处可达到《建筑施工场界噪声排放标准》（GB12523-2011）中限值要求</w:t>
      </w:r>
      <w:r>
        <w:rPr>
          <w:rFonts w:hint="eastAsia"/>
        </w:rPr>
        <w:t>。</w:t>
      </w:r>
    </w:p>
    <w:p w14:paraId="7FA5BDED">
      <w:pPr>
        <w:pStyle w:val="4"/>
        <w:rPr>
          <w:rFonts w:hint="eastAsia"/>
        </w:rPr>
      </w:pPr>
      <w:r>
        <w:rPr>
          <w:rFonts w:hint="eastAsia"/>
        </w:rPr>
        <w:t>施工期固体废物环境</w:t>
      </w:r>
      <w:r>
        <w:t>影响</w:t>
      </w:r>
      <w:bookmarkEnd w:id="490"/>
      <w:bookmarkEnd w:id="491"/>
      <w:bookmarkEnd w:id="492"/>
      <w:r>
        <w:rPr>
          <w:rFonts w:hint="eastAsia"/>
        </w:rPr>
        <w:t>分析</w:t>
      </w:r>
    </w:p>
    <w:p w14:paraId="1BC13EF7">
      <w:pPr>
        <w:pStyle w:val="117"/>
        <w:ind w:firstLine="480"/>
        <w:rPr>
          <w:rFonts w:hint="eastAsia"/>
        </w:rPr>
      </w:pPr>
      <w:bookmarkStart w:id="494" w:name="OLE_LINK47"/>
      <w:r>
        <w:rPr>
          <w:rFonts w:hint="eastAsia"/>
        </w:rPr>
        <w:t>施工过程中的挖方全部回填，无弃方产生，</w:t>
      </w:r>
      <w:bookmarkEnd w:id="494"/>
      <w:r>
        <w:rPr>
          <w:rFonts w:hint="eastAsia"/>
        </w:rPr>
        <w:t>一期工程固体废物主要为钻井岩屑、生活垃圾、建筑垃圾、废润滑油、废润滑油桶和沾油废防渗材料；二期工程拆除的生产分离器、拉油方罐和放空火炬由建设单位回收处置，二期工程固体废物主要为建筑垃圾。</w:t>
      </w:r>
    </w:p>
    <w:p w14:paraId="3A06F55C">
      <w:pPr>
        <w:pStyle w:val="117"/>
        <w:spacing w:line="480" w:lineRule="exact"/>
        <w:ind w:firstLine="480"/>
        <w:rPr>
          <w:rFonts w:hint="eastAsia"/>
        </w:rPr>
      </w:pPr>
      <w:r>
        <w:rPr>
          <w:rFonts w:hint="eastAsia"/>
        </w:rPr>
        <w:t>（1）钻井岩屑</w:t>
      </w:r>
    </w:p>
    <w:p w14:paraId="69FAC7C0">
      <w:pPr>
        <w:pStyle w:val="117"/>
        <w:spacing w:line="480" w:lineRule="exact"/>
        <w:ind w:firstLine="480"/>
        <w:rPr>
          <w:rFonts w:hint="eastAsia" w:cs="宋体"/>
        </w:rPr>
      </w:pPr>
      <w:r>
        <w:rPr>
          <w:rFonts w:hint="eastAsia" w:cs="宋体"/>
        </w:rPr>
        <w:t>一开钻井采用水基钻井液，钻井时井筒返排的钻井液及岩屑经不落地设备分离，分离出的液相回用于钻井液配置，</w:t>
      </w:r>
      <w:bookmarkStart w:id="495" w:name="_Hlk69139413"/>
      <w:r>
        <w:rPr>
          <w:rFonts w:hint="eastAsia" w:cs="宋体"/>
        </w:rPr>
        <w:t>分离出的水基钻井液进专用储罐暂存，委托岩屑处置单位直接拉运</w:t>
      </w:r>
      <w:bookmarkEnd w:id="495"/>
      <w:r>
        <w:rPr>
          <w:rFonts w:hint="eastAsia" w:cs="宋体"/>
        </w:rPr>
        <w:t>处置。二开钻井采用油基钻井液，钻井时井筒返排的钻井液及岩屑经不落地进行初步分离，液相回用于钻井液配置；固相再由甩干机进行第一次固液分离，然后由离心机对甩干机排出的液体进行第二次固液分离，从而实现深度分离，分离出的液相回用于钻井液配置，分离出的固相（即油基钻井岩屑）属于HW08类危险废物（废物代码：071-002-08），采用专用储罐进行收集，</w:t>
      </w:r>
      <w:bookmarkStart w:id="496" w:name="_Hlk69139460"/>
      <w:r>
        <w:rPr>
          <w:rFonts w:hint="eastAsia" w:cs="宋体"/>
        </w:rPr>
        <w:t>委托具有相应危险废物处理资质的单位进行处置</w:t>
      </w:r>
      <w:bookmarkEnd w:id="496"/>
      <w:r>
        <w:rPr>
          <w:rFonts w:hint="eastAsia" w:cs="宋体"/>
        </w:rPr>
        <w:t>。油基钻井岩屑临时贮存在专用储罐内，储罐底部铺设防渗膜，油基钻井岩屑在井场临时贮存应满足《危险废物贮存污染控制标准》（GB18597-2023）相关要求。</w:t>
      </w:r>
    </w:p>
    <w:p w14:paraId="267FF099">
      <w:pPr>
        <w:pStyle w:val="117"/>
        <w:spacing w:line="480" w:lineRule="exact"/>
        <w:ind w:firstLine="480"/>
        <w:rPr>
          <w:rFonts w:hint="eastAsia"/>
        </w:rPr>
      </w:pPr>
      <w:r>
        <w:rPr>
          <w:rFonts w:hint="eastAsia"/>
        </w:rPr>
        <w:t>（2）生活垃圾</w:t>
      </w:r>
    </w:p>
    <w:p w14:paraId="40DA3008">
      <w:pPr>
        <w:pStyle w:val="117"/>
        <w:spacing w:line="480" w:lineRule="exact"/>
        <w:ind w:firstLine="480"/>
        <w:rPr>
          <w:rFonts w:hint="eastAsia"/>
        </w:rPr>
      </w:pPr>
      <w:r>
        <w:rPr>
          <w:rFonts w:hint="eastAsia"/>
        </w:rPr>
        <w:t>生活垃圾采用垃圾箱收集，定期由协议单位清运至吉木萨尔县生活垃圾填埋场，禁止随意抛洒</w:t>
      </w:r>
      <w:r>
        <w:rPr>
          <w:rFonts w:hint="eastAsia"/>
          <w:lang w:val="zh-CN"/>
        </w:rPr>
        <w:t>。</w:t>
      </w:r>
    </w:p>
    <w:p w14:paraId="61DC03C0">
      <w:pPr>
        <w:pStyle w:val="117"/>
        <w:spacing w:line="480" w:lineRule="exact"/>
        <w:ind w:firstLine="480"/>
        <w:rPr>
          <w:rFonts w:hint="eastAsia"/>
        </w:rPr>
      </w:pPr>
      <w:r>
        <w:rPr>
          <w:rFonts w:hint="eastAsia"/>
        </w:rPr>
        <w:t>（3）废润滑油和废润滑油桶</w:t>
      </w:r>
    </w:p>
    <w:p w14:paraId="5088C4E6">
      <w:pPr>
        <w:pStyle w:val="117"/>
        <w:spacing w:line="480" w:lineRule="exact"/>
        <w:ind w:firstLine="480"/>
        <w:rPr>
          <w:rFonts w:hint="eastAsia"/>
        </w:rPr>
      </w:pPr>
      <w:r>
        <w:rPr>
          <w:rFonts w:hint="eastAsia"/>
        </w:rPr>
        <w:t>施工期产生的废润滑油和废润滑油桶均属于</w:t>
      </w:r>
      <w:bookmarkStart w:id="497" w:name="_Hlk40358337"/>
      <w:r>
        <w:rPr>
          <w:rFonts w:hint="eastAsia"/>
        </w:rPr>
        <w:t>《国家危险废物名录》（</w:t>
      </w:r>
      <w:r>
        <w:t>2021</w:t>
      </w:r>
      <w:r>
        <w:rPr>
          <w:rFonts w:hint="eastAsia"/>
        </w:rPr>
        <w:t>年版</w:t>
      </w:r>
      <w:r>
        <w:t>）</w:t>
      </w:r>
      <w:bookmarkEnd w:id="497"/>
      <w:r>
        <w:t>HW08废矿物油与含矿物油类危险废物</w:t>
      </w:r>
      <w:r>
        <w:rPr>
          <w:rFonts w:hint="eastAsia"/>
        </w:rPr>
        <w:t>，</w:t>
      </w:r>
      <w:bookmarkStart w:id="498" w:name="_Hlk115122985"/>
      <w:r>
        <w:rPr>
          <w:rFonts w:hint="eastAsia"/>
        </w:rPr>
        <w:t>集中收集后交由有相应危险废物处置资质的单位进行回收处置。</w:t>
      </w:r>
    </w:p>
    <w:bookmarkEnd w:id="498"/>
    <w:p w14:paraId="29F697D4">
      <w:pPr>
        <w:pStyle w:val="117"/>
        <w:ind w:firstLine="480"/>
        <w:rPr>
          <w:rFonts w:hint="eastAsia"/>
        </w:rPr>
      </w:pPr>
      <w:r>
        <w:rPr>
          <w:rFonts w:hint="eastAsia"/>
        </w:rPr>
        <w:t>（4）沾油废防渗材料</w:t>
      </w:r>
    </w:p>
    <w:p w14:paraId="742B658C">
      <w:pPr>
        <w:pStyle w:val="117"/>
        <w:ind w:firstLine="480"/>
        <w:rPr>
          <w:rFonts w:hint="eastAsia"/>
        </w:rPr>
      </w:pPr>
      <w:r>
        <w:rPr>
          <w:rFonts w:hint="eastAsia"/>
        </w:rPr>
        <w:t>沾油废防渗材料属于《国家危险废物名录》（</w:t>
      </w:r>
      <w:r>
        <w:t>2021</w:t>
      </w:r>
      <w:r>
        <w:rPr>
          <w:rFonts w:hint="eastAsia"/>
        </w:rPr>
        <w:t>年版</w:t>
      </w:r>
      <w:r>
        <w:t>）HW08废矿物油与含矿物油类危险废物</w:t>
      </w:r>
      <w:r>
        <w:rPr>
          <w:rFonts w:hint="eastAsia"/>
        </w:rPr>
        <w:t>，废物代码：</w:t>
      </w:r>
      <w:r>
        <w:t>900-249-08</w:t>
      </w:r>
      <w:r>
        <w:rPr>
          <w:rFonts w:hint="eastAsia"/>
        </w:rPr>
        <w:t>），危险特性为毒性和易燃性，集中收集后交由具有相关危险废物处置资质的单位接收、转运以及处置。</w:t>
      </w:r>
    </w:p>
    <w:p w14:paraId="67901F33">
      <w:pPr>
        <w:pStyle w:val="117"/>
        <w:spacing w:line="480" w:lineRule="exact"/>
        <w:ind w:firstLine="480"/>
        <w:rPr>
          <w:rFonts w:hint="eastAsia"/>
        </w:rPr>
      </w:pPr>
      <w:r>
        <w:rPr>
          <w:rFonts w:hint="eastAsia"/>
        </w:rPr>
        <w:t>（5）固体废物主要为建筑垃圾</w:t>
      </w:r>
      <w:bookmarkStart w:id="499" w:name="_Hlk84618356"/>
      <w:r>
        <w:rPr>
          <w:rFonts w:hint="eastAsia"/>
        </w:rPr>
        <w:t>，</w:t>
      </w:r>
      <w:bookmarkStart w:id="500" w:name="_Hlk111760932"/>
      <w:r>
        <w:rPr>
          <w:rFonts w:hint="eastAsia"/>
        </w:rPr>
        <w:t>施工过程中使用材料产生的废边角料等尽量由施工单位统一回收利用，无法再利用的集中堆放，定期送至当地建筑垃圾填埋场填埋处理。</w:t>
      </w:r>
    </w:p>
    <w:bookmarkEnd w:id="499"/>
    <w:bookmarkEnd w:id="500"/>
    <w:p w14:paraId="5482A25D">
      <w:pPr>
        <w:pStyle w:val="117"/>
        <w:spacing w:line="480" w:lineRule="exact"/>
        <w:ind w:firstLine="480"/>
        <w:rPr>
          <w:rFonts w:hint="eastAsia"/>
        </w:rPr>
      </w:pPr>
      <w:r>
        <w:rPr>
          <w:rFonts w:hint="eastAsia"/>
        </w:rPr>
        <w:t>综上所述，产生的各类固体废物均按相应类类别进行了收集，且均得到了妥善处置，正常情况下不会对周围环境产生不利影响。</w:t>
      </w:r>
    </w:p>
    <w:p w14:paraId="3F52D8A7">
      <w:pPr>
        <w:pStyle w:val="4"/>
        <w:rPr>
          <w:rFonts w:hint="eastAsia"/>
        </w:rPr>
      </w:pPr>
      <w:r>
        <w:rPr>
          <w:rFonts w:hint="eastAsia"/>
        </w:rPr>
        <w:t>施工期土壤环境</w:t>
      </w:r>
      <w:r>
        <w:t>影响</w:t>
      </w:r>
      <w:r>
        <w:rPr>
          <w:rFonts w:hint="eastAsia"/>
        </w:rPr>
        <w:t>分析</w:t>
      </w:r>
    </w:p>
    <w:p w14:paraId="684E5F40">
      <w:pPr>
        <w:pStyle w:val="117"/>
        <w:spacing w:line="480" w:lineRule="exact"/>
        <w:ind w:firstLine="480"/>
        <w:rPr>
          <w:rFonts w:hint="eastAsia" w:cs="宋体"/>
          <w:lang w:val="zh-CN"/>
        </w:rPr>
      </w:pPr>
      <w:r>
        <w:rPr>
          <w:rFonts w:hint="eastAsia" w:cs="宋体"/>
          <w:lang w:val="zh-CN"/>
        </w:rPr>
        <w:t>施工期对土壤环境质量的影响主要为人为扰动、车辆行驶和机械施工、各种废弃物污染影响。</w:t>
      </w:r>
    </w:p>
    <w:p w14:paraId="21A8F943">
      <w:pPr>
        <w:pStyle w:val="117"/>
        <w:spacing w:line="480" w:lineRule="exact"/>
        <w:ind w:firstLine="480"/>
        <w:rPr>
          <w:rFonts w:hint="eastAsia" w:cs="宋体"/>
          <w:lang w:val="zh-CN"/>
        </w:rPr>
      </w:pPr>
      <w:r>
        <w:rPr>
          <w:rFonts w:hint="eastAsia" w:cs="宋体"/>
          <w:lang w:val="zh-CN"/>
        </w:rPr>
        <w:t>（1）人为扰动对土壤的影响分析</w:t>
      </w:r>
    </w:p>
    <w:p w14:paraId="6A6F3F1A">
      <w:pPr>
        <w:pStyle w:val="117"/>
        <w:spacing w:line="480" w:lineRule="exact"/>
        <w:ind w:firstLine="480"/>
        <w:rPr>
          <w:rFonts w:hint="eastAsia" w:cs="宋体"/>
          <w:lang w:val="zh-CN"/>
        </w:rPr>
      </w:pPr>
      <w:r>
        <w:rPr>
          <w:rFonts w:hint="eastAsia" w:cs="宋体"/>
          <w:lang w:val="zh-CN"/>
        </w:rPr>
        <w:t>项目实施过程中不可避免地会对土壤造成扰动，主要是井场、计量站设备建设、管道敷设等工程建设过程中对土壤的开挖，以及车辆行驶、机械施工碾压和踩踏破坏土壤结构。</w:t>
      </w:r>
    </w:p>
    <w:p w14:paraId="48D4B863">
      <w:pPr>
        <w:pStyle w:val="117"/>
        <w:spacing w:line="480" w:lineRule="exact"/>
        <w:ind w:firstLine="480"/>
        <w:rPr>
          <w:rFonts w:hint="eastAsia" w:cs="宋体"/>
          <w:lang w:val="zh-CN"/>
        </w:rPr>
      </w:pPr>
      <w:r>
        <w:rPr>
          <w:rFonts w:hint="eastAsia" w:cs="宋体"/>
          <w:lang w:val="zh-CN"/>
        </w:rPr>
        <w:t>在施工中，设备碾压、人员踩踏等都会对土壤的紧实度产生影响，而开挖作业则会改变土壤层次。机械碾压和人员踩踏致使土壤紧实度增高，地表水入渗减少，土壤团粒结构遭到破坏，土壤养分流失，不利于植物生长。各种车辆（尤其是重型卡车）反复碾压后的土壤，植物很难再生长。管道的开挖和回填过程中势必会对土壤原有层次产生扰动和破坏，若不同质地、不同层次的土壤混合，将直接影响植物的生长。</w:t>
      </w:r>
    </w:p>
    <w:p w14:paraId="23B2960B">
      <w:pPr>
        <w:pStyle w:val="117"/>
        <w:spacing w:line="480" w:lineRule="exact"/>
        <w:ind w:firstLine="480"/>
        <w:rPr>
          <w:rFonts w:hint="eastAsia" w:cs="宋体"/>
          <w:lang w:val="zh-CN"/>
        </w:rPr>
      </w:pPr>
      <w:r>
        <w:rPr>
          <w:rFonts w:hint="eastAsia" w:cs="宋体"/>
          <w:lang w:val="zh-CN"/>
        </w:rPr>
        <w:t>（</w:t>
      </w:r>
      <w:r>
        <w:rPr>
          <w:rFonts w:cs="宋体"/>
          <w:lang w:val="zh-CN"/>
        </w:rPr>
        <w:t>2</w:t>
      </w:r>
      <w:r>
        <w:rPr>
          <w:rFonts w:hint="eastAsia" w:cs="宋体"/>
          <w:lang w:val="zh-CN"/>
        </w:rPr>
        <w:t>）废弃物排放对土壤环境的影响分析</w:t>
      </w:r>
    </w:p>
    <w:p w14:paraId="1532E2F0">
      <w:pPr>
        <w:pStyle w:val="117"/>
        <w:spacing w:line="480" w:lineRule="exact"/>
        <w:ind w:firstLine="480"/>
        <w:rPr>
          <w:rFonts w:hint="eastAsia" w:cs="宋体"/>
          <w:lang w:val="zh-CN"/>
        </w:rPr>
      </w:pPr>
      <w:r>
        <w:rPr>
          <w:rFonts w:hint="eastAsia" w:cs="宋体"/>
          <w:lang w:val="zh-CN"/>
        </w:rPr>
        <w:t>施工期各种原辅料堆放，如各类施工设备、原辅料堆放及各类施工废弃物暂存等，若遇防渗措施破损或大雨淋滤等情况，导致物料泄漏、废弃物渗滤液直接进入土壤，对土壤造成污染影响。</w:t>
      </w:r>
    </w:p>
    <w:p w14:paraId="5C38DAD7">
      <w:pPr>
        <w:pStyle w:val="4"/>
        <w:rPr>
          <w:rFonts w:hint="eastAsia"/>
        </w:rPr>
      </w:pPr>
      <w:r>
        <w:rPr>
          <w:rFonts w:hint="eastAsia"/>
        </w:rPr>
        <w:t>施工期生态环境影响分析</w:t>
      </w:r>
    </w:p>
    <w:p w14:paraId="0064938A">
      <w:pPr>
        <w:pStyle w:val="117"/>
        <w:ind w:firstLine="480"/>
        <w:rPr>
          <w:rFonts w:hint="eastAsia"/>
        </w:rPr>
      </w:pPr>
      <w:bookmarkStart w:id="501" w:name="_Hlk147587115"/>
      <w:r>
        <w:rPr>
          <w:rFonts w:hint="eastAsia"/>
        </w:rPr>
        <w:t>施工期生态影响主要表现为占地影响，临时占地主要为单井采油管线、集油干线、输电线路等施工临时占用，永久占地主要为采油井场、计量站、道路占地。施工结束后，永久占地被永久性构筑物代替，这部分占地的土壤类型、土地利用类型和植被类型将发生彻底的改变，永久占地使原先土壤——植被复合体构成的自然地表被各类人工构造物长期取代；临时占地伴随着永久性占地的工程建设而发生，也不可避免地对原有地表造成破坏，使原有土壤—植被自然体系受到影响或瓦解，在扰动结束后，临时占地影响区的土壤—植被体系的恢复能力与程度取决于临时占地影响程度的大小及原先的生态背景状况。施工活动和工程占地在油区范围内并呈点线状分布，对土壤、植物、野生动物等各生态要素产生不同程度的影响，同时也对原有景观结构和生态系统产生一定程度影响。</w:t>
      </w:r>
    </w:p>
    <w:p w14:paraId="2D7CD1C0">
      <w:pPr>
        <w:pStyle w:val="117"/>
        <w:ind w:firstLine="480"/>
        <w:rPr>
          <w:rFonts w:hint="eastAsia"/>
        </w:rPr>
      </w:pPr>
      <w:r>
        <w:rPr>
          <w:rFonts w:hint="eastAsia"/>
        </w:rPr>
        <w:t>（</w:t>
      </w:r>
      <w:r>
        <w:t>1</w:t>
      </w:r>
      <w:r>
        <w:rPr>
          <w:rFonts w:hint="eastAsia"/>
        </w:rPr>
        <w:t>）对植物影响分析</w:t>
      </w:r>
    </w:p>
    <w:p w14:paraId="28878A92">
      <w:pPr>
        <w:pStyle w:val="117"/>
        <w:ind w:firstLine="480"/>
        <w:rPr>
          <w:rFonts w:hint="eastAsia"/>
        </w:rPr>
      </w:pPr>
      <w:r>
        <w:rPr>
          <w:rFonts w:hint="eastAsia"/>
        </w:rPr>
        <w:t>①工程占地对植物的影响分析</w:t>
      </w:r>
    </w:p>
    <w:p w14:paraId="74B7B016">
      <w:pPr>
        <w:pStyle w:val="117"/>
        <w:ind w:firstLine="480"/>
        <w:rPr>
          <w:rFonts w:hint="eastAsia"/>
        </w:rPr>
      </w:pPr>
      <w:r>
        <w:rPr>
          <w:rFonts w:hint="eastAsia"/>
        </w:rPr>
        <w:t>工程占地类型为天然牧草地，各项施工作业对植被的主要影响是土地的占用和施工阶段清场过程中对地表植被的清理和碾压。井场和计量站施工过程中有一部分地表土地被各种构筑物或砾石覆盖，永久性地改变了原有土地的利用类型，对原有植被造成了永久的破坏。临时占地范围内地表植被及地表结构却发生了较大的变化，地表保护层被破坏后，稳定性下降，防止水土流失的能力也随之下降。在工程结。束后，土地将不再受人为扰动，逐步自然恢复，重新回到原来的自然状态。</w:t>
      </w:r>
    </w:p>
    <w:p w14:paraId="48465A86">
      <w:pPr>
        <w:pStyle w:val="117"/>
        <w:ind w:firstLine="480"/>
        <w:rPr>
          <w:rFonts w:hint="eastAsia"/>
        </w:rPr>
      </w:pPr>
      <w:r>
        <w:rPr>
          <w:rFonts w:hint="eastAsia"/>
        </w:rPr>
        <w:t>工程占地及施工人员、机械活动会对区域植物产生一定的影响，本项目位于天然牧草地，属于正在发展的荒漠化，在施工结束的</w:t>
      </w:r>
      <w:r>
        <w:t>2a</w:t>
      </w:r>
      <w:r>
        <w:rPr>
          <w:rFonts w:hint="eastAsia"/>
        </w:rPr>
        <w:t>～</w:t>
      </w:r>
      <w:r>
        <w:t>3a</w:t>
      </w:r>
      <w:r>
        <w:rPr>
          <w:rFonts w:hint="eastAsia"/>
        </w:rPr>
        <w:t>中，将影响占地范围之内的植被初级生产力，其生物损失量根据《陆地石油天然气开发建设项目环境影响评价技术导则》（</w:t>
      </w:r>
      <w:r>
        <w:t>HJ/T349-2007</w:t>
      </w:r>
      <w:r>
        <w:rPr>
          <w:rFonts w:hint="eastAsia"/>
        </w:rPr>
        <w:t>）中荒漠化量化指标2.9</w:t>
      </w:r>
      <w:r>
        <w:t>t/(hm</w:t>
      </w:r>
      <w:r>
        <w:rPr>
          <w:vertAlign w:val="superscript"/>
        </w:rPr>
        <w:t>2</w:t>
      </w:r>
      <w:r>
        <w:rPr>
          <w:rFonts w:hint="eastAsia"/>
        </w:rPr>
        <w:t>·</w:t>
      </w:r>
      <w:r>
        <w:t>a</w:t>
      </w:r>
      <w:r>
        <w:rPr>
          <w:rFonts w:hint="eastAsia"/>
        </w:rPr>
        <w:t>）计算，一</w:t>
      </w:r>
      <w:bookmarkStart w:id="502" w:name="OLE_LINK365"/>
      <w:r>
        <w:rPr>
          <w:rFonts w:hint="eastAsia"/>
        </w:rPr>
        <w:t>期工程生物损失量约为15</w:t>
      </w:r>
      <w:r>
        <w:t>t/a</w:t>
      </w:r>
      <w:bookmarkEnd w:id="502"/>
      <w:r>
        <w:rPr>
          <w:rFonts w:hint="eastAsia"/>
        </w:rPr>
        <w:t>，二期工程生物损失量约为21</w:t>
      </w:r>
      <w:r>
        <w:t>t/a</w:t>
      </w:r>
      <w:r>
        <w:rPr>
          <w:rFonts w:hint="eastAsia"/>
        </w:rPr>
        <w:t>。当临时性占地的植被得到初步恢复后，这种损失将逐渐减少。通过加强环保宣传教育，以及严格的环境保护管理措施，可以有效地避免施工及人员活动对保护植物的破坏。</w:t>
      </w:r>
    </w:p>
    <w:p w14:paraId="4E0B9F52">
      <w:pPr>
        <w:pStyle w:val="117"/>
        <w:ind w:firstLine="480"/>
        <w:rPr>
          <w:rFonts w:hint="eastAsia"/>
        </w:rPr>
      </w:pPr>
      <w:r>
        <w:rPr>
          <w:rFonts w:hint="eastAsia"/>
        </w:rPr>
        <w:t>②施工人员活动对植物的影响分析</w:t>
      </w:r>
    </w:p>
    <w:p w14:paraId="7632CF52">
      <w:pPr>
        <w:pStyle w:val="117"/>
        <w:ind w:firstLine="480"/>
        <w:rPr>
          <w:rFonts w:hint="eastAsia"/>
        </w:rPr>
      </w:pPr>
      <w:r>
        <w:rPr>
          <w:rFonts w:hint="eastAsia"/>
        </w:rPr>
        <w:t>井区开发建设过程中大量人员、机械进入项目区，使项目区环境中人类活动频率大幅度增加，对植被的影响主要表现在人类和机械对植物的踩踏和碾压，使原生植被生境发生较大变化。荒漠区单位面积上人口密度的增加将导致工程开发范围内及边缘区域地表土壤被践踏和自然植被覆盖率减少，使工程区域内局部地带沙漠化的可能性增加。</w:t>
      </w:r>
    </w:p>
    <w:bookmarkEnd w:id="501"/>
    <w:p w14:paraId="30A35EC7">
      <w:pPr>
        <w:pStyle w:val="117"/>
        <w:adjustRightInd w:val="0"/>
        <w:snapToGrid w:val="0"/>
        <w:ind w:firstLine="480"/>
        <w:rPr>
          <w:rFonts w:hint="eastAsia" w:cs="宋体"/>
          <w:lang w:bidi="ar"/>
        </w:rPr>
      </w:pPr>
      <w:r>
        <w:rPr>
          <w:rFonts w:hint="eastAsia"/>
        </w:rPr>
        <w:t>（3）</w:t>
      </w:r>
      <w:r>
        <w:rPr>
          <w:rFonts w:hint="eastAsia" w:cs="宋体"/>
          <w:lang w:bidi="ar"/>
        </w:rPr>
        <w:t>对野生动物影响分析</w:t>
      </w:r>
    </w:p>
    <w:p w14:paraId="63A2DC33">
      <w:pPr>
        <w:pStyle w:val="117"/>
        <w:ind w:firstLine="480"/>
        <w:rPr>
          <w:rFonts w:hint="eastAsia"/>
        </w:rPr>
      </w:pPr>
      <w:r>
        <w:rPr>
          <w:rFonts w:hint="eastAsia"/>
        </w:rPr>
        <w:t>地面工程施工和运营对陆栖动物的影响具体表现为破坏植被导致动物栖息地受到损害，道路和管线施工可能阻断动物活动路线，以及施工与运营噪声、废气对动物的不良影响等方面。</w:t>
      </w:r>
    </w:p>
    <w:p w14:paraId="6DA38F6E">
      <w:pPr>
        <w:pStyle w:val="117"/>
        <w:ind w:firstLine="480"/>
        <w:rPr>
          <w:rFonts w:hint="eastAsia"/>
        </w:rPr>
      </w:pPr>
      <w:r>
        <w:rPr>
          <w:rFonts w:hint="eastAsia"/>
        </w:rPr>
        <w:t>施工期对野生动物的影响分为直接影响和间接影响两个方面，主要表现在对生存环境、分布范围和种群数量的影响。直接影响主要表现为建设项目占地，使野生动物的原始生存环境被破坏或改变；间接影响主要表现为由于植被的减少或污染破坏而引起野生动物食物来源减少。钻井工程和地面工程等施工过程中，由于机械设备的轰鸣惊扰、人群活动的增加，使区域内单位面积上的动物种群数量下降。但此类影响对爬行类和小型啮齿动物的干扰不大，它们能很快适应当地的环境，并重建新栖息地。</w:t>
      </w:r>
    </w:p>
    <w:p w14:paraId="0677D821">
      <w:pPr>
        <w:pStyle w:val="117"/>
        <w:ind w:firstLine="480"/>
        <w:rPr>
          <w:rFonts w:hint="eastAsia"/>
        </w:rPr>
      </w:pPr>
      <w:r>
        <w:rPr>
          <w:rFonts w:hint="eastAsia"/>
        </w:rPr>
        <w:t>本项目建成后人类活动降低，仅日常巡井和管线巡检等检查活动，对区域野生动物影响较小。</w:t>
      </w:r>
    </w:p>
    <w:p w14:paraId="3535D7FA">
      <w:pPr>
        <w:pStyle w:val="117"/>
        <w:ind w:firstLine="480"/>
        <w:rPr>
          <w:rFonts w:hint="eastAsia"/>
        </w:rPr>
      </w:pPr>
      <w:r>
        <w:rPr>
          <w:rFonts w:hint="eastAsia"/>
        </w:rPr>
        <w:t>（4）对生态系统结构、功能的影响</w:t>
      </w:r>
    </w:p>
    <w:p w14:paraId="0466A2B7">
      <w:pPr>
        <w:pStyle w:val="117"/>
        <w:ind w:firstLine="480"/>
        <w:rPr>
          <w:rFonts w:hint="eastAsia"/>
        </w:rPr>
      </w:pPr>
      <w:r>
        <w:rPr>
          <w:rFonts w:hint="eastAsia"/>
        </w:rPr>
        <w:t>管线工程、采油井场、计量站、道路及输电线等建设活动对原有生态系统结构的完整性有一定的影响，会降低生态系统的生产力，导致生态系统部分物质循环受阻，能量流动中断，因此将对区域内生物的栖息环境产生不良影响。同时项目区内系统自我调节能力减弱，受扰动后恢复能力降低，生态稳定性降低，生物种群、数量将受到一定程度的影响，但项目占地面积小，对生态系统结构和功能的影响较小，对评价范围内生态系统完整性影响亦较小，生态系统完整性变化主要受区域自然环境变化影响。项目建设加大了评价区人为干扰的力度，同时也加剧局部区域由自然荒漠生态系统向人工生态系统演替的趋势。项目占地类型为天然牧草地，地表植被稀疏，由工程造成的生物量损失较小，不会造成区域的生物多样性下降，加上占地面积有限，区域生态系统仍保持开放、物质循环和能量流动。因此对于评价区生态系统的完整性影响较小，其生态稳定性及其结构与功能也不会受到明显影响，项目实施造成的不利影响均在可接受的范围内。。</w:t>
      </w:r>
    </w:p>
    <w:p w14:paraId="15C6E17B">
      <w:pPr>
        <w:pStyle w:val="117"/>
        <w:adjustRightInd w:val="0"/>
        <w:snapToGrid w:val="0"/>
        <w:ind w:firstLine="480"/>
        <w:rPr>
          <w:rFonts w:hint="eastAsia" w:cs="宋体"/>
          <w:kern w:val="0"/>
          <w:lang w:bidi="ar"/>
        </w:rPr>
      </w:pPr>
      <w:r>
        <w:rPr>
          <w:rFonts w:hint="eastAsia" w:cs="宋体"/>
          <w:lang w:bidi="ar"/>
        </w:rPr>
        <w:t>（</w:t>
      </w:r>
      <w:r>
        <w:rPr>
          <w:rFonts w:cs="宋体"/>
          <w:lang w:bidi="ar"/>
        </w:rPr>
        <w:t>5</w:t>
      </w:r>
      <w:r>
        <w:rPr>
          <w:rFonts w:hint="eastAsia" w:cs="宋体"/>
          <w:lang w:bidi="ar"/>
        </w:rPr>
        <w:t>）对区域景观影响分析</w:t>
      </w:r>
    </w:p>
    <w:p w14:paraId="55D29618">
      <w:pPr>
        <w:pStyle w:val="117"/>
        <w:ind w:firstLine="480"/>
        <w:rPr>
          <w:rFonts w:hint="eastAsia"/>
        </w:rPr>
      </w:pPr>
      <w:r>
        <w:rPr>
          <w:rFonts w:hint="eastAsia"/>
        </w:rPr>
        <w:t>景观是指地表空间相对稳定的景物或景象，是一个空间高度异质性的区域，由相互作用的景观元素或生态系统，按一定的空间组合规律及相似的形式重复出现而形成。</w:t>
      </w:r>
    </w:p>
    <w:p w14:paraId="789DDB5B">
      <w:pPr>
        <w:pStyle w:val="117"/>
        <w:ind w:firstLine="480"/>
        <w:rPr>
          <w:rFonts w:hint="eastAsia"/>
        </w:rPr>
      </w:pPr>
      <w:r>
        <w:rPr>
          <w:rFonts w:hint="eastAsia"/>
        </w:rPr>
        <w:t>油田开发区属于景观生态等级自然体系和人工体系的复合体，它是由荒漠生态系统和道路等景观相间组成。本项目占地面积不大，实施后可以与现有的区域景观相协调。</w:t>
      </w:r>
    </w:p>
    <w:p w14:paraId="157C509D">
      <w:pPr>
        <w:pStyle w:val="117"/>
        <w:ind w:firstLine="480"/>
        <w:rPr>
          <w:rFonts w:hint="eastAsia"/>
        </w:rPr>
      </w:pPr>
      <w:r>
        <w:rPr>
          <w:rFonts w:hint="eastAsia"/>
        </w:rPr>
        <w:t>（6）对公益林的环境影响分析</w:t>
      </w:r>
    </w:p>
    <w:p w14:paraId="0A586F7B">
      <w:pPr>
        <w:pStyle w:val="117"/>
        <w:ind w:firstLine="480"/>
        <w:rPr>
          <w:rFonts w:hint="eastAsia"/>
        </w:rPr>
      </w:pPr>
      <w:r>
        <w:rPr>
          <w:rFonts w:hint="eastAsia"/>
        </w:rPr>
        <w:t>工程占地减少了部分公益林，对周边公益林造成一定的影响，井场和计量拉油站（计量站）选址时尽量避开植被密集区域，严格控制施工作业带宽度和施工人员活动，禁止乱砍乱伐，加强施工期管理，不会对周围公益林产生明显影响。</w:t>
      </w:r>
    </w:p>
    <w:p w14:paraId="028F77B5">
      <w:pPr>
        <w:pStyle w:val="4"/>
        <w:rPr>
          <w:rFonts w:hint="eastAsia"/>
        </w:rPr>
      </w:pPr>
      <w:r>
        <w:rPr>
          <w:rFonts w:hint="eastAsia"/>
        </w:rPr>
        <w:t>水土流失影响分析</w:t>
      </w:r>
    </w:p>
    <w:p w14:paraId="54F00C5B">
      <w:pPr>
        <w:pStyle w:val="117"/>
        <w:ind w:firstLine="480"/>
        <w:rPr>
          <w:rFonts w:hint="eastAsia"/>
        </w:rPr>
      </w:pPr>
      <w:bookmarkStart w:id="503" w:name="_Hlk160376615"/>
      <w:r>
        <w:rPr>
          <w:rFonts w:hint="eastAsia"/>
        </w:rPr>
        <w:t>对水土流失影响的方式包括地表扰动、植被损坏、管沟开挖及破坏原地貌、地表土壤结构。施工时场地平整、土方堆放、机械作业人员活动等都会加剧水土流失。</w:t>
      </w:r>
    </w:p>
    <w:p w14:paraId="1816E258">
      <w:pPr>
        <w:pStyle w:val="117"/>
        <w:ind w:firstLine="480"/>
        <w:rPr>
          <w:rFonts w:hint="eastAsia"/>
        </w:rPr>
      </w:pPr>
      <w:r>
        <w:rPr>
          <w:rFonts w:hint="eastAsia"/>
        </w:rPr>
        <w:t>施工时施工车辆对地表的大面积碾压，使所经过地段的植被和地表结构遭到不同程度的破坏，</w:t>
      </w:r>
      <w:r>
        <w:t>降低了项目占地范围内的土壤抗侵蚀能力，若在施工过程中不加以治理和防护，遇大风天气易产生严重的水土流失现象。</w:t>
      </w:r>
      <w:r>
        <w:rPr>
          <w:rFonts w:hint="eastAsia"/>
        </w:rPr>
        <w:t>永久占地范围内采用砾石铺垫，临时占地范围内的土壤地表表层遭到破坏，下层的粉细物质暴露在地层表面，在风力的作用下，风蚀量会明显加大，这种影响在短时间内不会完全恢复。但随着时间的推移，风蚀量会随着地表新保护层的逐渐形成而减弱。管沟开挖土方在管道一侧临时堆放，施工期内，管沟边堆起一道临时土垄，在大风状态下易发生风力侵蚀，即使在堆土回填后风蚀量会有所减少，但地表仍为疏松地带，需要一个较长的恢复阶段。</w:t>
      </w:r>
    </w:p>
    <w:bookmarkEnd w:id="503"/>
    <w:p w14:paraId="304C7010">
      <w:pPr>
        <w:pStyle w:val="4"/>
        <w:rPr>
          <w:rFonts w:hint="eastAsia"/>
        </w:rPr>
      </w:pPr>
      <w:r>
        <w:rPr>
          <w:rFonts w:hint="eastAsia"/>
        </w:rPr>
        <w:t>土地沙化环境影响分析</w:t>
      </w:r>
    </w:p>
    <w:p w14:paraId="6AA5EA08">
      <w:pPr>
        <w:pStyle w:val="117"/>
        <w:spacing w:line="480" w:lineRule="exact"/>
        <w:ind w:firstLine="480"/>
        <w:rPr>
          <w:rFonts w:hint="eastAsia" w:cs="宋体"/>
          <w:kern w:val="0"/>
        </w:rPr>
      </w:pPr>
      <w:r>
        <w:rPr>
          <w:rFonts w:hint="eastAsia"/>
        </w:rPr>
        <w:t>项目所在区域为非沙化土地，井场平整、管沟开挖、</w:t>
      </w:r>
      <w:r>
        <w:rPr>
          <w:rFonts w:hint="eastAsia" w:cs="宋体"/>
          <w:kern w:val="0"/>
        </w:rPr>
        <w:t>车辆碾压等工程将扰动原有地貌，施工过程中对地表的大面积碾压，使所经过地段的植被和地表结构遭到不同程度的破坏，使风蚀荒漠化的过程加剧，降低项目占地范围内的土壤抗侵蚀能力，造成局部土地沙化。</w:t>
      </w:r>
      <w:r>
        <w:rPr>
          <w:rFonts w:cs="宋体"/>
          <w:kern w:val="0"/>
        </w:rPr>
        <w:t>管沟开挖过程中，若未采取分层开挖、分层回填措施，可能导致土壤的蓄水保肥能力降低，影响区域植被生长，造成土壤逐渐沙化。</w:t>
      </w:r>
      <w:r>
        <w:rPr>
          <w:rFonts w:hint="eastAsia" w:cs="宋体"/>
          <w:kern w:val="0"/>
        </w:rPr>
        <w:t>此外，在施工过程中，各种车辆（尤其是重型卡车）如乱碾压行驶，将使经过的土壤变得紧实，严重的经过多次碾压后植物很难再生长，甚至退化为沙地。</w:t>
      </w:r>
    </w:p>
    <w:p w14:paraId="0AB5FE74">
      <w:pPr>
        <w:pStyle w:val="117"/>
        <w:spacing w:line="480" w:lineRule="exact"/>
        <w:ind w:firstLine="480"/>
        <w:rPr>
          <w:rFonts w:hint="eastAsia"/>
        </w:rPr>
      </w:pPr>
      <w:r>
        <w:rPr>
          <w:rFonts w:hint="eastAsia"/>
        </w:rPr>
        <w:t>施工结束后对永久占地进行地面硬化，以减少风蚀量，对临时占地范围内场地进行平整和清理，尽量利用施工时产生的表层弃土对临时占地进行覆盖，采用自然恢复的方式对区域植被进行恢复，建设过程中严格落实防沙治沙措施，严格控制施工占地范围。综上所述，本项目对区域土地沙化影响不大。</w:t>
      </w:r>
    </w:p>
    <w:p w14:paraId="07927A1D">
      <w:pPr>
        <w:pStyle w:val="2"/>
        <w:rPr>
          <w:rFonts w:hint="eastAsia"/>
        </w:rPr>
      </w:pPr>
      <w:bookmarkStart w:id="504" w:name="_Toc160382097"/>
      <w:r>
        <w:rPr>
          <w:rFonts w:hint="eastAsia"/>
        </w:rPr>
        <w:t>运营期环境影响预测与评价</w:t>
      </w:r>
      <w:bookmarkEnd w:id="504"/>
    </w:p>
    <w:bookmarkEnd w:id="478"/>
    <w:bookmarkEnd w:id="479"/>
    <w:bookmarkEnd w:id="480"/>
    <w:p w14:paraId="35587E01">
      <w:pPr>
        <w:pStyle w:val="4"/>
        <w:rPr>
          <w:rFonts w:hint="eastAsia"/>
        </w:rPr>
      </w:pPr>
      <w:bookmarkStart w:id="505" w:name="_Toc474416139"/>
      <w:bookmarkStart w:id="506" w:name="_Toc459026579"/>
      <w:r>
        <w:rPr>
          <w:rFonts w:hint="eastAsia"/>
        </w:rPr>
        <w:t>运营期大气环境影响预测与评价</w:t>
      </w:r>
      <w:bookmarkEnd w:id="505"/>
      <w:bookmarkEnd w:id="506"/>
    </w:p>
    <w:p w14:paraId="1EE6B712">
      <w:pPr>
        <w:pStyle w:val="89"/>
        <w:spacing w:line="480" w:lineRule="exact"/>
        <w:ind w:firstLine="480"/>
        <w:rPr>
          <w:rFonts w:hint="eastAsia" w:ascii="宋体" w:hAnsi="宋体" w:eastAsia="宋体"/>
        </w:rPr>
      </w:pPr>
      <w:r>
        <w:rPr>
          <w:rFonts w:hint="eastAsia" w:ascii="宋体" w:hAnsi="宋体" w:eastAsia="宋体"/>
        </w:rPr>
        <w:t>（</w:t>
      </w:r>
      <w:r>
        <w:rPr>
          <w:rFonts w:ascii="宋体" w:hAnsi="宋体" w:eastAsia="宋体"/>
        </w:rPr>
        <w:t>1）相关判定</w:t>
      </w:r>
    </w:p>
    <w:p w14:paraId="1409E4B0">
      <w:pPr>
        <w:pStyle w:val="117"/>
        <w:spacing w:line="480" w:lineRule="exact"/>
        <w:ind w:firstLine="480"/>
        <w:rPr>
          <w:rFonts w:hint="eastAsia" w:cs="宋体"/>
        </w:rPr>
      </w:pPr>
      <w:r>
        <w:rPr>
          <w:rFonts w:hint="eastAsia"/>
        </w:rPr>
        <w:t>本项目大气环境影响评价等级为二级，根据</w:t>
      </w:r>
      <w:r>
        <w:t>《环境影响评价技术导则 大气环境》（HJ2.2-2018）</w:t>
      </w:r>
      <w:r>
        <w:rPr>
          <w:rFonts w:hint="eastAsia"/>
        </w:rPr>
        <w:t>的相关规定，</w:t>
      </w:r>
      <w:r>
        <w:rPr>
          <w:rFonts w:hint="eastAsia" w:cs="宋体"/>
        </w:rPr>
        <w:t>本次采用</w:t>
      </w:r>
      <w:r>
        <w:t>AERSCREEN模式预测的结果进行评价，不进行进一步预测</w:t>
      </w:r>
      <w:r>
        <w:rPr>
          <w:rFonts w:hint="eastAsia" w:cs="宋体"/>
        </w:rPr>
        <w:t>。</w:t>
      </w:r>
    </w:p>
    <w:p w14:paraId="5A9701C9">
      <w:pPr>
        <w:pStyle w:val="89"/>
        <w:spacing w:line="480" w:lineRule="exact"/>
        <w:ind w:firstLine="480"/>
        <w:rPr>
          <w:rFonts w:hint="eastAsia" w:ascii="宋体" w:hAnsi="宋体" w:eastAsia="宋体"/>
        </w:rPr>
      </w:pPr>
      <w:r>
        <w:rPr>
          <w:rFonts w:hint="eastAsia" w:ascii="宋体" w:hAnsi="宋体" w:eastAsia="宋体"/>
        </w:rPr>
        <w:t>（</w:t>
      </w:r>
      <w:r>
        <w:rPr>
          <w:rFonts w:ascii="宋体" w:hAnsi="宋体" w:eastAsia="宋体"/>
        </w:rPr>
        <w:t>2）模型选用</w:t>
      </w:r>
    </w:p>
    <w:p w14:paraId="6E2C71A8">
      <w:pPr>
        <w:pStyle w:val="89"/>
        <w:spacing w:line="480" w:lineRule="exact"/>
        <w:ind w:firstLine="480"/>
        <w:rPr>
          <w:rFonts w:hint="eastAsia" w:ascii="宋体" w:hAnsi="宋体" w:eastAsia="宋体"/>
        </w:rPr>
      </w:pPr>
      <w:r>
        <w:rPr>
          <w:rFonts w:hint="eastAsia" w:ascii="宋体" w:hAnsi="宋体" w:eastAsia="宋体"/>
        </w:rPr>
        <w:t>采用</w:t>
      </w:r>
      <w:r>
        <w:rPr>
          <w:rFonts w:ascii="宋体" w:hAnsi="宋体" w:eastAsia="宋体"/>
        </w:rPr>
        <w:t>《环境影响评价技术导则 大气环境》（HJ2.2-2018）</w:t>
      </w:r>
      <w:r>
        <w:rPr>
          <w:rFonts w:hint="eastAsia" w:ascii="宋体" w:hAnsi="宋体" w:eastAsia="宋体"/>
        </w:rPr>
        <w:t>中推荐的估算模型</w:t>
      </w:r>
      <w:r>
        <w:rPr>
          <w:rFonts w:ascii="宋体" w:hAnsi="宋体" w:eastAsia="宋体"/>
        </w:rPr>
        <w:t>AERSCREEN</w:t>
      </w:r>
      <w:r>
        <w:rPr>
          <w:rFonts w:hint="eastAsia" w:ascii="宋体" w:hAnsi="宋体" w:eastAsia="宋体"/>
        </w:rPr>
        <w:t>进行估算。</w:t>
      </w:r>
    </w:p>
    <w:p w14:paraId="3A111A9D">
      <w:pPr>
        <w:pStyle w:val="89"/>
        <w:spacing w:line="480" w:lineRule="exact"/>
        <w:ind w:firstLine="480"/>
        <w:rPr>
          <w:rFonts w:hint="eastAsia" w:ascii="宋体" w:hAnsi="宋体" w:eastAsia="宋体"/>
        </w:rPr>
      </w:pPr>
      <w:r>
        <w:rPr>
          <w:rFonts w:hint="eastAsia" w:ascii="宋体" w:hAnsi="宋体" w:eastAsia="宋体"/>
        </w:rPr>
        <w:t>（</w:t>
      </w:r>
      <w:r>
        <w:rPr>
          <w:rFonts w:ascii="宋体" w:hAnsi="宋体" w:eastAsia="宋体"/>
        </w:rPr>
        <w:t>3）估算模型使用数据来源</w:t>
      </w:r>
    </w:p>
    <w:p w14:paraId="3D36D81F">
      <w:pPr>
        <w:pStyle w:val="89"/>
        <w:spacing w:line="480" w:lineRule="exact"/>
        <w:ind w:firstLine="480"/>
        <w:rPr>
          <w:rFonts w:hint="eastAsia" w:ascii="宋体" w:hAnsi="宋体" w:eastAsia="宋体"/>
        </w:rPr>
      </w:pPr>
      <w:r>
        <w:rPr>
          <w:rFonts w:hint="eastAsia" w:ascii="宋体" w:hAnsi="宋体" w:eastAsia="宋体"/>
        </w:rPr>
        <w:t>①地形数据</w:t>
      </w:r>
    </w:p>
    <w:p w14:paraId="7C0DE3FE">
      <w:pPr>
        <w:pStyle w:val="89"/>
        <w:spacing w:line="480" w:lineRule="exact"/>
        <w:ind w:firstLine="480"/>
        <w:rPr>
          <w:rFonts w:hint="eastAsia" w:ascii="宋体" w:hAnsi="宋体" w:eastAsia="宋体"/>
        </w:rPr>
      </w:pPr>
      <w:r>
        <w:rPr>
          <w:rFonts w:hint="eastAsia" w:ascii="宋体" w:hAnsi="宋体" w:eastAsia="宋体"/>
        </w:rPr>
        <w:t>估算模型使用的原始地形数据为美国</w:t>
      </w:r>
      <w:r>
        <w:rPr>
          <w:rFonts w:ascii="宋体" w:hAnsi="宋体" w:eastAsia="宋体"/>
        </w:rPr>
        <w:t>NASA和NIMA联合测量并公布的全球90</w:t>
      </w:r>
      <w:r>
        <w:rPr>
          <w:rFonts w:hint="eastAsia" w:ascii="宋体" w:hAnsi="宋体" w:eastAsia="宋体"/>
        </w:rPr>
        <w:t>m</w:t>
      </w:r>
      <w:r>
        <w:rPr>
          <w:rFonts w:ascii="宋体" w:hAnsi="宋体" w:eastAsia="宋体"/>
        </w:rPr>
        <w:t>×90m地形数据，自CSI的SRTM网站获取（http：//srtm.csi.cgiar.org），符合导则要求。</w:t>
      </w:r>
    </w:p>
    <w:p w14:paraId="3BF07319">
      <w:pPr>
        <w:pStyle w:val="89"/>
        <w:spacing w:line="480" w:lineRule="exact"/>
        <w:ind w:firstLine="480" w:firstLineChars="0"/>
        <w:rPr>
          <w:rFonts w:hint="eastAsia" w:ascii="宋体" w:hAnsi="宋体" w:eastAsia="宋体"/>
        </w:rPr>
      </w:pPr>
      <w:r>
        <w:rPr>
          <w:rFonts w:hint="eastAsia" w:ascii="宋体" w:hAnsi="宋体" w:eastAsia="宋体"/>
        </w:rPr>
        <w:t>②地表参数</w:t>
      </w:r>
    </w:p>
    <w:p w14:paraId="14FD8B68">
      <w:pPr>
        <w:pStyle w:val="117"/>
        <w:spacing w:line="480" w:lineRule="exact"/>
        <w:ind w:firstLine="480"/>
        <w:rPr>
          <w:rFonts w:hint="eastAsia"/>
        </w:rPr>
      </w:pPr>
      <w:r>
        <w:rPr>
          <w:rFonts w:hint="eastAsia"/>
        </w:rPr>
        <w:t>大气评价</w:t>
      </w:r>
      <w:r>
        <w:t>范围</w:t>
      </w:r>
      <w:r>
        <w:rPr>
          <w:rFonts w:hint="eastAsia"/>
        </w:rPr>
        <w:t>内通用地表类型为沙漠化荒地，通用地表湿度为干燥气候，</w:t>
      </w:r>
      <w:r>
        <w:t>该类型土地的经验参数，见</w:t>
      </w:r>
      <w:r>
        <w:rPr>
          <w:rFonts w:hint="eastAsia"/>
        </w:rPr>
        <w:t>表</w:t>
      </w:r>
      <w:r>
        <w:t>5</w:t>
      </w:r>
      <w:r>
        <w:rPr>
          <w:rFonts w:hint="eastAsia"/>
        </w:rPr>
        <w:t>.2-1。</w:t>
      </w:r>
    </w:p>
    <w:p w14:paraId="44EC5B46">
      <w:pPr>
        <w:pStyle w:val="15"/>
        <w:rPr>
          <w:rFonts w:hint="eastAsia"/>
        </w:rPr>
      </w:pPr>
      <w:r>
        <w:rPr>
          <w:rFonts w:hint="eastAsia"/>
        </w:rPr>
        <w:t>表</w:t>
      </w:r>
      <w:r>
        <w:t>5</w:t>
      </w:r>
      <w:r>
        <w:rPr>
          <w:rFonts w:hint="eastAsia"/>
        </w:rPr>
        <w:t>.2-1</w:t>
      </w:r>
      <w:r>
        <w:t xml:space="preserve">  </w:t>
      </w:r>
      <w:r>
        <w:rPr>
          <w:rFonts w:hint="eastAsia"/>
        </w:rPr>
        <w:t>地表特征参数一览表</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90"/>
        <w:gridCol w:w="1789"/>
        <w:gridCol w:w="1789"/>
        <w:gridCol w:w="1789"/>
        <w:gridCol w:w="1789"/>
      </w:tblGrid>
      <w:tr w14:paraId="48AAD5F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790" w:type="dxa"/>
            <w:vAlign w:val="center"/>
          </w:tcPr>
          <w:p w14:paraId="3A7663B9">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扇区</w:t>
            </w:r>
          </w:p>
        </w:tc>
        <w:tc>
          <w:tcPr>
            <w:tcW w:w="1789" w:type="dxa"/>
            <w:vAlign w:val="center"/>
          </w:tcPr>
          <w:p w14:paraId="6ADC7B22">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时段</w:t>
            </w:r>
          </w:p>
        </w:tc>
        <w:tc>
          <w:tcPr>
            <w:tcW w:w="1789" w:type="dxa"/>
            <w:vAlign w:val="center"/>
          </w:tcPr>
          <w:p w14:paraId="276CB9C5">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正午反照率</w:t>
            </w:r>
          </w:p>
        </w:tc>
        <w:tc>
          <w:tcPr>
            <w:tcW w:w="1789" w:type="dxa"/>
            <w:vAlign w:val="center"/>
          </w:tcPr>
          <w:p w14:paraId="111F7C22">
            <w:pPr>
              <w:pStyle w:val="89"/>
              <w:adjustRightInd w:val="0"/>
              <w:snapToGrid w:val="0"/>
              <w:spacing w:line="300" w:lineRule="exact"/>
              <w:ind w:firstLine="0" w:firstLineChars="0"/>
              <w:jc w:val="center"/>
              <w:rPr>
                <w:rFonts w:hint="eastAsia" w:ascii="宋体" w:hAnsi="宋体" w:eastAsia="宋体"/>
                <w:sz w:val="21"/>
                <w:szCs w:val="21"/>
              </w:rPr>
            </w:pPr>
            <w:r>
              <w:rPr>
                <w:rFonts w:ascii="宋体" w:hAnsi="宋体" w:eastAsia="宋体"/>
                <w:sz w:val="21"/>
                <w:szCs w:val="21"/>
              </w:rPr>
              <w:t>BOWEN</w:t>
            </w:r>
          </w:p>
        </w:tc>
        <w:tc>
          <w:tcPr>
            <w:tcW w:w="1789" w:type="dxa"/>
            <w:vAlign w:val="center"/>
          </w:tcPr>
          <w:p w14:paraId="7FE9D55A">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粗糙度</w:t>
            </w:r>
          </w:p>
        </w:tc>
      </w:tr>
      <w:tr w14:paraId="6963900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790" w:type="dxa"/>
            <w:vAlign w:val="center"/>
          </w:tcPr>
          <w:p w14:paraId="5CDEE002">
            <w:pPr>
              <w:pStyle w:val="89"/>
              <w:adjustRightInd w:val="0"/>
              <w:snapToGrid w:val="0"/>
              <w:spacing w:line="300" w:lineRule="exact"/>
              <w:ind w:firstLine="0" w:firstLineChars="0"/>
              <w:jc w:val="center"/>
              <w:rPr>
                <w:rFonts w:hint="eastAsia" w:ascii="宋体" w:hAnsi="宋体" w:eastAsia="宋体"/>
                <w:sz w:val="21"/>
                <w:szCs w:val="21"/>
              </w:rPr>
            </w:pPr>
            <w:r>
              <w:rPr>
                <w:rFonts w:ascii="宋体" w:hAnsi="宋体" w:eastAsia="宋体"/>
                <w:sz w:val="21"/>
                <w:szCs w:val="21"/>
              </w:rPr>
              <w:t>0</w:t>
            </w:r>
            <w:r>
              <w:rPr>
                <w:rFonts w:hint="eastAsia" w:ascii="宋体" w:hAnsi="宋体" w:eastAsia="宋体"/>
                <w:sz w:val="21"/>
                <w:szCs w:val="21"/>
              </w:rPr>
              <w:t>～</w:t>
            </w:r>
            <w:r>
              <w:rPr>
                <w:rFonts w:ascii="宋体" w:hAnsi="宋体" w:eastAsia="宋体"/>
                <w:sz w:val="21"/>
                <w:szCs w:val="21"/>
              </w:rPr>
              <w:t>360</w:t>
            </w:r>
          </w:p>
        </w:tc>
        <w:tc>
          <w:tcPr>
            <w:tcW w:w="1789" w:type="dxa"/>
            <w:vAlign w:val="center"/>
          </w:tcPr>
          <w:p w14:paraId="6D449BEB">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全年</w:t>
            </w:r>
          </w:p>
        </w:tc>
        <w:tc>
          <w:tcPr>
            <w:tcW w:w="1789" w:type="dxa"/>
            <w:vAlign w:val="center"/>
          </w:tcPr>
          <w:p w14:paraId="7C1E757D">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0.29</w:t>
            </w:r>
          </w:p>
        </w:tc>
        <w:tc>
          <w:tcPr>
            <w:tcW w:w="1789" w:type="dxa"/>
            <w:vAlign w:val="center"/>
          </w:tcPr>
          <w:p w14:paraId="378E24A3">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1.75</w:t>
            </w:r>
          </w:p>
        </w:tc>
        <w:tc>
          <w:tcPr>
            <w:tcW w:w="1789" w:type="dxa"/>
            <w:vAlign w:val="center"/>
          </w:tcPr>
          <w:p w14:paraId="63204E2A">
            <w:pPr>
              <w:pStyle w:val="89"/>
              <w:adjustRightInd w:val="0"/>
              <w:snapToGrid w:val="0"/>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0.04025</w:t>
            </w:r>
          </w:p>
        </w:tc>
      </w:tr>
    </w:tbl>
    <w:p w14:paraId="2B983BAC">
      <w:pPr>
        <w:pStyle w:val="89"/>
        <w:ind w:firstLine="480" w:firstLineChars="0"/>
        <w:rPr>
          <w:rFonts w:hint="eastAsia" w:ascii="宋体" w:hAnsi="宋体" w:eastAsia="宋体"/>
        </w:rPr>
      </w:pPr>
      <w:r>
        <w:rPr>
          <w:rFonts w:hint="eastAsia" w:ascii="宋体" w:hAnsi="宋体" w:eastAsia="宋体"/>
        </w:rPr>
        <w:t>③气象数据</w:t>
      </w:r>
    </w:p>
    <w:p w14:paraId="0A361000">
      <w:pPr>
        <w:pStyle w:val="89"/>
        <w:ind w:firstLine="480"/>
        <w:rPr>
          <w:rStyle w:val="201"/>
          <w:rFonts w:hint="eastAsia"/>
        </w:rPr>
      </w:pPr>
      <w:r>
        <w:rPr>
          <w:rFonts w:hint="eastAsia" w:ascii="宋体" w:hAnsi="宋体" w:eastAsia="宋体"/>
        </w:rPr>
        <w:t>以下资料为项目区近</w:t>
      </w:r>
      <w:r>
        <w:rPr>
          <w:rStyle w:val="201"/>
          <w:rFonts w:hint="eastAsia"/>
        </w:rPr>
        <w:t>20年气象数据统计分析，具体详见表</w:t>
      </w:r>
      <w:r>
        <w:rPr>
          <w:rStyle w:val="201"/>
        </w:rPr>
        <w:t>5</w:t>
      </w:r>
      <w:r>
        <w:rPr>
          <w:rStyle w:val="201"/>
          <w:rFonts w:hint="eastAsia"/>
        </w:rPr>
        <w:t>.2-2。</w:t>
      </w:r>
    </w:p>
    <w:p w14:paraId="571093A9">
      <w:pPr>
        <w:pStyle w:val="109"/>
        <w:rPr>
          <w:rFonts w:hint="eastAsia"/>
        </w:rPr>
      </w:pPr>
      <w:r>
        <w:rPr>
          <w:rFonts w:hint="eastAsia"/>
        </w:rPr>
        <w:t>表</w:t>
      </w:r>
      <w:r>
        <w:t>5</w:t>
      </w:r>
      <w:r>
        <w:rPr>
          <w:rFonts w:hint="eastAsia"/>
        </w:rPr>
        <w:t>.2-2</w:t>
      </w:r>
      <w:r>
        <w:t xml:space="preserve">  </w:t>
      </w:r>
      <w:r>
        <w:rPr>
          <w:rFonts w:hint="eastAsia"/>
        </w:rPr>
        <w:t>气象数据一览表</w:t>
      </w:r>
    </w:p>
    <w:tbl>
      <w:tblPr>
        <w:tblStyle w:val="51"/>
        <w:tblW w:w="894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89"/>
        <w:gridCol w:w="1789"/>
        <w:gridCol w:w="1790"/>
        <w:gridCol w:w="1789"/>
        <w:gridCol w:w="1789"/>
      </w:tblGrid>
      <w:tr w14:paraId="772720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89" w:type="dxa"/>
            <w:vAlign w:val="center"/>
          </w:tcPr>
          <w:p w14:paraId="31FD950F">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统计时间</w:t>
            </w:r>
          </w:p>
        </w:tc>
        <w:tc>
          <w:tcPr>
            <w:tcW w:w="1789" w:type="dxa"/>
            <w:vAlign w:val="center"/>
          </w:tcPr>
          <w:p w14:paraId="684C320B">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最低温度</w:t>
            </w:r>
          </w:p>
        </w:tc>
        <w:tc>
          <w:tcPr>
            <w:tcW w:w="1790" w:type="dxa"/>
            <w:vAlign w:val="center"/>
          </w:tcPr>
          <w:p w14:paraId="4E28C8C8">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最高温度</w:t>
            </w:r>
          </w:p>
        </w:tc>
        <w:tc>
          <w:tcPr>
            <w:tcW w:w="1789" w:type="dxa"/>
            <w:vAlign w:val="center"/>
          </w:tcPr>
          <w:p w14:paraId="0DAB7301">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最小风速</w:t>
            </w:r>
          </w:p>
        </w:tc>
        <w:tc>
          <w:tcPr>
            <w:tcW w:w="1789" w:type="dxa"/>
            <w:vAlign w:val="center"/>
          </w:tcPr>
          <w:p w14:paraId="0567B8BF">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测风高度</w:t>
            </w:r>
          </w:p>
        </w:tc>
      </w:tr>
      <w:tr w14:paraId="291B32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89" w:type="dxa"/>
            <w:vAlign w:val="center"/>
          </w:tcPr>
          <w:p w14:paraId="331783CE">
            <w:pPr>
              <w:pStyle w:val="89"/>
              <w:spacing w:line="300" w:lineRule="exact"/>
              <w:ind w:firstLine="0" w:firstLineChars="0"/>
              <w:jc w:val="center"/>
              <w:rPr>
                <w:rFonts w:hint="eastAsia" w:ascii="宋体" w:hAnsi="宋体" w:eastAsia="宋体"/>
                <w:sz w:val="21"/>
                <w:szCs w:val="21"/>
              </w:rPr>
            </w:pPr>
            <w:r>
              <w:rPr>
                <w:rFonts w:ascii="宋体" w:hAnsi="宋体" w:eastAsia="宋体"/>
                <w:sz w:val="21"/>
                <w:szCs w:val="21"/>
              </w:rPr>
              <w:t>20</w:t>
            </w:r>
            <w:r>
              <w:rPr>
                <w:rFonts w:hint="eastAsia" w:ascii="宋体" w:hAnsi="宋体" w:eastAsia="宋体"/>
                <w:sz w:val="21"/>
                <w:szCs w:val="21"/>
              </w:rPr>
              <w:t>年</w:t>
            </w:r>
          </w:p>
        </w:tc>
        <w:tc>
          <w:tcPr>
            <w:tcW w:w="1789" w:type="dxa"/>
            <w:vAlign w:val="center"/>
          </w:tcPr>
          <w:p w14:paraId="2828487C">
            <w:pPr>
              <w:pStyle w:val="89"/>
              <w:spacing w:line="300" w:lineRule="exact"/>
              <w:ind w:firstLine="0" w:firstLineChars="0"/>
              <w:jc w:val="center"/>
              <w:rPr>
                <w:rFonts w:hint="eastAsia" w:ascii="宋体" w:hAnsi="宋体" w:eastAsia="宋体"/>
                <w:sz w:val="21"/>
                <w:szCs w:val="21"/>
              </w:rPr>
            </w:pPr>
            <w:r>
              <w:rPr>
                <w:rFonts w:ascii="宋体" w:hAnsi="宋体" w:eastAsia="宋体"/>
                <w:sz w:val="21"/>
                <w:szCs w:val="21"/>
              </w:rPr>
              <w:t>-</w:t>
            </w:r>
            <w:r>
              <w:rPr>
                <w:rFonts w:hint="eastAsia" w:ascii="宋体" w:hAnsi="宋体" w:eastAsia="宋体"/>
                <w:sz w:val="21"/>
                <w:szCs w:val="21"/>
              </w:rPr>
              <w:t>43℃</w:t>
            </w:r>
          </w:p>
        </w:tc>
        <w:tc>
          <w:tcPr>
            <w:tcW w:w="1790" w:type="dxa"/>
            <w:vAlign w:val="center"/>
          </w:tcPr>
          <w:p w14:paraId="2C717DF0">
            <w:pPr>
              <w:pStyle w:val="89"/>
              <w:spacing w:line="300" w:lineRule="exact"/>
              <w:ind w:firstLine="0" w:firstLineChars="0"/>
              <w:jc w:val="center"/>
              <w:rPr>
                <w:rFonts w:hint="eastAsia" w:ascii="宋体" w:hAnsi="宋体" w:eastAsia="宋体"/>
                <w:sz w:val="21"/>
                <w:szCs w:val="21"/>
              </w:rPr>
            </w:pPr>
            <w:r>
              <w:rPr>
                <w:rFonts w:hint="eastAsia" w:ascii="宋体" w:hAnsi="宋体" w:eastAsia="宋体"/>
                <w:sz w:val="21"/>
                <w:szCs w:val="21"/>
              </w:rPr>
              <w:t>42℃</w:t>
            </w:r>
          </w:p>
        </w:tc>
        <w:tc>
          <w:tcPr>
            <w:tcW w:w="1789" w:type="dxa"/>
            <w:vAlign w:val="center"/>
          </w:tcPr>
          <w:p w14:paraId="18F91F34">
            <w:pPr>
              <w:pStyle w:val="89"/>
              <w:spacing w:line="300" w:lineRule="exact"/>
              <w:ind w:firstLine="0" w:firstLineChars="0"/>
              <w:jc w:val="center"/>
              <w:rPr>
                <w:rFonts w:hint="eastAsia" w:ascii="宋体" w:hAnsi="宋体" w:eastAsia="宋体"/>
                <w:sz w:val="21"/>
                <w:szCs w:val="21"/>
              </w:rPr>
            </w:pPr>
            <w:r>
              <w:rPr>
                <w:rFonts w:ascii="宋体" w:hAnsi="宋体" w:eastAsia="宋体"/>
                <w:sz w:val="21"/>
                <w:szCs w:val="21"/>
              </w:rPr>
              <w:t>0.5m/s</w:t>
            </w:r>
          </w:p>
        </w:tc>
        <w:tc>
          <w:tcPr>
            <w:tcW w:w="1789" w:type="dxa"/>
            <w:vAlign w:val="center"/>
          </w:tcPr>
          <w:p w14:paraId="282EDE84">
            <w:pPr>
              <w:pStyle w:val="89"/>
              <w:spacing w:line="300" w:lineRule="exact"/>
              <w:ind w:firstLine="0" w:firstLineChars="0"/>
              <w:jc w:val="center"/>
              <w:rPr>
                <w:rFonts w:hint="eastAsia" w:ascii="宋体" w:hAnsi="宋体" w:eastAsia="宋体"/>
                <w:sz w:val="21"/>
                <w:szCs w:val="21"/>
              </w:rPr>
            </w:pPr>
            <w:r>
              <w:rPr>
                <w:rFonts w:ascii="宋体" w:hAnsi="宋体" w:eastAsia="宋体"/>
                <w:sz w:val="21"/>
                <w:szCs w:val="21"/>
              </w:rPr>
              <w:t>10</w:t>
            </w:r>
            <w:r>
              <w:rPr>
                <w:rFonts w:hint="eastAsia" w:ascii="宋体" w:hAnsi="宋体" w:eastAsia="宋体"/>
                <w:sz w:val="21"/>
                <w:szCs w:val="21"/>
              </w:rPr>
              <w:t>m</w:t>
            </w:r>
          </w:p>
        </w:tc>
      </w:tr>
    </w:tbl>
    <w:p w14:paraId="136DAD26">
      <w:pPr>
        <w:pStyle w:val="89"/>
        <w:ind w:firstLine="480"/>
        <w:rPr>
          <w:rFonts w:hint="eastAsia" w:ascii="宋体" w:hAnsi="宋体" w:eastAsia="宋体"/>
        </w:rPr>
      </w:pPr>
      <w:r>
        <w:rPr>
          <w:rFonts w:hint="eastAsia" w:ascii="宋体" w:hAnsi="宋体" w:eastAsia="宋体"/>
        </w:rPr>
        <w:t>（</w:t>
      </w:r>
      <w:r>
        <w:rPr>
          <w:rFonts w:ascii="宋体" w:hAnsi="宋体" w:eastAsia="宋体"/>
        </w:rPr>
        <w:t>4）估算模型参数</w:t>
      </w:r>
    </w:p>
    <w:p w14:paraId="766B5E02">
      <w:pPr>
        <w:pStyle w:val="89"/>
        <w:ind w:firstLine="480"/>
        <w:rPr>
          <w:rFonts w:hint="eastAsia"/>
        </w:rPr>
      </w:pPr>
      <w:r>
        <w:rPr>
          <w:rFonts w:hint="eastAsia" w:ascii="宋体" w:hAnsi="宋体" w:eastAsia="宋体"/>
        </w:rPr>
        <w:t>估算模型参数</w:t>
      </w:r>
      <w:r>
        <w:rPr>
          <w:rStyle w:val="233"/>
          <w:rFonts w:hint="eastAsia"/>
        </w:rPr>
        <w:t>选择见表</w:t>
      </w:r>
      <w:r>
        <w:rPr>
          <w:rStyle w:val="233"/>
        </w:rPr>
        <w:t>5</w:t>
      </w:r>
      <w:r>
        <w:rPr>
          <w:rStyle w:val="233"/>
          <w:rFonts w:hint="eastAsia"/>
        </w:rPr>
        <w:t>.2-3。</w:t>
      </w:r>
    </w:p>
    <w:p w14:paraId="74DD5643">
      <w:pPr>
        <w:pStyle w:val="109"/>
        <w:rPr>
          <w:rFonts w:hint="eastAsia"/>
        </w:rPr>
      </w:pPr>
    </w:p>
    <w:p w14:paraId="7B7440FA">
      <w:pPr>
        <w:pStyle w:val="109"/>
        <w:rPr>
          <w:rFonts w:hint="eastAsia"/>
        </w:rPr>
      </w:pPr>
      <w:r>
        <w:rPr>
          <w:rFonts w:hint="eastAsia"/>
        </w:rPr>
        <w:t>表</w:t>
      </w:r>
      <w:r>
        <w:t>5</w:t>
      </w:r>
      <w:r>
        <w:rPr>
          <w:rFonts w:hint="eastAsia"/>
        </w:rPr>
        <w:t>.2-3</w:t>
      </w:r>
      <w:r>
        <w:t xml:space="preserve">  </w:t>
      </w:r>
      <w:r>
        <w:rPr>
          <w:rFonts w:hint="eastAsia"/>
        </w:rPr>
        <w:t>估算模型参数选择一览表</w:t>
      </w:r>
    </w:p>
    <w:tbl>
      <w:tblPr>
        <w:tblStyle w:val="51"/>
        <w:tblW w:w="0" w:type="auto"/>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1932"/>
        <w:gridCol w:w="4437"/>
        <w:gridCol w:w="2361"/>
      </w:tblGrid>
      <w:tr w14:paraId="5F46AF1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369" w:type="dxa"/>
            <w:gridSpan w:val="2"/>
            <w:vAlign w:val="center"/>
          </w:tcPr>
          <w:p w14:paraId="35EDABA2">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参数</w:t>
            </w:r>
          </w:p>
        </w:tc>
        <w:tc>
          <w:tcPr>
            <w:tcW w:w="2361" w:type="dxa"/>
            <w:vAlign w:val="center"/>
          </w:tcPr>
          <w:p w14:paraId="79DE4695">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取值</w:t>
            </w:r>
          </w:p>
        </w:tc>
      </w:tr>
      <w:tr w14:paraId="2D8993A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restart"/>
            <w:vAlign w:val="center"/>
          </w:tcPr>
          <w:p w14:paraId="35B749F0">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城市/农村选项</w:t>
            </w:r>
          </w:p>
        </w:tc>
        <w:tc>
          <w:tcPr>
            <w:tcW w:w="4437" w:type="dxa"/>
            <w:vAlign w:val="center"/>
          </w:tcPr>
          <w:p w14:paraId="539C5474">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城市/农村</w:t>
            </w:r>
          </w:p>
        </w:tc>
        <w:tc>
          <w:tcPr>
            <w:tcW w:w="2361" w:type="dxa"/>
            <w:vAlign w:val="center"/>
          </w:tcPr>
          <w:p w14:paraId="2F60BEEF">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农村</w:t>
            </w:r>
          </w:p>
        </w:tc>
      </w:tr>
      <w:tr w14:paraId="08EC5BB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continue"/>
            <w:vAlign w:val="center"/>
          </w:tcPr>
          <w:p w14:paraId="11F2CD7B">
            <w:pPr>
              <w:adjustRightInd w:val="0"/>
              <w:spacing w:line="300" w:lineRule="exact"/>
              <w:jc w:val="center"/>
              <w:textAlignment w:val="baseline"/>
              <w:rPr>
                <w:rFonts w:hint="eastAsia" w:ascii="宋体" w:hAnsi="宋体" w:cs="宋体"/>
                <w:kern w:val="0"/>
                <w:szCs w:val="21"/>
              </w:rPr>
            </w:pPr>
          </w:p>
        </w:tc>
        <w:tc>
          <w:tcPr>
            <w:tcW w:w="4437" w:type="dxa"/>
            <w:vAlign w:val="center"/>
          </w:tcPr>
          <w:p w14:paraId="2AC1B0AA">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人口数（城市选项时）</w:t>
            </w:r>
          </w:p>
        </w:tc>
        <w:tc>
          <w:tcPr>
            <w:tcW w:w="2361" w:type="dxa"/>
            <w:vAlign w:val="center"/>
          </w:tcPr>
          <w:p w14:paraId="63A34073">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w:t>
            </w:r>
          </w:p>
        </w:tc>
      </w:tr>
      <w:tr w14:paraId="2A0DB84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369" w:type="dxa"/>
            <w:gridSpan w:val="2"/>
            <w:vAlign w:val="center"/>
          </w:tcPr>
          <w:p w14:paraId="6E863598">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最高环境温度/℃</w:t>
            </w:r>
          </w:p>
        </w:tc>
        <w:tc>
          <w:tcPr>
            <w:tcW w:w="2361" w:type="dxa"/>
            <w:vAlign w:val="center"/>
          </w:tcPr>
          <w:p w14:paraId="2DC2ED13">
            <w:pPr>
              <w:adjustRightInd w:val="0"/>
              <w:spacing w:line="300" w:lineRule="exact"/>
              <w:jc w:val="center"/>
              <w:textAlignment w:val="baseline"/>
              <w:rPr>
                <w:rFonts w:hint="eastAsia" w:ascii="宋体" w:hAnsi="宋体" w:cs="宋体"/>
                <w:kern w:val="0"/>
                <w:szCs w:val="21"/>
              </w:rPr>
            </w:pPr>
            <w:r>
              <w:rPr>
                <w:rFonts w:hint="eastAsia" w:ascii="宋体" w:hAnsi="宋体"/>
                <w:szCs w:val="21"/>
              </w:rPr>
              <w:t>42℃</w:t>
            </w:r>
          </w:p>
        </w:tc>
      </w:tr>
      <w:tr w14:paraId="6BB731A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369" w:type="dxa"/>
            <w:gridSpan w:val="2"/>
            <w:vAlign w:val="center"/>
          </w:tcPr>
          <w:p w14:paraId="6B62AB51">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最低环境温度/℃</w:t>
            </w:r>
          </w:p>
        </w:tc>
        <w:tc>
          <w:tcPr>
            <w:tcW w:w="2361" w:type="dxa"/>
            <w:vAlign w:val="center"/>
          </w:tcPr>
          <w:p w14:paraId="43533F7B">
            <w:pPr>
              <w:adjustRightInd w:val="0"/>
              <w:spacing w:line="300" w:lineRule="exact"/>
              <w:jc w:val="center"/>
              <w:textAlignment w:val="baseline"/>
              <w:rPr>
                <w:rFonts w:hint="eastAsia" w:ascii="宋体" w:hAnsi="宋体" w:cs="宋体"/>
                <w:kern w:val="0"/>
                <w:szCs w:val="21"/>
              </w:rPr>
            </w:pPr>
            <w:r>
              <w:rPr>
                <w:rFonts w:hint="eastAsia" w:ascii="宋体" w:hAnsi="宋体"/>
                <w:szCs w:val="21"/>
              </w:rPr>
              <w:t>-43℃</w:t>
            </w:r>
          </w:p>
        </w:tc>
      </w:tr>
      <w:tr w14:paraId="40A575E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369" w:type="dxa"/>
            <w:gridSpan w:val="2"/>
            <w:vAlign w:val="center"/>
          </w:tcPr>
          <w:p w14:paraId="6DF93ABF">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土地利用类型</w:t>
            </w:r>
          </w:p>
        </w:tc>
        <w:tc>
          <w:tcPr>
            <w:tcW w:w="2361" w:type="dxa"/>
            <w:vAlign w:val="center"/>
          </w:tcPr>
          <w:p w14:paraId="0D4F921F">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荒漠</w:t>
            </w:r>
          </w:p>
        </w:tc>
      </w:tr>
      <w:tr w14:paraId="58A3053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369" w:type="dxa"/>
            <w:gridSpan w:val="2"/>
            <w:vAlign w:val="center"/>
          </w:tcPr>
          <w:p w14:paraId="26A99D3A">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区域湿度条件</w:t>
            </w:r>
          </w:p>
        </w:tc>
        <w:tc>
          <w:tcPr>
            <w:tcW w:w="2361" w:type="dxa"/>
            <w:vAlign w:val="center"/>
          </w:tcPr>
          <w:p w14:paraId="54018047">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干燥气候</w:t>
            </w:r>
          </w:p>
        </w:tc>
      </w:tr>
      <w:tr w14:paraId="642691B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restart"/>
            <w:vAlign w:val="center"/>
          </w:tcPr>
          <w:p w14:paraId="010B5477">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是否考虑地形</w:t>
            </w:r>
          </w:p>
        </w:tc>
        <w:tc>
          <w:tcPr>
            <w:tcW w:w="4437" w:type="dxa"/>
            <w:vAlign w:val="center"/>
          </w:tcPr>
          <w:p w14:paraId="2AB41207">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考虑地形</w:t>
            </w:r>
          </w:p>
        </w:tc>
        <w:tc>
          <w:tcPr>
            <w:tcW w:w="2361" w:type="dxa"/>
            <w:vAlign w:val="center"/>
          </w:tcPr>
          <w:p w14:paraId="5924643E">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sym w:font="Wingdings 2" w:char="0052"/>
            </w:r>
            <w:r>
              <w:rPr>
                <w:rFonts w:hint="eastAsia" w:ascii="宋体" w:hAnsi="宋体" w:cs="宋体"/>
                <w:kern w:val="0"/>
                <w:szCs w:val="21"/>
              </w:rPr>
              <w:t xml:space="preserve">是  </w:t>
            </w:r>
            <w:r>
              <w:rPr>
                <w:rFonts w:hint="eastAsia" w:ascii="宋体" w:hAnsi="宋体" w:cs="宋体"/>
                <w:kern w:val="0"/>
                <w:szCs w:val="21"/>
              </w:rPr>
              <w:fldChar w:fldCharType="begin"/>
            </w:r>
            <w:r>
              <w:rPr>
                <w:rFonts w:hint="eastAsia" w:ascii="宋体" w:hAnsi="宋体" w:cs="宋体"/>
                <w:kern w:val="0"/>
                <w:szCs w:val="21"/>
              </w:rPr>
              <w:instrText xml:space="preserve"> eq \o\ac(</w:instrText>
            </w:r>
            <w:r>
              <w:rPr>
                <w:rFonts w:hint="eastAsia" w:ascii="宋体" w:hAnsi="宋体" w:cs="宋体"/>
                <w:kern w:val="0"/>
                <w:position w:val="-4"/>
                <w:sz w:val="31"/>
                <w:szCs w:val="21"/>
              </w:rPr>
              <w:instrText xml:space="preserve">□</w:instrText>
            </w:r>
            <w:r>
              <w:rPr>
                <w:rFonts w:hint="eastAsia" w:ascii="宋体" w:hAnsi="宋体" w:cs="宋体"/>
                <w:kern w:val="0"/>
                <w:szCs w:val="21"/>
              </w:rPr>
              <w:instrText xml:space="preserve">)</w:instrText>
            </w:r>
            <w:r>
              <w:rPr>
                <w:rFonts w:hint="eastAsia" w:ascii="宋体" w:hAnsi="宋体" w:cs="宋体"/>
                <w:kern w:val="0"/>
                <w:szCs w:val="21"/>
              </w:rPr>
              <w:fldChar w:fldCharType="end"/>
            </w:r>
            <w:r>
              <w:rPr>
                <w:rFonts w:hint="eastAsia" w:ascii="宋体" w:hAnsi="宋体" w:cs="宋体"/>
                <w:kern w:val="0"/>
                <w:szCs w:val="21"/>
              </w:rPr>
              <w:t>否</w:t>
            </w:r>
          </w:p>
        </w:tc>
      </w:tr>
      <w:tr w14:paraId="52509BE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continue"/>
            <w:vAlign w:val="center"/>
          </w:tcPr>
          <w:p w14:paraId="36B15DA5">
            <w:pPr>
              <w:adjustRightInd w:val="0"/>
              <w:spacing w:line="300" w:lineRule="exact"/>
              <w:jc w:val="center"/>
              <w:textAlignment w:val="baseline"/>
              <w:rPr>
                <w:rFonts w:hint="eastAsia" w:ascii="宋体" w:hAnsi="宋体" w:cs="宋体"/>
                <w:kern w:val="0"/>
                <w:szCs w:val="21"/>
              </w:rPr>
            </w:pPr>
          </w:p>
        </w:tc>
        <w:tc>
          <w:tcPr>
            <w:tcW w:w="4437" w:type="dxa"/>
            <w:vAlign w:val="center"/>
          </w:tcPr>
          <w:p w14:paraId="4D624AF2">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地形数据分辨率/m</w:t>
            </w:r>
          </w:p>
        </w:tc>
        <w:tc>
          <w:tcPr>
            <w:tcW w:w="2361" w:type="dxa"/>
            <w:vAlign w:val="center"/>
          </w:tcPr>
          <w:p w14:paraId="4EE2151B">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90</w:t>
            </w:r>
          </w:p>
        </w:tc>
      </w:tr>
      <w:tr w14:paraId="4C70D2F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restart"/>
            <w:vAlign w:val="center"/>
          </w:tcPr>
          <w:p w14:paraId="797ABB3F">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是否考虑岸线熏烟</w:t>
            </w:r>
          </w:p>
        </w:tc>
        <w:tc>
          <w:tcPr>
            <w:tcW w:w="4437" w:type="dxa"/>
            <w:vAlign w:val="center"/>
          </w:tcPr>
          <w:p w14:paraId="746E4C28">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考虑岸线熏烟</w:t>
            </w:r>
          </w:p>
        </w:tc>
        <w:tc>
          <w:tcPr>
            <w:tcW w:w="2361" w:type="dxa"/>
            <w:vAlign w:val="center"/>
          </w:tcPr>
          <w:p w14:paraId="466C8681">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 xml:space="preserve">□是 </w:t>
            </w:r>
            <w:r>
              <w:rPr>
                <w:rFonts w:hint="eastAsia" w:ascii="宋体" w:hAnsi="宋体" w:cs="宋体"/>
                <w:kern w:val="0"/>
                <w:szCs w:val="21"/>
              </w:rPr>
              <w:fldChar w:fldCharType="begin"/>
            </w:r>
            <w:r>
              <w:rPr>
                <w:rFonts w:hint="eastAsia" w:ascii="宋体" w:hAnsi="宋体" w:cs="宋体"/>
                <w:kern w:val="0"/>
                <w:szCs w:val="21"/>
              </w:rPr>
              <w:instrText xml:space="preserve"> eq \o\ac(</w:instrText>
            </w:r>
            <w:r>
              <w:rPr>
                <w:rFonts w:hint="eastAsia" w:ascii="宋体" w:hAnsi="宋体" w:cs="宋体"/>
                <w:kern w:val="0"/>
                <w:position w:val="-4"/>
                <w:sz w:val="31"/>
                <w:szCs w:val="21"/>
              </w:rPr>
              <w:instrText xml:space="preserve">□</w:instrText>
            </w:r>
            <w:r>
              <w:rPr>
                <w:rFonts w:hint="eastAsia" w:ascii="宋体" w:hAnsi="宋体" w:cs="宋体"/>
                <w:kern w:val="0"/>
                <w:szCs w:val="21"/>
              </w:rPr>
              <w:instrText xml:space="preserve">,√)</w:instrText>
            </w:r>
            <w:r>
              <w:rPr>
                <w:rFonts w:hint="eastAsia" w:ascii="宋体" w:hAnsi="宋体" w:cs="宋体"/>
                <w:kern w:val="0"/>
                <w:szCs w:val="21"/>
              </w:rPr>
              <w:fldChar w:fldCharType="end"/>
            </w:r>
            <w:r>
              <w:rPr>
                <w:rFonts w:hint="eastAsia" w:ascii="宋体" w:hAnsi="宋体" w:cs="宋体"/>
                <w:kern w:val="0"/>
                <w:szCs w:val="21"/>
              </w:rPr>
              <w:t>否</w:t>
            </w:r>
          </w:p>
        </w:tc>
      </w:tr>
      <w:tr w14:paraId="64178BA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continue"/>
            <w:vAlign w:val="center"/>
          </w:tcPr>
          <w:p w14:paraId="1F5A07E1">
            <w:pPr>
              <w:adjustRightInd w:val="0"/>
              <w:spacing w:line="300" w:lineRule="exact"/>
              <w:jc w:val="center"/>
              <w:textAlignment w:val="baseline"/>
              <w:rPr>
                <w:rFonts w:hint="eastAsia" w:ascii="宋体" w:hAnsi="宋体" w:cs="宋体"/>
                <w:kern w:val="0"/>
                <w:szCs w:val="21"/>
              </w:rPr>
            </w:pPr>
          </w:p>
        </w:tc>
        <w:tc>
          <w:tcPr>
            <w:tcW w:w="4437" w:type="dxa"/>
            <w:vAlign w:val="center"/>
          </w:tcPr>
          <w:p w14:paraId="5BECF46A">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岸线距离/km</w:t>
            </w:r>
          </w:p>
        </w:tc>
        <w:tc>
          <w:tcPr>
            <w:tcW w:w="2361" w:type="dxa"/>
            <w:vAlign w:val="center"/>
          </w:tcPr>
          <w:p w14:paraId="2C6970C2">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w:t>
            </w:r>
          </w:p>
        </w:tc>
      </w:tr>
      <w:tr w14:paraId="62A79FD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1932" w:type="dxa"/>
            <w:vMerge w:val="continue"/>
            <w:vAlign w:val="center"/>
          </w:tcPr>
          <w:p w14:paraId="76567DCE">
            <w:pPr>
              <w:adjustRightInd w:val="0"/>
              <w:spacing w:line="300" w:lineRule="exact"/>
              <w:jc w:val="center"/>
              <w:textAlignment w:val="baseline"/>
              <w:rPr>
                <w:rFonts w:hint="eastAsia" w:ascii="宋体" w:hAnsi="宋体" w:cs="宋体"/>
                <w:kern w:val="0"/>
                <w:szCs w:val="21"/>
              </w:rPr>
            </w:pPr>
          </w:p>
        </w:tc>
        <w:tc>
          <w:tcPr>
            <w:tcW w:w="4437" w:type="dxa"/>
            <w:vAlign w:val="center"/>
          </w:tcPr>
          <w:p w14:paraId="6F2541BE">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岸线方向/°</w:t>
            </w:r>
          </w:p>
        </w:tc>
        <w:tc>
          <w:tcPr>
            <w:tcW w:w="2361" w:type="dxa"/>
            <w:vAlign w:val="center"/>
          </w:tcPr>
          <w:p w14:paraId="0358043F">
            <w:pPr>
              <w:adjustRightInd w:val="0"/>
              <w:spacing w:line="300" w:lineRule="exact"/>
              <w:jc w:val="center"/>
              <w:textAlignment w:val="baseline"/>
              <w:rPr>
                <w:rFonts w:hint="eastAsia" w:ascii="宋体" w:hAnsi="宋体" w:cs="宋体"/>
                <w:kern w:val="0"/>
                <w:szCs w:val="21"/>
              </w:rPr>
            </w:pPr>
            <w:r>
              <w:rPr>
                <w:rFonts w:hint="eastAsia" w:ascii="宋体" w:hAnsi="宋体" w:cs="宋体"/>
                <w:kern w:val="0"/>
                <w:szCs w:val="21"/>
              </w:rPr>
              <w:t>/</w:t>
            </w:r>
          </w:p>
        </w:tc>
      </w:tr>
    </w:tbl>
    <w:p w14:paraId="57683418">
      <w:pPr>
        <w:pStyle w:val="117"/>
        <w:ind w:firstLine="480"/>
        <w:rPr>
          <w:rFonts w:hint="eastAsia"/>
        </w:rPr>
      </w:pPr>
      <w:bookmarkStart w:id="507" w:name="_Hlk147587577"/>
      <w:r>
        <w:rPr>
          <w:rFonts w:hint="eastAsia"/>
        </w:rPr>
        <w:t>（</w:t>
      </w:r>
      <w:r>
        <w:t>5</w:t>
      </w:r>
      <w:r>
        <w:rPr>
          <w:rFonts w:hint="eastAsia"/>
        </w:rPr>
        <w:t>）污染源参数</w:t>
      </w:r>
    </w:p>
    <w:p w14:paraId="53A35429">
      <w:pPr>
        <w:pStyle w:val="89"/>
        <w:ind w:firstLine="480"/>
        <w:rPr>
          <w:rFonts w:hint="eastAsia" w:ascii="宋体" w:hAnsi="宋体" w:eastAsia="宋体"/>
        </w:rPr>
      </w:pPr>
      <w:bookmarkStart w:id="508" w:name="_Ref78375761"/>
      <w:r>
        <w:rPr>
          <w:rFonts w:hint="eastAsia" w:ascii="宋体" w:hAnsi="宋体" w:eastAsia="宋体"/>
        </w:rPr>
        <w:t>无组织非甲烷总烃排放情况见表</w:t>
      </w:r>
      <w:r>
        <w:rPr>
          <w:rFonts w:ascii="宋体" w:hAnsi="宋体" w:eastAsia="宋体"/>
        </w:rPr>
        <w:t>5.2</w:t>
      </w:r>
      <w:r>
        <w:rPr>
          <w:rFonts w:hint="eastAsia" w:ascii="宋体" w:hAnsi="宋体" w:eastAsia="宋体"/>
        </w:rPr>
        <w:t>-</w:t>
      </w:r>
      <w:r>
        <w:rPr>
          <w:rFonts w:ascii="宋体" w:hAnsi="宋体" w:eastAsia="宋体"/>
        </w:rPr>
        <w:t>4</w:t>
      </w:r>
      <w:r>
        <w:rPr>
          <w:rFonts w:hint="eastAsia" w:ascii="宋体" w:hAnsi="宋体" w:eastAsia="宋体"/>
        </w:rPr>
        <w:t>、表5.2-5。</w:t>
      </w:r>
    </w:p>
    <w:bookmarkEnd w:id="507"/>
    <w:bookmarkEnd w:id="508"/>
    <w:p w14:paraId="3BF0A8E4">
      <w:pPr>
        <w:jc w:val="center"/>
        <w:rPr>
          <w:rFonts w:hint="eastAsia" w:ascii="黑体" w:hAnsi="黑体" w:eastAsia="黑体"/>
          <w:bCs/>
          <w:szCs w:val="21"/>
        </w:rPr>
      </w:pPr>
      <w:bookmarkStart w:id="509" w:name="_Hlk147587602"/>
      <w:r>
        <w:rPr>
          <w:rFonts w:hint="eastAsia" w:ascii="黑体" w:hAnsi="黑体" w:eastAsia="黑体"/>
          <w:bCs/>
          <w:szCs w:val="21"/>
        </w:rPr>
        <w:t>表</w:t>
      </w:r>
      <w:r>
        <w:rPr>
          <w:rFonts w:ascii="黑体" w:hAnsi="黑体" w:eastAsia="黑体"/>
          <w:bCs/>
          <w:szCs w:val="21"/>
        </w:rPr>
        <w:t>5</w:t>
      </w:r>
      <w:r>
        <w:rPr>
          <w:rFonts w:hint="eastAsia" w:ascii="黑体" w:hAnsi="黑体" w:eastAsia="黑体"/>
          <w:bCs/>
          <w:szCs w:val="21"/>
        </w:rPr>
        <w:t>.2-</w:t>
      </w:r>
      <w:r>
        <w:rPr>
          <w:rFonts w:ascii="黑体" w:hAnsi="黑体" w:eastAsia="黑体"/>
          <w:bCs/>
          <w:szCs w:val="21"/>
        </w:rPr>
        <w:t>4</w:t>
      </w:r>
      <w:r>
        <w:rPr>
          <w:rFonts w:hint="eastAsia" w:ascii="黑体" w:hAnsi="黑体" w:eastAsia="黑体"/>
          <w:bCs/>
          <w:szCs w:val="21"/>
        </w:rPr>
        <w:t xml:space="preserve"> </w:t>
      </w:r>
      <w:r>
        <w:rPr>
          <w:rFonts w:ascii="黑体" w:hAnsi="黑体" w:eastAsia="黑体"/>
          <w:bCs/>
          <w:szCs w:val="21"/>
        </w:rPr>
        <w:t xml:space="preserve"> </w:t>
      </w:r>
      <w:r>
        <w:rPr>
          <w:rFonts w:hint="eastAsia" w:ascii="黑体" w:hAnsi="黑体" w:eastAsia="黑体"/>
          <w:bCs/>
          <w:szCs w:val="21"/>
        </w:rPr>
        <w:t>面源污染源参数一览表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74"/>
        <w:gridCol w:w="759"/>
        <w:gridCol w:w="758"/>
        <w:gridCol w:w="758"/>
        <w:gridCol w:w="873"/>
        <w:gridCol w:w="871"/>
        <w:gridCol w:w="727"/>
        <w:gridCol w:w="871"/>
        <w:gridCol w:w="873"/>
        <w:gridCol w:w="871"/>
        <w:gridCol w:w="811"/>
      </w:tblGrid>
      <w:tr w14:paraId="6173A7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2" w:type="pct"/>
            <w:vMerge w:val="restart"/>
            <w:vAlign w:val="center"/>
          </w:tcPr>
          <w:p w14:paraId="1A8C0B79">
            <w:pPr>
              <w:adjustRightInd w:val="0"/>
              <w:snapToGrid w:val="0"/>
              <w:spacing w:line="300" w:lineRule="exact"/>
              <w:jc w:val="center"/>
              <w:rPr>
                <w:rFonts w:hint="eastAsia" w:ascii="宋体" w:hAnsi="宋体" w:cs="宋体"/>
                <w:bCs/>
                <w:szCs w:val="21"/>
              </w:rPr>
            </w:pPr>
            <w:r>
              <w:rPr>
                <w:rFonts w:hint="eastAsia" w:ascii="宋体" w:hAnsi="宋体" w:cs="宋体"/>
                <w:bCs/>
                <w:szCs w:val="21"/>
              </w:rPr>
              <w:t>污染源</w:t>
            </w:r>
          </w:p>
        </w:tc>
        <w:tc>
          <w:tcPr>
            <w:tcW w:w="424" w:type="pct"/>
            <w:vMerge w:val="restart"/>
            <w:vAlign w:val="center"/>
          </w:tcPr>
          <w:p w14:paraId="09A0CFDE">
            <w:pPr>
              <w:adjustRightInd w:val="0"/>
              <w:snapToGrid w:val="0"/>
              <w:spacing w:line="300" w:lineRule="exact"/>
              <w:jc w:val="center"/>
              <w:rPr>
                <w:rFonts w:hint="eastAsia" w:ascii="宋体" w:hAnsi="宋体" w:cs="宋体"/>
                <w:bCs/>
                <w:szCs w:val="21"/>
              </w:rPr>
            </w:pPr>
            <w:r>
              <w:rPr>
                <w:rFonts w:hint="eastAsia" w:ascii="宋体" w:hAnsi="宋体" w:cs="宋体"/>
                <w:bCs/>
                <w:szCs w:val="21"/>
              </w:rPr>
              <w:t>海拔高度/m</w:t>
            </w:r>
          </w:p>
        </w:tc>
        <w:tc>
          <w:tcPr>
            <w:tcW w:w="424" w:type="pct"/>
            <w:vMerge w:val="restart"/>
            <w:vAlign w:val="center"/>
          </w:tcPr>
          <w:p w14:paraId="79531FE2">
            <w:pPr>
              <w:adjustRightInd w:val="0"/>
              <w:snapToGrid w:val="0"/>
              <w:spacing w:line="300" w:lineRule="exact"/>
              <w:jc w:val="center"/>
              <w:rPr>
                <w:rFonts w:hint="eastAsia" w:ascii="宋体" w:hAnsi="宋体" w:cs="宋体"/>
                <w:bCs/>
                <w:szCs w:val="21"/>
              </w:rPr>
            </w:pPr>
            <w:r>
              <w:rPr>
                <w:rFonts w:hint="eastAsia" w:ascii="宋体" w:hAnsi="宋体" w:cs="宋体"/>
                <w:bCs/>
                <w:szCs w:val="21"/>
              </w:rPr>
              <w:t>面源长度/m</w:t>
            </w:r>
          </w:p>
        </w:tc>
        <w:tc>
          <w:tcPr>
            <w:tcW w:w="424" w:type="pct"/>
            <w:vMerge w:val="restart"/>
            <w:vAlign w:val="center"/>
          </w:tcPr>
          <w:p w14:paraId="04FB0FB3">
            <w:pPr>
              <w:adjustRightInd w:val="0"/>
              <w:snapToGrid w:val="0"/>
              <w:spacing w:line="300" w:lineRule="exact"/>
              <w:jc w:val="center"/>
              <w:rPr>
                <w:rFonts w:hint="eastAsia" w:ascii="宋体" w:hAnsi="宋体" w:cs="宋体"/>
                <w:bCs/>
                <w:szCs w:val="21"/>
              </w:rPr>
            </w:pPr>
            <w:r>
              <w:rPr>
                <w:rFonts w:hint="eastAsia" w:ascii="宋体" w:hAnsi="宋体" w:cs="宋体"/>
                <w:bCs/>
                <w:szCs w:val="21"/>
              </w:rPr>
              <w:t>面源宽度/m）</w:t>
            </w:r>
          </w:p>
        </w:tc>
        <w:tc>
          <w:tcPr>
            <w:tcW w:w="488" w:type="pct"/>
            <w:vMerge w:val="restart"/>
            <w:vAlign w:val="center"/>
          </w:tcPr>
          <w:p w14:paraId="2E95FD67">
            <w:pPr>
              <w:adjustRightInd w:val="0"/>
              <w:snapToGrid w:val="0"/>
              <w:spacing w:line="300" w:lineRule="exact"/>
              <w:jc w:val="center"/>
              <w:rPr>
                <w:rFonts w:hint="eastAsia" w:ascii="宋体" w:hAnsi="宋体" w:cs="宋体"/>
                <w:bCs/>
                <w:szCs w:val="21"/>
              </w:rPr>
            </w:pPr>
            <w:r>
              <w:rPr>
                <w:rFonts w:hint="eastAsia" w:ascii="宋体" w:hAnsi="宋体" w:cs="宋体"/>
                <w:bCs/>
                <w:szCs w:val="21"/>
              </w:rPr>
              <w:t>有效排放高度/m</w:t>
            </w:r>
          </w:p>
        </w:tc>
        <w:tc>
          <w:tcPr>
            <w:tcW w:w="487" w:type="pct"/>
            <w:vMerge w:val="restart"/>
            <w:vAlign w:val="center"/>
          </w:tcPr>
          <w:p w14:paraId="4B2714CF">
            <w:pPr>
              <w:adjustRightInd w:val="0"/>
              <w:snapToGrid w:val="0"/>
              <w:spacing w:line="300" w:lineRule="exact"/>
              <w:jc w:val="center"/>
              <w:rPr>
                <w:rFonts w:hint="eastAsia" w:ascii="宋体" w:hAnsi="宋体" w:cs="宋体"/>
                <w:bCs/>
                <w:szCs w:val="21"/>
              </w:rPr>
            </w:pPr>
            <w:r>
              <w:rPr>
                <w:rFonts w:hint="eastAsia" w:ascii="宋体" w:hAnsi="宋体" w:cs="宋体"/>
                <w:bCs/>
                <w:szCs w:val="21"/>
              </w:rPr>
              <w:t>年排放小时数/h</w:t>
            </w:r>
          </w:p>
        </w:tc>
        <w:tc>
          <w:tcPr>
            <w:tcW w:w="406" w:type="pct"/>
            <w:vMerge w:val="restart"/>
            <w:vAlign w:val="center"/>
          </w:tcPr>
          <w:p w14:paraId="35563279">
            <w:pPr>
              <w:adjustRightInd w:val="0"/>
              <w:snapToGrid w:val="0"/>
              <w:spacing w:line="300" w:lineRule="exact"/>
              <w:jc w:val="center"/>
              <w:rPr>
                <w:rFonts w:hint="eastAsia" w:ascii="宋体" w:hAnsi="宋体" w:cs="宋体"/>
                <w:bCs/>
                <w:szCs w:val="21"/>
              </w:rPr>
            </w:pPr>
            <w:r>
              <w:rPr>
                <w:rFonts w:hint="eastAsia" w:ascii="宋体" w:hAnsi="宋体" w:cs="宋体"/>
                <w:bCs/>
                <w:szCs w:val="21"/>
              </w:rPr>
              <w:t>排放工况</w:t>
            </w:r>
          </w:p>
        </w:tc>
        <w:tc>
          <w:tcPr>
            <w:tcW w:w="975" w:type="pct"/>
            <w:gridSpan w:val="2"/>
            <w:vAlign w:val="center"/>
          </w:tcPr>
          <w:p w14:paraId="3D277A54">
            <w:pPr>
              <w:adjustRightInd w:val="0"/>
              <w:snapToGrid w:val="0"/>
              <w:spacing w:line="300" w:lineRule="exact"/>
              <w:jc w:val="center"/>
              <w:rPr>
                <w:rFonts w:hint="eastAsia" w:ascii="宋体" w:hAnsi="宋体" w:cs="宋体"/>
                <w:bCs/>
                <w:szCs w:val="21"/>
              </w:rPr>
            </w:pPr>
            <w:r>
              <w:rPr>
                <w:rFonts w:hint="eastAsia" w:ascii="宋体" w:hAnsi="宋体" w:cs="宋体"/>
                <w:bCs/>
                <w:szCs w:val="21"/>
              </w:rPr>
              <w:t>NMHC排放量</w:t>
            </w:r>
          </w:p>
        </w:tc>
        <w:tc>
          <w:tcPr>
            <w:tcW w:w="940" w:type="pct"/>
            <w:gridSpan w:val="2"/>
            <w:vAlign w:val="center"/>
          </w:tcPr>
          <w:p w14:paraId="6A62642B">
            <w:pPr>
              <w:adjustRightInd w:val="0"/>
              <w:snapToGrid w:val="0"/>
              <w:spacing w:line="300" w:lineRule="exact"/>
              <w:jc w:val="center"/>
              <w:rPr>
                <w:rFonts w:hint="eastAsia" w:ascii="宋体" w:hAnsi="宋体" w:cs="宋体"/>
                <w:bCs/>
                <w:szCs w:val="21"/>
              </w:rPr>
            </w:pPr>
            <w:r>
              <w:rPr>
                <w:rFonts w:hint="eastAsia" w:ascii="宋体" w:hAnsi="宋体" w:cs="宋体"/>
                <w:bCs/>
                <w:szCs w:val="21"/>
              </w:rPr>
              <w:t>硫化氢排放量</w:t>
            </w:r>
          </w:p>
        </w:tc>
      </w:tr>
      <w:tr w14:paraId="5BAFF5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2" w:type="pct"/>
            <w:vMerge w:val="continue"/>
            <w:vAlign w:val="center"/>
          </w:tcPr>
          <w:p w14:paraId="50E0FC12">
            <w:pPr>
              <w:adjustRightInd w:val="0"/>
              <w:snapToGrid w:val="0"/>
              <w:spacing w:line="300" w:lineRule="exact"/>
              <w:jc w:val="center"/>
              <w:rPr>
                <w:rFonts w:hint="eastAsia" w:ascii="宋体" w:hAnsi="宋体" w:cs="宋体"/>
                <w:bCs/>
                <w:szCs w:val="21"/>
              </w:rPr>
            </w:pPr>
          </w:p>
        </w:tc>
        <w:tc>
          <w:tcPr>
            <w:tcW w:w="424" w:type="pct"/>
            <w:vMerge w:val="continue"/>
            <w:vAlign w:val="center"/>
          </w:tcPr>
          <w:p w14:paraId="623314B4">
            <w:pPr>
              <w:adjustRightInd w:val="0"/>
              <w:snapToGrid w:val="0"/>
              <w:spacing w:line="300" w:lineRule="exact"/>
              <w:jc w:val="center"/>
              <w:rPr>
                <w:rFonts w:hint="eastAsia" w:ascii="宋体" w:hAnsi="宋体" w:cs="宋体"/>
                <w:bCs/>
                <w:szCs w:val="21"/>
              </w:rPr>
            </w:pPr>
          </w:p>
        </w:tc>
        <w:tc>
          <w:tcPr>
            <w:tcW w:w="424" w:type="pct"/>
            <w:vMerge w:val="continue"/>
            <w:vAlign w:val="center"/>
          </w:tcPr>
          <w:p w14:paraId="5CAE393F">
            <w:pPr>
              <w:adjustRightInd w:val="0"/>
              <w:snapToGrid w:val="0"/>
              <w:spacing w:line="300" w:lineRule="exact"/>
              <w:jc w:val="center"/>
              <w:rPr>
                <w:rFonts w:hint="eastAsia" w:ascii="宋体" w:hAnsi="宋体" w:cs="宋体"/>
                <w:bCs/>
                <w:szCs w:val="21"/>
              </w:rPr>
            </w:pPr>
          </w:p>
        </w:tc>
        <w:tc>
          <w:tcPr>
            <w:tcW w:w="424" w:type="pct"/>
            <w:vMerge w:val="continue"/>
            <w:vAlign w:val="center"/>
          </w:tcPr>
          <w:p w14:paraId="22D70965">
            <w:pPr>
              <w:adjustRightInd w:val="0"/>
              <w:snapToGrid w:val="0"/>
              <w:spacing w:line="300" w:lineRule="exact"/>
              <w:jc w:val="center"/>
              <w:rPr>
                <w:rFonts w:hint="eastAsia" w:ascii="宋体" w:hAnsi="宋体" w:cs="宋体"/>
                <w:bCs/>
                <w:szCs w:val="21"/>
              </w:rPr>
            </w:pPr>
          </w:p>
        </w:tc>
        <w:tc>
          <w:tcPr>
            <w:tcW w:w="488" w:type="pct"/>
            <w:vMerge w:val="continue"/>
            <w:vAlign w:val="center"/>
          </w:tcPr>
          <w:p w14:paraId="2E90238F">
            <w:pPr>
              <w:adjustRightInd w:val="0"/>
              <w:snapToGrid w:val="0"/>
              <w:spacing w:line="300" w:lineRule="exact"/>
              <w:jc w:val="center"/>
              <w:rPr>
                <w:rFonts w:hint="eastAsia" w:ascii="宋体" w:hAnsi="宋体" w:cs="宋体"/>
                <w:bCs/>
                <w:szCs w:val="21"/>
              </w:rPr>
            </w:pPr>
          </w:p>
        </w:tc>
        <w:tc>
          <w:tcPr>
            <w:tcW w:w="487" w:type="pct"/>
            <w:vMerge w:val="continue"/>
            <w:vAlign w:val="center"/>
          </w:tcPr>
          <w:p w14:paraId="6AB103CE">
            <w:pPr>
              <w:adjustRightInd w:val="0"/>
              <w:snapToGrid w:val="0"/>
              <w:spacing w:line="300" w:lineRule="exact"/>
              <w:jc w:val="center"/>
              <w:rPr>
                <w:rFonts w:hint="eastAsia" w:ascii="宋体" w:hAnsi="宋体" w:cs="宋体"/>
                <w:bCs/>
                <w:szCs w:val="21"/>
              </w:rPr>
            </w:pPr>
          </w:p>
        </w:tc>
        <w:tc>
          <w:tcPr>
            <w:tcW w:w="406" w:type="pct"/>
            <w:vMerge w:val="continue"/>
            <w:vAlign w:val="center"/>
          </w:tcPr>
          <w:p w14:paraId="23EBF464">
            <w:pPr>
              <w:adjustRightInd w:val="0"/>
              <w:snapToGrid w:val="0"/>
              <w:spacing w:line="300" w:lineRule="exact"/>
              <w:jc w:val="center"/>
              <w:rPr>
                <w:rFonts w:hint="eastAsia" w:ascii="宋体" w:hAnsi="宋体" w:cs="宋体"/>
                <w:bCs/>
                <w:szCs w:val="21"/>
              </w:rPr>
            </w:pPr>
          </w:p>
        </w:tc>
        <w:tc>
          <w:tcPr>
            <w:tcW w:w="487" w:type="pct"/>
            <w:vAlign w:val="center"/>
          </w:tcPr>
          <w:p w14:paraId="2E0B7227">
            <w:pPr>
              <w:adjustRightInd w:val="0"/>
              <w:snapToGrid w:val="0"/>
              <w:spacing w:line="300" w:lineRule="exact"/>
              <w:jc w:val="center"/>
              <w:rPr>
                <w:rFonts w:hint="eastAsia" w:ascii="宋体" w:hAnsi="宋体" w:cs="宋体"/>
                <w:bCs/>
                <w:szCs w:val="21"/>
              </w:rPr>
            </w:pPr>
            <w:r>
              <w:rPr>
                <w:rFonts w:hint="eastAsia" w:ascii="宋体" w:hAnsi="宋体" w:cs="宋体"/>
                <w:bCs/>
                <w:szCs w:val="21"/>
              </w:rPr>
              <w:t>t/a</w:t>
            </w:r>
          </w:p>
        </w:tc>
        <w:tc>
          <w:tcPr>
            <w:tcW w:w="488" w:type="pct"/>
            <w:vAlign w:val="center"/>
          </w:tcPr>
          <w:p w14:paraId="08270322">
            <w:pPr>
              <w:adjustRightInd w:val="0"/>
              <w:snapToGrid w:val="0"/>
              <w:spacing w:line="300" w:lineRule="exact"/>
              <w:jc w:val="center"/>
              <w:rPr>
                <w:rFonts w:hint="eastAsia" w:ascii="宋体" w:hAnsi="宋体" w:cs="宋体"/>
                <w:bCs/>
                <w:szCs w:val="21"/>
              </w:rPr>
            </w:pPr>
            <w:r>
              <w:rPr>
                <w:rFonts w:hint="eastAsia" w:ascii="宋体" w:hAnsi="宋体" w:cs="宋体"/>
                <w:bCs/>
                <w:szCs w:val="21"/>
              </w:rPr>
              <w:t>kg</w:t>
            </w:r>
            <w:r>
              <w:rPr>
                <w:rFonts w:ascii="宋体" w:hAnsi="宋体" w:cs="宋体"/>
                <w:bCs/>
                <w:szCs w:val="21"/>
              </w:rPr>
              <w:t>/h</w:t>
            </w:r>
          </w:p>
        </w:tc>
        <w:tc>
          <w:tcPr>
            <w:tcW w:w="487" w:type="pct"/>
            <w:vAlign w:val="center"/>
          </w:tcPr>
          <w:p w14:paraId="3DE743BB">
            <w:pPr>
              <w:adjustRightInd w:val="0"/>
              <w:snapToGrid w:val="0"/>
              <w:spacing w:line="300" w:lineRule="exact"/>
              <w:jc w:val="center"/>
              <w:rPr>
                <w:rFonts w:hint="eastAsia" w:ascii="宋体" w:hAnsi="宋体" w:cs="宋体"/>
                <w:bCs/>
                <w:szCs w:val="21"/>
              </w:rPr>
            </w:pPr>
            <w:r>
              <w:rPr>
                <w:rFonts w:hint="eastAsia" w:ascii="宋体" w:hAnsi="宋体" w:cs="宋体"/>
                <w:bCs/>
                <w:szCs w:val="21"/>
              </w:rPr>
              <w:t>kg/a</w:t>
            </w:r>
          </w:p>
        </w:tc>
        <w:tc>
          <w:tcPr>
            <w:tcW w:w="453" w:type="pct"/>
            <w:vAlign w:val="center"/>
          </w:tcPr>
          <w:p w14:paraId="18E67A8C">
            <w:pPr>
              <w:adjustRightInd w:val="0"/>
              <w:snapToGrid w:val="0"/>
              <w:spacing w:line="300" w:lineRule="exact"/>
              <w:jc w:val="center"/>
              <w:rPr>
                <w:rFonts w:hint="eastAsia" w:ascii="宋体" w:hAnsi="宋体" w:cs="宋体"/>
                <w:bCs/>
                <w:szCs w:val="21"/>
              </w:rPr>
            </w:pPr>
            <w:r>
              <w:rPr>
                <w:rFonts w:hint="eastAsia" w:ascii="宋体" w:hAnsi="宋体" w:cs="宋体"/>
                <w:bCs/>
                <w:szCs w:val="21"/>
              </w:rPr>
              <w:t>kg</w:t>
            </w:r>
            <w:r>
              <w:rPr>
                <w:rFonts w:ascii="宋体" w:hAnsi="宋体" w:cs="宋体"/>
                <w:bCs/>
                <w:szCs w:val="21"/>
              </w:rPr>
              <w:t>/h</w:t>
            </w:r>
          </w:p>
        </w:tc>
      </w:tr>
      <w:tr w14:paraId="41818C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1"/>
            <w:vAlign w:val="center"/>
          </w:tcPr>
          <w:p w14:paraId="28362DA3">
            <w:pPr>
              <w:adjustRightInd w:val="0"/>
              <w:snapToGrid w:val="0"/>
              <w:spacing w:line="300" w:lineRule="exact"/>
              <w:jc w:val="center"/>
              <w:rPr>
                <w:rFonts w:hint="eastAsia" w:ascii="宋体" w:hAnsi="宋体" w:cs="宋体"/>
                <w:bCs/>
                <w:szCs w:val="21"/>
              </w:rPr>
            </w:pPr>
            <w:r>
              <w:rPr>
                <w:rFonts w:hint="eastAsia" w:ascii="宋体" w:hAnsi="宋体" w:cs="宋体"/>
                <w:bCs/>
                <w:szCs w:val="21"/>
              </w:rPr>
              <w:t>一期</w:t>
            </w:r>
          </w:p>
        </w:tc>
      </w:tr>
      <w:tr w14:paraId="4A95F1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2" w:type="pct"/>
            <w:vAlign w:val="center"/>
          </w:tcPr>
          <w:p w14:paraId="2CE24491">
            <w:pPr>
              <w:adjustRightInd w:val="0"/>
              <w:snapToGrid w:val="0"/>
              <w:spacing w:line="300" w:lineRule="exact"/>
              <w:jc w:val="center"/>
              <w:rPr>
                <w:rFonts w:hint="eastAsia" w:ascii="宋体" w:hAnsi="宋体" w:cs="宋体"/>
                <w:bCs/>
                <w:szCs w:val="21"/>
              </w:rPr>
            </w:pPr>
            <w:bookmarkStart w:id="510" w:name="_Hlk173852305"/>
            <w:r>
              <w:rPr>
                <w:rFonts w:hint="eastAsia" w:ascii="宋体" w:hAnsi="宋体" w:cs="宋体"/>
                <w:bCs/>
                <w:szCs w:val="21"/>
              </w:rPr>
              <w:t>采油平台和计量拉油站</w:t>
            </w:r>
          </w:p>
        </w:tc>
        <w:tc>
          <w:tcPr>
            <w:tcW w:w="424" w:type="pct"/>
            <w:vAlign w:val="center"/>
          </w:tcPr>
          <w:p w14:paraId="7F6D3DDF">
            <w:pPr>
              <w:adjustRightInd w:val="0"/>
              <w:snapToGrid w:val="0"/>
              <w:spacing w:line="300" w:lineRule="exact"/>
              <w:jc w:val="center"/>
              <w:rPr>
                <w:rFonts w:hint="eastAsia" w:ascii="宋体" w:hAnsi="宋体" w:cs="宋体"/>
                <w:bCs/>
                <w:szCs w:val="21"/>
              </w:rPr>
            </w:pPr>
          </w:p>
        </w:tc>
        <w:tc>
          <w:tcPr>
            <w:tcW w:w="424" w:type="pct"/>
            <w:vAlign w:val="center"/>
          </w:tcPr>
          <w:p w14:paraId="1CEB93FE">
            <w:pPr>
              <w:adjustRightInd w:val="0"/>
              <w:snapToGrid w:val="0"/>
              <w:spacing w:line="300" w:lineRule="exact"/>
              <w:jc w:val="center"/>
              <w:rPr>
                <w:rFonts w:hint="eastAsia" w:ascii="宋体" w:hAnsi="宋体" w:cs="宋体"/>
                <w:bCs/>
                <w:szCs w:val="21"/>
              </w:rPr>
            </w:pPr>
            <w:r>
              <w:rPr>
                <w:rFonts w:hint="eastAsia" w:ascii="宋体" w:hAnsi="宋体" w:cs="宋体"/>
                <w:bCs/>
                <w:szCs w:val="21"/>
              </w:rPr>
              <w:t>220</w:t>
            </w:r>
          </w:p>
        </w:tc>
        <w:tc>
          <w:tcPr>
            <w:tcW w:w="424" w:type="pct"/>
            <w:vAlign w:val="center"/>
          </w:tcPr>
          <w:p w14:paraId="1499340B">
            <w:pPr>
              <w:adjustRightInd w:val="0"/>
              <w:snapToGrid w:val="0"/>
              <w:spacing w:line="300" w:lineRule="exact"/>
              <w:jc w:val="center"/>
              <w:rPr>
                <w:rFonts w:hint="eastAsia" w:ascii="宋体" w:hAnsi="宋体" w:cs="宋体"/>
                <w:bCs/>
                <w:szCs w:val="21"/>
              </w:rPr>
            </w:pPr>
            <w:r>
              <w:rPr>
                <w:rFonts w:hint="eastAsia" w:ascii="宋体" w:hAnsi="宋体" w:cs="宋体"/>
                <w:bCs/>
                <w:szCs w:val="21"/>
              </w:rPr>
              <w:t>75</w:t>
            </w:r>
          </w:p>
        </w:tc>
        <w:tc>
          <w:tcPr>
            <w:tcW w:w="488" w:type="pct"/>
            <w:vAlign w:val="center"/>
          </w:tcPr>
          <w:p w14:paraId="546E4962">
            <w:pPr>
              <w:adjustRightInd w:val="0"/>
              <w:snapToGrid w:val="0"/>
              <w:spacing w:line="300" w:lineRule="exact"/>
              <w:jc w:val="center"/>
              <w:rPr>
                <w:rFonts w:hint="eastAsia" w:ascii="宋体" w:hAnsi="宋体" w:cs="宋体"/>
                <w:bCs/>
                <w:szCs w:val="21"/>
              </w:rPr>
            </w:pPr>
            <w:r>
              <w:rPr>
                <w:rFonts w:hint="eastAsia" w:ascii="宋体" w:hAnsi="宋体" w:cs="宋体"/>
                <w:bCs/>
                <w:szCs w:val="21"/>
              </w:rPr>
              <w:t>7</w:t>
            </w:r>
          </w:p>
        </w:tc>
        <w:tc>
          <w:tcPr>
            <w:tcW w:w="487" w:type="pct"/>
            <w:vAlign w:val="center"/>
          </w:tcPr>
          <w:p w14:paraId="26022811">
            <w:pPr>
              <w:adjustRightInd w:val="0"/>
              <w:snapToGrid w:val="0"/>
              <w:spacing w:line="300" w:lineRule="exact"/>
              <w:jc w:val="center"/>
              <w:rPr>
                <w:rFonts w:hint="eastAsia" w:ascii="宋体" w:hAnsi="宋体" w:cs="宋体"/>
                <w:bCs/>
                <w:szCs w:val="21"/>
              </w:rPr>
            </w:pPr>
            <w:r>
              <w:rPr>
                <w:rFonts w:hint="eastAsia" w:ascii="宋体" w:hAnsi="宋体" w:cs="宋体"/>
                <w:bCs/>
                <w:szCs w:val="21"/>
              </w:rPr>
              <w:t>7920</w:t>
            </w:r>
          </w:p>
        </w:tc>
        <w:tc>
          <w:tcPr>
            <w:tcW w:w="406" w:type="pct"/>
            <w:vAlign w:val="center"/>
          </w:tcPr>
          <w:p w14:paraId="3BC7EA7E">
            <w:pPr>
              <w:adjustRightInd w:val="0"/>
              <w:snapToGrid w:val="0"/>
              <w:spacing w:line="300" w:lineRule="exact"/>
              <w:jc w:val="center"/>
              <w:rPr>
                <w:rFonts w:hint="eastAsia" w:ascii="宋体" w:hAnsi="宋体" w:cs="宋体"/>
                <w:bCs/>
                <w:szCs w:val="21"/>
              </w:rPr>
            </w:pPr>
            <w:r>
              <w:rPr>
                <w:rFonts w:hint="eastAsia" w:ascii="宋体" w:hAnsi="宋体" w:cs="宋体"/>
                <w:bCs/>
                <w:szCs w:val="21"/>
              </w:rPr>
              <w:t>正常工况</w:t>
            </w:r>
          </w:p>
        </w:tc>
        <w:tc>
          <w:tcPr>
            <w:tcW w:w="487" w:type="pct"/>
            <w:vAlign w:val="center"/>
          </w:tcPr>
          <w:p w14:paraId="7F7BC733">
            <w:pPr>
              <w:adjustRightInd w:val="0"/>
              <w:snapToGrid w:val="0"/>
              <w:spacing w:line="300" w:lineRule="exact"/>
              <w:jc w:val="center"/>
              <w:rPr>
                <w:rFonts w:hint="eastAsia" w:ascii="宋体" w:hAnsi="宋体" w:cs="宋体"/>
                <w:bCs/>
                <w:szCs w:val="21"/>
              </w:rPr>
            </w:pPr>
            <w:r>
              <w:rPr>
                <w:rFonts w:hint="eastAsia" w:ascii="宋体" w:hAnsi="宋体" w:cs="宋体"/>
                <w:bCs/>
                <w:szCs w:val="21"/>
              </w:rPr>
              <w:t>2.5075</w:t>
            </w:r>
          </w:p>
        </w:tc>
        <w:tc>
          <w:tcPr>
            <w:tcW w:w="488" w:type="pct"/>
            <w:vAlign w:val="center"/>
          </w:tcPr>
          <w:p w14:paraId="65AA9587">
            <w:pPr>
              <w:adjustRightInd w:val="0"/>
              <w:snapToGrid w:val="0"/>
              <w:spacing w:line="300" w:lineRule="exact"/>
              <w:jc w:val="center"/>
              <w:rPr>
                <w:rFonts w:hint="eastAsia" w:ascii="宋体" w:hAnsi="宋体" w:cs="宋体"/>
                <w:bCs/>
                <w:szCs w:val="21"/>
              </w:rPr>
            </w:pPr>
            <w:r>
              <w:rPr>
                <w:rFonts w:hint="eastAsia" w:ascii="宋体" w:hAnsi="宋体" w:cs="宋体"/>
                <w:bCs/>
                <w:szCs w:val="21"/>
              </w:rPr>
              <w:t>0.3166</w:t>
            </w:r>
          </w:p>
        </w:tc>
        <w:tc>
          <w:tcPr>
            <w:tcW w:w="487" w:type="pct"/>
            <w:vAlign w:val="center"/>
          </w:tcPr>
          <w:p w14:paraId="5C760F21">
            <w:pPr>
              <w:adjustRightInd w:val="0"/>
              <w:snapToGrid w:val="0"/>
              <w:spacing w:line="300" w:lineRule="exact"/>
              <w:jc w:val="center"/>
              <w:rPr>
                <w:rFonts w:hint="eastAsia" w:ascii="宋体" w:hAnsi="宋体" w:cs="宋体"/>
                <w:bCs/>
                <w:szCs w:val="21"/>
              </w:rPr>
            </w:pPr>
            <w:r>
              <w:rPr>
                <w:rFonts w:hint="eastAsia" w:ascii="宋体" w:hAnsi="宋体" w:cs="宋体"/>
                <w:bCs/>
                <w:szCs w:val="21"/>
              </w:rPr>
              <w:t>0.4891</w:t>
            </w:r>
          </w:p>
        </w:tc>
        <w:tc>
          <w:tcPr>
            <w:tcW w:w="453" w:type="pct"/>
            <w:vAlign w:val="center"/>
          </w:tcPr>
          <w:p w14:paraId="30D2D92F">
            <w:pPr>
              <w:adjustRightInd w:val="0"/>
              <w:snapToGrid w:val="0"/>
              <w:spacing w:line="300" w:lineRule="exact"/>
              <w:jc w:val="center"/>
              <w:rPr>
                <w:rFonts w:hint="eastAsia" w:ascii="宋体" w:hAnsi="宋体" w:cs="宋体"/>
                <w:bCs/>
                <w:szCs w:val="21"/>
              </w:rPr>
            </w:pPr>
            <w:r>
              <w:rPr>
                <w:rFonts w:hint="eastAsia" w:ascii="宋体" w:hAnsi="宋体" w:cs="宋体"/>
                <w:bCs/>
                <w:szCs w:val="21"/>
              </w:rPr>
              <w:t>0.000062</w:t>
            </w:r>
          </w:p>
        </w:tc>
      </w:tr>
      <w:bookmarkEnd w:id="510"/>
      <w:tr w14:paraId="1DAC4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1"/>
            <w:vAlign w:val="center"/>
          </w:tcPr>
          <w:p w14:paraId="18AC1B9E">
            <w:pPr>
              <w:adjustRightInd w:val="0"/>
              <w:snapToGrid w:val="0"/>
              <w:spacing w:line="300" w:lineRule="exact"/>
              <w:jc w:val="center"/>
              <w:rPr>
                <w:rFonts w:hint="eastAsia" w:ascii="宋体" w:hAnsi="宋体"/>
                <w:szCs w:val="21"/>
              </w:rPr>
            </w:pPr>
            <w:r>
              <w:rPr>
                <w:rFonts w:hint="eastAsia" w:ascii="宋体" w:hAnsi="宋体"/>
                <w:szCs w:val="21"/>
              </w:rPr>
              <w:t>二期</w:t>
            </w:r>
          </w:p>
        </w:tc>
      </w:tr>
      <w:tr w14:paraId="03E4A0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2" w:type="pct"/>
            <w:vAlign w:val="center"/>
          </w:tcPr>
          <w:p w14:paraId="015D806F">
            <w:pPr>
              <w:adjustRightInd w:val="0"/>
              <w:snapToGrid w:val="0"/>
              <w:spacing w:line="300" w:lineRule="exact"/>
              <w:jc w:val="center"/>
              <w:rPr>
                <w:rFonts w:hint="eastAsia" w:ascii="宋体" w:hAnsi="宋体"/>
                <w:szCs w:val="21"/>
              </w:rPr>
            </w:pPr>
            <w:r>
              <w:rPr>
                <w:rFonts w:hint="eastAsia" w:ascii="宋体" w:hAnsi="宋体"/>
                <w:szCs w:val="21"/>
              </w:rPr>
              <w:t>采油平台和计量站</w:t>
            </w:r>
          </w:p>
        </w:tc>
        <w:tc>
          <w:tcPr>
            <w:tcW w:w="424" w:type="pct"/>
            <w:vAlign w:val="center"/>
          </w:tcPr>
          <w:p w14:paraId="7B14C862">
            <w:pPr>
              <w:adjustRightInd w:val="0"/>
              <w:snapToGrid w:val="0"/>
              <w:spacing w:line="300" w:lineRule="exact"/>
              <w:jc w:val="center"/>
              <w:rPr>
                <w:rFonts w:hint="eastAsia" w:ascii="宋体" w:hAnsi="宋体" w:cs="宋体"/>
                <w:bCs/>
                <w:szCs w:val="21"/>
              </w:rPr>
            </w:pPr>
          </w:p>
        </w:tc>
        <w:tc>
          <w:tcPr>
            <w:tcW w:w="424" w:type="pct"/>
            <w:vAlign w:val="center"/>
          </w:tcPr>
          <w:p w14:paraId="6758624B">
            <w:pPr>
              <w:adjustRightInd w:val="0"/>
              <w:snapToGrid w:val="0"/>
              <w:spacing w:line="300" w:lineRule="exact"/>
              <w:jc w:val="center"/>
              <w:rPr>
                <w:rFonts w:hint="eastAsia" w:ascii="宋体" w:hAnsi="宋体" w:cs="宋体"/>
                <w:bCs/>
                <w:szCs w:val="21"/>
              </w:rPr>
            </w:pPr>
            <w:r>
              <w:rPr>
                <w:rFonts w:hint="eastAsia" w:ascii="宋体" w:hAnsi="宋体" w:cs="宋体"/>
                <w:bCs/>
                <w:szCs w:val="21"/>
              </w:rPr>
              <w:t>220</w:t>
            </w:r>
          </w:p>
        </w:tc>
        <w:tc>
          <w:tcPr>
            <w:tcW w:w="424" w:type="pct"/>
            <w:vAlign w:val="center"/>
          </w:tcPr>
          <w:p w14:paraId="44BFC504">
            <w:pPr>
              <w:adjustRightInd w:val="0"/>
              <w:snapToGrid w:val="0"/>
              <w:spacing w:line="300" w:lineRule="exact"/>
              <w:jc w:val="center"/>
              <w:rPr>
                <w:rFonts w:hint="eastAsia" w:ascii="宋体" w:hAnsi="宋体" w:cs="宋体"/>
                <w:bCs/>
                <w:szCs w:val="21"/>
              </w:rPr>
            </w:pPr>
            <w:r>
              <w:rPr>
                <w:rFonts w:hint="eastAsia" w:ascii="宋体" w:hAnsi="宋体" w:cs="宋体"/>
                <w:bCs/>
                <w:szCs w:val="21"/>
              </w:rPr>
              <w:t>75</w:t>
            </w:r>
          </w:p>
        </w:tc>
        <w:tc>
          <w:tcPr>
            <w:tcW w:w="488" w:type="pct"/>
            <w:vAlign w:val="center"/>
          </w:tcPr>
          <w:p w14:paraId="0BF60844">
            <w:pPr>
              <w:adjustRightInd w:val="0"/>
              <w:snapToGrid w:val="0"/>
              <w:spacing w:line="300" w:lineRule="exact"/>
              <w:jc w:val="center"/>
              <w:rPr>
                <w:rFonts w:hint="eastAsia" w:ascii="宋体" w:hAnsi="宋体" w:cs="宋体"/>
                <w:bCs/>
                <w:szCs w:val="21"/>
              </w:rPr>
            </w:pPr>
            <w:r>
              <w:rPr>
                <w:rFonts w:hint="eastAsia" w:ascii="宋体" w:hAnsi="宋体" w:cs="宋体"/>
                <w:bCs/>
                <w:szCs w:val="21"/>
              </w:rPr>
              <w:t>7</w:t>
            </w:r>
          </w:p>
        </w:tc>
        <w:tc>
          <w:tcPr>
            <w:tcW w:w="487" w:type="pct"/>
            <w:vAlign w:val="center"/>
          </w:tcPr>
          <w:p w14:paraId="78A7DC0F">
            <w:pPr>
              <w:adjustRightInd w:val="0"/>
              <w:snapToGrid w:val="0"/>
              <w:spacing w:line="300" w:lineRule="exact"/>
              <w:jc w:val="center"/>
              <w:rPr>
                <w:rFonts w:hint="eastAsia" w:ascii="宋体" w:hAnsi="宋体" w:cs="宋体"/>
                <w:bCs/>
                <w:szCs w:val="21"/>
              </w:rPr>
            </w:pPr>
            <w:r>
              <w:rPr>
                <w:rFonts w:hint="eastAsia" w:ascii="宋体" w:hAnsi="宋体" w:cs="宋体"/>
                <w:bCs/>
                <w:szCs w:val="21"/>
              </w:rPr>
              <w:t>7920</w:t>
            </w:r>
          </w:p>
        </w:tc>
        <w:tc>
          <w:tcPr>
            <w:tcW w:w="406" w:type="pct"/>
            <w:vAlign w:val="center"/>
          </w:tcPr>
          <w:p w14:paraId="5AB236F7">
            <w:pPr>
              <w:adjustRightInd w:val="0"/>
              <w:snapToGrid w:val="0"/>
              <w:spacing w:line="300" w:lineRule="exact"/>
              <w:jc w:val="center"/>
              <w:rPr>
                <w:rFonts w:hint="eastAsia" w:ascii="宋体" w:hAnsi="宋体" w:cs="宋体"/>
                <w:bCs/>
                <w:szCs w:val="21"/>
              </w:rPr>
            </w:pPr>
            <w:r>
              <w:rPr>
                <w:rFonts w:hint="eastAsia" w:ascii="宋体" w:hAnsi="宋体" w:cs="宋体"/>
                <w:bCs/>
                <w:szCs w:val="21"/>
              </w:rPr>
              <w:t>正常工况</w:t>
            </w:r>
          </w:p>
        </w:tc>
        <w:tc>
          <w:tcPr>
            <w:tcW w:w="487" w:type="pct"/>
            <w:vAlign w:val="center"/>
          </w:tcPr>
          <w:p w14:paraId="01F383F7">
            <w:pPr>
              <w:adjustRightInd w:val="0"/>
              <w:snapToGrid w:val="0"/>
              <w:spacing w:line="300" w:lineRule="exact"/>
              <w:jc w:val="center"/>
              <w:rPr>
                <w:rFonts w:hint="eastAsia" w:ascii="宋体" w:hAnsi="宋体" w:cs="宋体"/>
                <w:bCs/>
                <w:szCs w:val="21"/>
              </w:rPr>
            </w:pPr>
            <w:r>
              <w:rPr>
                <w:rFonts w:hint="eastAsia" w:ascii="宋体" w:hAnsi="宋体" w:cs="宋体"/>
                <w:bCs/>
                <w:szCs w:val="21"/>
              </w:rPr>
              <w:t>0.5011</w:t>
            </w:r>
          </w:p>
        </w:tc>
        <w:tc>
          <w:tcPr>
            <w:tcW w:w="488" w:type="pct"/>
            <w:vAlign w:val="center"/>
          </w:tcPr>
          <w:p w14:paraId="761A5339">
            <w:pPr>
              <w:adjustRightInd w:val="0"/>
              <w:snapToGrid w:val="0"/>
              <w:spacing w:line="300" w:lineRule="exact"/>
              <w:jc w:val="center"/>
              <w:rPr>
                <w:rFonts w:hint="eastAsia" w:ascii="宋体" w:hAnsi="宋体"/>
                <w:szCs w:val="21"/>
              </w:rPr>
            </w:pPr>
            <w:r>
              <w:rPr>
                <w:rFonts w:hint="eastAsia" w:ascii="宋体" w:hAnsi="宋体"/>
                <w:szCs w:val="21"/>
              </w:rPr>
              <w:t>0.0633</w:t>
            </w:r>
          </w:p>
        </w:tc>
        <w:tc>
          <w:tcPr>
            <w:tcW w:w="487" w:type="pct"/>
            <w:vAlign w:val="center"/>
          </w:tcPr>
          <w:p w14:paraId="6AF7B043">
            <w:pPr>
              <w:adjustRightInd w:val="0"/>
              <w:snapToGrid w:val="0"/>
              <w:spacing w:line="300" w:lineRule="exact"/>
              <w:jc w:val="center"/>
              <w:rPr>
                <w:rFonts w:hint="eastAsia" w:ascii="宋体" w:hAnsi="宋体" w:cs="宋体"/>
                <w:bCs/>
                <w:szCs w:val="21"/>
              </w:rPr>
            </w:pPr>
            <w:r>
              <w:rPr>
                <w:rFonts w:hint="eastAsia" w:ascii="宋体" w:hAnsi="宋体" w:cs="宋体"/>
                <w:bCs/>
                <w:szCs w:val="21"/>
              </w:rPr>
              <w:t>0.4891</w:t>
            </w:r>
          </w:p>
        </w:tc>
        <w:tc>
          <w:tcPr>
            <w:tcW w:w="453" w:type="pct"/>
            <w:vAlign w:val="center"/>
          </w:tcPr>
          <w:p w14:paraId="3B31E32A">
            <w:pPr>
              <w:adjustRightInd w:val="0"/>
              <w:snapToGrid w:val="0"/>
              <w:spacing w:line="300" w:lineRule="exact"/>
              <w:jc w:val="center"/>
              <w:rPr>
                <w:rFonts w:hint="eastAsia" w:ascii="宋体" w:hAnsi="宋体"/>
                <w:szCs w:val="21"/>
              </w:rPr>
            </w:pPr>
            <w:r>
              <w:rPr>
                <w:rFonts w:hint="eastAsia" w:ascii="宋体" w:hAnsi="宋体" w:cs="宋体"/>
                <w:bCs/>
                <w:szCs w:val="21"/>
              </w:rPr>
              <w:t>0.000062</w:t>
            </w:r>
          </w:p>
        </w:tc>
      </w:tr>
    </w:tbl>
    <w:p w14:paraId="397D91BB">
      <w:pPr>
        <w:jc w:val="center"/>
        <w:rPr>
          <w:rFonts w:hint="eastAsia" w:ascii="黑体" w:hAnsi="黑体" w:eastAsia="黑体"/>
          <w:bCs/>
          <w:szCs w:val="21"/>
        </w:rPr>
      </w:pPr>
      <w:r>
        <w:rPr>
          <w:rFonts w:hint="eastAsia" w:ascii="黑体" w:hAnsi="黑体" w:eastAsia="黑体"/>
          <w:bCs/>
          <w:szCs w:val="21"/>
        </w:rPr>
        <w:t>表5</w:t>
      </w:r>
      <w:r>
        <w:rPr>
          <w:rFonts w:ascii="黑体" w:hAnsi="黑体" w:eastAsia="黑体"/>
          <w:bCs/>
          <w:szCs w:val="21"/>
        </w:rPr>
        <w:t>.2</w:t>
      </w:r>
      <w:r>
        <w:rPr>
          <w:rFonts w:hint="eastAsia" w:ascii="黑体" w:hAnsi="黑体" w:eastAsia="黑体"/>
          <w:bCs/>
          <w:szCs w:val="21"/>
        </w:rPr>
        <w:t>-</w:t>
      </w:r>
      <w:r>
        <w:rPr>
          <w:rFonts w:ascii="黑体" w:hAnsi="黑体" w:eastAsia="黑体"/>
          <w:bCs/>
          <w:szCs w:val="21"/>
        </w:rPr>
        <w:t>5</w:t>
      </w:r>
      <w:r>
        <w:rPr>
          <w:rFonts w:hint="eastAsia" w:ascii="黑体" w:hAnsi="黑体" w:eastAsia="黑体"/>
          <w:bCs/>
          <w:szCs w:val="21"/>
        </w:rPr>
        <w:t xml:space="preserve"> </w:t>
      </w:r>
      <w:r>
        <w:rPr>
          <w:rFonts w:ascii="黑体" w:hAnsi="黑体" w:eastAsia="黑体"/>
          <w:bCs/>
          <w:szCs w:val="21"/>
        </w:rPr>
        <w:t xml:space="preserve"> </w:t>
      </w:r>
      <w:r>
        <w:rPr>
          <w:rFonts w:hint="eastAsia" w:ascii="黑体" w:hAnsi="黑体" w:eastAsia="黑体"/>
          <w:bCs/>
          <w:szCs w:val="21"/>
        </w:rPr>
        <w:t>放空火炬污染物排放情况一览表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9"/>
        <w:gridCol w:w="439"/>
        <w:gridCol w:w="758"/>
        <w:gridCol w:w="689"/>
        <w:gridCol w:w="549"/>
        <w:gridCol w:w="652"/>
        <w:gridCol w:w="544"/>
        <w:gridCol w:w="581"/>
        <w:gridCol w:w="830"/>
        <w:gridCol w:w="1190"/>
        <w:gridCol w:w="758"/>
        <w:gridCol w:w="652"/>
        <w:gridCol w:w="866"/>
      </w:tblGrid>
      <w:tr w14:paraId="27D76D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5" w:type="pct"/>
            <w:vMerge w:val="restart"/>
            <w:vAlign w:val="center"/>
          </w:tcPr>
          <w:p w14:paraId="214C8B47">
            <w:pPr>
              <w:adjustRightInd w:val="0"/>
              <w:snapToGrid w:val="0"/>
              <w:spacing w:line="300" w:lineRule="exact"/>
              <w:jc w:val="center"/>
              <w:rPr>
                <w:rFonts w:hint="eastAsia" w:ascii="宋体" w:hAnsi="宋体" w:cs="宋体"/>
                <w:bCs/>
                <w:szCs w:val="21"/>
              </w:rPr>
            </w:pPr>
            <w:r>
              <w:rPr>
                <w:rFonts w:hint="eastAsia" w:ascii="宋体" w:hAnsi="宋体" w:cs="宋体"/>
                <w:bCs/>
                <w:szCs w:val="21"/>
              </w:rPr>
              <w:t>名称</w:t>
            </w:r>
          </w:p>
        </w:tc>
        <w:tc>
          <w:tcPr>
            <w:tcW w:w="245" w:type="pct"/>
            <w:vMerge w:val="restart"/>
            <w:vAlign w:val="center"/>
          </w:tcPr>
          <w:p w14:paraId="4716FC85">
            <w:pPr>
              <w:adjustRightInd w:val="0"/>
              <w:snapToGrid w:val="0"/>
              <w:spacing w:line="300" w:lineRule="exact"/>
              <w:jc w:val="center"/>
              <w:rPr>
                <w:rFonts w:hint="eastAsia" w:ascii="宋体" w:hAnsi="宋体" w:cs="宋体"/>
                <w:bCs/>
                <w:szCs w:val="21"/>
              </w:rPr>
            </w:pPr>
            <w:r>
              <w:rPr>
                <w:rFonts w:hint="eastAsia" w:ascii="宋体" w:hAnsi="宋体" w:cs="宋体"/>
                <w:bCs/>
                <w:szCs w:val="21"/>
              </w:rPr>
              <w:t>海拔高度</w:t>
            </w:r>
            <w:bookmarkStart w:id="511" w:name="OLE_LINK69"/>
            <w:r>
              <w:rPr>
                <w:rFonts w:hint="eastAsia" w:ascii="宋体" w:hAnsi="宋体" w:cs="宋体"/>
                <w:bCs/>
                <w:szCs w:val="21"/>
              </w:rPr>
              <w:t>/m</w:t>
            </w:r>
            <w:bookmarkEnd w:id="511"/>
          </w:p>
        </w:tc>
        <w:tc>
          <w:tcPr>
            <w:tcW w:w="424" w:type="pct"/>
            <w:vMerge w:val="restart"/>
            <w:vAlign w:val="center"/>
          </w:tcPr>
          <w:p w14:paraId="57E26769">
            <w:pPr>
              <w:adjustRightInd w:val="0"/>
              <w:snapToGrid w:val="0"/>
              <w:spacing w:line="300" w:lineRule="exact"/>
              <w:jc w:val="center"/>
              <w:rPr>
                <w:rFonts w:hint="eastAsia" w:ascii="宋体" w:hAnsi="宋体" w:cs="宋体"/>
                <w:bCs/>
                <w:szCs w:val="21"/>
              </w:rPr>
            </w:pPr>
            <w:r>
              <w:rPr>
                <w:rFonts w:hint="eastAsia" w:ascii="宋体" w:hAnsi="宋体" w:cs="宋体"/>
                <w:bCs/>
                <w:szCs w:val="21"/>
              </w:rPr>
              <w:t>火炬等效高度</w:t>
            </w:r>
            <w:bookmarkStart w:id="512" w:name="OLE_LINK373"/>
            <w:r>
              <w:rPr>
                <w:rFonts w:hint="eastAsia" w:ascii="宋体" w:hAnsi="宋体" w:cs="宋体"/>
                <w:bCs/>
                <w:szCs w:val="21"/>
              </w:rPr>
              <w:t>/</w:t>
            </w:r>
            <w:bookmarkEnd w:id="512"/>
            <w:r>
              <w:rPr>
                <w:rFonts w:hint="eastAsia" w:ascii="宋体" w:hAnsi="宋体" w:cs="宋体"/>
                <w:bCs/>
                <w:szCs w:val="21"/>
              </w:rPr>
              <w:t>mm）</w:t>
            </w:r>
          </w:p>
        </w:tc>
        <w:tc>
          <w:tcPr>
            <w:tcW w:w="385" w:type="pct"/>
            <w:vMerge w:val="restart"/>
            <w:vAlign w:val="center"/>
          </w:tcPr>
          <w:p w14:paraId="23A612F8">
            <w:pPr>
              <w:adjustRightInd w:val="0"/>
              <w:snapToGrid w:val="0"/>
              <w:spacing w:line="300" w:lineRule="exact"/>
              <w:jc w:val="center"/>
              <w:rPr>
                <w:rFonts w:hint="eastAsia" w:ascii="宋体" w:hAnsi="宋体" w:cs="宋体"/>
                <w:bCs/>
                <w:szCs w:val="21"/>
              </w:rPr>
            </w:pPr>
            <w:r>
              <w:rPr>
                <w:rFonts w:hint="eastAsia" w:ascii="宋体" w:hAnsi="宋体" w:cs="宋体"/>
                <w:bCs/>
                <w:szCs w:val="21"/>
              </w:rPr>
              <w:t>等效出口内径/m</w:t>
            </w:r>
          </w:p>
        </w:tc>
        <w:tc>
          <w:tcPr>
            <w:tcW w:w="307" w:type="pct"/>
            <w:vMerge w:val="restart"/>
            <w:vAlign w:val="center"/>
          </w:tcPr>
          <w:p w14:paraId="3532762E">
            <w:pPr>
              <w:adjustRightInd w:val="0"/>
              <w:snapToGrid w:val="0"/>
              <w:spacing w:line="300" w:lineRule="exact"/>
              <w:jc w:val="center"/>
              <w:rPr>
                <w:rFonts w:hint="eastAsia" w:ascii="宋体" w:hAnsi="宋体" w:cs="宋体"/>
                <w:bCs/>
                <w:szCs w:val="21"/>
              </w:rPr>
            </w:pPr>
            <w:r>
              <w:rPr>
                <w:rFonts w:hint="eastAsia" w:ascii="宋体" w:hAnsi="宋体" w:cs="宋体"/>
                <w:bCs/>
                <w:szCs w:val="21"/>
              </w:rPr>
              <w:t>烟气温度/℃</w:t>
            </w:r>
          </w:p>
        </w:tc>
        <w:tc>
          <w:tcPr>
            <w:tcW w:w="364" w:type="pct"/>
            <w:vMerge w:val="restart"/>
            <w:vAlign w:val="center"/>
          </w:tcPr>
          <w:p w14:paraId="706F512F">
            <w:pPr>
              <w:adjustRightInd w:val="0"/>
              <w:snapToGrid w:val="0"/>
              <w:spacing w:line="300" w:lineRule="exact"/>
              <w:jc w:val="center"/>
              <w:rPr>
                <w:rFonts w:hint="eastAsia" w:ascii="宋体" w:hAnsi="宋体" w:cs="宋体"/>
                <w:bCs/>
                <w:szCs w:val="21"/>
              </w:rPr>
            </w:pPr>
            <w:r>
              <w:rPr>
                <w:rFonts w:hint="eastAsia" w:ascii="宋体" w:hAnsi="宋体" w:cs="宋体"/>
                <w:bCs/>
                <w:szCs w:val="21"/>
              </w:rPr>
              <w:t>年排放小时数/h</w:t>
            </w:r>
          </w:p>
        </w:tc>
        <w:tc>
          <w:tcPr>
            <w:tcW w:w="304" w:type="pct"/>
            <w:vMerge w:val="restart"/>
            <w:vAlign w:val="center"/>
          </w:tcPr>
          <w:p w14:paraId="798A68FD">
            <w:pPr>
              <w:adjustRightInd w:val="0"/>
              <w:snapToGrid w:val="0"/>
              <w:spacing w:line="300" w:lineRule="exact"/>
              <w:jc w:val="center"/>
              <w:rPr>
                <w:rFonts w:hint="eastAsia" w:ascii="宋体" w:hAnsi="宋体" w:cs="宋体"/>
                <w:bCs/>
                <w:szCs w:val="21"/>
              </w:rPr>
            </w:pPr>
            <w:r>
              <w:rPr>
                <w:rFonts w:hint="eastAsia" w:ascii="宋体" w:hAnsi="宋体" w:cs="宋体"/>
                <w:bCs/>
                <w:szCs w:val="21"/>
              </w:rPr>
              <w:t>排放工况</w:t>
            </w:r>
          </w:p>
        </w:tc>
        <w:tc>
          <w:tcPr>
            <w:tcW w:w="1454" w:type="pct"/>
            <w:gridSpan w:val="3"/>
            <w:vAlign w:val="center"/>
          </w:tcPr>
          <w:p w14:paraId="4DEAA7EC">
            <w:pPr>
              <w:adjustRightInd w:val="0"/>
              <w:snapToGrid w:val="0"/>
              <w:spacing w:line="300" w:lineRule="exact"/>
              <w:jc w:val="center"/>
              <w:rPr>
                <w:rFonts w:hint="eastAsia" w:ascii="宋体" w:hAnsi="宋体" w:cs="宋体"/>
                <w:bCs/>
                <w:szCs w:val="21"/>
              </w:rPr>
            </w:pPr>
            <w:r>
              <w:rPr>
                <w:rFonts w:hint="eastAsia" w:ascii="宋体" w:hAnsi="宋体" w:cs="宋体"/>
                <w:bCs/>
                <w:szCs w:val="21"/>
              </w:rPr>
              <w:t>燃烧物质及热释放速率</w:t>
            </w:r>
          </w:p>
        </w:tc>
        <w:tc>
          <w:tcPr>
            <w:tcW w:w="1272" w:type="pct"/>
            <w:gridSpan w:val="3"/>
            <w:vAlign w:val="center"/>
          </w:tcPr>
          <w:p w14:paraId="3E38E5DF">
            <w:pPr>
              <w:adjustRightInd w:val="0"/>
              <w:snapToGrid w:val="0"/>
              <w:spacing w:line="300" w:lineRule="exact"/>
              <w:jc w:val="center"/>
              <w:rPr>
                <w:rFonts w:hint="eastAsia" w:ascii="宋体" w:hAnsi="宋体" w:cs="宋体"/>
                <w:bCs/>
                <w:szCs w:val="21"/>
              </w:rPr>
            </w:pPr>
            <w:r>
              <w:rPr>
                <w:rFonts w:hint="eastAsia" w:ascii="宋体" w:hAnsi="宋体" w:cs="宋体"/>
                <w:bCs/>
                <w:szCs w:val="21"/>
              </w:rPr>
              <w:t>污染物排放速率（t</w:t>
            </w:r>
            <w:r>
              <w:rPr>
                <w:rFonts w:ascii="宋体" w:hAnsi="宋体" w:cs="宋体"/>
                <w:bCs/>
                <w:szCs w:val="21"/>
              </w:rPr>
              <w:t>/a</w:t>
            </w:r>
            <w:r>
              <w:rPr>
                <w:rFonts w:hint="eastAsia" w:ascii="宋体" w:hAnsi="宋体" w:cs="宋体"/>
                <w:bCs/>
                <w:szCs w:val="21"/>
              </w:rPr>
              <w:t>）</w:t>
            </w:r>
          </w:p>
        </w:tc>
      </w:tr>
      <w:tr w14:paraId="52ACE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5" w:type="pct"/>
            <w:vMerge w:val="continue"/>
            <w:vAlign w:val="center"/>
          </w:tcPr>
          <w:p w14:paraId="0E8C2C7C">
            <w:pPr>
              <w:adjustRightInd w:val="0"/>
              <w:snapToGrid w:val="0"/>
              <w:spacing w:line="300" w:lineRule="exact"/>
              <w:jc w:val="center"/>
              <w:rPr>
                <w:rFonts w:hint="eastAsia" w:ascii="宋体" w:hAnsi="宋体" w:cs="宋体"/>
                <w:bCs/>
                <w:szCs w:val="21"/>
              </w:rPr>
            </w:pPr>
          </w:p>
        </w:tc>
        <w:tc>
          <w:tcPr>
            <w:tcW w:w="245" w:type="pct"/>
            <w:vMerge w:val="continue"/>
            <w:vAlign w:val="center"/>
          </w:tcPr>
          <w:p w14:paraId="577371F2">
            <w:pPr>
              <w:adjustRightInd w:val="0"/>
              <w:snapToGrid w:val="0"/>
              <w:spacing w:line="300" w:lineRule="exact"/>
              <w:jc w:val="center"/>
              <w:rPr>
                <w:rFonts w:hint="eastAsia" w:ascii="宋体" w:hAnsi="宋体" w:cs="宋体"/>
                <w:bCs/>
                <w:szCs w:val="21"/>
              </w:rPr>
            </w:pPr>
          </w:p>
        </w:tc>
        <w:tc>
          <w:tcPr>
            <w:tcW w:w="424" w:type="pct"/>
            <w:vMerge w:val="continue"/>
            <w:vAlign w:val="center"/>
          </w:tcPr>
          <w:p w14:paraId="02E72AFB">
            <w:pPr>
              <w:adjustRightInd w:val="0"/>
              <w:snapToGrid w:val="0"/>
              <w:spacing w:line="300" w:lineRule="exact"/>
              <w:jc w:val="center"/>
              <w:rPr>
                <w:rFonts w:hint="eastAsia" w:ascii="宋体" w:hAnsi="宋体" w:cs="宋体"/>
                <w:bCs/>
                <w:szCs w:val="21"/>
              </w:rPr>
            </w:pPr>
          </w:p>
        </w:tc>
        <w:tc>
          <w:tcPr>
            <w:tcW w:w="385" w:type="pct"/>
            <w:vMerge w:val="continue"/>
            <w:vAlign w:val="center"/>
          </w:tcPr>
          <w:p w14:paraId="79689F65">
            <w:pPr>
              <w:adjustRightInd w:val="0"/>
              <w:snapToGrid w:val="0"/>
              <w:spacing w:line="300" w:lineRule="exact"/>
              <w:jc w:val="center"/>
              <w:rPr>
                <w:rFonts w:hint="eastAsia" w:ascii="宋体" w:hAnsi="宋体" w:cs="宋体"/>
                <w:bCs/>
                <w:szCs w:val="21"/>
              </w:rPr>
            </w:pPr>
          </w:p>
        </w:tc>
        <w:tc>
          <w:tcPr>
            <w:tcW w:w="307" w:type="pct"/>
            <w:vMerge w:val="continue"/>
            <w:vAlign w:val="center"/>
          </w:tcPr>
          <w:p w14:paraId="3DB7D915">
            <w:pPr>
              <w:adjustRightInd w:val="0"/>
              <w:snapToGrid w:val="0"/>
              <w:spacing w:line="300" w:lineRule="exact"/>
              <w:jc w:val="center"/>
              <w:rPr>
                <w:rFonts w:hint="eastAsia" w:ascii="宋体" w:hAnsi="宋体" w:cs="宋体"/>
                <w:bCs/>
                <w:szCs w:val="21"/>
              </w:rPr>
            </w:pPr>
          </w:p>
        </w:tc>
        <w:tc>
          <w:tcPr>
            <w:tcW w:w="364" w:type="pct"/>
            <w:vMerge w:val="continue"/>
            <w:vAlign w:val="center"/>
          </w:tcPr>
          <w:p w14:paraId="6939BB89">
            <w:pPr>
              <w:adjustRightInd w:val="0"/>
              <w:snapToGrid w:val="0"/>
              <w:spacing w:line="300" w:lineRule="exact"/>
              <w:jc w:val="center"/>
              <w:rPr>
                <w:rFonts w:hint="eastAsia" w:ascii="宋体" w:hAnsi="宋体" w:cs="宋体"/>
                <w:bCs/>
                <w:szCs w:val="21"/>
              </w:rPr>
            </w:pPr>
          </w:p>
        </w:tc>
        <w:tc>
          <w:tcPr>
            <w:tcW w:w="304" w:type="pct"/>
            <w:vMerge w:val="continue"/>
            <w:vAlign w:val="center"/>
          </w:tcPr>
          <w:p w14:paraId="66DC74B9">
            <w:pPr>
              <w:adjustRightInd w:val="0"/>
              <w:snapToGrid w:val="0"/>
              <w:spacing w:line="300" w:lineRule="exact"/>
              <w:jc w:val="center"/>
              <w:rPr>
                <w:rFonts w:hint="eastAsia" w:ascii="宋体" w:hAnsi="宋体" w:cs="宋体"/>
                <w:bCs/>
                <w:szCs w:val="21"/>
              </w:rPr>
            </w:pPr>
          </w:p>
        </w:tc>
        <w:tc>
          <w:tcPr>
            <w:tcW w:w="325" w:type="pct"/>
            <w:vAlign w:val="center"/>
          </w:tcPr>
          <w:p w14:paraId="3276C403">
            <w:pPr>
              <w:adjustRightInd w:val="0"/>
              <w:snapToGrid w:val="0"/>
              <w:spacing w:line="300" w:lineRule="exact"/>
              <w:jc w:val="center"/>
              <w:rPr>
                <w:rFonts w:hint="eastAsia" w:ascii="宋体" w:hAnsi="宋体" w:cs="宋体"/>
                <w:bCs/>
                <w:szCs w:val="21"/>
              </w:rPr>
            </w:pPr>
            <w:r>
              <w:rPr>
                <w:rFonts w:hint="eastAsia" w:ascii="宋体" w:hAnsi="宋体" w:cs="宋体"/>
                <w:bCs/>
                <w:szCs w:val="21"/>
              </w:rPr>
              <w:t>燃烧物质</w:t>
            </w:r>
          </w:p>
        </w:tc>
        <w:tc>
          <w:tcPr>
            <w:tcW w:w="464" w:type="pct"/>
            <w:vAlign w:val="center"/>
          </w:tcPr>
          <w:p w14:paraId="114A62A9">
            <w:pPr>
              <w:adjustRightInd w:val="0"/>
              <w:snapToGrid w:val="0"/>
              <w:spacing w:line="300" w:lineRule="exact"/>
              <w:jc w:val="center"/>
              <w:rPr>
                <w:rFonts w:hint="eastAsia" w:ascii="宋体" w:hAnsi="宋体" w:cs="宋体"/>
                <w:bCs/>
                <w:szCs w:val="21"/>
              </w:rPr>
            </w:pPr>
            <w:r>
              <w:rPr>
                <w:rFonts w:hint="eastAsia" w:ascii="宋体" w:hAnsi="宋体" w:cs="宋体"/>
                <w:bCs/>
                <w:szCs w:val="21"/>
              </w:rPr>
              <w:t>燃烧速率（kg</w:t>
            </w:r>
            <w:r>
              <w:rPr>
                <w:rFonts w:ascii="宋体" w:hAnsi="宋体" w:cs="宋体"/>
                <w:bCs/>
                <w:szCs w:val="21"/>
              </w:rPr>
              <w:t>/h</w:t>
            </w:r>
            <w:r>
              <w:rPr>
                <w:rFonts w:hint="eastAsia" w:ascii="宋体" w:hAnsi="宋体" w:cs="宋体"/>
                <w:bCs/>
                <w:szCs w:val="21"/>
              </w:rPr>
              <w:t>）</w:t>
            </w:r>
          </w:p>
        </w:tc>
        <w:tc>
          <w:tcPr>
            <w:tcW w:w="665" w:type="pct"/>
            <w:vAlign w:val="center"/>
          </w:tcPr>
          <w:p w14:paraId="6DB7B061">
            <w:pPr>
              <w:adjustRightInd w:val="0"/>
              <w:snapToGrid w:val="0"/>
              <w:spacing w:line="300" w:lineRule="exact"/>
              <w:jc w:val="center"/>
              <w:rPr>
                <w:rFonts w:hint="eastAsia" w:ascii="宋体" w:hAnsi="宋体" w:cs="宋体"/>
                <w:bCs/>
                <w:szCs w:val="21"/>
              </w:rPr>
            </w:pPr>
            <w:r>
              <w:rPr>
                <w:rFonts w:hint="eastAsia" w:ascii="宋体" w:hAnsi="宋体" w:cs="宋体"/>
                <w:bCs/>
                <w:szCs w:val="21"/>
              </w:rPr>
              <w:t>总热释放速率（cal</w:t>
            </w:r>
            <w:r>
              <w:rPr>
                <w:rFonts w:ascii="宋体" w:hAnsi="宋体" w:cs="宋体"/>
                <w:bCs/>
                <w:szCs w:val="21"/>
              </w:rPr>
              <w:t>/s</w:t>
            </w:r>
            <w:r>
              <w:rPr>
                <w:rFonts w:hint="eastAsia" w:ascii="宋体" w:hAnsi="宋体" w:cs="宋体"/>
                <w:bCs/>
                <w:szCs w:val="21"/>
              </w:rPr>
              <w:t>）</w:t>
            </w:r>
          </w:p>
        </w:tc>
        <w:tc>
          <w:tcPr>
            <w:tcW w:w="424" w:type="pct"/>
            <w:vAlign w:val="center"/>
          </w:tcPr>
          <w:p w14:paraId="3AF661EA">
            <w:pPr>
              <w:adjustRightInd w:val="0"/>
              <w:snapToGrid w:val="0"/>
              <w:spacing w:line="300" w:lineRule="exact"/>
              <w:jc w:val="center"/>
              <w:rPr>
                <w:rFonts w:hint="eastAsia" w:ascii="宋体" w:hAnsi="宋体" w:cs="宋体"/>
                <w:bCs/>
                <w:szCs w:val="21"/>
              </w:rPr>
            </w:pPr>
            <w:r>
              <w:rPr>
                <w:rFonts w:hint="eastAsia" w:ascii="宋体" w:hAnsi="宋体" w:cs="宋体"/>
                <w:bCs/>
                <w:szCs w:val="21"/>
              </w:rPr>
              <w:t>氮氧化物</w:t>
            </w:r>
          </w:p>
        </w:tc>
        <w:tc>
          <w:tcPr>
            <w:tcW w:w="364" w:type="pct"/>
            <w:vAlign w:val="center"/>
          </w:tcPr>
          <w:p w14:paraId="19171E69">
            <w:pPr>
              <w:adjustRightInd w:val="0"/>
              <w:snapToGrid w:val="0"/>
              <w:spacing w:line="300" w:lineRule="exact"/>
              <w:jc w:val="center"/>
              <w:rPr>
                <w:rFonts w:hint="eastAsia" w:ascii="宋体" w:hAnsi="宋体" w:cs="宋体"/>
                <w:bCs/>
                <w:szCs w:val="21"/>
              </w:rPr>
            </w:pPr>
            <w:r>
              <w:rPr>
                <w:rFonts w:hint="eastAsia" w:ascii="宋体" w:hAnsi="宋体" w:cs="宋体"/>
                <w:bCs/>
                <w:szCs w:val="21"/>
              </w:rPr>
              <w:t>二氧化硫</w:t>
            </w:r>
          </w:p>
        </w:tc>
        <w:tc>
          <w:tcPr>
            <w:tcW w:w="484" w:type="pct"/>
            <w:vAlign w:val="center"/>
          </w:tcPr>
          <w:p w14:paraId="26F651CD">
            <w:pPr>
              <w:adjustRightInd w:val="0"/>
              <w:snapToGrid w:val="0"/>
              <w:spacing w:line="300" w:lineRule="exact"/>
              <w:jc w:val="center"/>
              <w:rPr>
                <w:rFonts w:hint="eastAsia" w:ascii="宋体" w:hAnsi="宋体" w:cs="宋体"/>
                <w:bCs/>
                <w:szCs w:val="21"/>
              </w:rPr>
            </w:pPr>
            <w:r>
              <w:rPr>
                <w:rFonts w:hint="eastAsia" w:ascii="宋体" w:hAnsi="宋体" w:cs="宋体"/>
                <w:bCs/>
                <w:szCs w:val="21"/>
              </w:rPr>
              <w:t>颗粒物</w:t>
            </w:r>
          </w:p>
        </w:tc>
      </w:tr>
      <w:tr w14:paraId="503CE8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5" w:type="pct"/>
            <w:vAlign w:val="center"/>
          </w:tcPr>
          <w:p w14:paraId="4F0E114A">
            <w:pPr>
              <w:adjustRightInd w:val="0"/>
              <w:snapToGrid w:val="0"/>
              <w:spacing w:line="300" w:lineRule="exact"/>
              <w:jc w:val="center"/>
              <w:rPr>
                <w:rFonts w:hint="eastAsia" w:ascii="宋体" w:hAnsi="宋体" w:cs="宋体"/>
                <w:bCs/>
                <w:szCs w:val="21"/>
              </w:rPr>
            </w:pPr>
            <w:r>
              <w:rPr>
                <w:rFonts w:hint="eastAsia" w:ascii="宋体" w:hAnsi="宋体" w:cs="宋体"/>
                <w:bCs/>
                <w:szCs w:val="21"/>
              </w:rPr>
              <w:t>放空</w:t>
            </w:r>
          </w:p>
          <w:p w14:paraId="69BA255D">
            <w:pPr>
              <w:adjustRightInd w:val="0"/>
              <w:snapToGrid w:val="0"/>
              <w:spacing w:line="300" w:lineRule="exact"/>
              <w:jc w:val="center"/>
              <w:rPr>
                <w:rFonts w:hint="eastAsia" w:ascii="宋体" w:hAnsi="宋体" w:cs="宋体"/>
                <w:bCs/>
                <w:szCs w:val="21"/>
              </w:rPr>
            </w:pPr>
            <w:r>
              <w:rPr>
                <w:rFonts w:hint="eastAsia" w:ascii="宋体" w:hAnsi="宋体" w:cs="宋体"/>
                <w:bCs/>
                <w:szCs w:val="21"/>
              </w:rPr>
              <w:t>火炬</w:t>
            </w:r>
          </w:p>
        </w:tc>
        <w:tc>
          <w:tcPr>
            <w:tcW w:w="245" w:type="pct"/>
            <w:vAlign w:val="center"/>
          </w:tcPr>
          <w:p w14:paraId="49EB4CE5">
            <w:pPr>
              <w:adjustRightInd w:val="0"/>
              <w:snapToGrid w:val="0"/>
              <w:spacing w:line="300" w:lineRule="exact"/>
              <w:jc w:val="center"/>
              <w:rPr>
                <w:rFonts w:hint="eastAsia" w:ascii="宋体" w:hAnsi="宋体" w:cs="宋体"/>
                <w:bCs/>
                <w:szCs w:val="21"/>
              </w:rPr>
            </w:pPr>
            <w:r>
              <w:rPr>
                <w:rFonts w:hint="eastAsia" w:ascii="宋体" w:hAnsi="宋体" w:cs="宋体"/>
                <w:bCs/>
                <w:szCs w:val="21"/>
              </w:rPr>
              <w:t>599</w:t>
            </w:r>
          </w:p>
        </w:tc>
        <w:tc>
          <w:tcPr>
            <w:tcW w:w="424" w:type="pct"/>
            <w:vAlign w:val="center"/>
          </w:tcPr>
          <w:p w14:paraId="62F1D185">
            <w:pPr>
              <w:adjustRightInd w:val="0"/>
              <w:snapToGrid w:val="0"/>
              <w:spacing w:line="300" w:lineRule="exact"/>
              <w:jc w:val="center"/>
              <w:rPr>
                <w:rFonts w:hint="eastAsia" w:ascii="宋体" w:hAnsi="宋体" w:cs="宋体"/>
                <w:bCs/>
                <w:szCs w:val="21"/>
              </w:rPr>
            </w:pPr>
            <w:r>
              <w:rPr>
                <w:rFonts w:hint="eastAsia" w:ascii="宋体" w:hAnsi="宋体" w:cs="宋体"/>
                <w:bCs/>
                <w:szCs w:val="21"/>
              </w:rPr>
              <w:t>1</w:t>
            </w:r>
            <w:r>
              <w:rPr>
                <w:rFonts w:ascii="宋体" w:hAnsi="宋体" w:cs="宋体"/>
                <w:bCs/>
                <w:szCs w:val="21"/>
              </w:rPr>
              <w:t>0</w:t>
            </w:r>
          </w:p>
        </w:tc>
        <w:tc>
          <w:tcPr>
            <w:tcW w:w="385" w:type="pct"/>
            <w:vAlign w:val="center"/>
          </w:tcPr>
          <w:p w14:paraId="71FFBD78">
            <w:pPr>
              <w:adjustRightInd w:val="0"/>
              <w:snapToGrid w:val="0"/>
              <w:spacing w:line="300" w:lineRule="exact"/>
              <w:jc w:val="center"/>
              <w:rPr>
                <w:rFonts w:hint="eastAsia" w:ascii="宋体" w:hAnsi="宋体" w:cs="宋体"/>
                <w:bCs/>
                <w:szCs w:val="21"/>
              </w:rPr>
            </w:pPr>
            <w:r>
              <w:rPr>
                <w:rFonts w:hint="eastAsia" w:ascii="宋体" w:hAnsi="宋体" w:cs="宋体"/>
                <w:bCs/>
                <w:szCs w:val="21"/>
              </w:rPr>
              <w:t>0</w:t>
            </w:r>
            <w:r>
              <w:rPr>
                <w:rFonts w:ascii="宋体" w:hAnsi="宋体" w:cs="宋体"/>
                <w:bCs/>
                <w:szCs w:val="21"/>
              </w:rPr>
              <w:t>.4</w:t>
            </w:r>
          </w:p>
        </w:tc>
        <w:tc>
          <w:tcPr>
            <w:tcW w:w="307" w:type="pct"/>
            <w:vAlign w:val="center"/>
          </w:tcPr>
          <w:p w14:paraId="7B14A2D8">
            <w:pPr>
              <w:adjustRightInd w:val="0"/>
              <w:snapToGrid w:val="0"/>
              <w:spacing w:line="300" w:lineRule="exact"/>
              <w:jc w:val="center"/>
              <w:rPr>
                <w:rFonts w:hint="eastAsia" w:ascii="宋体" w:hAnsi="宋体" w:cs="宋体"/>
                <w:bCs/>
                <w:szCs w:val="21"/>
              </w:rPr>
            </w:pPr>
            <w:r>
              <w:rPr>
                <w:rFonts w:hint="eastAsia" w:ascii="宋体" w:hAnsi="宋体" w:cs="宋体"/>
                <w:bCs/>
                <w:szCs w:val="21"/>
              </w:rPr>
              <w:t>1</w:t>
            </w:r>
            <w:r>
              <w:rPr>
                <w:rFonts w:ascii="宋体" w:hAnsi="宋体" w:cs="宋体"/>
                <w:bCs/>
                <w:szCs w:val="21"/>
              </w:rPr>
              <w:t>000</w:t>
            </w:r>
          </w:p>
        </w:tc>
        <w:tc>
          <w:tcPr>
            <w:tcW w:w="364" w:type="pct"/>
            <w:vAlign w:val="center"/>
          </w:tcPr>
          <w:p w14:paraId="73C4ABD5">
            <w:pPr>
              <w:adjustRightInd w:val="0"/>
              <w:snapToGrid w:val="0"/>
              <w:spacing w:line="300" w:lineRule="exact"/>
              <w:jc w:val="center"/>
              <w:rPr>
                <w:rFonts w:hint="eastAsia" w:ascii="宋体" w:hAnsi="宋体" w:cs="宋体"/>
                <w:bCs/>
                <w:szCs w:val="21"/>
              </w:rPr>
            </w:pPr>
            <w:r>
              <w:rPr>
                <w:rFonts w:ascii="宋体" w:hAnsi="宋体" w:cs="宋体"/>
                <w:bCs/>
                <w:szCs w:val="21"/>
              </w:rPr>
              <w:t>7920</w:t>
            </w:r>
          </w:p>
        </w:tc>
        <w:tc>
          <w:tcPr>
            <w:tcW w:w="304" w:type="pct"/>
            <w:vAlign w:val="center"/>
          </w:tcPr>
          <w:p w14:paraId="5B00F813">
            <w:pPr>
              <w:adjustRightInd w:val="0"/>
              <w:snapToGrid w:val="0"/>
              <w:spacing w:line="300" w:lineRule="exact"/>
              <w:jc w:val="center"/>
              <w:rPr>
                <w:rFonts w:hint="eastAsia" w:ascii="宋体" w:hAnsi="宋体" w:cs="宋体"/>
                <w:bCs/>
                <w:szCs w:val="21"/>
              </w:rPr>
            </w:pPr>
            <w:r>
              <w:rPr>
                <w:rFonts w:hint="eastAsia" w:ascii="宋体" w:hAnsi="宋体" w:cs="宋体"/>
                <w:bCs/>
                <w:szCs w:val="21"/>
              </w:rPr>
              <w:t>正常工况</w:t>
            </w:r>
          </w:p>
        </w:tc>
        <w:tc>
          <w:tcPr>
            <w:tcW w:w="325" w:type="pct"/>
            <w:vAlign w:val="center"/>
          </w:tcPr>
          <w:p w14:paraId="4F39C7BE">
            <w:pPr>
              <w:adjustRightInd w:val="0"/>
              <w:snapToGrid w:val="0"/>
              <w:spacing w:line="300" w:lineRule="exact"/>
              <w:jc w:val="center"/>
              <w:rPr>
                <w:rFonts w:hint="eastAsia" w:ascii="宋体" w:hAnsi="宋体" w:cs="宋体"/>
                <w:bCs/>
                <w:szCs w:val="21"/>
              </w:rPr>
            </w:pPr>
            <w:r>
              <w:rPr>
                <w:rFonts w:hint="eastAsia" w:ascii="宋体" w:hAnsi="宋体" w:cs="宋体"/>
                <w:bCs/>
                <w:szCs w:val="21"/>
              </w:rPr>
              <w:t>天然气</w:t>
            </w:r>
          </w:p>
        </w:tc>
        <w:tc>
          <w:tcPr>
            <w:tcW w:w="464" w:type="pct"/>
            <w:vAlign w:val="center"/>
          </w:tcPr>
          <w:p w14:paraId="76B0B1DE">
            <w:pPr>
              <w:adjustRightInd w:val="0"/>
              <w:snapToGrid w:val="0"/>
              <w:spacing w:line="300" w:lineRule="exact"/>
              <w:jc w:val="center"/>
              <w:rPr>
                <w:rFonts w:hint="eastAsia" w:ascii="宋体" w:hAnsi="宋体" w:cs="宋体"/>
                <w:bCs/>
                <w:szCs w:val="21"/>
              </w:rPr>
            </w:pPr>
            <w:r>
              <w:rPr>
                <w:rFonts w:hint="eastAsia" w:ascii="宋体" w:hAnsi="宋体" w:cs="宋体"/>
                <w:bCs/>
                <w:szCs w:val="21"/>
              </w:rPr>
              <w:t>34.07</w:t>
            </w:r>
          </w:p>
        </w:tc>
        <w:tc>
          <w:tcPr>
            <w:tcW w:w="665" w:type="pct"/>
            <w:vAlign w:val="center"/>
          </w:tcPr>
          <w:p w14:paraId="73A4766D">
            <w:pPr>
              <w:adjustRightInd w:val="0"/>
              <w:snapToGrid w:val="0"/>
              <w:spacing w:line="300" w:lineRule="exact"/>
              <w:jc w:val="center"/>
              <w:rPr>
                <w:rFonts w:hint="eastAsia" w:ascii="宋体" w:hAnsi="宋体" w:cs="宋体"/>
                <w:bCs/>
                <w:szCs w:val="21"/>
              </w:rPr>
            </w:pPr>
            <w:r>
              <w:rPr>
                <w:rFonts w:hint="eastAsia" w:ascii="宋体" w:hAnsi="宋体" w:cs="宋体"/>
                <w:bCs/>
                <w:szCs w:val="21"/>
              </w:rPr>
              <w:t>80450</w:t>
            </w:r>
          </w:p>
        </w:tc>
        <w:tc>
          <w:tcPr>
            <w:tcW w:w="424" w:type="pct"/>
            <w:vAlign w:val="center"/>
          </w:tcPr>
          <w:p w14:paraId="07601947">
            <w:pPr>
              <w:adjustRightInd w:val="0"/>
              <w:snapToGrid w:val="0"/>
              <w:spacing w:line="300" w:lineRule="exact"/>
              <w:jc w:val="center"/>
              <w:rPr>
                <w:rFonts w:hint="eastAsia" w:ascii="宋体" w:hAnsi="宋体" w:cs="宋体"/>
                <w:bCs/>
                <w:szCs w:val="21"/>
              </w:rPr>
            </w:pPr>
            <w:r>
              <w:rPr>
                <w:rFonts w:hint="eastAsia" w:ascii="宋体" w:hAnsi="宋体" w:cs="宋体"/>
                <w:bCs/>
                <w:szCs w:val="21"/>
              </w:rPr>
              <w:t>0.475</w:t>
            </w:r>
          </w:p>
        </w:tc>
        <w:tc>
          <w:tcPr>
            <w:tcW w:w="364" w:type="pct"/>
            <w:vAlign w:val="center"/>
          </w:tcPr>
          <w:p w14:paraId="0CB67F01">
            <w:pPr>
              <w:adjustRightInd w:val="0"/>
              <w:snapToGrid w:val="0"/>
              <w:spacing w:line="300" w:lineRule="exact"/>
              <w:jc w:val="center"/>
              <w:rPr>
                <w:rFonts w:hint="eastAsia" w:ascii="宋体" w:hAnsi="宋体" w:cs="宋体"/>
                <w:bCs/>
                <w:szCs w:val="21"/>
              </w:rPr>
            </w:pPr>
            <w:r>
              <w:rPr>
                <w:rFonts w:hint="eastAsia" w:ascii="宋体" w:hAnsi="宋体" w:cs="宋体"/>
                <w:bCs/>
                <w:szCs w:val="21"/>
              </w:rPr>
              <w:t>0.05</w:t>
            </w:r>
          </w:p>
        </w:tc>
        <w:tc>
          <w:tcPr>
            <w:tcW w:w="484" w:type="pct"/>
            <w:vAlign w:val="center"/>
          </w:tcPr>
          <w:p w14:paraId="50330468">
            <w:pPr>
              <w:adjustRightInd w:val="0"/>
              <w:snapToGrid w:val="0"/>
              <w:spacing w:line="300" w:lineRule="exact"/>
              <w:jc w:val="center"/>
              <w:rPr>
                <w:rFonts w:hint="eastAsia" w:ascii="宋体" w:hAnsi="宋体" w:cs="宋体"/>
                <w:bCs/>
                <w:szCs w:val="21"/>
              </w:rPr>
            </w:pPr>
            <w:r>
              <w:rPr>
                <w:rFonts w:hint="eastAsia" w:ascii="宋体" w:hAnsi="宋体" w:cs="宋体"/>
                <w:bCs/>
                <w:szCs w:val="21"/>
              </w:rPr>
              <w:t>0.0375</w:t>
            </w:r>
          </w:p>
        </w:tc>
      </w:tr>
    </w:tbl>
    <w:p w14:paraId="3BE081C3">
      <w:pPr>
        <w:pStyle w:val="117"/>
        <w:ind w:firstLine="480"/>
        <w:rPr>
          <w:rFonts w:hint="eastAsia"/>
        </w:rPr>
      </w:pPr>
      <w:r>
        <w:rPr>
          <w:rFonts w:hint="eastAsia"/>
        </w:rPr>
        <w:t>（6）预测结果</w:t>
      </w:r>
    </w:p>
    <w:p w14:paraId="05729A52">
      <w:pPr>
        <w:pStyle w:val="117"/>
        <w:ind w:firstLine="480"/>
        <w:rPr>
          <w:rFonts w:hint="eastAsia"/>
        </w:rPr>
      </w:pPr>
      <w:r>
        <w:rPr>
          <w:rFonts w:hint="eastAsia"/>
        </w:rPr>
        <w:t>预测结果详见表</w:t>
      </w:r>
      <w:r>
        <w:t>5.2</w:t>
      </w:r>
      <w:r>
        <w:rPr>
          <w:rFonts w:hint="eastAsia"/>
        </w:rPr>
        <w:t>-6和表5.2-7。</w:t>
      </w:r>
      <w:bookmarkEnd w:id="509"/>
      <w:bookmarkStart w:id="513" w:name="_Hlk129688515"/>
    </w:p>
    <w:p w14:paraId="425A8166">
      <w:pPr>
        <w:pStyle w:val="117"/>
        <w:ind w:firstLine="0" w:firstLineChars="0"/>
        <w:jc w:val="center"/>
        <w:rPr>
          <w:rFonts w:hint="eastAsia" w:ascii="黑体" w:hAnsi="黑体" w:eastAsia="黑体"/>
          <w:sz w:val="21"/>
          <w:szCs w:val="21"/>
        </w:rPr>
      </w:pPr>
      <w:r>
        <w:rPr>
          <w:rFonts w:hint="eastAsia" w:ascii="黑体" w:hAnsi="黑体" w:eastAsia="黑体"/>
          <w:sz w:val="21"/>
          <w:szCs w:val="21"/>
        </w:rPr>
        <w:t>表5</w:t>
      </w:r>
      <w:r>
        <w:rPr>
          <w:rFonts w:ascii="黑体" w:hAnsi="黑体" w:eastAsia="黑体"/>
          <w:sz w:val="21"/>
          <w:szCs w:val="21"/>
        </w:rPr>
        <w:t>.2</w:t>
      </w:r>
      <w:r>
        <w:rPr>
          <w:rFonts w:hint="eastAsia" w:ascii="黑体" w:hAnsi="黑体" w:eastAsia="黑体"/>
          <w:sz w:val="21"/>
          <w:szCs w:val="21"/>
        </w:rPr>
        <w:t xml:space="preserve">-6 </w:t>
      </w:r>
      <w:r>
        <w:rPr>
          <w:rFonts w:ascii="黑体" w:hAnsi="黑体" w:eastAsia="黑体"/>
          <w:sz w:val="21"/>
          <w:szCs w:val="21"/>
        </w:rPr>
        <w:t xml:space="preserve"> </w:t>
      </w:r>
      <w:r>
        <w:rPr>
          <w:rFonts w:hint="eastAsia" w:ascii="黑体" w:hAnsi="黑体" w:eastAsia="黑体"/>
          <w:sz w:val="21"/>
          <w:szCs w:val="21"/>
        </w:rPr>
        <w:t>预测结果一览表</w:t>
      </w:r>
    </w:p>
    <w:bookmarkEnd w:id="513"/>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2"/>
        <w:gridCol w:w="1018"/>
        <w:gridCol w:w="727"/>
        <w:gridCol w:w="870"/>
        <w:gridCol w:w="730"/>
        <w:gridCol w:w="961"/>
        <w:gridCol w:w="1130"/>
        <w:gridCol w:w="758"/>
        <w:gridCol w:w="1130"/>
        <w:gridCol w:w="750"/>
      </w:tblGrid>
      <w:tr w14:paraId="55CA3B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56" w:type="pct"/>
            <w:gridSpan w:val="5"/>
            <w:vAlign w:val="center"/>
          </w:tcPr>
          <w:p w14:paraId="2693E50B">
            <w:pPr>
              <w:pStyle w:val="278"/>
              <w:adjustRightInd w:val="0"/>
              <w:snapToGrid w:val="0"/>
              <w:spacing w:line="300" w:lineRule="exact"/>
              <w:rPr>
                <w:rFonts w:hint="eastAsia"/>
              </w:rPr>
            </w:pPr>
            <w:r>
              <w:rPr>
                <w:rFonts w:hint="eastAsia"/>
              </w:rPr>
              <w:t>一期工程</w:t>
            </w:r>
          </w:p>
        </w:tc>
        <w:tc>
          <w:tcPr>
            <w:tcW w:w="2644" w:type="pct"/>
            <w:gridSpan w:val="5"/>
            <w:vAlign w:val="center"/>
          </w:tcPr>
          <w:p w14:paraId="4BF6A2FC">
            <w:pPr>
              <w:pStyle w:val="278"/>
              <w:adjustRightInd w:val="0"/>
              <w:snapToGrid w:val="0"/>
              <w:spacing w:line="300" w:lineRule="exact"/>
              <w:rPr>
                <w:rFonts w:hint="eastAsia"/>
              </w:rPr>
            </w:pPr>
            <w:r>
              <w:rPr>
                <w:rFonts w:hint="eastAsia"/>
              </w:rPr>
              <w:t>二期工程</w:t>
            </w:r>
          </w:p>
        </w:tc>
      </w:tr>
      <w:tr w14:paraId="34A883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62" w:type="pct"/>
            <w:gridSpan w:val="3"/>
            <w:vAlign w:val="center"/>
          </w:tcPr>
          <w:p w14:paraId="0A09CA74">
            <w:pPr>
              <w:pStyle w:val="278"/>
              <w:adjustRightInd w:val="0"/>
              <w:snapToGrid w:val="0"/>
              <w:spacing w:line="300" w:lineRule="exact"/>
              <w:rPr>
                <w:rFonts w:hint="eastAsia"/>
              </w:rPr>
            </w:pPr>
            <w:r>
              <w:rPr>
                <w:rFonts w:hint="eastAsia"/>
              </w:rPr>
              <w:t>非甲烷总烃</w:t>
            </w:r>
          </w:p>
        </w:tc>
        <w:tc>
          <w:tcPr>
            <w:tcW w:w="894" w:type="pct"/>
            <w:gridSpan w:val="2"/>
            <w:vAlign w:val="center"/>
          </w:tcPr>
          <w:p w14:paraId="61E52FFF">
            <w:pPr>
              <w:pStyle w:val="278"/>
              <w:adjustRightInd w:val="0"/>
              <w:snapToGrid w:val="0"/>
              <w:spacing w:line="300" w:lineRule="exact"/>
              <w:rPr>
                <w:rFonts w:hint="eastAsia"/>
              </w:rPr>
            </w:pPr>
            <w:r>
              <w:rPr>
                <w:rFonts w:hint="eastAsia"/>
              </w:rPr>
              <w:t>硫化氢</w:t>
            </w:r>
          </w:p>
        </w:tc>
        <w:tc>
          <w:tcPr>
            <w:tcW w:w="1593" w:type="pct"/>
            <w:gridSpan w:val="3"/>
            <w:vAlign w:val="center"/>
          </w:tcPr>
          <w:p w14:paraId="41F92B04">
            <w:pPr>
              <w:pStyle w:val="278"/>
              <w:adjustRightInd w:val="0"/>
              <w:snapToGrid w:val="0"/>
              <w:spacing w:line="300" w:lineRule="exact"/>
              <w:rPr>
                <w:rFonts w:hint="eastAsia"/>
              </w:rPr>
            </w:pPr>
            <w:r>
              <w:rPr>
                <w:rFonts w:hint="eastAsia"/>
              </w:rPr>
              <w:t>非甲烷总烃</w:t>
            </w:r>
          </w:p>
        </w:tc>
        <w:tc>
          <w:tcPr>
            <w:tcW w:w="1051" w:type="pct"/>
            <w:gridSpan w:val="2"/>
            <w:vAlign w:val="center"/>
          </w:tcPr>
          <w:p w14:paraId="7704159D">
            <w:pPr>
              <w:pStyle w:val="278"/>
              <w:adjustRightInd w:val="0"/>
              <w:snapToGrid w:val="0"/>
              <w:spacing w:line="300" w:lineRule="exact"/>
              <w:rPr>
                <w:rFonts w:hint="eastAsia"/>
              </w:rPr>
            </w:pPr>
            <w:r>
              <w:rPr>
                <w:rFonts w:hint="eastAsia"/>
              </w:rPr>
              <w:t>硫化氢</w:t>
            </w:r>
          </w:p>
        </w:tc>
      </w:tr>
      <w:tr w14:paraId="6286B8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3C90C7C5">
            <w:pPr>
              <w:pStyle w:val="278"/>
              <w:adjustRightInd w:val="0"/>
              <w:snapToGrid w:val="0"/>
              <w:spacing w:line="300" w:lineRule="exact"/>
              <w:rPr>
                <w:rFonts w:hint="eastAsia"/>
              </w:rPr>
            </w:pPr>
            <w:r>
              <w:rPr>
                <w:rFonts w:hint="eastAsia"/>
              </w:rPr>
              <w:t>离源距离/m</w:t>
            </w:r>
          </w:p>
        </w:tc>
        <w:tc>
          <w:tcPr>
            <w:tcW w:w="569" w:type="pct"/>
            <w:vAlign w:val="center"/>
          </w:tcPr>
          <w:p w14:paraId="194C9CF5">
            <w:pPr>
              <w:pStyle w:val="278"/>
              <w:adjustRightInd w:val="0"/>
              <w:snapToGrid w:val="0"/>
              <w:spacing w:line="300" w:lineRule="exact"/>
              <w:rPr>
                <w:rFonts w:hint="eastAsia"/>
              </w:rPr>
            </w:pPr>
            <w:r>
              <w:rPr>
                <w:rFonts w:hint="eastAsia"/>
              </w:rPr>
              <w:t>浓度/u</w:t>
            </w:r>
            <w:r>
              <w:t>g/m</w:t>
            </w:r>
            <w:r>
              <w:rPr>
                <w:vertAlign w:val="superscript"/>
              </w:rPr>
              <w:t>3</w:t>
            </w:r>
          </w:p>
        </w:tc>
        <w:tc>
          <w:tcPr>
            <w:tcW w:w="406" w:type="pct"/>
            <w:vAlign w:val="center"/>
          </w:tcPr>
          <w:p w14:paraId="2B2E30A2">
            <w:pPr>
              <w:pStyle w:val="278"/>
              <w:adjustRightInd w:val="0"/>
              <w:snapToGrid w:val="0"/>
              <w:spacing w:line="300" w:lineRule="exact"/>
              <w:rPr>
                <w:rFonts w:hint="eastAsia"/>
              </w:rPr>
            </w:pPr>
            <w:r>
              <w:rPr>
                <w:rFonts w:hint="eastAsia"/>
              </w:rPr>
              <w:t>占标率/%</w:t>
            </w:r>
          </w:p>
        </w:tc>
        <w:tc>
          <w:tcPr>
            <w:tcW w:w="486" w:type="pct"/>
            <w:vAlign w:val="center"/>
          </w:tcPr>
          <w:p w14:paraId="46605E4A">
            <w:pPr>
              <w:pStyle w:val="278"/>
              <w:adjustRightInd w:val="0"/>
              <w:snapToGrid w:val="0"/>
              <w:spacing w:line="300" w:lineRule="exact"/>
              <w:rPr>
                <w:rFonts w:hint="eastAsia"/>
              </w:rPr>
            </w:pPr>
            <w:r>
              <w:rPr>
                <w:rFonts w:hint="eastAsia"/>
              </w:rPr>
              <w:t>浓度/u</w:t>
            </w:r>
            <w:r>
              <w:t>g/m</w:t>
            </w:r>
            <w:r>
              <w:rPr>
                <w:vertAlign w:val="superscript"/>
              </w:rPr>
              <w:t>3</w:t>
            </w:r>
          </w:p>
        </w:tc>
        <w:tc>
          <w:tcPr>
            <w:tcW w:w="408" w:type="pct"/>
            <w:vAlign w:val="center"/>
          </w:tcPr>
          <w:p w14:paraId="7A0E1AC4">
            <w:pPr>
              <w:pStyle w:val="278"/>
              <w:adjustRightInd w:val="0"/>
              <w:snapToGrid w:val="0"/>
              <w:spacing w:line="300" w:lineRule="exact"/>
              <w:rPr>
                <w:rFonts w:hint="eastAsia"/>
              </w:rPr>
            </w:pPr>
            <w:r>
              <w:rPr>
                <w:rFonts w:hint="eastAsia"/>
              </w:rPr>
              <w:t>占标率/%</w:t>
            </w:r>
          </w:p>
        </w:tc>
        <w:tc>
          <w:tcPr>
            <w:tcW w:w="537" w:type="pct"/>
            <w:vAlign w:val="center"/>
          </w:tcPr>
          <w:p w14:paraId="0A25C1E6">
            <w:pPr>
              <w:pStyle w:val="278"/>
              <w:adjustRightInd w:val="0"/>
              <w:snapToGrid w:val="0"/>
              <w:spacing w:line="300" w:lineRule="exact"/>
              <w:rPr>
                <w:rFonts w:hint="eastAsia"/>
              </w:rPr>
            </w:pPr>
            <w:r>
              <w:rPr>
                <w:rFonts w:hint="eastAsia"/>
              </w:rPr>
              <w:t>离源距离/m</w:t>
            </w:r>
          </w:p>
        </w:tc>
        <w:tc>
          <w:tcPr>
            <w:tcW w:w="632" w:type="pct"/>
            <w:vAlign w:val="center"/>
          </w:tcPr>
          <w:p w14:paraId="658C4F39">
            <w:pPr>
              <w:pStyle w:val="278"/>
              <w:adjustRightInd w:val="0"/>
              <w:snapToGrid w:val="0"/>
              <w:spacing w:line="300" w:lineRule="exact"/>
              <w:rPr>
                <w:rFonts w:hint="eastAsia"/>
              </w:rPr>
            </w:pPr>
            <w:r>
              <w:rPr>
                <w:rFonts w:hint="eastAsia"/>
              </w:rPr>
              <w:t>浓度/u</w:t>
            </w:r>
            <w:r>
              <w:t>g/m</w:t>
            </w:r>
            <w:r>
              <w:rPr>
                <w:vertAlign w:val="superscript"/>
              </w:rPr>
              <w:t>3</w:t>
            </w:r>
          </w:p>
        </w:tc>
        <w:tc>
          <w:tcPr>
            <w:tcW w:w="424" w:type="pct"/>
            <w:vAlign w:val="center"/>
          </w:tcPr>
          <w:p w14:paraId="52C82029">
            <w:pPr>
              <w:pStyle w:val="278"/>
              <w:adjustRightInd w:val="0"/>
              <w:snapToGrid w:val="0"/>
              <w:spacing w:line="300" w:lineRule="exact"/>
              <w:rPr>
                <w:rFonts w:hint="eastAsia"/>
              </w:rPr>
            </w:pPr>
            <w:r>
              <w:rPr>
                <w:rFonts w:hint="eastAsia"/>
              </w:rPr>
              <w:t>占标率/%</w:t>
            </w:r>
          </w:p>
        </w:tc>
        <w:tc>
          <w:tcPr>
            <w:tcW w:w="632" w:type="pct"/>
            <w:vAlign w:val="center"/>
          </w:tcPr>
          <w:p w14:paraId="3B1F2B93">
            <w:pPr>
              <w:pStyle w:val="278"/>
              <w:adjustRightInd w:val="0"/>
              <w:snapToGrid w:val="0"/>
              <w:spacing w:line="300" w:lineRule="exact"/>
              <w:rPr>
                <w:rFonts w:hint="eastAsia"/>
              </w:rPr>
            </w:pPr>
            <w:r>
              <w:rPr>
                <w:rFonts w:hint="eastAsia"/>
              </w:rPr>
              <w:t>浓度/u</w:t>
            </w:r>
            <w:r>
              <w:t>g/m</w:t>
            </w:r>
            <w:r>
              <w:rPr>
                <w:vertAlign w:val="superscript"/>
              </w:rPr>
              <w:t>3</w:t>
            </w:r>
          </w:p>
        </w:tc>
        <w:tc>
          <w:tcPr>
            <w:tcW w:w="419" w:type="pct"/>
            <w:vAlign w:val="center"/>
          </w:tcPr>
          <w:p w14:paraId="35D77CB8">
            <w:pPr>
              <w:pStyle w:val="278"/>
              <w:adjustRightInd w:val="0"/>
              <w:snapToGrid w:val="0"/>
              <w:spacing w:line="300" w:lineRule="exact"/>
              <w:rPr>
                <w:rFonts w:hint="eastAsia"/>
              </w:rPr>
            </w:pPr>
            <w:r>
              <w:rPr>
                <w:rFonts w:hint="eastAsia"/>
              </w:rPr>
              <w:t>占标率/%</w:t>
            </w:r>
          </w:p>
        </w:tc>
      </w:tr>
      <w:tr w14:paraId="1D4523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3FCDA561">
            <w:pPr>
              <w:pStyle w:val="278"/>
              <w:adjustRightInd w:val="0"/>
              <w:snapToGrid w:val="0"/>
              <w:spacing w:line="300" w:lineRule="exact"/>
              <w:rPr>
                <w:rFonts w:hint="eastAsia"/>
              </w:rPr>
            </w:pPr>
            <w:r>
              <w:rPr>
                <w:rFonts w:hint="eastAsia"/>
              </w:rPr>
              <w:t>10</w:t>
            </w:r>
          </w:p>
        </w:tc>
        <w:tc>
          <w:tcPr>
            <w:tcW w:w="569" w:type="pct"/>
            <w:vAlign w:val="center"/>
          </w:tcPr>
          <w:p w14:paraId="4F4E4C6F">
            <w:pPr>
              <w:pStyle w:val="278"/>
              <w:adjustRightInd w:val="0"/>
              <w:snapToGrid w:val="0"/>
              <w:spacing w:line="300" w:lineRule="exact"/>
              <w:rPr>
                <w:rFonts w:hint="eastAsia"/>
              </w:rPr>
            </w:pPr>
            <w:r>
              <w:rPr>
                <w:rFonts w:hint="eastAsia"/>
              </w:rPr>
              <w:t>86.299</w:t>
            </w:r>
          </w:p>
        </w:tc>
        <w:tc>
          <w:tcPr>
            <w:tcW w:w="406" w:type="pct"/>
            <w:vAlign w:val="center"/>
          </w:tcPr>
          <w:p w14:paraId="09D72222">
            <w:pPr>
              <w:pStyle w:val="278"/>
              <w:adjustRightInd w:val="0"/>
              <w:snapToGrid w:val="0"/>
              <w:spacing w:line="300" w:lineRule="exact"/>
              <w:rPr>
                <w:rFonts w:hint="eastAsia"/>
              </w:rPr>
            </w:pPr>
            <w:r>
              <w:rPr>
                <w:rFonts w:hint="eastAsia"/>
              </w:rPr>
              <w:t>4.31</w:t>
            </w:r>
          </w:p>
        </w:tc>
        <w:tc>
          <w:tcPr>
            <w:tcW w:w="486" w:type="pct"/>
            <w:vAlign w:val="center"/>
          </w:tcPr>
          <w:p w14:paraId="4AACE888">
            <w:pPr>
              <w:pStyle w:val="278"/>
              <w:adjustRightInd w:val="0"/>
              <w:snapToGrid w:val="0"/>
              <w:spacing w:line="300" w:lineRule="exact"/>
              <w:rPr>
                <w:rFonts w:hint="eastAsia"/>
              </w:rPr>
            </w:pPr>
            <w:r>
              <w:rPr>
                <w:rFonts w:hint="eastAsia"/>
              </w:rPr>
              <w:t>0.0169</w:t>
            </w:r>
          </w:p>
        </w:tc>
        <w:tc>
          <w:tcPr>
            <w:tcW w:w="408" w:type="pct"/>
            <w:vAlign w:val="center"/>
          </w:tcPr>
          <w:p w14:paraId="666176F4">
            <w:pPr>
              <w:pStyle w:val="278"/>
              <w:adjustRightInd w:val="0"/>
              <w:snapToGrid w:val="0"/>
              <w:spacing w:line="300" w:lineRule="exact"/>
              <w:rPr>
                <w:rFonts w:hint="eastAsia"/>
              </w:rPr>
            </w:pPr>
            <w:r>
              <w:rPr>
                <w:rFonts w:hint="eastAsia"/>
              </w:rPr>
              <w:t>0.17</w:t>
            </w:r>
          </w:p>
        </w:tc>
        <w:tc>
          <w:tcPr>
            <w:tcW w:w="537" w:type="pct"/>
            <w:vAlign w:val="center"/>
          </w:tcPr>
          <w:p w14:paraId="34B96E02">
            <w:pPr>
              <w:pStyle w:val="278"/>
              <w:adjustRightInd w:val="0"/>
              <w:snapToGrid w:val="0"/>
              <w:spacing w:line="300" w:lineRule="exact"/>
              <w:rPr>
                <w:rFonts w:hint="eastAsia"/>
              </w:rPr>
            </w:pPr>
            <w:r>
              <w:rPr>
                <w:rFonts w:hint="eastAsia"/>
              </w:rPr>
              <w:t>10</w:t>
            </w:r>
          </w:p>
        </w:tc>
        <w:tc>
          <w:tcPr>
            <w:tcW w:w="632" w:type="pct"/>
            <w:vAlign w:val="center"/>
          </w:tcPr>
          <w:p w14:paraId="48BE2555">
            <w:pPr>
              <w:pStyle w:val="278"/>
              <w:adjustRightInd w:val="0"/>
              <w:snapToGrid w:val="0"/>
              <w:spacing w:line="300" w:lineRule="exact"/>
              <w:rPr>
                <w:rFonts w:hint="eastAsia"/>
              </w:rPr>
            </w:pPr>
            <w:r>
              <w:rPr>
                <w:rFonts w:hint="eastAsia"/>
              </w:rPr>
              <w:t>17.2600</w:t>
            </w:r>
          </w:p>
        </w:tc>
        <w:tc>
          <w:tcPr>
            <w:tcW w:w="424" w:type="pct"/>
            <w:vAlign w:val="center"/>
          </w:tcPr>
          <w:p w14:paraId="41AB0937">
            <w:pPr>
              <w:pStyle w:val="278"/>
              <w:adjustRightInd w:val="0"/>
              <w:snapToGrid w:val="0"/>
              <w:spacing w:line="300" w:lineRule="exact"/>
              <w:rPr>
                <w:rFonts w:hint="eastAsia"/>
              </w:rPr>
            </w:pPr>
            <w:r>
              <w:rPr>
                <w:rFonts w:hint="eastAsia"/>
              </w:rPr>
              <w:t>0.86</w:t>
            </w:r>
          </w:p>
        </w:tc>
        <w:tc>
          <w:tcPr>
            <w:tcW w:w="632" w:type="pct"/>
            <w:vAlign w:val="center"/>
          </w:tcPr>
          <w:p w14:paraId="3FAA7348">
            <w:pPr>
              <w:pStyle w:val="278"/>
              <w:adjustRightInd w:val="0"/>
              <w:snapToGrid w:val="0"/>
              <w:spacing w:line="300" w:lineRule="exact"/>
              <w:rPr>
                <w:rFonts w:hint="eastAsia"/>
              </w:rPr>
            </w:pPr>
            <w:r>
              <w:rPr>
                <w:rFonts w:hint="eastAsia"/>
              </w:rPr>
              <w:t>0.0169</w:t>
            </w:r>
          </w:p>
        </w:tc>
        <w:tc>
          <w:tcPr>
            <w:tcW w:w="419" w:type="pct"/>
            <w:vAlign w:val="center"/>
          </w:tcPr>
          <w:p w14:paraId="091568FA">
            <w:pPr>
              <w:pStyle w:val="278"/>
              <w:adjustRightInd w:val="0"/>
              <w:snapToGrid w:val="0"/>
              <w:spacing w:line="300" w:lineRule="exact"/>
              <w:rPr>
                <w:rFonts w:hint="eastAsia"/>
              </w:rPr>
            </w:pPr>
            <w:r>
              <w:rPr>
                <w:rFonts w:hint="eastAsia"/>
              </w:rPr>
              <w:t>0.17</w:t>
            </w:r>
          </w:p>
        </w:tc>
      </w:tr>
      <w:tr w14:paraId="22E8F9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00788B50">
            <w:pPr>
              <w:pStyle w:val="278"/>
              <w:adjustRightInd w:val="0"/>
              <w:snapToGrid w:val="0"/>
              <w:spacing w:line="300" w:lineRule="exact"/>
              <w:rPr>
                <w:rFonts w:hint="eastAsia"/>
              </w:rPr>
            </w:pPr>
            <w:r>
              <w:rPr>
                <w:rFonts w:hint="eastAsia"/>
              </w:rPr>
              <w:t>100</w:t>
            </w:r>
          </w:p>
        </w:tc>
        <w:tc>
          <w:tcPr>
            <w:tcW w:w="569" w:type="pct"/>
            <w:vAlign w:val="center"/>
          </w:tcPr>
          <w:p w14:paraId="2B852F64">
            <w:pPr>
              <w:pStyle w:val="278"/>
              <w:adjustRightInd w:val="0"/>
              <w:snapToGrid w:val="0"/>
              <w:spacing w:line="300" w:lineRule="exact"/>
              <w:rPr>
                <w:rFonts w:hint="eastAsia"/>
              </w:rPr>
            </w:pPr>
            <w:r>
              <w:rPr>
                <w:rFonts w:hint="eastAsia"/>
              </w:rPr>
              <w:t>162.97</w:t>
            </w:r>
          </w:p>
        </w:tc>
        <w:tc>
          <w:tcPr>
            <w:tcW w:w="406" w:type="pct"/>
            <w:vAlign w:val="center"/>
          </w:tcPr>
          <w:p w14:paraId="2F77D311">
            <w:pPr>
              <w:pStyle w:val="278"/>
              <w:adjustRightInd w:val="0"/>
              <w:snapToGrid w:val="0"/>
              <w:spacing w:line="300" w:lineRule="exact"/>
              <w:rPr>
                <w:rFonts w:hint="eastAsia"/>
              </w:rPr>
            </w:pPr>
            <w:r>
              <w:rPr>
                <w:rFonts w:hint="eastAsia"/>
              </w:rPr>
              <w:t>8.15</w:t>
            </w:r>
          </w:p>
        </w:tc>
        <w:tc>
          <w:tcPr>
            <w:tcW w:w="486" w:type="pct"/>
            <w:vAlign w:val="center"/>
          </w:tcPr>
          <w:p w14:paraId="08A7A295">
            <w:pPr>
              <w:pStyle w:val="278"/>
              <w:adjustRightInd w:val="0"/>
              <w:snapToGrid w:val="0"/>
              <w:spacing w:line="300" w:lineRule="exact"/>
              <w:rPr>
                <w:rFonts w:hint="eastAsia"/>
              </w:rPr>
            </w:pPr>
            <w:r>
              <w:rPr>
                <w:rFonts w:hint="eastAsia"/>
              </w:rPr>
              <w:t>0.0319</w:t>
            </w:r>
          </w:p>
        </w:tc>
        <w:tc>
          <w:tcPr>
            <w:tcW w:w="408" w:type="pct"/>
            <w:vAlign w:val="center"/>
          </w:tcPr>
          <w:p w14:paraId="2214D59E">
            <w:pPr>
              <w:pStyle w:val="278"/>
              <w:adjustRightInd w:val="0"/>
              <w:snapToGrid w:val="0"/>
              <w:spacing w:line="300" w:lineRule="exact"/>
              <w:rPr>
                <w:rFonts w:hint="eastAsia"/>
              </w:rPr>
            </w:pPr>
            <w:r>
              <w:rPr>
                <w:rFonts w:hint="eastAsia"/>
              </w:rPr>
              <w:t>0.32</w:t>
            </w:r>
          </w:p>
        </w:tc>
        <w:tc>
          <w:tcPr>
            <w:tcW w:w="537" w:type="pct"/>
            <w:vAlign w:val="center"/>
          </w:tcPr>
          <w:p w14:paraId="7B2A663F">
            <w:pPr>
              <w:pStyle w:val="278"/>
              <w:adjustRightInd w:val="0"/>
              <w:snapToGrid w:val="0"/>
              <w:spacing w:line="300" w:lineRule="exact"/>
              <w:rPr>
                <w:rFonts w:hint="eastAsia"/>
              </w:rPr>
            </w:pPr>
            <w:r>
              <w:rPr>
                <w:rFonts w:hint="eastAsia"/>
              </w:rPr>
              <w:t>100</w:t>
            </w:r>
          </w:p>
        </w:tc>
        <w:tc>
          <w:tcPr>
            <w:tcW w:w="632" w:type="pct"/>
            <w:vAlign w:val="center"/>
          </w:tcPr>
          <w:p w14:paraId="24A1774C">
            <w:pPr>
              <w:pStyle w:val="278"/>
              <w:adjustRightInd w:val="0"/>
              <w:snapToGrid w:val="0"/>
              <w:spacing w:line="300" w:lineRule="exact"/>
              <w:rPr>
                <w:rFonts w:hint="eastAsia"/>
              </w:rPr>
            </w:pPr>
            <w:r>
              <w:rPr>
                <w:rFonts w:hint="eastAsia"/>
              </w:rPr>
              <w:t>32.5940</w:t>
            </w:r>
          </w:p>
        </w:tc>
        <w:tc>
          <w:tcPr>
            <w:tcW w:w="424" w:type="pct"/>
            <w:vAlign w:val="center"/>
          </w:tcPr>
          <w:p w14:paraId="616A748D">
            <w:pPr>
              <w:pStyle w:val="278"/>
              <w:adjustRightInd w:val="0"/>
              <w:snapToGrid w:val="0"/>
              <w:spacing w:line="300" w:lineRule="exact"/>
              <w:rPr>
                <w:rFonts w:hint="eastAsia"/>
              </w:rPr>
            </w:pPr>
            <w:r>
              <w:rPr>
                <w:rFonts w:hint="eastAsia"/>
              </w:rPr>
              <w:t>1.63</w:t>
            </w:r>
          </w:p>
        </w:tc>
        <w:tc>
          <w:tcPr>
            <w:tcW w:w="632" w:type="pct"/>
            <w:vAlign w:val="center"/>
          </w:tcPr>
          <w:p w14:paraId="0A50151C">
            <w:pPr>
              <w:pStyle w:val="278"/>
              <w:adjustRightInd w:val="0"/>
              <w:snapToGrid w:val="0"/>
              <w:spacing w:line="300" w:lineRule="exact"/>
              <w:rPr>
                <w:rFonts w:hint="eastAsia"/>
              </w:rPr>
            </w:pPr>
            <w:r>
              <w:rPr>
                <w:rFonts w:hint="eastAsia"/>
              </w:rPr>
              <w:t>0.0319</w:t>
            </w:r>
          </w:p>
        </w:tc>
        <w:tc>
          <w:tcPr>
            <w:tcW w:w="419" w:type="pct"/>
            <w:vAlign w:val="center"/>
          </w:tcPr>
          <w:p w14:paraId="3D468AFE">
            <w:pPr>
              <w:pStyle w:val="278"/>
              <w:adjustRightInd w:val="0"/>
              <w:snapToGrid w:val="0"/>
              <w:spacing w:line="300" w:lineRule="exact"/>
              <w:rPr>
                <w:rFonts w:hint="eastAsia"/>
              </w:rPr>
            </w:pPr>
            <w:r>
              <w:rPr>
                <w:rFonts w:hint="eastAsia"/>
              </w:rPr>
              <w:t>0.32</w:t>
            </w:r>
          </w:p>
        </w:tc>
      </w:tr>
      <w:tr w14:paraId="506FDF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5EC99509">
            <w:pPr>
              <w:pStyle w:val="278"/>
              <w:adjustRightInd w:val="0"/>
              <w:snapToGrid w:val="0"/>
              <w:spacing w:line="300" w:lineRule="exact"/>
              <w:rPr>
                <w:rFonts w:hint="eastAsia"/>
              </w:rPr>
            </w:pPr>
            <w:r>
              <w:rPr>
                <w:rFonts w:hint="eastAsia"/>
              </w:rPr>
              <w:t>161</w:t>
            </w:r>
          </w:p>
        </w:tc>
        <w:tc>
          <w:tcPr>
            <w:tcW w:w="569" w:type="pct"/>
            <w:vAlign w:val="center"/>
          </w:tcPr>
          <w:p w14:paraId="766773D6">
            <w:pPr>
              <w:pStyle w:val="278"/>
              <w:adjustRightInd w:val="0"/>
              <w:snapToGrid w:val="0"/>
              <w:spacing w:line="300" w:lineRule="exact"/>
              <w:rPr>
                <w:rFonts w:hint="eastAsia"/>
              </w:rPr>
            </w:pPr>
            <w:r>
              <w:rPr>
                <w:rFonts w:hint="eastAsia"/>
              </w:rPr>
              <w:t>181.41</w:t>
            </w:r>
          </w:p>
        </w:tc>
        <w:tc>
          <w:tcPr>
            <w:tcW w:w="406" w:type="pct"/>
            <w:vAlign w:val="center"/>
          </w:tcPr>
          <w:p w14:paraId="79D3E11C">
            <w:pPr>
              <w:pStyle w:val="278"/>
              <w:adjustRightInd w:val="0"/>
              <w:snapToGrid w:val="0"/>
              <w:spacing w:line="300" w:lineRule="exact"/>
              <w:rPr>
                <w:rFonts w:hint="eastAsia"/>
              </w:rPr>
            </w:pPr>
            <w:r>
              <w:rPr>
                <w:rFonts w:hint="eastAsia"/>
              </w:rPr>
              <w:t>9.07</w:t>
            </w:r>
          </w:p>
        </w:tc>
        <w:tc>
          <w:tcPr>
            <w:tcW w:w="486" w:type="pct"/>
            <w:vAlign w:val="center"/>
          </w:tcPr>
          <w:p w14:paraId="77E59B2F">
            <w:pPr>
              <w:pStyle w:val="278"/>
              <w:adjustRightInd w:val="0"/>
              <w:snapToGrid w:val="0"/>
              <w:spacing w:line="300" w:lineRule="exact"/>
              <w:rPr>
                <w:rFonts w:hint="eastAsia"/>
              </w:rPr>
            </w:pPr>
            <w:r>
              <w:rPr>
                <w:rFonts w:hint="eastAsia"/>
              </w:rPr>
              <w:t>0.0355</w:t>
            </w:r>
          </w:p>
        </w:tc>
        <w:tc>
          <w:tcPr>
            <w:tcW w:w="408" w:type="pct"/>
            <w:vAlign w:val="center"/>
          </w:tcPr>
          <w:p w14:paraId="3E7F4034">
            <w:pPr>
              <w:pStyle w:val="278"/>
              <w:adjustRightInd w:val="0"/>
              <w:snapToGrid w:val="0"/>
              <w:spacing w:line="300" w:lineRule="exact"/>
              <w:rPr>
                <w:rFonts w:hint="eastAsia"/>
              </w:rPr>
            </w:pPr>
            <w:r>
              <w:rPr>
                <w:rFonts w:hint="eastAsia"/>
              </w:rPr>
              <w:t>0.36</w:t>
            </w:r>
          </w:p>
        </w:tc>
        <w:tc>
          <w:tcPr>
            <w:tcW w:w="537" w:type="pct"/>
            <w:vAlign w:val="center"/>
          </w:tcPr>
          <w:p w14:paraId="6AA4234D">
            <w:pPr>
              <w:pStyle w:val="278"/>
              <w:adjustRightInd w:val="0"/>
              <w:snapToGrid w:val="0"/>
              <w:spacing w:line="300" w:lineRule="exact"/>
              <w:rPr>
                <w:rFonts w:hint="eastAsia"/>
              </w:rPr>
            </w:pPr>
            <w:r>
              <w:rPr>
                <w:rFonts w:hint="eastAsia"/>
              </w:rPr>
              <w:t>161</w:t>
            </w:r>
          </w:p>
        </w:tc>
        <w:tc>
          <w:tcPr>
            <w:tcW w:w="632" w:type="pct"/>
            <w:vAlign w:val="center"/>
          </w:tcPr>
          <w:p w14:paraId="35EB2A66">
            <w:pPr>
              <w:pStyle w:val="278"/>
              <w:adjustRightInd w:val="0"/>
              <w:snapToGrid w:val="0"/>
              <w:spacing w:line="300" w:lineRule="exact"/>
              <w:rPr>
                <w:rFonts w:hint="eastAsia"/>
              </w:rPr>
            </w:pPr>
            <w:r>
              <w:rPr>
                <w:rFonts w:hint="eastAsia"/>
              </w:rPr>
              <w:t>36.2830</w:t>
            </w:r>
          </w:p>
        </w:tc>
        <w:tc>
          <w:tcPr>
            <w:tcW w:w="424" w:type="pct"/>
            <w:vAlign w:val="center"/>
          </w:tcPr>
          <w:p w14:paraId="19C65456">
            <w:pPr>
              <w:pStyle w:val="278"/>
              <w:adjustRightInd w:val="0"/>
              <w:snapToGrid w:val="0"/>
              <w:spacing w:line="300" w:lineRule="exact"/>
              <w:rPr>
                <w:rFonts w:hint="eastAsia"/>
              </w:rPr>
            </w:pPr>
            <w:r>
              <w:rPr>
                <w:rFonts w:hint="eastAsia"/>
              </w:rPr>
              <w:t>1.81</w:t>
            </w:r>
          </w:p>
        </w:tc>
        <w:tc>
          <w:tcPr>
            <w:tcW w:w="632" w:type="pct"/>
            <w:vAlign w:val="center"/>
          </w:tcPr>
          <w:p w14:paraId="23DBB89B">
            <w:pPr>
              <w:pStyle w:val="278"/>
              <w:adjustRightInd w:val="0"/>
              <w:snapToGrid w:val="0"/>
              <w:spacing w:line="300" w:lineRule="exact"/>
              <w:rPr>
                <w:rFonts w:hint="eastAsia"/>
              </w:rPr>
            </w:pPr>
            <w:r>
              <w:rPr>
                <w:rFonts w:hint="eastAsia"/>
              </w:rPr>
              <w:t>0.0355</w:t>
            </w:r>
          </w:p>
        </w:tc>
        <w:tc>
          <w:tcPr>
            <w:tcW w:w="419" w:type="pct"/>
            <w:vAlign w:val="center"/>
          </w:tcPr>
          <w:p w14:paraId="3F45D1A0">
            <w:pPr>
              <w:pStyle w:val="278"/>
              <w:adjustRightInd w:val="0"/>
              <w:snapToGrid w:val="0"/>
              <w:spacing w:line="300" w:lineRule="exact"/>
              <w:rPr>
                <w:rFonts w:hint="eastAsia"/>
              </w:rPr>
            </w:pPr>
            <w:r>
              <w:rPr>
                <w:rFonts w:hint="eastAsia"/>
              </w:rPr>
              <w:t>0.36</w:t>
            </w:r>
          </w:p>
        </w:tc>
      </w:tr>
      <w:tr w14:paraId="772611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EDDA309">
            <w:pPr>
              <w:pStyle w:val="278"/>
              <w:adjustRightInd w:val="0"/>
              <w:snapToGrid w:val="0"/>
              <w:spacing w:line="300" w:lineRule="exact"/>
              <w:rPr>
                <w:rFonts w:hint="eastAsia"/>
              </w:rPr>
            </w:pPr>
            <w:r>
              <w:rPr>
                <w:rFonts w:hint="eastAsia"/>
              </w:rPr>
              <w:t>200</w:t>
            </w:r>
          </w:p>
        </w:tc>
        <w:tc>
          <w:tcPr>
            <w:tcW w:w="569" w:type="pct"/>
            <w:vAlign w:val="center"/>
          </w:tcPr>
          <w:p w14:paraId="47C48E4C">
            <w:pPr>
              <w:pStyle w:val="278"/>
              <w:adjustRightInd w:val="0"/>
              <w:snapToGrid w:val="0"/>
              <w:spacing w:line="300" w:lineRule="exact"/>
              <w:rPr>
                <w:rFonts w:hint="eastAsia"/>
              </w:rPr>
            </w:pPr>
            <w:r>
              <w:rPr>
                <w:rFonts w:hint="eastAsia"/>
              </w:rPr>
              <w:t>177.15</w:t>
            </w:r>
          </w:p>
        </w:tc>
        <w:tc>
          <w:tcPr>
            <w:tcW w:w="406" w:type="pct"/>
            <w:vAlign w:val="center"/>
          </w:tcPr>
          <w:p w14:paraId="5A93E787">
            <w:pPr>
              <w:pStyle w:val="278"/>
              <w:adjustRightInd w:val="0"/>
              <w:snapToGrid w:val="0"/>
              <w:spacing w:line="300" w:lineRule="exact"/>
              <w:rPr>
                <w:rFonts w:hint="eastAsia"/>
              </w:rPr>
            </w:pPr>
            <w:r>
              <w:rPr>
                <w:rFonts w:hint="eastAsia"/>
              </w:rPr>
              <w:t>8.86</w:t>
            </w:r>
          </w:p>
        </w:tc>
        <w:tc>
          <w:tcPr>
            <w:tcW w:w="486" w:type="pct"/>
            <w:vAlign w:val="center"/>
          </w:tcPr>
          <w:p w14:paraId="3C3FDA51">
            <w:pPr>
              <w:pStyle w:val="278"/>
              <w:adjustRightInd w:val="0"/>
              <w:snapToGrid w:val="0"/>
              <w:spacing w:line="300" w:lineRule="exact"/>
              <w:rPr>
                <w:rFonts w:hint="eastAsia"/>
              </w:rPr>
            </w:pPr>
            <w:r>
              <w:rPr>
                <w:rFonts w:hint="eastAsia"/>
              </w:rPr>
              <w:t>0.0347</w:t>
            </w:r>
          </w:p>
        </w:tc>
        <w:tc>
          <w:tcPr>
            <w:tcW w:w="408" w:type="pct"/>
            <w:vAlign w:val="center"/>
          </w:tcPr>
          <w:p w14:paraId="78A71F74">
            <w:pPr>
              <w:pStyle w:val="278"/>
              <w:adjustRightInd w:val="0"/>
              <w:snapToGrid w:val="0"/>
              <w:spacing w:line="300" w:lineRule="exact"/>
              <w:rPr>
                <w:rFonts w:hint="eastAsia"/>
              </w:rPr>
            </w:pPr>
            <w:r>
              <w:rPr>
                <w:rFonts w:hint="eastAsia"/>
              </w:rPr>
              <w:t>0.35</w:t>
            </w:r>
          </w:p>
        </w:tc>
        <w:tc>
          <w:tcPr>
            <w:tcW w:w="537" w:type="pct"/>
            <w:vAlign w:val="center"/>
          </w:tcPr>
          <w:p w14:paraId="61BDDF42">
            <w:pPr>
              <w:pStyle w:val="278"/>
              <w:adjustRightInd w:val="0"/>
              <w:snapToGrid w:val="0"/>
              <w:spacing w:line="300" w:lineRule="exact"/>
              <w:rPr>
                <w:rFonts w:hint="eastAsia"/>
              </w:rPr>
            </w:pPr>
            <w:r>
              <w:rPr>
                <w:rFonts w:hint="eastAsia"/>
              </w:rPr>
              <w:t>200</w:t>
            </w:r>
          </w:p>
        </w:tc>
        <w:tc>
          <w:tcPr>
            <w:tcW w:w="632" w:type="pct"/>
            <w:vAlign w:val="center"/>
          </w:tcPr>
          <w:p w14:paraId="4C2AE41B">
            <w:pPr>
              <w:pStyle w:val="278"/>
              <w:adjustRightInd w:val="0"/>
              <w:snapToGrid w:val="0"/>
              <w:spacing w:line="300" w:lineRule="exact"/>
              <w:rPr>
                <w:rFonts w:hint="eastAsia"/>
              </w:rPr>
            </w:pPr>
            <w:r>
              <w:rPr>
                <w:rFonts w:hint="eastAsia"/>
              </w:rPr>
              <w:t>35.4300</w:t>
            </w:r>
          </w:p>
        </w:tc>
        <w:tc>
          <w:tcPr>
            <w:tcW w:w="424" w:type="pct"/>
            <w:vAlign w:val="center"/>
          </w:tcPr>
          <w:p w14:paraId="247DC6B0">
            <w:pPr>
              <w:pStyle w:val="278"/>
              <w:adjustRightInd w:val="0"/>
              <w:snapToGrid w:val="0"/>
              <w:spacing w:line="300" w:lineRule="exact"/>
              <w:rPr>
                <w:rFonts w:hint="eastAsia"/>
              </w:rPr>
            </w:pPr>
            <w:r>
              <w:rPr>
                <w:rFonts w:hint="eastAsia"/>
              </w:rPr>
              <w:t>1.77</w:t>
            </w:r>
          </w:p>
        </w:tc>
        <w:tc>
          <w:tcPr>
            <w:tcW w:w="632" w:type="pct"/>
            <w:vAlign w:val="center"/>
          </w:tcPr>
          <w:p w14:paraId="0ED3A0A4">
            <w:pPr>
              <w:pStyle w:val="278"/>
              <w:adjustRightInd w:val="0"/>
              <w:snapToGrid w:val="0"/>
              <w:spacing w:line="300" w:lineRule="exact"/>
              <w:rPr>
                <w:rFonts w:hint="eastAsia"/>
              </w:rPr>
            </w:pPr>
            <w:r>
              <w:rPr>
                <w:rFonts w:hint="eastAsia"/>
              </w:rPr>
              <w:t>0.0347</w:t>
            </w:r>
          </w:p>
        </w:tc>
        <w:tc>
          <w:tcPr>
            <w:tcW w:w="419" w:type="pct"/>
            <w:vAlign w:val="center"/>
          </w:tcPr>
          <w:p w14:paraId="67C672F7">
            <w:pPr>
              <w:pStyle w:val="278"/>
              <w:adjustRightInd w:val="0"/>
              <w:snapToGrid w:val="0"/>
              <w:spacing w:line="300" w:lineRule="exact"/>
              <w:rPr>
                <w:rFonts w:hint="eastAsia"/>
              </w:rPr>
            </w:pPr>
            <w:r>
              <w:rPr>
                <w:rFonts w:hint="eastAsia"/>
              </w:rPr>
              <w:t>0.35</w:t>
            </w:r>
          </w:p>
        </w:tc>
      </w:tr>
      <w:tr w14:paraId="6BFD9F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0A8553DE">
            <w:pPr>
              <w:pStyle w:val="278"/>
              <w:adjustRightInd w:val="0"/>
              <w:snapToGrid w:val="0"/>
              <w:spacing w:line="300" w:lineRule="exact"/>
              <w:rPr>
                <w:rFonts w:hint="eastAsia"/>
              </w:rPr>
            </w:pPr>
            <w:r>
              <w:rPr>
                <w:rFonts w:hint="eastAsia"/>
              </w:rPr>
              <w:t>300</w:t>
            </w:r>
          </w:p>
        </w:tc>
        <w:tc>
          <w:tcPr>
            <w:tcW w:w="569" w:type="pct"/>
            <w:vAlign w:val="center"/>
          </w:tcPr>
          <w:p w14:paraId="37EF2B43">
            <w:pPr>
              <w:pStyle w:val="278"/>
              <w:adjustRightInd w:val="0"/>
              <w:snapToGrid w:val="0"/>
              <w:spacing w:line="300" w:lineRule="exact"/>
              <w:rPr>
                <w:rFonts w:hint="eastAsia"/>
              </w:rPr>
            </w:pPr>
            <w:r>
              <w:rPr>
                <w:rFonts w:hint="eastAsia"/>
              </w:rPr>
              <w:t>152.44</w:t>
            </w:r>
          </w:p>
        </w:tc>
        <w:tc>
          <w:tcPr>
            <w:tcW w:w="406" w:type="pct"/>
            <w:vAlign w:val="center"/>
          </w:tcPr>
          <w:p w14:paraId="6D5B8B58">
            <w:pPr>
              <w:pStyle w:val="278"/>
              <w:adjustRightInd w:val="0"/>
              <w:snapToGrid w:val="0"/>
              <w:spacing w:line="300" w:lineRule="exact"/>
              <w:rPr>
                <w:rFonts w:hint="eastAsia"/>
              </w:rPr>
            </w:pPr>
            <w:r>
              <w:rPr>
                <w:rFonts w:hint="eastAsia"/>
              </w:rPr>
              <w:t>7.62</w:t>
            </w:r>
          </w:p>
        </w:tc>
        <w:tc>
          <w:tcPr>
            <w:tcW w:w="486" w:type="pct"/>
            <w:vAlign w:val="center"/>
          </w:tcPr>
          <w:p w14:paraId="3B870D04">
            <w:pPr>
              <w:pStyle w:val="278"/>
              <w:adjustRightInd w:val="0"/>
              <w:snapToGrid w:val="0"/>
              <w:spacing w:line="300" w:lineRule="exact"/>
              <w:rPr>
                <w:rFonts w:hint="eastAsia"/>
              </w:rPr>
            </w:pPr>
            <w:r>
              <w:rPr>
                <w:rFonts w:hint="eastAsia"/>
              </w:rPr>
              <w:t>0.0299</w:t>
            </w:r>
          </w:p>
        </w:tc>
        <w:tc>
          <w:tcPr>
            <w:tcW w:w="408" w:type="pct"/>
            <w:vAlign w:val="center"/>
          </w:tcPr>
          <w:p w14:paraId="470B283F">
            <w:pPr>
              <w:pStyle w:val="278"/>
              <w:adjustRightInd w:val="0"/>
              <w:snapToGrid w:val="0"/>
              <w:spacing w:line="300" w:lineRule="exact"/>
              <w:rPr>
                <w:rFonts w:hint="eastAsia"/>
              </w:rPr>
            </w:pPr>
            <w:r>
              <w:rPr>
                <w:rFonts w:hint="eastAsia"/>
              </w:rPr>
              <w:t>0.3</w:t>
            </w:r>
          </w:p>
        </w:tc>
        <w:tc>
          <w:tcPr>
            <w:tcW w:w="537" w:type="pct"/>
            <w:vAlign w:val="center"/>
          </w:tcPr>
          <w:p w14:paraId="4F5C0F20">
            <w:pPr>
              <w:pStyle w:val="278"/>
              <w:adjustRightInd w:val="0"/>
              <w:snapToGrid w:val="0"/>
              <w:spacing w:line="300" w:lineRule="exact"/>
              <w:rPr>
                <w:rFonts w:hint="eastAsia"/>
              </w:rPr>
            </w:pPr>
            <w:r>
              <w:rPr>
                <w:rFonts w:hint="eastAsia"/>
              </w:rPr>
              <w:t>300</w:t>
            </w:r>
          </w:p>
        </w:tc>
        <w:tc>
          <w:tcPr>
            <w:tcW w:w="632" w:type="pct"/>
            <w:vAlign w:val="center"/>
          </w:tcPr>
          <w:p w14:paraId="19BD0B6E">
            <w:pPr>
              <w:pStyle w:val="278"/>
              <w:adjustRightInd w:val="0"/>
              <w:snapToGrid w:val="0"/>
              <w:spacing w:line="300" w:lineRule="exact"/>
              <w:rPr>
                <w:rFonts w:hint="eastAsia"/>
              </w:rPr>
            </w:pPr>
            <w:r>
              <w:rPr>
                <w:rFonts w:hint="eastAsia"/>
              </w:rPr>
              <w:t>30.4870</w:t>
            </w:r>
          </w:p>
        </w:tc>
        <w:tc>
          <w:tcPr>
            <w:tcW w:w="424" w:type="pct"/>
            <w:vAlign w:val="center"/>
          </w:tcPr>
          <w:p w14:paraId="046C4C69">
            <w:pPr>
              <w:pStyle w:val="278"/>
              <w:adjustRightInd w:val="0"/>
              <w:snapToGrid w:val="0"/>
              <w:spacing w:line="300" w:lineRule="exact"/>
              <w:rPr>
                <w:rFonts w:hint="eastAsia"/>
              </w:rPr>
            </w:pPr>
            <w:r>
              <w:rPr>
                <w:rFonts w:hint="eastAsia"/>
              </w:rPr>
              <w:t>1.52</w:t>
            </w:r>
          </w:p>
        </w:tc>
        <w:tc>
          <w:tcPr>
            <w:tcW w:w="632" w:type="pct"/>
            <w:vAlign w:val="center"/>
          </w:tcPr>
          <w:p w14:paraId="027FFF1E">
            <w:pPr>
              <w:pStyle w:val="278"/>
              <w:adjustRightInd w:val="0"/>
              <w:snapToGrid w:val="0"/>
              <w:spacing w:line="300" w:lineRule="exact"/>
              <w:rPr>
                <w:rFonts w:hint="eastAsia"/>
              </w:rPr>
            </w:pPr>
            <w:r>
              <w:rPr>
                <w:rFonts w:hint="eastAsia"/>
              </w:rPr>
              <w:t>0.0299</w:t>
            </w:r>
          </w:p>
        </w:tc>
        <w:tc>
          <w:tcPr>
            <w:tcW w:w="419" w:type="pct"/>
            <w:vAlign w:val="center"/>
          </w:tcPr>
          <w:p w14:paraId="036AD6E0">
            <w:pPr>
              <w:pStyle w:val="278"/>
              <w:adjustRightInd w:val="0"/>
              <w:snapToGrid w:val="0"/>
              <w:spacing w:line="300" w:lineRule="exact"/>
              <w:rPr>
                <w:rFonts w:hint="eastAsia"/>
              </w:rPr>
            </w:pPr>
            <w:r>
              <w:rPr>
                <w:rFonts w:hint="eastAsia"/>
              </w:rPr>
              <w:t>0.3</w:t>
            </w:r>
          </w:p>
        </w:tc>
      </w:tr>
      <w:tr w14:paraId="6BCE45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7BD49825">
            <w:pPr>
              <w:pStyle w:val="278"/>
              <w:adjustRightInd w:val="0"/>
              <w:snapToGrid w:val="0"/>
              <w:spacing w:line="300" w:lineRule="exact"/>
              <w:rPr>
                <w:rFonts w:hint="eastAsia"/>
              </w:rPr>
            </w:pPr>
            <w:r>
              <w:rPr>
                <w:rFonts w:hint="eastAsia"/>
              </w:rPr>
              <w:t>400</w:t>
            </w:r>
          </w:p>
        </w:tc>
        <w:tc>
          <w:tcPr>
            <w:tcW w:w="569" w:type="pct"/>
            <w:vAlign w:val="center"/>
          </w:tcPr>
          <w:p w14:paraId="25DDC18C">
            <w:pPr>
              <w:pStyle w:val="278"/>
              <w:adjustRightInd w:val="0"/>
              <w:snapToGrid w:val="0"/>
              <w:spacing w:line="300" w:lineRule="exact"/>
              <w:rPr>
                <w:rFonts w:hint="eastAsia"/>
              </w:rPr>
            </w:pPr>
            <w:r>
              <w:rPr>
                <w:rFonts w:hint="eastAsia"/>
              </w:rPr>
              <w:t>128.40</w:t>
            </w:r>
          </w:p>
        </w:tc>
        <w:tc>
          <w:tcPr>
            <w:tcW w:w="406" w:type="pct"/>
            <w:vAlign w:val="center"/>
          </w:tcPr>
          <w:p w14:paraId="4756E64F">
            <w:pPr>
              <w:pStyle w:val="278"/>
              <w:adjustRightInd w:val="0"/>
              <w:snapToGrid w:val="0"/>
              <w:spacing w:line="300" w:lineRule="exact"/>
              <w:rPr>
                <w:rFonts w:hint="eastAsia"/>
              </w:rPr>
            </w:pPr>
            <w:r>
              <w:rPr>
                <w:rFonts w:hint="eastAsia"/>
              </w:rPr>
              <w:t>6.42</w:t>
            </w:r>
          </w:p>
        </w:tc>
        <w:tc>
          <w:tcPr>
            <w:tcW w:w="486" w:type="pct"/>
            <w:vAlign w:val="center"/>
          </w:tcPr>
          <w:p w14:paraId="47B7C61E">
            <w:pPr>
              <w:pStyle w:val="278"/>
              <w:adjustRightInd w:val="0"/>
              <w:snapToGrid w:val="0"/>
              <w:spacing w:line="300" w:lineRule="exact"/>
              <w:rPr>
                <w:rFonts w:hint="eastAsia"/>
              </w:rPr>
            </w:pPr>
            <w:r>
              <w:rPr>
                <w:rFonts w:hint="eastAsia"/>
              </w:rPr>
              <w:t>0.0251</w:t>
            </w:r>
          </w:p>
        </w:tc>
        <w:tc>
          <w:tcPr>
            <w:tcW w:w="408" w:type="pct"/>
            <w:vAlign w:val="center"/>
          </w:tcPr>
          <w:p w14:paraId="70383700">
            <w:pPr>
              <w:pStyle w:val="278"/>
              <w:adjustRightInd w:val="0"/>
              <w:snapToGrid w:val="0"/>
              <w:spacing w:line="300" w:lineRule="exact"/>
              <w:rPr>
                <w:rFonts w:hint="eastAsia"/>
              </w:rPr>
            </w:pPr>
            <w:r>
              <w:rPr>
                <w:rFonts w:hint="eastAsia"/>
              </w:rPr>
              <w:t>0.25</w:t>
            </w:r>
          </w:p>
        </w:tc>
        <w:tc>
          <w:tcPr>
            <w:tcW w:w="537" w:type="pct"/>
            <w:vAlign w:val="center"/>
          </w:tcPr>
          <w:p w14:paraId="1E1EF4E6">
            <w:pPr>
              <w:pStyle w:val="278"/>
              <w:adjustRightInd w:val="0"/>
              <w:snapToGrid w:val="0"/>
              <w:spacing w:line="300" w:lineRule="exact"/>
              <w:rPr>
                <w:rFonts w:hint="eastAsia"/>
              </w:rPr>
            </w:pPr>
            <w:r>
              <w:rPr>
                <w:rFonts w:hint="eastAsia"/>
              </w:rPr>
              <w:t>400</w:t>
            </w:r>
          </w:p>
        </w:tc>
        <w:tc>
          <w:tcPr>
            <w:tcW w:w="632" w:type="pct"/>
            <w:vAlign w:val="center"/>
          </w:tcPr>
          <w:p w14:paraId="24A5CBBC">
            <w:pPr>
              <w:pStyle w:val="278"/>
              <w:adjustRightInd w:val="0"/>
              <w:snapToGrid w:val="0"/>
              <w:spacing w:line="300" w:lineRule="exact"/>
              <w:rPr>
                <w:rFonts w:hint="eastAsia"/>
              </w:rPr>
            </w:pPr>
            <w:r>
              <w:rPr>
                <w:rFonts w:hint="eastAsia"/>
              </w:rPr>
              <w:t>25.6790</w:t>
            </w:r>
          </w:p>
        </w:tc>
        <w:tc>
          <w:tcPr>
            <w:tcW w:w="424" w:type="pct"/>
            <w:vAlign w:val="center"/>
          </w:tcPr>
          <w:p w14:paraId="0785BD46">
            <w:pPr>
              <w:pStyle w:val="278"/>
              <w:adjustRightInd w:val="0"/>
              <w:snapToGrid w:val="0"/>
              <w:spacing w:line="300" w:lineRule="exact"/>
              <w:rPr>
                <w:rFonts w:hint="eastAsia"/>
              </w:rPr>
            </w:pPr>
            <w:r>
              <w:rPr>
                <w:rFonts w:hint="eastAsia"/>
              </w:rPr>
              <w:t>1.28</w:t>
            </w:r>
          </w:p>
        </w:tc>
        <w:tc>
          <w:tcPr>
            <w:tcW w:w="632" w:type="pct"/>
            <w:vAlign w:val="center"/>
          </w:tcPr>
          <w:p w14:paraId="017EC6DB">
            <w:pPr>
              <w:pStyle w:val="278"/>
              <w:adjustRightInd w:val="0"/>
              <w:snapToGrid w:val="0"/>
              <w:spacing w:line="300" w:lineRule="exact"/>
              <w:rPr>
                <w:rFonts w:hint="eastAsia"/>
              </w:rPr>
            </w:pPr>
            <w:r>
              <w:rPr>
                <w:rFonts w:hint="eastAsia"/>
              </w:rPr>
              <w:t>0.0252</w:t>
            </w:r>
          </w:p>
        </w:tc>
        <w:tc>
          <w:tcPr>
            <w:tcW w:w="419" w:type="pct"/>
            <w:vAlign w:val="center"/>
          </w:tcPr>
          <w:p w14:paraId="779F80A1">
            <w:pPr>
              <w:pStyle w:val="278"/>
              <w:adjustRightInd w:val="0"/>
              <w:snapToGrid w:val="0"/>
              <w:spacing w:line="300" w:lineRule="exact"/>
              <w:rPr>
                <w:rFonts w:hint="eastAsia"/>
              </w:rPr>
            </w:pPr>
            <w:r>
              <w:rPr>
                <w:rFonts w:hint="eastAsia"/>
              </w:rPr>
              <w:t>0.25</w:t>
            </w:r>
          </w:p>
        </w:tc>
      </w:tr>
      <w:tr w14:paraId="6E91DB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3479A09">
            <w:pPr>
              <w:pStyle w:val="278"/>
              <w:adjustRightInd w:val="0"/>
              <w:snapToGrid w:val="0"/>
              <w:spacing w:line="300" w:lineRule="exact"/>
              <w:rPr>
                <w:rFonts w:hint="eastAsia"/>
              </w:rPr>
            </w:pPr>
            <w:r>
              <w:rPr>
                <w:rFonts w:hint="eastAsia"/>
              </w:rPr>
              <w:t>500</w:t>
            </w:r>
          </w:p>
        </w:tc>
        <w:tc>
          <w:tcPr>
            <w:tcW w:w="569" w:type="pct"/>
            <w:vAlign w:val="center"/>
          </w:tcPr>
          <w:p w14:paraId="4CED2D5A">
            <w:pPr>
              <w:pStyle w:val="278"/>
              <w:adjustRightInd w:val="0"/>
              <w:snapToGrid w:val="0"/>
              <w:spacing w:line="300" w:lineRule="exact"/>
              <w:rPr>
                <w:rFonts w:hint="eastAsia"/>
              </w:rPr>
            </w:pPr>
            <w:r>
              <w:rPr>
                <w:rFonts w:hint="eastAsia"/>
              </w:rPr>
              <w:t>110.55</w:t>
            </w:r>
          </w:p>
        </w:tc>
        <w:tc>
          <w:tcPr>
            <w:tcW w:w="406" w:type="pct"/>
            <w:vAlign w:val="center"/>
          </w:tcPr>
          <w:p w14:paraId="41F1A69E">
            <w:pPr>
              <w:pStyle w:val="278"/>
              <w:adjustRightInd w:val="0"/>
              <w:snapToGrid w:val="0"/>
              <w:spacing w:line="300" w:lineRule="exact"/>
              <w:rPr>
                <w:rFonts w:hint="eastAsia"/>
              </w:rPr>
            </w:pPr>
            <w:r>
              <w:rPr>
                <w:rFonts w:hint="eastAsia"/>
              </w:rPr>
              <w:t>5.53</w:t>
            </w:r>
          </w:p>
        </w:tc>
        <w:tc>
          <w:tcPr>
            <w:tcW w:w="486" w:type="pct"/>
            <w:vAlign w:val="center"/>
          </w:tcPr>
          <w:p w14:paraId="73B77AB5">
            <w:pPr>
              <w:pStyle w:val="278"/>
              <w:adjustRightInd w:val="0"/>
              <w:snapToGrid w:val="0"/>
              <w:spacing w:line="300" w:lineRule="exact"/>
              <w:rPr>
                <w:rFonts w:hint="eastAsia"/>
              </w:rPr>
            </w:pPr>
            <w:r>
              <w:rPr>
                <w:rFonts w:hint="eastAsia"/>
              </w:rPr>
              <w:t>0.0216</w:t>
            </w:r>
          </w:p>
        </w:tc>
        <w:tc>
          <w:tcPr>
            <w:tcW w:w="408" w:type="pct"/>
            <w:vAlign w:val="center"/>
          </w:tcPr>
          <w:p w14:paraId="60EB6E82">
            <w:pPr>
              <w:pStyle w:val="278"/>
              <w:adjustRightInd w:val="0"/>
              <w:snapToGrid w:val="0"/>
              <w:spacing w:line="300" w:lineRule="exact"/>
              <w:rPr>
                <w:rFonts w:hint="eastAsia"/>
              </w:rPr>
            </w:pPr>
            <w:r>
              <w:rPr>
                <w:rFonts w:hint="eastAsia"/>
              </w:rPr>
              <w:t>0.22</w:t>
            </w:r>
          </w:p>
        </w:tc>
        <w:tc>
          <w:tcPr>
            <w:tcW w:w="537" w:type="pct"/>
            <w:vAlign w:val="center"/>
          </w:tcPr>
          <w:p w14:paraId="435987FE">
            <w:pPr>
              <w:pStyle w:val="278"/>
              <w:adjustRightInd w:val="0"/>
              <w:snapToGrid w:val="0"/>
              <w:spacing w:line="300" w:lineRule="exact"/>
              <w:rPr>
                <w:rFonts w:hint="eastAsia"/>
              </w:rPr>
            </w:pPr>
            <w:r>
              <w:rPr>
                <w:rFonts w:hint="eastAsia"/>
              </w:rPr>
              <w:t>500</w:t>
            </w:r>
          </w:p>
        </w:tc>
        <w:tc>
          <w:tcPr>
            <w:tcW w:w="632" w:type="pct"/>
            <w:vAlign w:val="center"/>
          </w:tcPr>
          <w:p w14:paraId="5CC2FF87">
            <w:pPr>
              <w:pStyle w:val="278"/>
              <w:adjustRightInd w:val="0"/>
              <w:snapToGrid w:val="0"/>
              <w:spacing w:line="300" w:lineRule="exact"/>
              <w:rPr>
                <w:rFonts w:hint="eastAsia"/>
              </w:rPr>
            </w:pPr>
            <w:r>
              <w:rPr>
                <w:rFonts w:hint="eastAsia"/>
              </w:rPr>
              <w:t>22.1100</w:t>
            </w:r>
          </w:p>
        </w:tc>
        <w:tc>
          <w:tcPr>
            <w:tcW w:w="424" w:type="pct"/>
            <w:vAlign w:val="center"/>
          </w:tcPr>
          <w:p w14:paraId="3FD1B93B">
            <w:pPr>
              <w:pStyle w:val="278"/>
              <w:adjustRightInd w:val="0"/>
              <w:snapToGrid w:val="0"/>
              <w:spacing w:line="300" w:lineRule="exact"/>
              <w:rPr>
                <w:rFonts w:hint="eastAsia"/>
              </w:rPr>
            </w:pPr>
            <w:r>
              <w:rPr>
                <w:rFonts w:hint="eastAsia"/>
              </w:rPr>
              <w:t>1.11</w:t>
            </w:r>
          </w:p>
        </w:tc>
        <w:tc>
          <w:tcPr>
            <w:tcW w:w="632" w:type="pct"/>
            <w:vAlign w:val="center"/>
          </w:tcPr>
          <w:p w14:paraId="12EB7B9A">
            <w:pPr>
              <w:pStyle w:val="278"/>
              <w:adjustRightInd w:val="0"/>
              <w:snapToGrid w:val="0"/>
              <w:spacing w:line="300" w:lineRule="exact"/>
              <w:rPr>
                <w:rFonts w:hint="eastAsia"/>
              </w:rPr>
            </w:pPr>
            <w:r>
              <w:rPr>
                <w:rFonts w:hint="eastAsia"/>
              </w:rPr>
              <w:t>0.0217</w:t>
            </w:r>
          </w:p>
        </w:tc>
        <w:tc>
          <w:tcPr>
            <w:tcW w:w="419" w:type="pct"/>
            <w:vAlign w:val="center"/>
          </w:tcPr>
          <w:p w14:paraId="6EF171A0">
            <w:pPr>
              <w:pStyle w:val="278"/>
              <w:adjustRightInd w:val="0"/>
              <w:snapToGrid w:val="0"/>
              <w:spacing w:line="300" w:lineRule="exact"/>
              <w:rPr>
                <w:rFonts w:hint="eastAsia"/>
              </w:rPr>
            </w:pPr>
            <w:r>
              <w:rPr>
                <w:rFonts w:hint="eastAsia"/>
              </w:rPr>
              <w:t>0.22</w:t>
            </w:r>
          </w:p>
        </w:tc>
      </w:tr>
      <w:tr w14:paraId="3428AC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CAB4B73">
            <w:pPr>
              <w:pStyle w:val="278"/>
              <w:adjustRightInd w:val="0"/>
              <w:snapToGrid w:val="0"/>
              <w:spacing w:line="300" w:lineRule="exact"/>
              <w:rPr>
                <w:rFonts w:hint="eastAsia"/>
              </w:rPr>
            </w:pPr>
            <w:r>
              <w:rPr>
                <w:rFonts w:hint="eastAsia"/>
              </w:rPr>
              <w:t>600</w:t>
            </w:r>
          </w:p>
        </w:tc>
        <w:tc>
          <w:tcPr>
            <w:tcW w:w="569" w:type="pct"/>
            <w:vAlign w:val="center"/>
          </w:tcPr>
          <w:p w14:paraId="027A694D">
            <w:pPr>
              <w:pStyle w:val="278"/>
              <w:adjustRightInd w:val="0"/>
              <w:snapToGrid w:val="0"/>
              <w:spacing w:line="300" w:lineRule="exact"/>
              <w:rPr>
                <w:rFonts w:hint="eastAsia"/>
              </w:rPr>
            </w:pPr>
            <w:r>
              <w:rPr>
                <w:rFonts w:hint="eastAsia"/>
              </w:rPr>
              <w:t>98.783</w:t>
            </w:r>
          </w:p>
        </w:tc>
        <w:tc>
          <w:tcPr>
            <w:tcW w:w="406" w:type="pct"/>
            <w:vAlign w:val="center"/>
          </w:tcPr>
          <w:p w14:paraId="2D265F74">
            <w:pPr>
              <w:pStyle w:val="278"/>
              <w:adjustRightInd w:val="0"/>
              <w:snapToGrid w:val="0"/>
              <w:spacing w:line="300" w:lineRule="exact"/>
              <w:rPr>
                <w:rFonts w:hint="eastAsia"/>
              </w:rPr>
            </w:pPr>
            <w:r>
              <w:rPr>
                <w:rFonts w:hint="eastAsia"/>
              </w:rPr>
              <w:t>4.94</w:t>
            </w:r>
          </w:p>
        </w:tc>
        <w:tc>
          <w:tcPr>
            <w:tcW w:w="486" w:type="pct"/>
            <w:vAlign w:val="center"/>
          </w:tcPr>
          <w:p w14:paraId="41A8911C">
            <w:pPr>
              <w:pStyle w:val="278"/>
              <w:adjustRightInd w:val="0"/>
              <w:snapToGrid w:val="0"/>
              <w:spacing w:line="300" w:lineRule="exact"/>
              <w:rPr>
                <w:rFonts w:hint="eastAsia"/>
              </w:rPr>
            </w:pPr>
            <w:r>
              <w:rPr>
                <w:rFonts w:hint="eastAsia"/>
              </w:rPr>
              <w:t>0.0193</w:t>
            </w:r>
          </w:p>
        </w:tc>
        <w:tc>
          <w:tcPr>
            <w:tcW w:w="408" w:type="pct"/>
            <w:vAlign w:val="center"/>
          </w:tcPr>
          <w:p w14:paraId="7AD3C72B">
            <w:pPr>
              <w:pStyle w:val="278"/>
              <w:adjustRightInd w:val="0"/>
              <w:snapToGrid w:val="0"/>
              <w:spacing w:line="300" w:lineRule="exact"/>
              <w:rPr>
                <w:rFonts w:hint="eastAsia"/>
              </w:rPr>
            </w:pPr>
            <w:r>
              <w:rPr>
                <w:rFonts w:hint="eastAsia"/>
              </w:rPr>
              <w:t>0.19</w:t>
            </w:r>
          </w:p>
        </w:tc>
        <w:tc>
          <w:tcPr>
            <w:tcW w:w="537" w:type="pct"/>
            <w:vAlign w:val="center"/>
          </w:tcPr>
          <w:p w14:paraId="4F9206BD">
            <w:pPr>
              <w:pStyle w:val="278"/>
              <w:adjustRightInd w:val="0"/>
              <w:snapToGrid w:val="0"/>
              <w:spacing w:line="300" w:lineRule="exact"/>
              <w:rPr>
                <w:rFonts w:hint="eastAsia"/>
              </w:rPr>
            </w:pPr>
            <w:r>
              <w:rPr>
                <w:rFonts w:hint="eastAsia"/>
              </w:rPr>
              <w:t>600</w:t>
            </w:r>
          </w:p>
        </w:tc>
        <w:tc>
          <w:tcPr>
            <w:tcW w:w="632" w:type="pct"/>
            <w:vAlign w:val="center"/>
          </w:tcPr>
          <w:p w14:paraId="301960B8">
            <w:pPr>
              <w:pStyle w:val="278"/>
              <w:adjustRightInd w:val="0"/>
              <w:snapToGrid w:val="0"/>
              <w:spacing w:line="300" w:lineRule="exact"/>
              <w:rPr>
                <w:rFonts w:hint="eastAsia"/>
              </w:rPr>
            </w:pPr>
            <w:r>
              <w:rPr>
                <w:rFonts w:hint="eastAsia"/>
              </w:rPr>
              <w:t>19.7570</w:t>
            </w:r>
          </w:p>
        </w:tc>
        <w:tc>
          <w:tcPr>
            <w:tcW w:w="424" w:type="pct"/>
            <w:vAlign w:val="center"/>
          </w:tcPr>
          <w:p w14:paraId="58A04770">
            <w:pPr>
              <w:pStyle w:val="278"/>
              <w:adjustRightInd w:val="0"/>
              <w:snapToGrid w:val="0"/>
              <w:spacing w:line="300" w:lineRule="exact"/>
              <w:rPr>
                <w:rFonts w:hint="eastAsia"/>
              </w:rPr>
            </w:pPr>
            <w:r>
              <w:rPr>
                <w:rFonts w:hint="eastAsia"/>
              </w:rPr>
              <w:t>0.99</w:t>
            </w:r>
          </w:p>
        </w:tc>
        <w:tc>
          <w:tcPr>
            <w:tcW w:w="632" w:type="pct"/>
            <w:vAlign w:val="center"/>
          </w:tcPr>
          <w:p w14:paraId="7D5E9E78">
            <w:pPr>
              <w:pStyle w:val="278"/>
              <w:adjustRightInd w:val="0"/>
              <w:snapToGrid w:val="0"/>
              <w:spacing w:line="300" w:lineRule="exact"/>
              <w:rPr>
                <w:rFonts w:hint="eastAsia"/>
              </w:rPr>
            </w:pPr>
            <w:r>
              <w:rPr>
                <w:rFonts w:hint="eastAsia"/>
              </w:rPr>
              <w:t>0.0194</w:t>
            </w:r>
          </w:p>
        </w:tc>
        <w:tc>
          <w:tcPr>
            <w:tcW w:w="419" w:type="pct"/>
            <w:vAlign w:val="center"/>
          </w:tcPr>
          <w:p w14:paraId="31F26D09">
            <w:pPr>
              <w:pStyle w:val="278"/>
              <w:adjustRightInd w:val="0"/>
              <w:snapToGrid w:val="0"/>
              <w:spacing w:line="300" w:lineRule="exact"/>
              <w:rPr>
                <w:rFonts w:hint="eastAsia"/>
              </w:rPr>
            </w:pPr>
            <w:r>
              <w:rPr>
                <w:rFonts w:hint="eastAsia"/>
              </w:rPr>
              <w:t>0.19</w:t>
            </w:r>
          </w:p>
        </w:tc>
      </w:tr>
      <w:tr w14:paraId="1BE547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17734B8C">
            <w:pPr>
              <w:pStyle w:val="278"/>
              <w:adjustRightInd w:val="0"/>
              <w:snapToGrid w:val="0"/>
              <w:spacing w:line="300" w:lineRule="exact"/>
              <w:rPr>
                <w:rFonts w:hint="eastAsia"/>
              </w:rPr>
            </w:pPr>
            <w:r>
              <w:rPr>
                <w:rFonts w:hint="eastAsia"/>
              </w:rPr>
              <w:t>700</w:t>
            </w:r>
          </w:p>
        </w:tc>
        <w:tc>
          <w:tcPr>
            <w:tcW w:w="569" w:type="pct"/>
            <w:vAlign w:val="center"/>
          </w:tcPr>
          <w:p w14:paraId="3D25F008">
            <w:pPr>
              <w:pStyle w:val="278"/>
              <w:adjustRightInd w:val="0"/>
              <w:snapToGrid w:val="0"/>
              <w:spacing w:line="300" w:lineRule="exact"/>
              <w:rPr>
                <w:rFonts w:hint="eastAsia"/>
              </w:rPr>
            </w:pPr>
            <w:r>
              <w:rPr>
                <w:rFonts w:hint="eastAsia"/>
              </w:rPr>
              <w:t>89.135</w:t>
            </w:r>
          </w:p>
        </w:tc>
        <w:tc>
          <w:tcPr>
            <w:tcW w:w="406" w:type="pct"/>
            <w:vAlign w:val="center"/>
          </w:tcPr>
          <w:p w14:paraId="73764941">
            <w:pPr>
              <w:pStyle w:val="278"/>
              <w:adjustRightInd w:val="0"/>
              <w:snapToGrid w:val="0"/>
              <w:spacing w:line="300" w:lineRule="exact"/>
              <w:rPr>
                <w:rFonts w:hint="eastAsia"/>
              </w:rPr>
            </w:pPr>
            <w:r>
              <w:rPr>
                <w:rFonts w:hint="eastAsia"/>
              </w:rPr>
              <w:t>4.46</w:t>
            </w:r>
          </w:p>
        </w:tc>
        <w:tc>
          <w:tcPr>
            <w:tcW w:w="486" w:type="pct"/>
            <w:vAlign w:val="center"/>
          </w:tcPr>
          <w:p w14:paraId="35AD46DA">
            <w:pPr>
              <w:pStyle w:val="278"/>
              <w:adjustRightInd w:val="0"/>
              <w:snapToGrid w:val="0"/>
              <w:spacing w:line="300" w:lineRule="exact"/>
              <w:rPr>
                <w:rFonts w:hint="eastAsia"/>
              </w:rPr>
            </w:pPr>
            <w:r>
              <w:rPr>
                <w:rFonts w:hint="eastAsia"/>
              </w:rPr>
              <w:t>0.0175</w:t>
            </w:r>
          </w:p>
        </w:tc>
        <w:tc>
          <w:tcPr>
            <w:tcW w:w="408" w:type="pct"/>
            <w:vAlign w:val="center"/>
          </w:tcPr>
          <w:p w14:paraId="5383F9C7">
            <w:pPr>
              <w:pStyle w:val="278"/>
              <w:adjustRightInd w:val="0"/>
              <w:snapToGrid w:val="0"/>
              <w:spacing w:line="300" w:lineRule="exact"/>
              <w:rPr>
                <w:rFonts w:hint="eastAsia"/>
              </w:rPr>
            </w:pPr>
            <w:r>
              <w:rPr>
                <w:rFonts w:hint="eastAsia"/>
              </w:rPr>
              <w:t>0.17</w:t>
            </w:r>
          </w:p>
        </w:tc>
        <w:tc>
          <w:tcPr>
            <w:tcW w:w="537" w:type="pct"/>
            <w:vAlign w:val="center"/>
          </w:tcPr>
          <w:p w14:paraId="4E9684D3">
            <w:pPr>
              <w:pStyle w:val="278"/>
              <w:adjustRightInd w:val="0"/>
              <w:snapToGrid w:val="0"/>
              <w:spacing w:line="300" w:lineRule="exact"/>
              <w:rPr>
                <w:rFonts w:hint="eastAsia"/>
              </w:rPr>
            </w:pPr>
            <w:r>
              <w:rPr>
                <w:rFonts w:hint="eastAsia"/>
              </w:rPr>
              <w:t>700</w:t>
            </w:r>
          </w:p>
        </w:tc>
        <w:tc>
          <w:tcPr>
            <w:tcW w:w="632" w:type="pct"/>
            <w:vAlign w:val="center"/>
          </w:tcPr>
          <w:p w14:paraId="7F726EBC">
            <w:pPr>
              <w:pStyle w:val="278"/>
              <w:adjustRightInd w:val="0"/>
              <w:snapToGrid w:val="0"/>
              <w:spacing w:line="300" w:lineRule="exact"/>
              <w:rPr>
                <w:rFonts w:hint="eastAsia"/>
              </w:rPr>
            </w:pPr>
            <w:r>
              <w:rPr>
                <w:rFonts w:hint="eastAsia"/>
              </w:rPr>
              <w:t>17.8270</w:t>
            </w:r>
          </w:p>
        </w:tc>
        <w:tc>
          <w:tcPr>
            <w:tcW w:w="424" w:type="pct"/>
            <w:vAlign w:val="center"/>
          </w:tcPr>
          <w:p w14:paraId="640F2B90">
            <w:pPr>
              <w:pStyle w:val="278"/>
              <w:adjustRightInd w:val="0"/>
              <w:snapToGrid w:val="0"/>
              <w:spacing w:line="300" w:lineRule="exact"/>
              <w:rPr>
                <w:rFonts w:hint="eastAsia"/>
              </w:rPr>
            </w:pPr>
            <w:r>
              <w:rPr>
                <w:rFonts w:hint="eastAsia"/>
              </w:rPr>
              <w:t>0.89</w:t>
            </w:r>
          </w:p>
        </w:tc>
        <w:tc>
          <w:tcPr>
            <w:tcW w:w="632" w:type="pct"/>
            <w:vAlign w:val="center"/>
          </w:tcPr>
          <w:p w14:paraId="3471ECE4">
            <w:pPr>
              <w:pStyle w:val="278"/>
              <w:adjustRightInd w:val="0"/>
              <w:snapToGrid w:val="0"/>
              <w:spacing w:line="300" w:lineRule="exact"/>
              <w:rPr>
                <w:rFonts w:hint="eastAsia"/>
              </w:rPr>
            </w:pPr>
            <w:r>
              <w:rPr>
                <w:rFonts w:hint="eastAsia"/>
              </w:rPr>
              <w:t>0.0175</w:t>
            </w:r>
          </w:p>
        </w:tc>
        <w:tc>
          <w:tcPr>
            <w:tcW w:w="419" w:type="pct"/>
            <w:vAlign w:val="center"/>
          </w:tcPr>
          <w:p w14:paraId="1199BBCD">
            <w:pPr>
              <w:pStyle w:val="278"/>
              <w:adjustRightInd w:val="0"/>
              <w:snapToGrid w:val="0"/>
              <w:spacing w:line="300" w:lineRule="exact"/>
              <w:rPr>
                <w:rFonts w:hint="eastAsia"/>
              </w:rPr>
            </w:pPr>
            <w:r>
              <w:rPr>
                <w:rFonts w:hint="eastAsia"/>
              </w:rPr>
              <w:t>0.17</w:t>
            </w:r>
          </w:p>
        </w:tc>
      </w:tr>
      <w:tr w14:paraId="1D426B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45F355A8">
            <w:pPr>
              <w:pStyle w:val="278"/>
              <w:adjustRightInd w:val="0"/>
              <w:snapToGrid w:val="0"/>
              <w:spacing w:line="300" w:lineRule="exact"/>
              <w:rPr>
                <w:rFonts w:hint="eastAsia"/>
              </w:rPr>
            </w:pPr>
            <w:r>
              <w:rPr>
                <w:rFonts w:hint="eastAsia"/>
              </w:rPr>
              <w:t>800</w:t>
            </w:r>
          </w:p>
        </w:tc>
        <w:tc>
          <w:tcPr>
            <w:tcW w:w="569" w:type="pct"/>
            <w:vAlign w:val="center"/>
          </w:tcPr>
          <w:p w14:paraId="2329D511">
            <w:pPr>
              <w:pStyle w:val="278"/>
              <w:adjustRightInd w:val="0"/>
              <w:snapToGrid w:val="0"/>
              <w:spacing w:line="300" w:lineRule="exact"/>
              <w:rPr>
                <w:rFonts w:hint="eastAsia"/>
              </w:rPr>
            </w:pPr>
            <w:r>
              <w:rPr>
                <w:rFonts w:hint="eastAsia"/>
              </w:rPr>
              <w:t>81.495</w:t>
            </w:r>
          </w:p>
        </w:tc>
        <w:tc>
          <w:tcPr>
            <w:tcW w:w="406" w:type="pct"/>
            <w:vAlign w:val="center"/>
          </w:tcPr>
          <w:p w14:paraId="16DFA826">
            <w:pPr>
              <w:pStyle w:val="278"/>
              <w:adjustRightInd w:val="0"/>
              <w:snapToGrid w:val="0"/>
              <w:spacing w:line="300" w:lineRule="exact"/>
              <w:rPr>
                <w:rFonts w:hint="eastAsia"/>
              </w:rPr>
            </w:pPr>
            <w:r>
              <w:rPr>
                <w:rFonts w:hint="eastAsia"/>
              </w:rPr>
              <w:t>4.07</w:t>
            </w:r>
          </w:p>
        </w:tc>
        <w:tc>
          <w:tcPr>
            <w:tcW w:w="486" w:type="pct"/>
            <w:vAlign w:val="center"/>
          </w:tcPr>
          <w:p w14:paraId="72DF3506">
            <w:pPr>
              <w:pStyle w:val="278"/>
              <w:adjustRightInd w:val="0"/>
              <w:snapToGrid w:val="0"/>
              <w:spacing w:line="300" w:lineRule="exact"/>
              <w:rPr>
                <w:rFonts w:hint="eastAsia"/>
              </w:rPr>
            </w:pPr>
            <w:r>
              <w:rPr>
                <w:rFonts w:hint="eastAsia"/>
              </w:rPr>
              <w:t>0.0160</w:t>
            </w:r>
          </w:p>
        </w:tc>
        <w:tc>
          <w:tcPr>
            <w:tcW w:w="408" w:type="pct"/>
            <w:vAlign w:val="center"/>
          </w:tcPr>
          <w:p w14:paraId="78020F41">
            <w:pPr>
              <w:pStyle w:val="278"/>
              <w:adjustRightInd w:val="0"/>
              <w:snapToGrid w:val="0"/>
              <w:spacing w:line="300" w:lineRule="exact"/>
              <w:rPr>
                <w:rFonts w:hint="eastAsia"/>
              </w:rPr>
            </w:pPr>
            <w:r>
              <w:rPr>
                <w:rFonts w:hint="eastAsia"/>
              </w:rPr>
              <w:t>0.16</w:t>
            </w:r>
          </w:p>
        </w:tc>
        <w:tc>
          <w:tcPr>
            <w:tcW w:w="537" w:type="pct"/>
            <w:vAlign w:val="center"/>
          </w:tcPr>
          <w:p w14:paraId="1BFED0A3">
            <w:pPr>
              <w:pStyle w:val="278"/>
              <w:adjustRightInd w:val="0"/>
              <w:snapToGrid w:val="0"/>
              <w:spacing w:line="300" w:lineRule="exact"/>
              <w:rPr>
                <w:rFonts w:hint="eastAsia"/>
              </w:rPr>
            </w:pPr>
            <w:r>
              <w:rPr>
                <w:rFonts w:hint="eastAsia"/>
              </w:rPr>
              <w:t>800</w:t>
            </w:r>
          </w:p>
        </w:tc>
        <w:tc>
          <w:tcPr>
            <w:tcW w:w="632" w:type="pct"/>
            <w:vAlign w:val="center"/>
          </w:tcPr>
          <w:p w14:paraId="1996C4ED">
            <w:pPr>
              <w:pStyle w:val="278"/>
              <w:adjustRightInd w:val="0"/>
              <w:snapToGrid w:val="0"/>
              <w:spacing w:line="300" w:lineRule="exact"/>
              <w:rPr>
                <w:rFonts w:hint="eastAsia"/>
              </w:rPr>
            </w:pPr>
            <w:r>
              <w:rPr>
                <w:rFonts w:hint="eastAsia"/>
              </w:rPr>
              <w:t>16.2990</w:t>
            </w:r>
          </w:p>
        </w:tc>
        <w:tc>
          <w:tcPr>
            <w:tcW w:w="424" w:type="pct"/>
            <w:vAlign w:val="center"/>
          </w:tcPr>
          <w:p w14:paraId="480D650E">
            <w:pPr>
              <w:pStyle w:val="278"/>
              <w:adjustRightInd w:val="0"/>
              <w:snapToGrid w:val="0"/>
              <w:spacing w:line="300" w:lineRule="exact"/>
              <w:rPr>
                <w:rFonts w:hint="eastAsia"/>
              </w:rPr>
            </w:pPr>
            <w:r>
              <w:rPr>
                <w:rFonts w:hint="eastAsia"/>
              </w:rPr>
              <w:t>0.81</w:t>
            </w:r>
          </w:p>
        </w:tc>
        <w:tc>
          <w:tcPr>
            <w:tcW w:w="632" w:type="pct"/>
            <w:vAlign w:val="center"/>
          </w:tcPr>
          <w:p w14:paraId="474439C3">
            <w:pPr>
              <w:pStyle w:val="278"/>
              <w:adjustRightInd w:val="0"/>
              <w:snapToGrid w:val="0"/>
              <w:spacing w:line="300" w:lineRule="exact"/>
              <w:rPr>
                <w:rFonts w:hint="eastAsia"/>
              </w:rPr>
            </w:pPr>
            <w:r>
              <w:rPr>
                <w:rFonts w:hint="eastAsia"/>
              </w:rPr>
              <w:t>0.0160</w:t>
            </w:r>
          </w:p>
        </w:tc>
        <w:tc>
          <w:tcPr>
            <w:tcW w:w="419" w:type="pct"/>
            <w:vAlign w:val="center"/>
          </w:tcPr>
          <w:p w14:paraId="1F68B852">
            <w:pPr>
              <w:pStyle w:val="278"/>
              <w:adjustRightInd w:val="0"/>
              <w:snapToGrid w:val="0"/>
              <w:spacing w:line="300" w:lineRule="exact"/>
              <w:rPr>
                <w:rFonts w:hint="eastAsia"/>
              </w:rPr>
            </w:pPr>
            <w:r>
              <w:rPr>
                <w:rFonts w:hint="eastAsia"/>
              </w:rPr>
              <w:t>0.16</w:t>
            </w:r>
          </w:p>
        </w:tc>
      </w:tr>
      <w:tr w14:paraId="24D276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181F5810">
            <w:pPr>
              <w:pStyle w:val="278"/>
              <w:adjustRightInd w:val="0"/>
              <w:snapToGrid w:val="0"/>
              <w:spacing w:line="300" w:lineRule="exact"/>
              <w:rPr>
                <w:rFonts w:hint="eastAsia"/>
              </w:rPr>
            </w:pPr>
            <w:r>
              <w:rPr>
                <w:rFonts w:hint="eastAsia"/>
              </w:rPr>
              <w:t>900</w:t>
            </w:r>
          </w:p>
        </w:tc>
        <w:tc>
          <w:tcPr>
            <w:tcW w:w="569" w:type="pct"/>
            <w:vAlign w:val="center"/>
          </w:tcPr>
          <w:p w14:paraId="05822B24">
            <w:pPr>
              <w:pStyle w:val="278"/>
              <w:adjustRightInd w:val="0"/>
              <w:snapToGrid w:val="0"/>
              <w:spacing w:line="300" w:lineRule="exact"/>
              <w:rPr>
                <w:rFonts w:hint="eastAsia"/>
              </w:rPr>
            </w:pPr>
            <w:r>
              <w:rPr>
                <w:rFonts w:hint="eastAsia"/>
              </w:rPr>
              <w:t>75.188</w:t>
            </w:r>
          </w:p>
        </w:tc>
        <w:tc>
          <w:tcPr>
            <w:tcW w:w="406" w:type="pct"/>
            <w:vAlign w:val="center"/>
          </w:tcPr>
          <w:p w14:paraId="6DBDC8EF">
            <w:pPr>
              <w:pStyle w:val="278"/>
              <w:adjustRightInd w:val="0"/>
              <w:snapToGrid w:val="0"/>
              <w:spacing w:line="300" w:lineRule="exact"/>
              <w:rPr>
                <w:rFonts w:hint="eastAsia"/>
              </w:rPr>
            </w:pPr>
            <w:r>
              <w:rPr>
                <w:rFonts w:hint="eastAsia"/>
              </w:rPr>
              <w:t>3.76</w:t>
            </w:r>
          </w:p>
        </w:tc>
        <w:tc>
          <w:tcPr>
            <w:tcW w:w="486" w:type="pct"/>
            <w:vAlign w:val="center"/>
          </w:tcPr>
          <w:p w14:paraId="330EF8FD">
            <w:pPr>
              <w:pStyle w:val="278"/>
              <w:adjustRightInd w:val="0"/>
              <w:snapToGrid w:val="0"/>
              <w:spacing w:line="300" w:lineRule="exact"/>
              <w:rPr>
                <w:rFonts w:hint="eastAsia"/>
              </w:rPr>
            </w:pPr>
            <w:r>
              <w:rPr>
                <w:rFonts w:hint="eastAsia"/>
              </w:rPr>
              <w:t>0.0147</w:t>
            </w:r>
          </w:p>
        </w:tc>
        <w:tc>
          <w:tcPr>
            <w:tcW w:w="408" w:type="pct"/>
            <w:vAlign w:val="center"/>
          </w:tcPr>
          <w:p w14:paraId="6072CFFC">
            <w:pPr>
              <w:pStyle w:val="278"/>
              <w:adjustRightInd w:val="0"/>
              <w:snapToGrid w:val="0"/>
              <w:spacing w:line="300" w:lineRule="exact"/>
              <w:rPr>
                <w:rFonts w:hint="eastAsia"/>
              </w:rPr>
            </w:pPr>
            <w:r>
              <w:rPr>
                <w:rFonts w:hint="eastAsia"/>
              </w:rPr>
              <w:t>0.15</w:t>
            </w:r>
          </w:p>
        </w:tc>
        <w:tc>
          <w:tcPr>
            <w:tcW w:w="537" w:type="pct"/>
            <w:vAlign w:val="center"/>
          </w:tcPr>
          <w:p w14:paraId="29B4EBD5">
            <w:pPr>
              <w:pStyle w:val="278"/>
              <w:adjustRightInd w:val="0"/>
              <w:snapToGrid w:val="0"/>
              <w:spacing w:line="300" w:lineRule="exact"/>
              <w:rPr>
                <w:rFonts w:hint="eastAsia"/>
              </w:rPr>
            </w:pPr>
            <w:r>
              <w:rPr>
                <w:rFonts w:hint="eastAsia"/>
              </w:rPr>
              <w:t>900</w:t>
            </w:r>
          </w:p>
        </w:tc>
        <w:tc>
          <w:tcPr>
            <w:tcW w:w="632" w:type="pct"/>
            <w:vAlign w:val="center"/>
          </w:tcPr>
          <w:p w14:paraId="1CC815AF">
            <w:pPr>
              <w:pStyle w:val="278"/>
              <w:adjustRightInd w:val="0"/>
              <w:snapToGrid w:val="0"/>
              <w:spacing w:line="300" w:lineRule="exact"/>
              <w:rPr>
                <w:rFonts w:hint="eastAsia"/>
              </w:rPr>
            </w:pPr>
            <w:r>
              <w:rPr>
                <w:rFonts w:hint="eastAsia"/>
              </w:rPr>
              <w:t>15.0380</w:t>
            </w:r>
          </w:p>
        </w:tc>
        <w:tc>
          <w:tcPr>
            <w:tcW w:w="424" w:type="pct"/>
            <w:vAlign w:val="center"/>
          </w:tcPr>
          <w:p w14:paraId="42F4A31B">
            <w:pPr>
              <w:pStyle w:val="278"/>
              <w:adjustRightInd w:val="0"/>
              <w:snapToGrid w:val="0"/>
              <w:spacing w:line="300" w:lineRule="exact"/>
              <w:rPr>
                <w:rFonts w:hint="eastAsia"/>
              </w:rPr>
            </w:pPr>
            <w:r>
              <w:rPr>
                <w:rFonts w:hint="eastAsia"/>
              </w:rPr>
              <w:t>0.75</w:t>
            </w:r>
          </w:p>
        </w:tc>
        <w:tc>
          <w:tcPr>
            <w:tcW w:w="632" w:type="pct"/>
            <w:vAlign w:val="center"/>
          </w:tcPr>
          <w:p w14:paraId="6786D86E">
            <w:pPr>
              <w:pStyle w:val="278"/>
              <w:adjustRightInd w:val="0"/>
              <w:snapToGrid w:val="0"/>
              <w:spacing w:line="300" w:lineRule="exact"/>
              <w:rPr>
                <w:rFonts w:hint="eastAsia"/>
              </w:rPr>
            </w:pPr>
            <w:r>
              <w:rPr>
                <w:rFonts w:hint="eastAsia"/>
              </w:rPr>
              <w:t>0.0147</w:t>
            </w:r>
          </w:p>
        </w:tc>
        <w:tc>
          <w:tcPr>
            <w:tcW w:w="419" w:type="pct"/>
            <w:vAlign w:val="center"/>
          </w:tcPr>
          <w:p w14:paraId="3B29DF2F">
            <w:pPr>
              <w:pStyle w:val="278"/>
              <w:adjustRightInd w:val="0"/>
              <w:snapToGrid w:val="0"/>
              <w:spacing w:line="300" w:lineRule="exact"/>
              <w:rPr>
                <w:rFonts w:hint="eastAsia"/>
              </w:rPr>
            </w:pPr>
            <w:r>
              <w:rPr>
                <w:rFonts w:hint="eastAsia"/>
              </w:rPr>
              <w:t>0.15</w:t>
            </w:r>
          </w:p>
        </w:tc>
      </w:tr>
      <w:tr w14:paraId="3C946E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390F7827">
            <w:pPr>
              <w:pStyle w:val="278"/>
              <w:adjustRightInd w:val="0"/>
              <w:snapToGrid w:val="0"/>
              <w:spacing w:line="300" w:lineRule="exact"/>
              <w:rPr>
                <w:rFonts w:hint="eastAsia"/>
              </w:rPr>
            </w:pPr>
            <w:r>
              <w:rPr>
                <w:rFonts w:hint="eastAsia"/>
              </w:rPr>
              <w:t>1000</w:t>
            </w:r>
          </w:p>
        </w:tc>
        <w:tc>
          <w:tcPr>
            <w:tcW w:w="569" w:type="pct"/>
            <w:vAlign w:val="center"/>
          </w:tcPr>
          <w:p w14:paraId="21813029">
            <w:pPr>
              <w:pStyle w:val="278"/>
              <w:adjustRightInd w:val="0"/>
              <w:snapToGrid w:val="0"/>
              <w:spacing w:line="300" w:lineRule="exact"/>
              <w:rPr>
                <w:rFonts w:hint="eastAsia"/>
              </w:rPr>
            </w:pPr>
            <w:r>
              <w:rPr>
                <w:rFonts w:hint="eastAsia"/>
              </w:rPr>
              <w:t>69.677</w:t>
            </w:r>
          </w:p>
        </w:tc>
        <w:tc>
          <w:tcPr>
            <w:tcW w:w="406" w:type="pct"/>
            <w:vAlign w:val="center"/>
          </w:tcPr>
          <w:p w14:paraId="74214D03">
            <w:pPr>
              <w:pStyle w:val="278"/>
              <w:adjustRightInd w:val="0"/>
              <w:snapToGrid w:val="0"/>
              <w:spacing w:line="300" w:lineRule="exact"/>
              <w:rPr>
                <w:rFonts w:hint="eastAsia"/>
              </w:rPr>
            </w:pPr>
            <w:r>
              <w:rPr>
                <w:rFonts w:hint="eastAsia"/>
              </w:rPr>
              <w:t>3.48</w:t>
            </w:r>
          </w:p>
        </w:tc>
        <w:tc>
          <w:tcPr>
            <w:tcW w:w="486" w:type="pct"/>
            <w:vAlign w:val="center"/>
          </w:tcPr>
          <w:p w14:paraId="0D8C5685">
            <w:pPr>
              <w:pStyle w:val="278"/>
              <w:adjustRightInd w:val="0"/>
              <w:snapToGrid w:val="0"/>
              <w:spacing w:line="300" w:lineRule="exact"/>
              <w:rPr>
                <w:rFonts w:hint="eastAsia"/>
              </w:rPr>
            </w:pPr>
            <w:r>
              <w:rPr>
                <w:rFonts w:hint="eastAsia"/>
              </w:rPr>
              <w:t>0.0136</w:t>
            </w:r>
          </w:p>
        </w:tc>
        <w:tc>
          <w:tcPr>
            <w:tcW w:w="408" w:type="pct"/>
            <w:vAlign w:val="center"/>
          </w:tcPr>
          <w:p w14:paraId="5BDFE197">
            <w:pPr>
              <w:pStyle w:val="278"/>
              <w:adjustRightInd w:val="0"/>
              <w:snapToGrid w:val="0"/>
              <w:spacing w:line="300" w:lineRule="exact"/>
              <w:rPr>
                <w:rFonts w:hint="eastAsia"/>
              </w:rPr>
            </w:pPr>
            <w:r>
              <w:rPr>
                <w:rFonts w:hint="eastAsia"/>
              </w:rPr>
              <w:t>0.14</w:t>
            </w:r>
          </w:p>
        </w:tc>
        <w:tc>
          <w:tcPr>
            <w:tcW w:w="537" w:type="pct"/>
            <w:vAlign w:val="center"/>
          </w:tcPr>
          <w:p w14:paraId="036932D6">
            <w:pPr>
              <w:pStyle w:val="278"/>
              <w:adjustRightInd w:val="0"/>
              <w:snapToGrid w:val="0"/>
              <w:spacing w:line="300" w:lineRule="exact"/>
              <w:rPr>
                <w:rFonts w:hint="eastAsia"/>
              </w:rPr>
            </w:pPr>
            <w:r>
              <w:rPr>
                <w:rFonts w:hint="eastAsia"/>
              </w:rPr>
              <w:t>1000</w:t>
            </w:r>
          </w:p>
        </w:tc>
        <w:tc>
          <w:tcPr>
            <w:tcW w:w="632" w:type="pct"/>
            <w:vAlign w:val="center"/>
          </w:tcPr>
          <w:p w14:paraId="75CFE8FF">
            <w:pPr>
              <w:pStyle w:val="278"/>
              <w:adjustRightInd w:val="0"/>
              <w:snapToGrid w:val="0"/>
              <w:spacing w:line="300" w:lineRule="exact"/>
              <w:rPr>
                <w:rFonts w:hint="eastAsia"/>
              </w:rPr>
            </w:pPr>
            <w:r>
              <w:rPr>
                <w:rFonts w:hint="eastAsia"/>
              </w:rPr>
              <w:t>13.9350</w:t>
            </w:r>
          </w:p>
        </w:tc>
        <w:tc>
          <w:tcPr>
            <w:tcW w:w="424" w:type="pct"/>
            <w:vAlign w:val="center"/>
          </w:tcPr>
          <w:p w14:paraId="442A73C0">
            <w:pPr>
              <w:pStyle w:val="278"/>
              <w:adjustRightInd w:val="0"/>
              <w:snapToGrid w:val="0"/>
              <w:spacing w:line="300" w:lineRule="exact"/>
              <w:rPr>
                <w:rFonts w:hint="eastAsia"/>
              </w:rPr>
            </w:pPr>
            <w:r>
              <w:rPr>
                <w:rFonts w:hint="eastAsia"/>
              </w:rPr>
              <w:t>0.7</w:t>
            </w:r>
          </w:p>
        </w:tc>
        <w:tc>
          <w:tcPr>
            <w:tcW w:w="632" w:type="pct"/>
            <w:vAlign w:val="center"/>
          </w:tcPr>
          <w:p w14:paraId="5FE617A5">
            <w:pPr>
              <w:pStyle w:val="278"/>
              <w:adjustRightInd w:val="0"/>
              <w:snapToGrid w:val="0"/>
              <w:spacing w:line="300" w:lineRule="exact"/>
              <w:rPr>
                <w:rFonts w:hint="eastAsia"/>
              </w:rPr>
            </w:pPr>
            <w:r>
              <w:rPr>
                <w:rFonts w:hint="eastAsia"/>
              </w:rPr>
              <w:t>0.0136</w:t>
            </w:r>
          </w:p>
        </w:tc>
        <w:tc>
          <w:tcPr>
            <w:tcW w:w="419" w:type="pct"/>
            <w:vAlign w:val="center"/>
          </w:tcPr>
          <w:p w14:paraId="1925FBAC">
            <w:pPr>
              <w:pStyle w:val="278"/>
              <w:adjustRightInd w:val="0"/>
              <w:snapToGrid w:val="0"/>
              <w:spacing w:line="300" w:lineRule="exact"/>
              <w:rPr>
                <w:rFonts w:hint="eastAsia"/>
              </w:rPr>
            </w:pPr>
            <w:r>
              <w:rPr>
                <w:rFonts w:hint="eastAsia"/>
              </w:rPr>
              <w:t>0.14</w:t>
            </w:r>
          </w:p>
        </w:tc>
      </w:tr>
      <w:tr w14:paraId="29A7ED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55327B0">
            <w:pPr>
              <w:pStyle w:val="278"/>
              <w:adjustRightInd w:val="0"/>
              <w:snapToGrid w:val="0"/>
              <w:spacing w:line="300" w:lineRule="exact"/>
              <w:rPr>
                <w:rFonts w:hint="eastAsia"/>
              </w:rPr>
            </w:pPr>
            <w:r>
              <w:rPr>
                <w:rFonts w:hint="eastAsia"/>
              </w:rPr>
              <w:t>1100</w:t>
            </w:r>
          </w:p>
        </w:tc>
        <w:tc>
          <w:tcPr>
            <w:tcW w:w="569" w:type="pct"/>
            <w:vAlign w:val="center"/>
          </w:tcPr>
          <w:p w14:paraId="02264A08">
            <w:pPr>
              <w:pStyle w:val="278"/>
              <w:adjustRightInd w:val="0"/>
              <w:snapToGrid w:val="0"/>
              <w:spacing w:line="300" w:lineRule="exact"/>
              <w:rPr>
                <w:rFonts w:hint="eastAsia"/>
              </w:rPr>
            </w:pPr>
            <w:r>
              <w:rPr>
                <w:rFonts w:hint="eastAsia"/>
              </w:rPr>
              <w:t>64.756</w:t>
            </w:r>
          </w:p>
        </w:tc>
        <w:tc>
          <w:tcPr>
            <w:tcW w:w="406" w:type="pct"/>
            <w:vAlign w:val="center"/>
          </w:tcPr>
          <w:p w14:paraId="11F2C623">
            <w:pPr>
              <w:pStyle w:val="278"/>
              <w:adjustRightInd w:val="0"/>
              <w:snapToGrid w:val="0"/>
              <w:spacing w:line="300" w:lineRule="exact"/>
              <w:rPr>
                <w:rFonts w:hint="eastAsia"/>
              </w:rPr>
            </w:pPr>
            <w:r>
              <w:rPr>
                <w:rFonts w:hint="eastAsia"/>
              </w:rPr>
              <w:t>3.24</w:t>
            </w:r>
          </w:p>
        </w:tc>
        <w:tc>
          <w:tcPr>
            <w:tcW w:w="486" w:type="pct"/>
            <w:vAlign w:val="center"/>
          </w:tcPr>
          <w:p w14:paraId="4FDBB76E">
            <w:pPr>
              <w:pStyle w:val="278"/>
              <w:adjustRightInd w:val="0"/>
              <w:snapToGrid w:val="0"/>
              <w:spacing w:line="300" w:lineRule="exact"/>
              <w:rPr>
                <w:rFonts w:hint="eastAsia"/>
              </w:rPr>
            </w:pPr>
            <w:r>
              <w:rPr>
                <w:rFonts w:hint="eastAsia"/>
              </w:rPr>
              <w:t>0.0127</w:t>
            </w:r>
          </w:p>
        </w:tc>
        <w:tc>
          <w:tcPr>
            <w:tcW w:w="408" w:type="pct"/>
            <w:vAlign w:val="center"/>
          </w:tcPr>
          <w:p w14:paraId="3B18E149">
            <w:pPr>
              <w:pStyle w:val="278"/>
              <w:adjustRightInd w:val="0"/>
              <w:snapToGrid w:val="0"/>
              <w:spacing w:line="300" w:lineRule="exact"/>
              <w:rPr>
                <w:rFonts w:hint="eastAsia"/>
              </w:rPr>
            </w:pPr>
            <w:r>
              <w:rPr>
                <w:rFonts w:hint="eastAsia"/>
              </w:rPr>
              <w:t>0.13</w:t>
            </w:r>
          </w:p>
        </w:tc>
        <w:tc>
          <w:tcPr>
            <w:tcW w:w="537" w:type="pct"/>
            <w:vAlign w:val="center"/>
          </w:tcPr>
          <w:p w14:paraId="0376B9AF">
            <w:pPr>
              <w:pStyle w:val="278"/>
              <w:adjustRightInd w:val="0"/>
              <w:snapToGrid w:val="0"/>
              <w:spacing w:line="300" w:lineRule="exact"/>
              <w:rPr>
                <w:rFonts w:hint="eastAsia"/>
              </w:rPr>
            </w:pPr>
            <w:r>
              <w:rPr>
                <w:rFonts w:hint="eastAsia"/>
              </w:rPr>
              <w:t>1100</w:t>
            </w:r>
          </w:p>
        </w:tc>
        <w:tc>
          <w:tcPr>
            <w:tcW w:w="632" w:type="pct"/>
            <w:vAlign w:val="center"/>
          </w:tcPr>
          <w:p w14:paraId="7CBE2AD0">
            <w:pPr>
              <w:pStyle w:val="278"/>
              <w:adjustRightInd w:val="0"/>
              <w:snapToGrid w:val="0"/>
              <w:spacing w:line="300" w:lineRule="exact"/>
              <w:rPr>
                <w:rFonts w:hint="eastAsia"/>
              </w:rPr>
            </w:pPr>
            <w:r>
              <w:rPr>
                <w:rFonts w:hint="eastAsia"/>
              </w:rPr>
              <w:t>12.9510</w:t>
            </w:r>
          </w:p>
        </w:tc>
        <w:tc>
          <w:tcPr>
            <w:tcW w:w="424" w:type="pct"/>
            <w:vAlign w:val="center"/>
          </w:tcPr>
          <w:p w14:paraId="267D6F44">
            <w:pPr>
              <w:pStyle w:val="278"/>
              <w:adjustRightInd w:val="0"/>
              <w:snapToGrid w:val="0"/>
              <w:spacing w:line="300" w:lineRule="exact"/>
              <w:rPr>
                <w:rFonts w:hint="eastAsia"/>
              </w:rPr>
            </w:pPr>
            <w:r>
              <w:rPr>
                <w:rFonts w:hint="eastAsia"/>
              </w:rPr>
              <w:t>0.65</w:t>
            </w:r>
          </w:p>
        </w:tc>
        <w:tc>
          <w:tcPr>
            <w:tcW w:w="632" w:type="pct"/>
            <w:vAlign w:val="center"/>
          </w:tcPr>
          <w:p w14:paraId="5C950861">
            <w:pPr>
              <w:pStyle w:val="278"/>
              <w:adjustRightInd w:val="0"/>
              <w:snapToGrid w:val="0"/>
              <w:spacing w:line="300" w:lineRule="exact"/>
              <w:rPr>
                <w:rFonts w:hint="eastAsia"/>
              </w:rPr>
            </w:pPr>
            <w:r>
              <w:rPr>
                <w:rFonts w:hint="eastAsia"/>
              </w:rPr>
              <w:t>0.0127</w:t>
            </w:r>
          </w:p>
        </w:tc>
        <w:tc>
          <w:tcPr>
            <w:tcW w:w="419" w:type="pct"/>
            <w:vAlign w:val="center"/>
          </w:tcPr>
          <w:p w14:paraId="5C6F6B72">
            <w:pPr>
              <w:pStyle w:val="278"/>
              <w:adjustRightInd w:val="0"/>
              <w:snapToGrid w:val="0"/>
              <w:spacing w:line="300" w:lineRule="exact"/>
              <w:rPr>
                <w:rFonts w:hint="eastAsia"/>
              </w:rPr>
            </w:pPr>
            <w:r>
              <w:rPr>
                <w:rFonts w:hint="eastAsia"/>
              </w:rPr>
              <w:t>0.13</w:t>
            </w:r>
          </w:p>
        </w:tc>
      </w:tr>
      <w:tr w14:paraId="536BC6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A41EA1B">
            <w:pPr>
              <w:pStyle w:val="278"/>
              <w:adjustRightInd w:val="0"/>
              <w:snapToGrid w:val="0"/>
              <w:spacing w:line="300" w:lineRule="exact"/>
              <w:rPr>
                <w:rFonts w:hint="eastAsia"/>
              </w:rPr>
            </w:pPr>
            <w:r>
              <w:rPr>
                <w:rFonts w:hint="eastAsia"/>
              </w:rPr>
              <w:t>1200</w:t>
            </w:r>
          </w:p>
        </w:tc>
        <w:tc>
          <w:tcPr>
            <w:tcW w:w="569" w:type="pct"/>
            <w:vAlign w:val="center"/>
          </w:tcPr>
          <w:p w14:paraId="3DBEC7BB">
            <w:pPr>
              <w:pStyle w:val="278"/>
              <w:adjustRightInd w:val="0"/>
              <w:snapToGrid w:val="0"/>
              <w:spacing w:line="300" w:lineRule="exact"/>
              <w:rPr>
                <w:rFonts w:hint="eastAsia"/>
              </w:rPr>
            </w:pPr>
            <w:r>
              <w:rPr>
                <w:rFonts w:hint="eastAsia"/>
              </w:rPr>
              <w:t>60.341</w:t>
            </w:r>
          </w:p>
        </w:tc>
        <w:tc>
          <w:tcPr>
            <w:tcW w:w="406" w:type="pct"/>
            <w:vAlign w:val="center"/>
          </w:tcPr>
          <w:p w14:paraId="5B011411">
            <w:pPr>
              <w:pStyle w:val="278"/>
              <w:adjustRightInd w:val="0"/>
              <w:snapToGrid w:val="0"/>
              <w:spacing w:line="300" w:lineRule="exact"/>
              <w:rPr>
                <w:rFonts w:hint="eastAsia"/>
              </w:rPr>
            </w:pPr>
            <w:r>
              <w:rPr>
                <w:rFonts w:hint="eastAsia"/>
              </w:rPr>
              <w:t>3.02</w:t>
            </w:r>
          </w:p>
        </w:tc>
        <w:tc>
          <w:tcPr>
            <w:tcW w:w="486" w:type="pct"/>
            <w:vAlign w:val="center"/>
          </w:tcPr>
          <w:p w14:paraId="6B556436">
            <w:pPr>
              <w:pStyle w:val="278"/>
              <w:adjustRightInd w:val="0"/>
              <w:snapToGrid w:val="0"/>
              <w:spacing w:line="300" w:lineRule="exact"/>
              <w:rPr>
                <w:rFonts w:hint="eastAsia"/>
              </w:rPr>
            </w:pPr>
            <w:r>
              <w:rPr>
                <w:rFonts w:hint="eastAsia"/>
              </w:rPr>
              <w:t>0.0118</w:t>
            </w:r>
          </w:p>
        </w:tc>
        <w:tc>
          <w:tcPr>
            <w:tcW w:w="408" w:type="pct"/>
            <w:vAlign w:val="center"/>
          </w:tcPr>
          <w:p w14:paraId="45F2563D">
            <w:pPr>
              <w:pStyle w:val="278"/>
              <w:adjustRightInd w:val="0"/>
              <w:snapToGrid w:val="0"/>
              <w:spacing w:line="300" w:lineRule="exact"/>
              <w:rPr>
                <w:rFonts w:hint="eastAsia"/>
              </w:rPr>
            </w:pPr>
            <w:r>
              <w:rPr>
                <w:rFonts w:hint="eastAsia"/>
              </w:rPr>
              <w:t>0.12</w:t>
            </w:r>
          </w:p>
        </w:tc>
        <w:tc>
          <w:tcPr>
            <w:tcW w:w="537" w:type="pct"/>
            <w:vAlign w:val="center"/>
          </w:tcPr>
          <w:p w14:paraId="6D2A2E5F">
            <w:pPr>
              <w:pStyle w:val="278"/>
              <w:adjustRightInd w:val="0"/>
              <w:snapToGrid w:val="0"/>
              <w:spacing w:line="300" w:lineRule="exact"/>
              <w:rPr>
                <w:rFonts w:hint="eastAsia"/>
              </w:rPr>
            </w:pPr>
            <w:r>
              <w:rPr>
                <w:rFonts w:hint="eastAsia"/>
              </w:rPr>
              <w:t>1200</w:t>
            </w:r>
          </w:p>
        </w:tc>
        <w:tc>
          <w:tcPr>
            <w:tcW w:w="632" w:type="pct"/>
            <w:vAlign w:val="center"/>
          </w:tcPr>
          <w:p w14:paraId="0641EB60">
            <w:pPr>
              <w:pStyle w:val="278"/>
              <w:adjustRightInd w:val="0"/>
              <w:snapToGrid w:val="0"/>
              <w:spacing w:line="300" w:lineRule="exact"/>
              <w:rPr>
                <w:rFonts w:hint="eastAsia"/>
              </w:rPr>
            </w:pPr>
            <w:r>
              <w:rPr>
                <w:rFonts w:hint="eastAsia"/>
              </w:rPr>
              <w:t>12.0680</w:t>
            </w:r>
          </w:p>
        </w:tc>
        <w:tc>
          <w:tcPr>
            <w:tcW w:w="424" w:type="pct"/>
            <w:vAlign w:val="center"/>
          </w:tcPr>
          <w:p w14:paraId="29EF74E7">
            <w:pPr>
              <w:pStyle w:val="278"/>
              <w:adjustRightInd w:val="0"/>
              <w:snapToGrid w:val="0"/>
              <w:spacing w:line="300" w:lineRule="exact"/>
              <w:rPr>
                <w:rFonts w:hint="eastAsia"/>
              </w:rPr>
            </w:pPr>
            <w:r>
              <w:rPr>
                <w:rFonts w:hint="eastAsia"/>
              </w:rPr>
              <w:t>0.6</w:t>
            </w:r>
          </w:p>
        </w:tc>
        <w:tc>
          <w:tcPr>
            <w:tcW w:w="632" w:type="pct"/>
            <w:vAlign w:val="center"/>
          </w:tcPr>
          <w:p w14:paraId="7944AA95">
            <w:pPr>
              <w:pStyle w:val="278"/>
              <w:adjustRightInd w:val="0"/>
              <w:snapToGrid w:val="0"/>
              <w:spacing w:line="300" w:lineRule="exact"/>
              <w:rPr>
                <w:rFonts w:hint="eastAsia"/>
              </w:rPr>
            </w:pPr>
            <w:r>
              <w:rPr>
                <w:rFonts w:hint="eastAsia"/>
              </w:rPr>
              <w:t>0.0118</w:t>
            </w:r>
          </w:p>
        </w:tc>
        <w:tc>
          <w:tcPr>
            <w:tcW w:w="419" w:type="pct"/>
            <w:vAlign w:val="center"/>
          </w:tcPr>
          <w:p w14:paraId="5A51156E">
            <w:pPr>
              <w:pStyle w:val="278"/>
              <w:adjustRightInd w:val="0"/>
              <w:snapToGrid w:val="0"/>
              <w:spacing w:line="300" w:lineRule="exact"/>
              <w:rPr>
                <w:rFonts w:hint="eastAsia"/>
              </w:rPr>
            </w:pPr>
            <w:r>
              <w:rPr>
                <w:rFonts w:hint="eastAsia"/>
              </w:rPr>
              <w:t>0.12</w:t>
            </w:r>
          </w:p>
        </w:tc>
      </w:tr>
      <w:tr w14:paraId="2064C5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8B5FB76">
            <w:pPr>
              <w:pStyle w:val="278"/>
              <w:adjustRightInd w:val="0"/>
              <w:snapToGrid w:val="0"/>
              <w:spacing w:line="300" w:lineRule="exact"/>
              <w:rPr>
                <w:rFonts w:hint="eastAsia"/>
              </w:rPr>
            </w:pPr>
            <w:r>
              <w:rPr>
                <w:rFonts w:hint="eastAsia"/>
              </w:rPr>
              <w:t>1300</w:t>
            </w:r>
          </w:p>
        </w:tc>
        <w:tc>
          <w:tcPr>
            <w:tcW w:w="569" w:type="pct"/>
            <w:vAlign w:val="center"/>
          </w:tcPr>
          <w:p w14:paraId="287CD408">
            <w:pPr>
              <w:pStyle w:val="278"/>
              <w:adjustRightInd w:val="0"/>
              <w:snapToGrid w:val="0"/>
              <w:spacing w:line="300" w:lineRule="exact"/>
              <w:rPr>
                <w:rFonts w:hint="eastAsia"/>
              </w:rPr>
            </w:pPr>
            <w:r>
              <w:rPr>
                <w:rFonts w:hint="eastAsia"/>
              </w:rPr>
              <w:t>56.399</w:t>
            </w:r>
          </w:p>
        </w:tc>
        <w:tc>
          <w:tcPr>
            <w:tcW w:w="406" w:type="pct"/>
            <w:vAlign w:val="center"/>
          </w:tcPr>
          <w:p w14:paraId="57DEFB8A">
            <w:pPr>
              <w:pStyle w:val="278"/>
              <w:adjustRightInd w:val="0"/>
              <w:snapToGrid w:val="0"/>
              <w:spacing w:line="300" w:lineRule="exact"/>
              <w:rPr>
                <w:rFonts w:hint="eastAsia"/>
              </w:rPr>
            </w:pPr>
            <w:r>
              <w:rPr>
                <w:rFonts w:hint="eastAsia"/>
              </w:rPr>
              <w:t>2.82</w:t>
            </w:r>
          </w:p>
        </w:tc>
        <w:tc>
          <w:tcPr>
            <w:tcW w:w="486" w:type="pct"/>
            <w:vAlign w:val="center"/>
          </w:tcPr>
          <w:p w14:paraId="06A79659">
            <w:pPr>
              <w:pStyle w:val="278"/>
              <w:adjustRightInd w:val="0"/>
              <w:snapToGrid w:val="0"/>
              <w:spacing w:line="300" w:lineRule="exact"/>
              <w:rPr>
                <w:rFonts w:hint="eastAsia"/>
              </w:rPr>
            </w:pPr>
            <w:r>
              <w:rPr>
                <w:rFonts w:hint="eastAsia"/>
              </w:rPr>
              <w:t>0.0110</w:t>
            </w:r>
          </w:p>
        </w:tc>
        <w:tc>
          <w:tcPr>
            <w:tcW w:w="408" w:type="pct"/>
            <w:vAlign w:val="center"/>
          </w:tcPr>
          <w:p w14:paraId="663F98D1">
            <w:pPr>
              <w:pStyle w:val="278"/>
              <w:adjustRightInd w:val="0"/>
              <w:snapToGrid w:val="0"/>
              <w:spacing w:line="300" w:lineRule="exact"/>
              <w:rPr>
                <w:rFonts w:hint="eastAsia"/>
              </w:rPr>
            </w:pPr>
            <w:r>
              <w:rPr>
                <w:rFonts w:hint="eastAsia"/>
              </w:rPr>
              <w:t>0.11</w:t>
            </w:r>
          </w:p>
        </w:tc>
        <w:tc>
          <w:tcPr>
            <w:tcW w:w="537" w:type="pct"/>
            <w:vAlign w:val="center"/>
          </w:tcPr>
          <w:p w14:paraId="18ECF525">
            <w:pPr>
              <w:pStyle w:val="278"/>
              <w:adjustRightInd w:val="0"/>
              <w:snapToGrid w:val="0"/>
              <w:spacing w:line="300" w:lineRule="exact"/>
              <w:rPr>
                <w:rFonts w:hint="eastAsia"/>
              </w:rPr>
            </w:pPr>
            <w:r>
              <w:rPr>
                <w:rFonts w:hint="eastAsia"/>
              </w:rPr>
              <w:t>1300</w:t>
            </w:r>
          </w:p>
        </w:tc>
        <w:tc>
          <w:tcPr>
            <w:tcW w:w="632" w:type="pct"/>
            <w:vAlign w:val="center"/>
          </w:tcPr>
          <w:p w14:paraId="558546F6">
            <w:pPr>
              <w:pStyle w:val="278"/>
              <w:adjustRightInd w:val="0"/>
              <w:snapToGrid w:val="0"/>
              <w:spacing w:line="300" w:lineRule="exact"/>
              <w:rPr>
                <w:rFonts w:hint="eastAsia"/>
              </w:rPr>
            </w:pPr>
            <w:r>
              <w:rPr>
                <w:rFonts w:hint="eastAsia"/>
              </w:rPr>
              <w:t>11.2800</w:t>
            </w:r>
          </w:p>
        </w:tc>
        <w:tc>
          <w:tcPr>
            <w:tcW w:w="424" w:type="pct"/>
            <w:vAlign w:val="center"/>
          </w:tcPr>
          <w:p w14:paraId="75001FE2">
            <w:pPr>
              <w:pStyle w:val="278"/>
              <w:adjustRightInd w:val="0"/>
              <w:snapToGrid w:val="0"/>
              <w:spacing w:line="300" w:lineRule="exact"/>
              <w:rPr>
                <w:rFonts w:hint="eastAsia"/>
              </w:rPr>
            </w:pPr>
            <w:r>
              <w:rPr>
                <w:rFonts w:hint="eastAsia"/>
              </w:rPr>
              <w:t>0.56</w:t>
            </w:r>
          </w:p>
        </w:tc>
        <w:tc>
          <w:tcPr>
            <w:tcW w:w="632" w:type="pct"/>
            <w:vAlign w:val="center"/>
          </w:tcPr>
          <w:p w14:paraId="1DF6BADF">
            <w:pPr>
              <w:pStyle w:val="278"/>
              <w:adjustRightInd w:val="0"/>
              <w:snapToGrid w:val="0"/>
              <w:spacing w:line="300" w:lineRule="exact"/>
              <w:rPr>
                <w:rFonts w:hint="eastAsia"/>
              </w:rPr>
            </w:pPr>
            <w:r>
              <w:rPr>
                <w:rFonts w:hint="eastAsia"/>
              </w:rPr>
              <w:t>0.0110</w:t>
            </w:r>
          </w:p>
        </w:tc>
        <w:tc>
          <w:tcPr>
            <w:tcW w:w="419" w:type="pct"/>
            <w:vAlign w:val="center"/>
          </w:tcPr>
          <w:p w14:paraId="1D6BB49C">
            <w:pPr>
              <w:pStyle w:val="278"/>
              <w:adjustRightInd w:val="0"/>
              <w:snapToGrid w:val="0"/>
              <w:spacing w:line="300" w:lineRule="exact"/>
              <w:rPr>
                <w:rFonts w:hint="eastAsia"/>
              </w:rPr>
            </w:pPr>
            <w:r>
              <w:rPr>
                <w:rFonts w:hint="eastAsia"/>
              </w:rPr>
              <w:t>0.11</w:t>
            </w:r>
          </w:p>
        </w:tc>
      </w:tr>
      <w:tr w14:paraId="5EF0C3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54FFA6C8">
            <w:pPr>
              <w:pStyle w:val="278"/>
              <w:adjustRightInd w:val="0"/>
              <w:snapToGrid w:val="0"/>
              <w:spacing w:line="300" w:lineRule="exact"/>
              <w:rPr>
                <w:rFonts w:hint="eastAsia"/>
              </w:rPr>
            </w:pPr>
            <w:r>
              <w:rPr>
                <w:rFonts w:hint="eastAsia"/>
              </w:rPr>
              <w:t>1400</w:t>
            </w:r>
          </w:p>
        </w:tc>
        <w:tc>
          <w:tcPr>
            <w:tcW w:w="569" w:type="pct"/>
            <w:vAlign w:val="center"/>
          </w:tcPr>
          <w:p w14:paraId="6EAE1DF2">
            <w:pPr>
              <w:pStyle w:val="278"/>
              <w:adjustRightInd w:val="0"/>
              <w:snapToGrid w:val="0"/>
              <w:spacing w:line="300" w:lineRule="exact"/>
              <w:rPr>
                <w:rFonts w:hint="eastAsia"/>
              </w:rPr>
            </w:pPr>
            <w:r>
              <w:rPr>
                <w:rFonts w:hint="eastAsia"/>
              </w:rPr>
              <w:t>52.877</w:t>
            </w:r>
          </w:p>
        </w:tc>
        <w:tc>
          <w:tcPr>
            <w:tcW w:w="406" w:type="pct"/>
            <w:vAlign w:val="center"/>
          </w:tcPr>
          <w:p w14:paraId="28BFBE35">
            <w:pPr>
              <w:pStyle w:val="278"/>
              <w:adjustRightInd w:val="0"/>
              <w:snapToGrid w:val="0"/>
              <w:spacing w:line="300" w:lineRule="exact"/>
              <w:rPr>
                <w:rFonts w:hint="eastAsia"/>
              </w:rPr>
            </w:pPr>
            <w:r>
              <w:rPr>
                <w:rFonts w:hint="eastAsia"/>
              </w:rPr>
              <w:t>2.64</w:t>
            </w:r>
          </w:p>
        </w:tc>
        <w:tc>
          <w:tcPr>
            <w:tcW w:w="486" w:type="pct"/>
            <w:vAlign w:val="center"/>
          </w:tcPr>
          <w:p w14:paraId="07CCB8AD">
            <w:pPr>
              <w:pStyle w:val="278"/>
              <w:adjustRightInd w:val="0"/>
              <w:snapToGrid w:val="0"/>
              <w:spacing w:line="300" w:lineRule="exact"/>
              <w:rPr>
                <w:rFonts w:hint="eastAsia"/>
              </w:rPr>
            </w:pPr>
            <w:r>
              <w:rPr>
                <w:rFonts w:hint="eastAsia"/>
              </w:rPr>
              <w:t>0.0104</w:t>
            </w:r>
          </w:p>
        </w:tc>
        <w:tc>
          <w:tcPr>
            <w:tcW w:w="408" w:type="pct"/>
            <w:vAlign w:val="center"/>
          </w:tcPr>
          <w:p w14:paraId="53D57074">
            <w:pPr>
              <w:pStyle w:val="278"/>
              <w:adjustRightInd w:val="0"/>
              <w:snapToGrid w:val="0"/>
              <w:spacing w:line="300" w:lineRule="exact"/>
              <w:rPr>
                <w:rFonts w:hint="eastAsia"/>
              </w:rPr>
            </w:pPr>
            <w:r>
              <w:rPr>
                <w:rFonts w:hint="eastAsia"/>
              </w:rPr>
              <w:t>0.1</w:t>
            </w:r>
          </w:p>
        </w:tc>
        <w:tc>
          <w:tcPr>
            <w:tcW w:w="537" w:type="pct"/>
            <w:vAlign w:val="center"/>
          </w:tcPr>
          <w:p w14:paraId="78C6FF1B">
            <w:pPr>
              <w:pStyle w:val="278"/>
              <w:adjustRightInd w:val="0"/>
              <w:snapToGrid w:val="0"/>
              <w:spacing w:line="300" w:lineRule="exact"/>
              <w:rPr>
                <w:rFonts w:hint="eastAsia"/>
              </w:rPr>
            </w:pPr>
            <w:r>
              <w:rPr>
                <w:rFonts w:hint="eastAsia"/>
              </w:rPr>
              <w:t>1400</w:t>
            </w:r>
          </w:p>
        </w:tc>
        <w:tc>
          <w:tcPr>
            <w:tcW w:w="632" w:type="pct"/>
            <w:vAlign w:val="center"/>
          </w:tcPr>
          <w:p w14:paraId="0535B0AA">
            <w:pPr>
              <w:pStyle w:val="278"/>
              <w:adjustRightInd w:val="0"/>
              <w:snapToGrid w:val="0"/>
              <w:spacing w:line="300" w:lineRule="exact"/>
              <w:rPr>
                <w:rFonts w:hint="eastAsia"/>
              </w:rPr>
            </w:pPr>
            <w:r>
              <w:rPr>
                <w:rFonts w:hint="eastAsia"/>
              </w:rPr>
              <w:t>10.5750</w:t>
            </w:r>
          </w:p>
        </w:tc>
        <w:tc>
          <w:tcPr>
            <w:tcW w:w="424" w:type="pct"/>
            <w:vAlign w:val="center"/>
          </w:tcPr>
          <w:p w14:paraId="77C714FD">
            <w:pPr>
              <w:pStyle w:val="278"/>
              <w:adjustRightInd w:val="0"/>
              <w:snapToGrid w:val="0"/>
              <w:spacing w:line="300" w:lineRule="exact"/>
              <w:rPr>
                <w:rFonts w:hint="eastAsia"/>
              </w:rPr>
            </w:pPr>
            <w:r>
              <w:rPr>
                <w:rFonts w:hint="eastAsia"/>
              </w:rPr>
              <w:t>0.53</w:t>
            </w:r>
          </w:p>
        </w:tc>
        <w:tc>
          <w:tcPr>
            <w:tcW w:w="632" w:type="pct"/>
            <w:vAlign w:val="center"/>
          </w:tcPr>
          <w:p w14:paraId="13959132">
            <w:pPr>
              <w:pStyle w:val="278"/>
              <w:adjustRightInd w:val="0"/>
              <w:snapToGrid w:val="0"/>
              <w:spacing w:line="300" w:lineRule="exact"/>
              <w:rPr>
                <w:rFonts w:hint="eastAsia"/>
              </w:rPr>
            </w:pPr>
            <w:r>
              <w:rPr>
                <w:rFonts w:hint="eastAsia"/>
              </w:rPr>
              <w:t>0.0104</w:t>
            </w:r>
          </w:p>
        </w:tc>
        <w:tc>
          <w:tcPr>
            <w:tcW w:w="419" w:type="pct"/>
            <w:vAlign w:val="center"/>
          </w:tcPr>
          <w:p w14:paraId="6BEFF50A">
            <w:pPr>
              <w:pStyle w:val="278"/>
              <w:adjustRightInd w:val="0"/>
              <w:snapToGrid w:val="0"/>
              <w:spacing w:line="300" w:lineRule="exact"/>
              <w:rPr>
                <w:rFonts w:hint="eastAsia"/>
              </w:rPr>
            </w:pPr>
            <w:r>
              <w:rPr>
                <w:rFonts w:hint="eastAsia"/>
              </w:rPr>
              <w:t>0.1</w:t>
            </w:r>
          </w:p>
        </w:tc>
      </w:tr>
      <w:tr w14:paraId="3274D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55816F30">
            <w:pPr>
              <w:pStyle w:val="278"/>
              <w:adjustRightInd w:val="0"/>
              <w:snapToGrid w:val="0"/>
              <w:spacing w:line="300" w:lineRule="exact"/>
              <w:rPr>
                <w:rFonts w:hint="eastAsia"/>
              </w:rPr>
            </w:pPr>
            <w:r>
              <w:rPr>
                <w:rFonts w:hint="eastAsia"/>
              </w:rPr>
              <w:t>1500</w:t>
            </w:r>
          </w:p>
        </w:tc>
        <w:tc>
          <w:tcPr>
            <w:tcW w:w="569" w:type="pct"/>
            <w:vAlign w:val="center"/>
          </w:tcPr>
          <w:p w14:paraId="619354D5">
            <w:pPr>
              <w:pStyle w:val="278"/>
              <w:adjustRightInd w:val="0"/>
              <w:snapToGrid w:val="0"/>
              <w:spacing w:line="300" w:lineRule="exact"/>
              <w:rPr>
                <w:rFonts w:hint="eastAsia"/>
              </w:rPr>
            </w:pPr>
            <w:r>
              <w:rPr>
                <w:rFonts w:hint="eastAsia"/>
              </w:rPr>
              <w:t>49.705</w:t>
            </w:r>
          </w:p>
        </w:tc>
        <w:tc>
          <w:tcPr>
            <w:tcW w:w="406" w:type="pct"/>
            <w:vAlign w:val="center"/>
          </w:tcPr>
          <w:p w14:paraId="6C2A6BC2">
            <w:pPr>
              <w:pStyle w:val="278"/>
              <w:adjustRightInd w:val="0"/>
              <w:snapToGrid w:val="0"/>
              <w:spacing w:line="300" w:lineRule="exact"/>
              <w:rPr>
                <w:rFonts w:hint="eastAsia"/>
              </w:rPr>
            </w:pPr>
            <w:r>
              <w:rPr>
                <w:rFonts w:hint="eastAsia"/>
              </w:rPr>
              <w:t>2.49</w:t>
            </w:r>
          </w:p>
        </w:tc>
        <w:tc>
          <w:tcPr>
            <w:tcW w:w="486" w:type="pct"/>
            <w:vAlign w:val="center"/>
          </w:tcPr>
          <w:p w14:paraId="757587EE">
            <w:pPr>
              <w:pStyle w:val="278"/>
              <w:adjustRightInd w:val="0"/>
              <w:snapToGrid w:val="0"/>
              <w:spacing w:line="300" w:lineRule="exact"/>
              <w:rPr>
                <w:rFonts w:hint="eastAsia"/>
              </w:rPr>
            </w:pPr>
            <w:r>
              <w:rPr>
                <w:rFonts w:hint="eastAsia"/>
              </w:rPr>
              <w:t>0.0097</w:t>
            </w:r>
          </w:p>
        </w:tc>
        <w:tc>
          <w:tcPr>
            <w:tcW w:w="408" w:type="pct"/>
            <w:vAlign w:val="center"/>
          </w:tcPr>
          <w:p w14:paraId="38EC99CA">
            <w:pPr>
              <w:pStyle w:val="278"/>
              <w:adjustRightInd w:val="0"/>
              <w:snapToGrid w:val="0"/>
              <w:spacing w:line="300" w:lineRule="exact"/>
              <w:rPr>
                <w:rFonts w:hint="eastAsia"/>
              </w:rPr>
            </w:pPr>
            <w:r>
              <w:rPr>
                <w:rFonts w:hint="eastAsia"/>
              </w:rPr>
              <w:t>0.1</w:t>
            </w:r>
          </w:p>
        </w:tc>
        <w:tc>
          <w:tcPr>
            <w:tcW w:w="537" w:type="pct"/>
            <w:vAlign w:val="center"/>
          </w:tcPr>
          <w:p w14:paraId="39913778">
            <w:pPr>
              <w:pStyle w:val="278"/>
              <w:adjustRightInd w:val="0"/>
              <w:snapToGrid w:val="0"/>
              <w:spacing w:line="300" w:lineRule="exact"/>
              <w:rPr>
                <w:rFonts w:hint="eastAsia"/>
              </w:rPr>
            </w:pPr>
            <w:r>
              <w:rPr>
                <w:rFonts w:hint="eastAsia"/>
              </w:rPr>
              <w:t>1500</w:t>
            </w:r>
          </w:p>
        </w:tc>
        <w:tc>
          <w:tcPr>
            <w:tcW w:w="632" w:type="pct"/>
            <w:vAlign w:val="center"/>
          </w:tcPr>
          <w:p w14:paraId="1309C63F">
            <w:pPr>
              <w:pStyle w:val="278"/>
              <w:adjustRightInd w:val="0"/>
              <w:snapToGrid w:val="0"/>
              <w:spacing w:line="300" w:lineRule="exact"/>
              <w:rPr>
                <w:rFonts w:hint="eastAsia"/>
              </w:rPr>
            </w:pPr>
            <w:r>
              <w:rPr>
                <w:rFonts w:hint="eastAsia"/>
              </w:rPr>
              <w:t>9.9411</w:t>
            </w:r>
          </w:p>
        </w:tc>
        <w:tc>
          <w:tcPr>
            <w:tcW w:w="424" w:type="pct"/>
            <w:vAlign w:val="center"/>
          </w:tcPr>
          <w:p w14:paraId="79071595">
            <w:pPr>
              <w:pStyle w:val="278"/>
              <w:adjustRightInd w:val="0"/>
              <w:snapToGrid w:val="0"/>
              <w:spacing w:line="300" w:lineRule="exact"/>
              <w:rPr>
                <w:rFonts w:hint="eastAsia"/>
              </w:rPr>
            </w:pPr>
            <w:r>
              <w:rPr>
                <w:rFonts w:hint="eastAsia"/>
              </w:rPr>
              <w:t>0.5</w:t>
            </w:r>
          </w:p>
        </w:tc>
        <w:tc>
          <w:tcPr>
            <w:tcW w:w="632" w:type="pct"/>
            <w:vAlign w:val="center"/>
          </w:tcPr>
          <w:p w14:paraId="631D4160">
            <w:pPr>
              <w:pStyle w:val="278"/>
              <w:adjustRightInd w:val="0"/>
              <w:snapToGrid w:val="0"/>
              <w:spacing w:line="300" w:lineRule="exact"/>
              <w:rPr>
                <w:rFonts w:hint="eastAsia"/>
              </w:rPr>
            </w:pPr>
            <w:r>
              <w:rPr>
                <w:rFonts w:hint="eastAsia"/>
              </w:rPr>
              <w:t>0.0097</w:t>
            </w:r>
          </w:p>
        </w:tc>
        <w:tc>
          <w:tcPr>
            <w:tcW w:w="419" w:type="pct"/>
            <w:vAlign w:val="center"/>
          </w:tcPr>
          <w:p w14:paraId="7461E3AD">
            <w:pPr>
              <w:pStyle w:val="278"/>
              <w:adjustRightInd w:val="0"/>
              <w:snapToGrid w:val="0"/>
              <w:spacing w:line="300" w:lineRule="exact"/>
              <w:rPr>
                <w:rFonts w:hint="eastAsia"/>
              </w:rPr>
            </w:pPr>
            <w:r>
              <w:rPr>
                <w:rFonts w:hint="eastAsia"/>
              </w:rPr>
              <w:t>0.1</w:t>
            </w:r>
          </w:p>
        </w:tc>
      </w:tr>
      <w:tr w14:paraId="6DC9A9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48AB1183">
            <w:pPr>
              <w:pStyle w:val="278"/>
              <w:adjustRightInd w:val="0"/>
              <w:snapToGrid w:val="0"/>
              <w:spacing w:line="300" w:lineRule="exact"/>
              <w:rPr>
                <w:rFonts w:hint="eastAsia"/>
              </w:rPr>
            </w:pPr>
            <w:r>
              <w:rPr>
                <w:rFonts w:hint="eastAsia"/>
              </w:rPr>
              <w:t>1600</w:t>
            </w:r>
          </w:p>
        </w:tc>
        <w:tc>
          <w:tcPr>
            <w:tcW w:w="569" w:type="pct"/>
            <w:vAlign w:val="center"/>
          </w:tcPr>
          <w:p w14:paraId="65CBB70A">
            <w:pPr>
              <w:pStyle w:val="278"/>
              <w:adjustRightInd w:val="0"/>
              <w:snapToGrid w:val="0"/>
              <w:spacing w:line="300" w:lineRule="exact"/>
              <w:rPr>
                <w:rFonts w:hint="eastAsia"/>
              </w:rPr>
            </w:pPr>
            <w:r>
              <w:rPr>
                <w:rFonts w:hint="eastAsia"/>
              </w:rPr>
              <w:t>46.848</w:t>
            </w:r>
          </w:p>
        </w:tc>
        <w:tc>
          <w:tcPr>
            <w:tcW w:w="406" w:type="pct"/>
            <w:vAlign w:val="center"/>
          </w:tcPr>
          <w:p w14:paraId="5339DC6A">
            <w:pPr>
              <w:pStyle w:val="278"/>
              <w:adjustRightInd w:val="0"/>
              <w:snapToGrid w:val="0"/>
              <w:spacing w:line="300" w:lineRule="exact"/>
              <w:rPr>
                <w:rFonts w:hint="eastAsia"/>
              </w:rPr>
            </w:pPr>
            <w:r>
              <w:rPr>
                <w:rFonts w:hint="eastAsia"/>
              </w:rPr>
              <w:t>2.34</w:t>
            </w:r>
          </w:p>
        </w:tc>
        <w:tc>
          <w:tcPr>
            <w:tcW w:w="486" w:type="pct"/>
            <w:vAlign w:val="center"/>
          </w:tcPr>
          <w:p w14:paraId="37397662">
            <w:pPr>
              <w:pStyle w:val="278"/>
              <w:adjustRightInd w:val="0"/>
              <w:snapToGrid w:val="0"/>
              <w:spacing w:line="300" w:lineRule="exact"/>
              <w:rPr>
                <w:rFonts w:hint="eastAsia"/>
              </w:rPr>
            </w:pPr>
            <w:r>
              <w:rPr>
                <w:rFonts w:hint="eastAsia"/>
              </w:rPr>
              <w:t>0.0092</w:t>
            </w:r>
          </w:p>
        </w:tc>
        <w:tc>
          <w:tcPr>
            <w:tcW w:w="408" w:type="pct"/>
            <w:vAlign w:val="center"/>
          </w:tcPr>
          <w:p w14:paraId="327F5F6D">
            <w:pPr>
              <w:pStyle w:val="278"/>
              <w:adjustRightInd w:val="0"/>
              <w:snapToGrid w:val="0"/>
              <w:spacing w:line="300" w:lineRule="exact"/>
              <w:rPr>
                <w:rFonts w:hint="eastAsia"/>
              </w:rPr>
            </w:pPr>
            <w:r>
              <w:rPr>
                <w:rFonts w:hint="eastAsia"/>
              </w:rPr>
              <w:t>0.09</w:t>
            </w:r>
          </w:p>
        </w:tc>
        <w:tc>
          <w:tcPr>
            <w:tcW w:w="537" w:type="pct"/>
            <w:vAlign w:val="center"/>
          </w:tcPr>
          <w:p w14:paraId="46249802">
            <w:pPr>
              <w:pStyle w:val="278"/>
              <w:adjustRightInd w:val="0"/>
              <w:snapToGrid w:val="0"/>
              <w:spacing w:line="300" w:lineRule="exact"/>
              <w:rPr>
                <w:rFonts w:hint="eastAsia"/>
              </w:rPr>
            </w:pPr>
            <w:r>
              <w:rPr>
                <w:rFonts w:hint="eastAsia"/>
              </w:rPr>
              <w:t>1600</w:t>
            </w:r>
          </w:p>
        </w:tc>
        <w:tc>
          <w:tcPr>
            <w:tcW w:w="632" w:type="pct"/>
            <w:vAlign w:val="center"/>
          </w:tcPr>
          <w:p w14:paraId="04E84E63">
            <w:pPr>
              <w:pStyle w:val="278"/>
              <w:adjustRightInd w:val="0"/>
              <w:snapToGrid w:val="0"/>
              <w:spacing w:line="300" w:lineRule="exact"/>
              <w:rPr>
                <w:rFonts w:hint="eastAsia"/>
              </w:rPr>
            </w:pPr>
            <w:r>
              <w:rPr>
                <w:rFonts w:hint="eastAsia"/>
              </w:rPr>
              <w:t>9.3697</w:t>
            </w:r>
          </w:p>
        </w:tc>
        <w:tc>
          <w:tcPr>
            <w:tcW w:w="424" w:type="pct"/>
            <w:vAlign w:val="center"/>
          </w:tcPr>
          <w:p w14:paraId="5F13CE48">
            <w:pPr>
              <w:pStyle w:val="278"/>
              <w:adjustRightInd w:val="0"/>
              <w:snapToGrid w:val="0"/>
              <w:spacing w:line="300" w:lineRule="exact"/>
              <w:rPr>
                <w:rFonts w:hint="eastAsia"/>
              </w:rPr>
            </w:pPr>
            <w:r>
              <w:rPr>
                <w:rFonts w:hint="eastAsia"/>
              </w:rPr>
              <w:t>0.47</w:t>
            </w:r>
          </w:p>
        </w:tc>
        <w:tc>
          <w:tcPr>
            <w:tcW w:w="632" w:type="pct"/>
            <w:vAlign w:val="center"/>
          </w:tcPr>
          <w:p w14:paraId="4AAAFF03">
            <w:pPr>
              <w:pStyle w:val="278"/>
              <w:adjustRightInd w:val="0"/>
              <w:snapToGrid w:val="0"/>
              <w:spacing w:line="300" w:lineRule="exact"/>
              <w:rPr>
                <w:rFonts w:hint="eastAsia"/>
              </w:rPr>
            </w:pPr>
            <w:r>
              <w:rPr>
                <w:rFonts w:hint="eastAsia"/>
              </w:rPr>
              <w:t>0.0092</w:t>
            </w:r>
          </w:p>
        </w:tc>
        <w:tc>
          <w:tcPr>
            <w:tcW w:w="419" w:type="pct"/>
            <w:vAlign w:val="center"/>
          </w:tcPr>
          <w:p w14:paraId="1D05FC12">
            <w:pPr>
              <w:pStyle w:val="278"/>
              <w:adjustRightInd w:val="0"/>
              <w:snapToGrid w:val="0"/>
              <w:spacing w:line="300" w:lineRule="exact"/>
              <w:rPr>
                <w:rFonts w:hint="eastAsia"/>
              </w:rPr>
            </w:pPr>
            <w:r>
              <w:rPr>
                <w:rFonts w:hint="eastAsia"/>
              </w:rPr>
              <w:t>0.09</w:t>
            </w:r>
          </w:p>
        </w:tc>
      </w:tr>
      <w:tr w14:paraId="6DCD82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6C888D49">
            <w:pPr>
              <w:pStyle w:val="278"/>
              <w:adjustRightInd w:val="0"/>
              <w:snapToGrid w:val="0"/>
              <w:spacing w:line="300" w:lineRule="exact"/>
              <w:rPr>
                <w:rFonts w:hint="eastAsia"/>
              </w:rPr>
            </w:pPr>
            <w:r>
              <w:rPr>
                <w:rFonts w:hint="eastAsia"/>
              </w:rPr>
              <w:t>1700</w:t>
            </w:r>
          </w:p>
        </w:tc>
        <w:tc>
          <w:tcPr>
            <w:tcW w:w="569" w:type="pct"/>
            <w:vAlign w:val="center"/>
          </w:tcPr>
          <w:p w14:paraId="4DA11F88">
            <w:pPr>
              <w:pStyle w:val="278"/>
              <w:adjustRightInd w:val="0"/>
              <w:snapToGrid w:val="0"/>
              <w:spacing w:line="300" w:lineRule="exact"/>
              <w:rPr>
                <w:rFonts w:hint="eastAsia"/>
              </w:rPr>
            </w:pPr>
            <w:r>
              <w:rPr>
                <w:rFonts w:hint="eastAsia"/>
              </w:rPr>
              <w:t>44.262</w:t>
            </w:r>
          </w:p>
        </w:tc>
        <w:tc>
          <w:tcPr>
            <w:tcW w:w="406" w:type="pct"/>
            <w:vAlign w:val="center"/>
          </w:tcPr>
          <w:p w14:paraId="3943818B">
            <w:pPr>
              <w:pStyle w:val="278"/>
              <w:adjustRightInd w:val="0"/>
              <w:snapToGrid w:val="0"/>
              <w:spacing w:line="300" w:lineRule="exact"/>
              <w:rPr>
                <w:rFonts w:hint="eastAsia"/>
              </w:rPr>
            </w:pPr>
            <w:r>
              <w:rPr>
                <w:rFonts w:hint="eastAsia"/>
              </w:rPr>
              <w:t>2.21</w:t>
            </w:r>
          </w:p>
        </w:tc>
        <w:tc>
          <w:tcPr>
            <w:tcW w:w="486" w:type="pct"/>
            <w:vAlign w:val="center"/>
          </w:tcPr>
          <w:p w14:paraId="08B8031D">
            <w:pPr>
              <w:pStyle w:val="278"/>
              <w:adjustRightInd w:val="0"/>
              <w:snapToGrid w:val="0"/>
              <w:spacing w:line="300" w:lineRule="exact"/>
              <w:rPr>
                <w:rFonts w:hint="eastAsia"/>
              </w:rPr>
            </w:pPr>
            <w:r>
              <w:rPr>
                <w:rFonts w:hint="eastAsia"/>
              </w:rPr>
              <w:t>0.0087</w:t>
            </w:r>
          </w:p>
        </w:tc>
        <w:tc>
          <w:tcPr>
            <w:tcW w:w="408" w:type="pct"/>
            <w:vAlign w:val="center"/>
          </w:tcPr>
          <w:p w14:paraId="165C3479">
            <w:pPr>
              <w:pStyle w:val="278"/>
              <w:adjustRightInd w:val="0"/>
              <w:snapToGrid w:val="0"/>
              <w:spacing w:line="300" w:lineRule="exact"/>
              <w:rPr>
                <w:rFonts w:hint="eastAsia"/>
              </w:rPr>
            </w:pPr>
            <w:r>
              <w:rPr>
                <w:rFonts w:hint="eastAsia"/>
              </w:rPr>
              <w:t>0.09</w:t>
            </w:r>
          </w:p>
        </w:tc>
        <w:tc>
          <w:tcPr>
            <w:tcW w:w="537" w:type="pct"/>
            <w:vAlign w:val="center"/>
          </w:tcPr>
          <w:p w14:paraId="3B002260">
            <w:pPr>
              <w:pStyle w:val="278"/>
              <w:adjustRightInd w:val="0"/>
              <w:snapToGrid w:val="0"/>
              <w:spacing w:line="300" w:lineRule="exact"/>
              <w:rPr>
                <w:rFonts w:hint="eastAsia"/>
              </w:rPr>
            </w:pPr>
            <w:r>
              <w:rPr>
                <w:rFonts w:hint="eastAsia"/>
              </w:rPr>
              <w:t>1700</w:t>
            </w:r>
          </w:p>
        </w:tc>
        <w:tc>
          <w:tcPr>
            <w:tcW w:w="632" w:type="pct"/>
            <w:vAlign w:val="center"/>
          </w:tcPr>
          <w:p w14:paraId="0F338988">
            <w:pPr>
              <w:pStyle w:val="278"/>
              <w:adjustRightInd w:val="0"/>
              <w:snapToGrid w:val="0"/>
              <w:spacing w:line="300" w:lineRule="exact"/>
              <w:rPr>
                <w:rFonts w:hint="eastAsia"/>
              </w:rPr>
            </w:pPr>
            <w:r>
              <w:rPr>
                <w:rFonts w:hint="eastAsia"/>
              </w:rPr>
              <w:t>8.8525</w:t>
            </w:r>
          </w:p>
        </w:tc>
        <w:tc>
          <w:tcPr>
            <w:tcW w:w="424" w:type="pct"/>
            <w:vAlign w:val="center"/>
          </w:tcPr>
          <w:p w14:paraId="472FD2EA">
            <w:pPr>
              <w:pStyle w:val="278"/>
              <w:adjustRightInd w:val="0"/>
              <w:snapToGrid w:val="0"/>
              <w:spacing w:line="300" w:lineRule="exact"/>
              <w:rPr>
                <w:rFonts w:hint="eastAsia"/>
              </w:rPr>
            </w:pPr>
            <w:r>
              <w:rPr>
                <w:rFonts w:hint="eastAsia"/>
              </w:rPr>
              <w:t>0.44</w:t>
            </w:r>
          </w:p>
        </w:tc>
        <w:tc>
          <w:tcPr>
            <w:tcW w:w="632" w:type="pct"/>
            <w:vAlign w:val="center"/>
          </w:tcPr>
          <w:p w14:paraId="0A319C1A">
            <w:pPr>
              <w:pStyle w:val="278"/>
              <w:adjustRightInd w:val="0"/>
              <w:snapToGrid w:val="0"/>
              <w:spacing w:line="300" w:lineRule="exact"/>
              <w:rPr>
                <w:rFonts w:hint="eastAsia"/>
              </w:rPr>
            </w:pPr>
            <w:r>
              <w:rPr>
                <w:rFonts w:hint="eastAsia"/>
              </w:rPr>
              <w:t>0.0087</w:t>
            </w:r>
          </w:p>
        </w:tc>
        <w:tc>
          <w:tcPr>
            <w:tcW w:w="419" w:type="pct"/>
            <w:vAlign w:val="center"/>
          </w:tcPr>
          <w:p w14:paraId="2C3E3BEE">
            <w:pPr>
              <w:pStyle w:val="278"/>
              <w:adjustRightInd w:val="0"/>
              <w:snapToGrid w:val="0"/>
              <w:spacing w:line="300" w:lineRule="exact"/>
              <w:rPr>
                <w:rFonts w:hint="eastAsia"/>
              </w:rPr>
            </w:pPr>
            <w:r>
              <w:rPr>
                <w:rFonts w:hint="eastAsia"/>
              </w:rPr>
              <w:t>0.09</w:t>
            </w:r>
          </w:p>
        </w:tc>
      </w:tr>
      <w:tr w14:paraId="1F3A11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00226288">
            <w:pPr>
              <w:pStyle w:val="278"/>
              <w:adjustRightInd w:val="0"/>
              <w:snapToGrid w:val="0"/>
              <w:spacing w:line="300" w:lineRule="exact"/>
              <w:rPr>
                <w:rFonts w:hint="eastAsia"/>
              </w:rPr>
            </w:pPr>
            <w:r>
              <w:rPr>
                <w:rFonts w:hint="eastAsia"/>
              </w:rPr>
              <w:t>1800</w:t>
            </w:r>
          </w:p>
        </w:tc>
        <w:tc>
          <w:tcPr>
            <w:tcW w:w="569" w:type="pct"/>
            <w:vAlign w:val="center"/>
          </w:tcPr>
          <w:p w14:paraId="422AB3D4">
            <w:pPr>
              <w:pStyle w:val="278"/>
              <w:adjustRightInd w:val="0"/>
              <w:snapToGrid w:val="0"/>
              <w:spacing w:line="300" w:lineRule="exact"/>
              <w:rPr>
                <w:rFonts w:hint="eastAsia"/>
              </w:rPr>
            </w:pPr>
            <w:r>
              <w:rPr>
                <w:rFonts w:hint="eastAsia"/>
              </w:rPr>
              <w:t>41.913</w:t>
            </w:r>
          </w:p>
        </w:tc>
        <w:tc>
          <w:tcPr>
            <w:tcW w:w="406" w:type="pct"/>
            <w:vAlign w:val="center"/>
          </w:tcPr>
          <w:p w14:paraId="7B419D3C">
            <w:pPr>
              <w:pStyle w:val="278"/>
              <w:adjustRightInd w:val="0"/>
              <w:snapToGrid w:val="0"/>
              <w:spacing w:line="300" w:lineRule="exact"/>
              <w:rPr>
                <w:rFonts w:hint="eastAsia"/>
              </w:rPr>
            </w:pPr>
            <w:r>
              <w:rPr>
                <w:rFonts w:hint="eastAsia"/>
              </w:rPr>
              <w:t>2.1</w:t>
            </w:r>
          </w:p>
        </w:tc>
        <w:tc>
          <w:tcPr>
            <w:tcW w:w="486" w:type="pct"/>
            <w:vAlign w:val="center"/>
          </w:tcPr>
          <w:p w14:paraId="414241E7">
            <w:pPr>
              <w:pStyle w:val="278"/>
              <w:adjustRightInd w:val="0"/>
              <w:snapToGrid w:val="0"/>
              <w:spacing w:line="300" w:lineRule="exact"/>
              <w:rPr>
                <w:rFonts w:hint="eastAsia"/>
              </w:rPr>
            </w:pPr>
            <w:r>
              <w:rPr>
                <w:rFonts w:hint="eastAsia"/>
              </w:rPr>
              <w:t>0.0082</w:t>
            </w:r>
          </w:p>
        </w:tc>
        <w:tc>
          <w:tcPr>
            <w:tcW w:w="408" w:type="pct"/>
            <w:vAlign w:val="center"/>
          </w:tcPr>
          <w:p w14:paraId="25E71E33">
            <w:pPr>
              <w:pStyle w:val="278"/>
              <w:adjustRightInd w:val="0"/>
              <w:snapToGrid w:val="0"/>
              <w:spacing w:line="300" w:lineRule="exact"/>
              <w:rPr>
                <w:rFonts w:hint="eastAsia"/>
              </w:rPr>
            </w:pPr>
            <w:r>
              <w:rPr>
                <w:rFonts w:hint="eastAsia"/>
              </w:rPr>
              <w:t>0.08</w:t>
            </w:r>
          </w:p>
        </w:tc>
        <w:tc>
          <w:tcPr>
            <w:tcW w:w="537" w:type="pct"/>
            <w:vAlign w:val="center"/>
          </w:tcPr>
          <w:p w14:paraId="16E1EA29">
            <w:pPr>
              <w:pStyle w:val="278"/>
              <w:adjustRightInd w:val="0"/>
              <w:snapToGrid w:val="0"/>
              <w:spacing w:line="300" w:lineRule="exact"/>
              <w:rPr>
                <w:rFonts w:hint="eastAsia"/>
              </w:rPr>
            </w:pPr>
            <w:r>
              <w:rPr>
                <w:rFonts w:hint="eastAsia"/>
              </w:rPr>
              <w:t>1800</w:t>
            </w:r>
          </w:p>
        </w:tc>
        <w:tc>
          <w:tcPr>
            <w:tcW w:w="632" w:type="pct"/>
            <w:vAlign w:val="center"/>
          </w:tcPr>
          <w:p w14:paraId="73E0E0F6">
            <w:pPr>
              <w:pStyle w:val="278"/>
              <w:adjustRightInd w:val="0"/>
              <w:snapToGrid w:val="0"/>
              <w:spacing w:line="300" w:lineRule="exact"/>
              <w:rPr>
                <w:rFonts w:hint="eastAsia"/>
              </w:rPr>
            </w:pPr>
            <w:r>
              <w:rPr>
                <w:rFonts w:hint="eastAsia"/>
              </w:rPr>
              <w:t>8.3826</w:t>
            </w:r>
          </w:p>
        </w:tc>
        <w:tc>
          <w:tcPr>
            <w:tcW w:w="424" w:type="pct"/>
            <w:vAlign w:val="center"/>
          </w:tcPr>
          <w:p w14:paraId="152334CE">
            <w:pPr>
              <w:pStyle w:val="278"/>
              <w:adjustRightInd w:val="0"/>
              <w:snapToGrid w:val="0"/>
              <w:spacing w:line="300" w:lineRule="exact"/>
              <w:rPr>
                <w:rFonts w:hint="eastAsia"/>
              </w:rPr>
            </w:pPr>
            <w:r>
              <w:rPr>
                <w:rFonts w:hint="eastAsia"/>
              </w:rPr>
              <w:t>0.42</w:t>
            </w:r>
          </w:p>
        </w:tc>
        <w:tc>
          <w:tcPr>
            <w:tcW w:w="632" w:type="pct"/>
            <w:vAlign w:val="center"/>
          </w:tcPr>
          <w:p w14:paraId="2BFB5BE1">
            <w:pPr>
              <w:pStyle w:val="278"/>
              <w:adjustRightInd w:val="0"/>
              <w:snapToGrid w:val="0"/>
              <w:spacing w:line="300" w:lineRule="exact"/>
              <w:rPr>
                <w:rFonts w:hint="eastAsia"/>
              </w:rPr>
            </w:pPr>
            <w:r>
              <w:rPr>
                <w:rFonts w:hint="eastAsia"/>
              </w:rPr>
              <w:t>0.0082</w:t>
            </w:r>
          </w:p>
        </w:tc>
        <w:tc>
          <w:tcPr>
            <w:tcW w:w="419" w:type="pct"/>
            <w:vAlign w:val="center"/>
          </w:tcPr>
          <w:p w14:paraId="65009317">
            <w:pPr>
              <w:pStyle w:val="278"/>
              <w:adjustRightInd w:val="0"/>
              <w:snapToGrid w:val="0"/>
              <w:spacing w:line="300" w:lineRule="exact"/>
              <w:rPr>
                <w:rFonts w:hint="eastAsia"/>
              </w:rPr>
            </w:pPr>
            <w:r>
              <w:rPr>
                <w:rFonts w:hint="eastAsia"/>
              </w:rPr>
              <w:t>0.08</w:t>
            </w:r>
          </w:p>
        </w:tc>
      </w:tr>
      <w:tr w14:paraId="7AC71D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11BDCAA5">
            <w:pPr>
              <w:pStyle w:val="278"/>
              <w:adjustRightInd w:val="0"/>
              <w:snapToGrid w:val="0"/>
              <w:spacing w:line="300" w:lineRule="exact"/>
              <w:rPr>
                <w:rFonts w:hint="eastAsia"/>
              </w:rPr>
            </w:pPr>
            <w:r>
              <w:rPr>
                <w:rFonts w:hint="eastAsia"/>
              </w:rPr>
              <w:t>1900</w:t>
            </w:r>
          </w:p>
        </w:tc>
        <w:tc>
          <w:tcPr>
            <w:tcW w:w="569" w:type="pct"/>
            <w:vAlign w:val="center"/>
          </w:tcPr>
          <w:p w14:paraId="3913D470">
            <w:pPr>
              <w:pStyle w:val="278"/>
              <w:adjustRightInd w:val="0"/>
              <w:snapToGrid w:val="0"/>
              <w:spacing w:line="300" w:lineRule="exact"/>
              <w:rPr>
                <w:rFonts w:hint="eastAsia"/>
              </w:rPr>
            </w:pPr>
            <w:r>
              <w:rPr>
                <w:rFonts w:hint="eastAsia"/>
              </w:rPr>
              <w:t>39.757</w:t>
            </w:r>
          </w:p>
        </w:tc>
        <w:tc>
          <w:tcPr>
            <w:tcW w:w="406" w:type="pct"/>
            <w:vAlign w:val="center"/>
          </w:tcPr>
          <w:p w14:paraId="48C9A4E1">
            <w:pPr>
              <w:pStyle w:val="278"/>
              <w:adjustRightInd w:val="0"/>
              <w:snapToGrid w:val="0"/>
              <w:spacing w:line="300" w:lineRule="exact"/>
              <w:rPr>
                <w:rFonts w:hint="eastAsia"/>
              </w:rPr>
            </w:pPr>
            <w:r>
              <w:rPr>
                <w:rFonts w:hint="eastAsia"/>
              </w:rPr>
              <w:t>1.99</w:t>
            </w:r>
          </w:p>
        </w:tc>
        <w:tc>
          <w:tcPr>
            <w:tcW w:w="486" w:type="pct"/>
            <w:vAlign w:val="center"/>
          </w:tcPr>
          <w:p w14:paraId="6F5DACEF">
            <w:pPr>
              <w:pStyle w:val="278"/>
              <w:adjustRightInd w:val="0"/>
              <w:snapToGrid w:val="0"/>
              <w:spacing w:line="300" w:lineRule="exact"/>
              <w:rPr>
                <w:rFonts w:hint="eastAsia"/>
              </w:rPr>
            </w:pPr>
            <w:r>
              <w:rPr>
                <w:rFonts w:hint="eastAsia"/>
              </w:rPr>
              <w:t>0.0078</w:t>
            </w:r>
          </w:p>
        </w:tc>
        <w:tc>
          <w:tcPr>
            <w:tcW w:w="408" w:type="pct"/>
            <w:vAlign w:val="center"/>
          </w:tcPr>
          <w:p w14:paraId="77C04F92">
            <w:pPr>
              <w:pStyle w:val="278"/>
              <w:adjustRightInd w:val="0"/>
              <w:snapToGrid w:val="0"/>
              <w:spacing w:line="300" w:lineRule="exact"/>
              <w:rPr>
                <w:rFonts w:hint="eastAsia"/>
              </w:rPr>
            </w:pPr>
            <w:r>
              <w:rPr>
                <w:rFonts w:hint="eastAsia"/>
              </w:rPr>
              <w:t>0.08</w:t>
            </w:r>
          </w:p>
        </w:tc>
        <w:tc>
          <w:tcPr>
            <w:tcW w:w="537" w:type="pct"/>
            <w:vAlign w:val="center"/>
          </w:tcPr>
          <w:p w14:paraId="39F9AB83">
            <w:pPr>
              <w:pStyle w:val="278"/>
              <w:adjustRightInd w:val="0"/>
              <w:snapToGrid w:val="0"/>
              <w:spacing w:line="300" w:lineRule="exact"/>
              <w:rPr>
                <w:rFonts w:hint="eastAsia"/>
              </w:rPr>
            </w:pPr>
            <w:r>
              <w:rPr>
                <w:rFonts w:hint="eastAsia"/>
              </w:rPr>
              <w:t>1900</w:t>
            </w:r>
          </w:p>
        </w:tc>
        <w:tc>
          <w:tcPr>
            <w:tcW w:w="632" w:type="pct"/>
            <w:vAlign w:val="center"/>
          </w:tcPr>
          <w:p w14:paraId="3A359A21">
            <w:pPr>
              <w:pStyle w:val="278"/>
              <w:adjustRightInd w:val="0"/>
              <w:snapToGrid w:val="0"/>
              <w:spacing w:line="300" w:lineRule="exact"/>
              <w:rPr>
                <w:rFonts w:hint="eastAsia"/>
              </w:rPr>
            </w:pPr>
            <w:r>
              <w:rPr>
                <w:rFonts w:hint="eastAsia"/>
              </w:rPr>
              <w:t>7.9514</w:t>
            </w:r>
          </w:p>
        </w:tc>
        <w:tc>
          <w:tcPr>
            <w:tcW w:w="424" w:type="pct"/>
            <w:vAlign w:val="center"/>
          </w:tcPr>
          <w:p w14:paraId="3566C027">
            <w:pPr>
              <w:pStyle w:val="278"/>
              <w:adjustRightInd w:val="0"/>
              <w:snapToGrid w:val="0"/>
              <w:spacing w:line="300" w:lineRule="exact"/>
              <w:rPr>
                <w:rFonts w:hint="eastAsia"/>
              </w:rPr>
            </w:pPr>
            <w:r>
              <w:rPr>
                <w:rFonts w:hint="eastAsia"/>
              </w:rPr>
              <w:t>0.4</w:t>
            </w:r>
          </w:p>
        </w:tc>
        <w:tc>
          <w:tcPr>
            <w:tcW w:w="632" w:type="pct"/>
            <w:vAlign w:val="center"/>
          </w:tcPr>
          <w:p w14:paraId="44F799FE">
            <w:pPr>
              <w:pStyle w:val="278"/>
              <w:adjustRightInd w:val="0"/>
              <w:snapToGrid w:val="0"/>
              <w:spacing w:line="300" w:lineRule="exact"/>
              <w:rPr>
                <w:rFonts w:hint="eastAsia"/>
              </w:rPr>
            </w:pPr>
            <w:r>
              <w:rPr>
                <w:rFonts w:hint="eastAsia"/>
              </w:rPr>
              <w:t>0.0078</w:t>
            </w:r>
          </w:p>
        </w:tc>
        <w:tc>
          <w:tcPr>
            <w:tcW w:w="419" w:type="pct"/>
            <w:vAlign w:val="center"/>
          </w:tcPr>
          <w:p w14:paraId="69DB851B">
            <w:pPr>
              <w:pStyle w:val="278"/>
              <w:adjustRightInd w:val="0"/>
              <w:snapToGrid w:val="0"/>
              <w:spacing w:line="300" w:lineRule="exact"/>
              <w:rPr>
                <w:rFonts w:hint="eastAsia"/>
              </w:rPr>
            </w:pPr>
            <w:r>
              <w:rPr>
                <w:rFonts w:hint="eastAsia"/>
              </w:rPr>
              <w:t>0.08</w:t>
            </w:r>
          </w:p>
        </w:tc>
      </w:tr>
      <w:tr w14:paraId="0294ED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43C5DE47">
            <w:pPr>
              <w:pStyle w:val="278"/>
              <w:adjustRightInd w:val="0"/>
              <w:snapToGrid w:val="0"/>
              <w:spacing w:line="300" w:lineRule="exact"/>
              <w:rPr>
                <w:rFonts w:hint="eastAsia"/>
              </w:rPr>
            </w:pPr>
            <w:r>
              <w:rPr>
                <w:rFonts w:hint="eastAsia"/>
              </w:rPr>
              <w:t>2000</w:t>
            </w:r>
          </w:p>
        </w:tc>
        <w:tc>
          <w:tcPr>
            <w:tcW w:w="569" w:type="pct"/>
            <w:vAlign w:val="center"/>
          </w:tcPr>
          <w:p w14:paraId="18ED0FDB">
            <w:pPr>
              <w:pStyle w:val="278"/>
              <w:adjustRightInd w:val="0"/>
              <w:snapToGrid w:val="0"/>
              <w:spacing w:line="300" w:lineRule="exact"/>
              <w:rPr>
                <w:rFonts w:hint="eastAsia"/>
              </w:rPr>
            </w:pPr>
            <w:r>
              <w:rPr>
                <w:rFonts w:hint="eastAsia"/>
              </w:rPr>
              <w:t>37.774</w:t>
            </w:r>
          </w:p>
        </w:tc>
        <w:tc>
          <w:tcPr>
            <w:tcW w:w="406" w:type="pct"/>
            <w:vAlign w:val="center"/>
          </w:tcPr>
          <w:p w14:paraId="5985F1AA">
            <w:pPr>
              <w:pStyle w:val="278"/>
              <w:adjustRightInd w:val="0"/>
              <w:snapToGrid w:val="0"/>
              <w:spacing w:line="300" w:lineRule="exact"/>
              <w:rPr>
                <w:rFonts w:hint="eastAsia"/>
              </w:rPr>
            </w:pPr>
            <w:r>
              <w:rPr>
                <w:rFonts w:hint="eastAsia"/>
              </w:rPr>
              <w:t>1.89</w:t>
            </w:r>
          </w:p>
        </w:tc>
        <w:tc>
          <w:tcPr>
            <w:tcW w:w="486" w:type="pct"/>
            <w:vAlign w:val="center"/>
          </w:tcPr>
          <w:p w14:paraId="184D2565">
            <w:pPr>
              <w:pStyle w:val="278"/>
              <w:adjustRightInd w:val="0"/>
              <w:snapToGrid w:val="0"/>
              <w:spacing w:line="300" w:lineRule="exact"/>
              <w:rPr>
                <w:rFonts w:hint="eastAsia"/>
              </w:rPr>
            </w:pPr>
            <w:r>
              <w:rPr>
                <w:rFonts w:hint="eastAsia"/>
              </w:rPr>
              <w:t>0.0074</w:t>
            </w:r>
          </w:p>
        </w:tc>
        <w:tc>
          <w:tcPr>
            <w:tcW w:w="408" w:type="pct"/>
            <w:vAlign w:val="center"/>
          </w:tcPr>
          <w:p w14:paraId="62A0570D">
            <w:pPr>
              <w:pStyle w:val="278"/>
              <w:adjustRightInd w:val="0"/>
              <w:snapToGrid w:val="0"/>
              <w:spacing w:line="300" w:lineRule="exact"/>
              <w:rPr>
                <w:rFonts w:hint="eastAsia"/>
              </w:rPr>
            </w:pPr>
            <w:r>
              <w:rPr>
                <w:rFonts w:hint="eastAsia"/>
              </w:rPr>
              <w:t>0.07</w:t>
            </w:r>
          </w:p>
        </w:tc>
        <w:tc>
          <w:tcPr>
            <w:tcW w:w="537" w:type="pct"/>
            <w:vAlign w:val="center"/>
          </w:tcPr>
          <w:p w14:paraId="71764706">
            <w:pPr>
              <w:pStyle w:val="278"/>
              <w:adjustRightInd w:val="0"/>
              <w:snapToGrid w:val="0"/>
              <w:spacing w:line="300" w:lineRule="exact"/>
              <w:rPr>
                <w:rFonts w:hint="eastAsia"/>
              </w:rPr>
            </w:pPr>
            <w:r>
              <w:rPr>
                <w:rFonts w:hint="eastAsia"/>
              </w:rPr>
              <w:t>2000</w:t>
            </w:r>
          </w:p>
        </w:tc>
        <w:tc>
          <w:tcPr>
            <w:tcW w:w="632" w:type="pct"/>
            <w:vAlign w:val="center"/>
          </w:tcPr>
          <w:p w14:paraId="618FA937">
            <w:pPr>
              <w:pStyle w:val="278"/>
              <w:adjustRightInd w:val="0"/>
              <w:snapToGrid w:val="0"/>
              <w:spacing w:line="300" w:lineRule="exact"/>
              <w:rPr>
                <w:rFonts w:hint="eastAsia"/>
              </w:rPr>
            </w:pPr>
            <w:r>
              <w:rPr>
                <w:rFonts w:hint="eastAsia"/>
              </w:rPr>
              <w:t>7.5548</w:t>
            </w:r>
          </w:p>
        </w:tc>
        <w:tc>
          <w:tcPr>
            <w:tcW w:w="424" w:type="pct"/>
            <w:vAlign w:val="center"/>
          </w:tcPr>
          <w:p w14:paraId="5F5B7C85">
            <w:pPr>
              <w:pStyle w:val="278"/>
              <w:adjustRightInd w:val="0"/>
              <w:snapToGrid w:val="0"/>
              <w:spacing w:line="300" w:lineRule="exact"/>
              <w:rPr>
                <w:rFonts w:hint="eastAsia"/>
              </w:rPr>
            </w:pPr>
            <w:r>
              <w:rPr>
                <w:rFonts w:hint="eastAsia"/>
              </w:rPr>
              <w:t>0.38</w:t>
            </w:r>
          </w:p>
        </w:tc>
        <w:tc>
          <w:tcPr>
            <w:tcW w:w="632" w:type="pct"/>
            <w:vAlign w:val="center"/>
          </w:tcPr>
          <w:p w14:paraId="0B856F64">
            <w:pPr>
              <w:pStyle w:val="278"/>
              <w:adjustRightInd w:val="0"/>
              <w:snapToGrid w:val="0"/>
              <w:spacing w:line="300" w:lineRule="exact"/>
              <w:rPr>
                <w:rFonts w:hint="eastAsia"/>
              </w:rPr>
            </w:pPr>
            <w:r>
              <w:rPr>
                <w:rFonts w:hint="eastAsia"/>
              </w:rPr>
              <w:t>0.0074</w:t>
            </w:r>
          </w:p>
        </w:tc>
        <w:tc>
          <w:tcPr>
            <w:tcW w:w="419" w:type="pct"/>
            <w:vAlign w:val="center"/>
          </w:tcPr>
          <w:p w14:paraId="190F0DE5">
            <w:pPr>
              <w:pStyle w:val="278"/>
              <w:adjustRightInd w:val="0"/>
              <w:snapToGrid w:val="0"/>
              <w:spacing w:line="300" w:lineRule="exact"/>
              <w:rPr>
                <w:rFonts w:hint="eastAsia"/>
              </w:rPr>
            </w:pPr>
            <w:r>
              <w:rPr>
                <w:rFonts w:hint="eastAsia"/>
              </w:rPr>
              <w:t>0.07</w:t>
            </w:r>
          </w:p>
        </w:tc>
      </w:tr>
      <w:tr w14:paraId="792572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678C83C">
            <w:pPr>
              <w:pStyle w:val="278"/>
              <w:adjustRightInd w:val="0"/>
              <w:snapToGrid w:val="0"/>
              <w:spacing w:line="300" w:lineRule="exact"/>
              <w:rPr>
                <w:rFonts w:hint="eastAsia"/>
              </w:rPr>
            </w:pPr>
            <w:r>
              <w:rPr>
                <w:rFonts w:hint="eastAsia"/>
              </w:rPr>
              <w:t>2100</w:t>
            </w:r>
          </w:p>
        </w:tc>
        <w:tc>
          <w:tcPr>
            <w:tcW w:w="569" w:type="pct"/>
            <w:vAlign w:val="center"/>
          </w:tcPr>
          <w:p w14:paraId="02A67A8C">
            <w:pPr>
              <w:pStyle w:val="278"/>
              <w:adjustRightInd w:val="0"/>
              <w:snapToGrid w:val="0"/>
              <w:spacing w:line="300" w:lineRule="exact"/>
              <w:rPr>
                <w:rFonts w:hint="eastAsia"/>
              </w:rPr>
            </w:pPr>
            <w:r>
              <w:rPr>
                <w:rFonts w:hint="eastAsia"/>
              </w:rPr>
              <w:t>35.950</w:t>
            </w:r>
          </w:p>
        </w:tc>
        <w:tc>
          <w:tcPr>
            <w:tcW w:w="406" w:type="pct"/>
            <w:vAlign w:val="center"/>
          </w:tcPr>
          <w:p w14:paraId="47B801AF">
            <w:pPr>
              <w:pStyle w:val="278"/>
              <w:adjustRightInd w:val="0"/>
              <w:snapToGrid w:val="0"/>
              <w:spacing w:line="300" w:lineRule="exact"/>
              <w:rPr>
                <w:rFonts w:hint="eastAsia"/>
              </w:rPr>
            </w:pPr>
            <w:r>
              <w:rPr>
                <w:rFonts w:hint="eastAsia"/>
              </w:rPr>
              <w:t>1.8</w:t>
            </w:r>
          </w:p>
        </w:tc>
        <w:tc>
          <w:tcPr>
            <w:tcW w:w="486" w:type="pct"/>
            <w:vAlign w:val="center"/>
          </w:tcPr>
          <w:p w14:paraId="628BA26D">
            <w:pPr>
              <w:pStyle w:val="278"/>
              <w:adjustRightInd w:val="0"/>
              <w:snapToGrid w:val="0"/>
              <w:spacing w:line="300" w:lineRule="exact"/>
              <w:rPr>
                <w:rFonts w:hint="eastAsia"/>
              </w:rPr>
            </w:pPr>
            <w:r>
              <w:rPr>
                <w:rFonts w:hint="eastAsia"/>
              </w:rPr>
              <w:t>0.0070</w:t>
            </w:r>
          </w:p>
        </w:tc>
        <w:tc>
          <w:tcPr>
            <w:tcW w:w="408" w:type="pct"/>
            <w:vAlign w:val="center"/>
          </w:tcPr>
          <w:p w14:paraId="21E31008">
            <w:pPr>
              <w:pStyle w:val="278"/>
              <w:adjustRightInd w:val="0"/>
              <w:snapToGrid w:val="0"/>
              <w:spacing w:line="300" w:lineRule="exact"/>
              <w:rPr>
                <w:rFonts w:hint="eastAsia"/>
              </w:rPr>
            </w:pPr>
            <w:r>
              <w:rPr>
                <w:rFonts w:hint="eastAsia"/>
              </w:rPr>
              <w:t>0.07</w:t>
            </w:r>
          </w:p>
        </w:tc>
        <w:tc>
          <w:tcPr>
            <w:tcW w:w="537" w:type="pct"/>
            <w:vAlign w:val="center"/>
          </w:tcPr>
          <w:p w14:paraId="585F7AE4">
            <w:pPr>
              <w:pStyle w:val="278"/>
              <w:adjustRightInd w:val="0"/>
              <w:snapToGrid w:val="0"/>
              <w:spacing w:line="300" w:lineRule="exact"/>
              <w:rPr>
                <w:rFonts w:hint="eastAsia"/>
              </w:rPr>
            </w:pPr>
            <w:r>
              <w:rPr>
                <w:rFonts w:hint="eastAsia"/>
              </w:rPr>
              <w:t>2100</w:t>
            </w:r>
          </w:p>
        </w:tc>
        <w:tc>
          <w:tcPr>
            <w:tcW w:w="632" w:type="pct"/>
            <w:vAlign w:val="center"/>
          </w:tcPr>
          <w:p w14:paraId="61FA56AA">
            <w:pPr>
              <w:pStyle w:val="278"/>
              <w:adjustRightInd w:val="0"/>
              <w:snapToGrid w:val="0"/>
              <w:spacing w:line="300" w:lineRule="exact"/>
              <w:rPr>
                <w:rFonts w:hint="eastAsia"/>
              </w:rPr>
            </w:pPr>
            <w:r>
              <w:rPr>
                <w:rFonts w:hint="eastAsia"/>
              </w:rPr>
              <w:t>7.1899</w:t>
            </w:r>
          </w:p>
        </w:tc>
        <w:tc>
          <w:tcPr>
            <w:tcW w:w="424" w:type="pct"/>
            <w:vAlign w:val="center"/>
          </w:tcPr>
          <w:p w14:paraId="5BDBAFCB">
            <w:pPr>
              <w:pStyle w:val="278"/>
              <w:adjustRightInd w:val="0"/>
              <w:snapToGrid w:val="0"/>
              <w:spacing w:line="300" w:lineRule="exact"/>
              <w:rPr>
                <w:rFonts w:hint="eastAsia"/>
              </w:rPr>
            </w:pPr>
            <w:r>
              <w:rPr>
                <w:rFonts w:hint="eastAsia"/>
              </w:rPr>
              <w:t>0.36</w:t>
            </w:r>
          </w:p>
        </w:tc>
        <w:tc>
          <w:tcPr>
            <w:tcW w:w="632" w:type="pct"/>
            <w:vAlign w:val="center"/>
          </w:tcPr>
          <w:p w14:paraId="6D9197B5">
            <w:pPr>
              <w:pStyle w:val="278"/>
              <w:adjustRightInd w:val="0"/>
              <w:snapToGrid w:val="0"/>
              <w:spacing w:line="300" w:lineRule="exact"/>
              <w:rPr>
                <w:rFonts w:hint="eastAsia"/>
              </w:rPr>
            </w:pPr>
            <w:r>
              <w:rPr>
                <w:rFonts w:hint="eastAsia"/>
              </w:rPr>
              <w:t>0.0070</w:t>
            </w:r>
          </w:p>
        </w:tc>
        <w:tc>
          <w:tcPr>
            <w:tcW w:w="419" w:type="pct"/>
            <w:vAlign w:val="center"/>
          </w:tcPr>
          <w:p w14:paraId="0575DD70">
            <w:pPr>
              <w:pStyle w:val="278"/>
              <w:adjustRightInd w:val="0"/>
              <w:snapToGrid w:val="0"/>
              <w:spacing w:line="300" w:lineRule="exact"/>
              <w:rPr>
                <w:rFonts w:hint="eastAsia"/>
              </w:rPr>
            </w:pPr>
            <w:r>
              <w:rPr>
                <w:rFonts w:hint="eastAsia"/>
              </w:rPr>
              <w:t>0.07</w:t>
            </w:r>
          </w:p>
        </w:tc>
      </w:tr>
      <w:tr w14:paraId="5BA922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CA9D76F">
            <w:pPr>
              <w:pStyle w:val="278"/>
              <w:adjustRightInd w:val="0"/>
              <w:snapToGrid w:val="0"/>
              <w:spacing w:line="300" w:lineRule="exact"/>
              <w:rPr>
                <w:rFonts w:hint="eastAsia"/>
              </w:rPr>
            </w:pPr>
            <w:r>
              <w:rPr>
                <w:rFonts w:hint="eastAsia"/>
              </w:rPr>
              <w:t>2200</w:t>
            </w:r>
          </w:p>
        </w:tc>
        <w:tc>
          <w:tcPr>
            <w:tcW w:w="569" w:type="pct"/>
            <w:vAlign w:val="center"/>
          </w:tcPr>
          <w:p w14:paraId="0ABA8961">
            <w:pPr>
              <w:pStyle w:val="278"/>
              <w:adjustRightInd w:val="0"/>
              <w:snapToGrid w:val="0"/>
              <w:spacing w:line="300" w:lineRule="exact"/>
              <w:rPr>
                <w:rFonts w:hint="eastAsia"/>
              </w:rPr>
            </w:pPr>
            <w:r>
              <w:rPr>
                <w:rFonts w:hint="eastAsia"/>
              </w:rPr>
              <w:t>34.272</w:t>
            </w:r>
          </w:p>
        </w:tc>
        <w:tc>
          <w:tcPr>
            <w:tcW w:w="406" w:type="pct"/>
            <w:vAlign w:val="center"/>
          </w:tcPr>
          <w:p w14:paraId="31350FBA">
            <w:pPr>
              <w:pStyle w:val="278"/>
              <w:adjustRightInd w:val="0"/>
              <w:snapToGrid w:val="0"/>
              <w:spacing w:line="300" w:lineRule="exact"/>
              <w:rPr>
                <w:rFonts w:hint="eastAsia"/>
              </w:rPr>
            </w:pPr>
            <w:r>
              <w:rPr>
                <w:rFonts w:hint="eastAsia"/>
              </w:rPr>
              <w:t>1.71</w:t>
            </w:r>
          </w:p>
        </w:tc>
        <w:tc>
          <w:tcPr>
            <w:tcW w:w="486" w:type="pct"/>
            <w:vAlign w:val="center"/>
          </w:tcPr>
          <w:p w14:paraId="08877CA3">
            <w:pPr>
              <w:pStyle w:val="278"/>
              <w:adjustRightInd w:val="0"/>
              <w:snapToGrid w:val="0"/>
              <w:spacing w:line="300" w:lineRule="exact"/>
              <w:rPr>
                <w:rFonts w:hint="eastAsia"/>
              </w:rPr>
            </w:pPr>
            <w:r>
              <w:rPr>
                <w:rFonts w:hint="eastAsia"/>
              </w:rPr>
              <w:t>0.0067</w:t>
            </w:r>
          </w:p>
        </w:tc>
        <w:tc>
          <w:tcPr>
            <w:tcW w:w="408" w:type="pct"/>
            <w:vAlign w:val="center"/>
          </w:tcPr>
          <w:p w14:paraId="50C51B9B">
            <w:pPr>
              <w:pStyle w:val="278"/>
              <w:adjustRightInd w:val="0"/>
              <w:snapToGrid w:val="0"/>
              <w:spacing w:line="300" w:lineRule="exact"/>
              <w:rPr>
                <w:rFonts w:hint="eastAsia"/>
              </w:rPr>
            </w:pPr>
            <w:r>
              <w:rPr>
                <w:rFonts w:hint="eastAsia"/>
              </w:rPr>
              <w:t>0.07</w:t>
            </w:r>
          </w:p>
        </w:tc>
        <w:tc>
          <w:tcPr>
            <w:tcW w:w="537" w:type="pct"/>
            <w:vAlign w:val="center"/>
          </w:tcPr>
          <w:p w14:paraId="0973DD4F">
            <w:pPr>
              <w:pStyle w:val="278"/>
              <w:adjustRightInd w:val="0"/>
              <w:snapToGrid w:val="0"/>
              <w:spacing w:line="300" w:lineRule="exact"/>
              <w:rPr>
                <w:rFonts w:hint="eastAsia"/>
              </w:rPr>
            </w:pPr>
            <w:r>
              <w:rPr>
                <w:rFonts w:hint="eastAsia"/>
              </w:rPr>
              <w:t>2200</w:t>
            </w:r>
          </w:p>
        </w:tc>
        <w:tc>
          <w:tcPr>
            <w:tcW w:w="632" w:type="pct"/>
            <w:vAlign w:val="center"/>
          </w:tcPr>
          <w:p w14:paraId="3CFDC550">
            <w:pPr>
              <w:pStyle w:val="278"/>
              <w:adjustRightInd w:val="0"/>
              <w:snapToGrid w:val="0"/>
              <w:spacing w:line="300" w:lineRule="exact"/>
              <w:rPr>
                <w:rFonts w:hint="eastAsia"/>
              </w:rPr>
            </w:pPr>
            <w:r>
              <w:rPr>
                <w:rFonts w:hint="eastAsia"/>
              </w:rPr>
              <w:t>6.8545</w:t>
            </w:r>
          </w:p>
        </w:tc>
        <w:tc>
          <w:tcPr>
            <w:tcW w:w="424" w:type="pct"/>
            <w:vAlign w:val="center"/>
          </w:tcPr>
          <w:p w14:paraId="6E876EF1">
            <w:pPr>
              <w:pStyle w:val="278"/>
              <w:adjustRightInd w:val="0"/>
              <w:snapToGrid w:val="0"/>
              <w:spacing w:line="300" w:lineRule="exact"/>
              <w:rPr>
                <w:rFonts w:hint="eastAsia"/>
              </w:rPr>
            </w:pPr>
            <w:r>
              <w:rPr>
                <w:rFonts w:hint="eastAsia"/>
              </w:rPr>
              <w:t>0.34</w:t>
            </w:r>
          </w:p>
        </w:tc>
        <w:tc>
          <w:tcPr>
            <w:tcW w:w="632" w:type="pct"/>
            <w:vAlign w:val="center"/>
          </w:tcPr>
          <w:p w14:paraId="4C4C8463">
            <w:pPr>
              <w:pStyle w:val="278"/>
              <w:adjustRightInd w:val="0"/>
              <w:snapToGrid w:val="0"/>
              <w:spacing w:line="300" w:lineRule="exact"/>
              <w:rPr>
                <w:rFonts w:hint="eastAsia"/>
              </w:rPr>
            </w:pPr>
            <w:r>
              <w:rPr>
                <w:rFonts w:hint="eastAsia"/>
              </w:rPr>
              <w:t>0.0067</w:t>
            </w:r>
          </w:p>
        </w:tc>
        <w:tc>
          <w:tcPr>
            <w:tcW w:w="419" w:type="pct"/>
            <w:vAlign w:val="center"/>
          </w:tcPr>
          <w:p w14:paraId="2E7F9C8A">
            <w:pPr>
              <w:pStyle w:val="278"/>
              <w:adjustRightInd w:val="0"/>
              <w:snapToGrid w:val="0"/>
              <w:spacing w:line="300" w:lineRule="exact"/>
              <w:rPr>
                <w:rFonts w:hint="eastAsia"/>
              </w:rPr>
            </w:pPr>
            <w:r>
              <w:rPr>
                <w:rFonts w:hint="eastAsia"/>
              </w:rPr>
              <w:t>0.07</w:t>
            </w:r>
          </w:p>
        </w:tc>
      </w:tr>
      <w:tr w14:paraId="5CC5E5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02AF5A1E">
            <w:pPr>
              <w:pStyle w:val="278"/>
              <w:adjustRightInd w:val="0"/>
              <w:snapToGrid w:val="0"/>
              <w:spacing w:line="300" w:lineRule="exact"/>
              <w:rPr>
                <w:rFonts w:hint="eastAsia"/>
              </w:rPr>
            </w:pPr>
            <w:r>
              <w:rPr>
                <w:rFonts w:hint="eastAsia"/>
              </w:rPr>
              <w:t>2300</w:t>
            </w:r>
          </w:p>
        </w:tc>
        <w:tc>
          <w:tcPr>
            <w:tcW w:w="569" w:type="pct"/>
            <w:vAlign w:val="center"/>
          </w:tcPr>
          <w:p w14:paraId="1C20D218">
            <w:pPr>
              <w:pStyle w:val="278"/>
              <w:adjustRightInd w:val="0"/>
              <w:snapToGrid w:val="0"/>
              <w:spacing w:line="300" w:lineRule="exact"/>
              <w:rPr>
                <w:rFonts w:hint="eastAsia"/>
              </w:rPr>
            </w:pPr>
            <w:r>
              <w:rPr>
                <w:rFonts w:hint="eastAsia"/>
              </w:rPr>
              <w:t>32.884</w:t>
            </w:r>
          </w:p>
        </w:tc>
        <w:tc>
          <w:tcPr>
            <w:tcW w:w="406" w:type="pct"/>
            <w:vAlign w:val="center"/>
          </w:tcPr>
          <w:p w14:paraId="3228A81B">
            <w:pPr>
              <w:pStyle w:val="278"/>
              <w:adjustRightInd w:val="0"/>
              <w:snapToGrid w:val="0"/>
              <w:spacing w:line="300" w:lineRule="exact"/>
              <w:rPr>
                <w:rFonts w:hint="eastAsia"/>
              </w:rPr>
            </w:pPr>
            <w:r>
              <w:rPr>
                <w:rFonts w:hint="eastAsia"/>
              </w:rPr>
              <w:t>1.64</w:t>
            </w:r>
          </w:p>
        </w:tc>
        <w:tc>
          <w:tcPr>
            <w:tcW w:w="486" w:type="pct"/>
            <w:vAlign w:val="center"/>
          </w:tcPr>
          <w:p w14:paraId="26DCF4D4">
            <w:pPr>
              <w:pStyle w:val="278"/>
              <w:adjustRightInd w:val="0"/>
              <w:snapToGrid w:val="0"/>
              <w:spacing w:line="300" w:lineRule="exact"/>
              <w:rPr>
                <w:rFonts w:hint="eastAsia"/>
              </w:rPr>
            </w:pPr>
            <w:r>
              <w:rPr>
                <w:rFonts w:hint="eastAsia"/>
              </w:rPr>
              <w:t>0.0064</w:t>
            </w:r>
          </w:p>
        </w:tc>
        <w:tc>
          <w:tcPr>
            <w:tcW w:w="408" w:type="pct"/>
            <w:vAlign w:val="center"/>
          </w:tcPr>
          <w:p w14:paraId="05A93213">
            <w:pPr>
              <w:pStyle w:val="278"/>
              <w:adjustRightInd w:val="0"/>
              <w:snapToGrid w:val="0"/>
              <w:spacing w:line="300" w:lineRule="exact"/>
              <w:rPr>
                <w:rFonts w:hint="eastAsia"/>
              </w:rPr>
            </w:pPr>
            <w:r>
              <w:rPr>
                <w:rFonts w:hint="eastAsia"/>
              </w:rPr>
              <w:t>0.06</w:t>
            </w:r>
          </w:p>
        </w:tc>
        <w:tc>
          <w:tcPr>
            <w:tcW w:w="537" w:type="pct"/>
            <w:vAlign w:val="center"/>
          </w:tcPr>
          <w:p w14:paraId="75692E2B">
            <w:pPr>
              <w:pStyle w:val="278"/>
              <w:adjustRightInd w:val="0"/>
              <w:snapToGrid w:val="0"/>
              <w:spacing w:line="300" w:lineRule="exact"/>
              <w:rPr>
                <w:rFonts w:hint="eastAsia"/>
              </w:rPr>
            </w:pPr>
            <w:r>
              <w:rPr>
                <w:rFonts w:hint="eastAsia"/>
              </w:rPr>
              <w:t>2300</w:t>
            </w:r>
          </w:p>
        </w:tc>
        <w:tc>
          <w:tcPr>
            <w:tcW w:w="632" w:type="pct"/>
            <w:vAlign w:val="center"/>
          </w:tcPr>
          <w:p w14:paraId="5F1D27F9">
            <w:pPr>
              <w:pStyle w:val="278"/>
              <w:adjustRightInd w:val="0"/>
              <w:snapToGrid w:val="0"/>
              <w:spacing w:line="300" w:lineRule="exact"/>
              <w:rPr>
                <w:rFonts w:hint="eastAsia"/>
              </w:rPr>
            </w:pPr>
            <w:r>
              <w:rPr>
                <w:rFonts w:hint="eastAsia"/>
              </w:rPr>
              <w:t>6.5769</w:t>
            </w:r>
          </w:p>
        </w:tc>
        <w:tc>
          <w:tcPr>
            <w:tcW w:w="424" w:type="pct"/>
            <w:vAlign w:val="center"/>
          </w:tcPr>
          <w:p w14:paraId="7C935B23">
            <w:pPr>
              <w:pStyle w:val="278"/>
              <w:adjustRightInd w:val="0"/>
              <w:snapToGrid w:val="0"/>
              <w:spacing w:line="300" w:lineRule="exact"/>
              <w:rPr>
                <w:rFonts w:hint="eastAsia"/>
              </w:rPr>
            </w:pPr>
            <w:r>
              <w:rPr>
                <w:rFonts w:hint="eastAsia"/>
              </w:rPr>
              <w:t>0.33</w:t>
            </w:r>
          </w:p>
        </w:tc>
        <w:tc>
          <w:tcPr>
            <w:tcW w:w="632" w:type="pct"/>
            <w:vAlign w:val="center"/>
          </w:tcPr>
          <w:p w14:paraId="6183FAF4">
            <w:pPr>
              <w:pStyle w:val="278"/>
              <w:adjustRightInd w:val="0"/>
              <w:snapToGrid w:val="0"/>
              <w:spacing w:line="300" w:lineRule="exact"/>
              <w:rPr>
                <w:rFonts w:hint="eastAsia"/>
              </w:rPr>
            </w:pPr>
            <w:r>
              <w:rPr>
                <w:rFonts w:hint="eastAsia"/>
              </w:rPr>
              <w:t>0.0064</w:t>
            </w:r>
          </w:p>
        </w:tc>
        <w:tc>
          <w:tcPr>
            <w:tcW w:w="419" w:type="pct"/>
            <w:vAlign w:val="center"/>
          </w:tcPr>
          <w:p w14:paraId="1F3F5116">
            <w:pPr>
              <w:pStyle w:val="278"/>
              <w:adjustRightInd w:val="0"/>
              <w:snapToGrid w:val="0"/>
              <w:spacing w:line="300" w:lineRule="exact"/>
              <w:rPr>
                <w:rFonts w:hint="eastAsia"/>
              </w:rPr>
            </w:pPr>
            <w:r>
              <w:rPr>
                <w:rFonts w:hint="eastAsia"/>
              </w:rPr>
              <w:t>0.06</w:t>
            </w:r>
          </w:p>
        </w:tc>
      </w:tr>
      <w:tr w14:paraId="6D9276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F12B84C">
            <w:pPr>
              <w:pStyle w:val="278"/>
              <w:adjustRightInd w:val="0"/>
              <w:snapToGrid w:val="0"/>
              <w:spacing w:line="300" w:lineRule="exact"/>
              <w:rPr>
                <w:rFonts w:hint="eastAsia"/>
              </w:rPr>
            </w:pPr>
            <w:r>
              <w:rPr>
                <w:rFonts w:hint="eastAsia"/>
              </w:rPr>
              <w:t>2400</w:t>
            </w:r>
          </w:p>
        </w:tc>
        <w:tc>
          <w:tcPr>
            <w:tcW w:w="569" w:type="pct"/>
            <w:vAlign w:val="center"/>
          </w:tcPr>
          <w:p w14:paraId="7C351778">
            <w:pPr>
              <w:pStyle w:val="278"/>
              <w:adjustRightInd w:val="0"/>
              <w:snapToGrid w:val="0"/>
              <w:spacing w:line="300" w:lineRule="exact"/>
              <w:rPr>
                <w:rFonts w:hint="eastAsia"/>
              </w:rPr>
            </w:pPr>
            <w:r>
              <w:rPr>
                <w:rFonts w:hint="eastAsia"/>
              </w:rPr>
              <w:t>31.445</w:t>
            </w:r>
          </w:p>
        </w:tc>
        <w:tc>
          <w:tcPr>
            <w:tcW w:w="406" w:type="pct"/>
            <w:vAlign w:val="center"/>
          </w:tcPr>
          <w:p w14:paraId="1BD24AF6">
            <w:pPr>
              <w:pStyle w:val="278"/>
              <w:adjustRightInd w:val="0"/>
              <w:snapToGrid w:val="0"/>
              <w:spacing w:line="300" w:lineRule="exact"/>
              <w:rPr>
                <w:rFonts w:hint="eastAsia"/>
              </w:rPr>
            </w:pPr>
            <w:r>
              <w:rPr>
                <w:rFonts w:hint="eastAsia"/>
              </w:rPr>
              <w:t>1.57</w:t>
            </w:r>
          </w:p>
        </w:tc>
        <w:tc>
          <w:tcPr>
            <w:tcW w:w="486" w:type="pct"/>
            <w:vAlign w:val="center"/>
          </w:tcPr>
          <w:p w14:paraId="2A717476">
            <w:pPr>
              <w:pStyle w:val="278"/>
              <w:adjustRightInd w:val="0"/>
              <w:snapToGrid w:val="0"/>
              <w:spacing w:line="300" w:lineRule="exact"/>
              <w:rPr>
                <w:rFonts w:hint="eastAsia"/>
              </w:rPr>
            </w:pPr>
            <w:r>
              <w:rPr>
                <w:rFonts w:hint="eastAsia"/>
              </w:rPr>
              <w:t>0.0062</w:t>
            </w:r>
          </w:p>
        </w:tc>
        <w:tc>
          <w:tcPr>
            <w:tcW w:w="408" w:type="pct"/>
            <w:vAlign w:val="center"/>
          </w:tcPr>
          <w:p w14:paraId="5D8D8DD6">
            <w:pPr>
              <w:pStyle w:val="278"/>
              <w:adjustRightInd w:val="0"/>
              <w:snapToGrid w:val="0"/>
              <w:spacing w:line="300" w:lineRule="exact"/>
              <w:rPr>
                <w:rFonts w:hint="eastAsia"/>
              </w:rPr>
            </w:pPr>
            <w:r>
              <w:rPr>
                <w:rFonts w:hint="eastAsia"/>
              </w:rPr>
              <w:t>0.06</w:t>
            </w:r>
          </w:p>
        </w:tc>
        <w:tc>
          <w:tcPr>
            <w:tcW w:w="537" w:type="pct"/>
            <w:vAlign w:val="center"/>
          </w:tcPr>
          <w:p w14:paraId="3E95B5E7">
            <w:pPr>
              <w:pStyle w:val="278"/>
              <w:adjustRightInd w:val="0"/>
              <w:snapToGrid w:val="0"/>
              <w:spacing w:line="300" w:lineRule="exact"/>
              <w:rPr>
                <w:rFonts w:hint="eastAsia"/>
              </w:rPr>
            </w:pPr>
            <w:r>
              <w:rPr>
                <w:rFonts w:hint="eastAsia"/>
              </w:rPr>
              <w:t>2400</w:t>
            </w:r>
          </w:p>
        </w:tc>
        <w:tc>
          <w:tcPr>
            <w:tcW w:w="632" w:type="pct"/>
            <w:vAlign w:val="center"/>
          </w:tcPr>
          <w:p w14:paraId="10702488">
            <w:pPr>
              <w:pStyle w:val="278"/>
              <w:adjustRightInd w:val="0"/>
              <w:snapToGrid w:val="0"/>
              <w:spacing w:line="300" w:lineRule="exact"/>
              <w:rPr>
                <w:rFonts w:hint="eastAsia"/>
              </w:rPr>
            </w:pPr>
            <w:r>
              <w:rPr>
                <w:rFonts w:hint="eastAsia"/>
              </w:rPr>
              <w:t>6.2891</w:t>
            </w:r>
          </w:p>
        </w:tc>
        <w:tc>
          <w:tcPr>
            <w:tcW w:w="424" w:type="pct"/>
            <w:vAlign w:val="center"/>
          </w:tcPr>
          <w:p w14:paraId="39361F11">
            <w:pPr>
              <w:pStyle w:val="278"/>
              <w:adjustRightInd w:val="0"/>
              <w:snapToGrid w:val="0"/>
              <w:spacing w:line="300" w:lineRule="exact"/>
              <w:rPr>
                <w:rFonts w:hint="eastAsia"/>
              </w:rPr>
            </w:pPr>
            <w:r>
              <w:rPr>
                <w:rFonts w:hint="eastAsia"/>
              </w:rPr>
              <w:t>0.31</w:t>
            </w:r>
          </w:p>
        </w:tc>
        <w:tc>
          <w:tcPr>
            <w:tcW w:w="632" w:type="pct"/>
            <w:vAlign w:val="center"/>
          </w:tcPr>
          <w:p w14:paraId="0204A9C4">
            <w:pPr>
              <w:pStyle w:val="278"/>
              <w:adjustRightInd w:val="0"/>
              <w:snapToGrid w:val="0"/>
              <w:spacing w:line="300" w:lineRule="exact"/>
              <w:rPr>
                <w:rFonts w:hint="eastAsia"/>
              </w:rPr>
            </w:pPr>
            <w:r>
              <w:rPr>
                <w:rFonts w:hint="eastAsia"/>
              </w:rPr>
              <w:t>0.0062</w:t>
            </w:r>
          </w:p>
        </w:tc>
        <w:tc>
          <w:tcPr>
            <w:tcW w:w="419" w:type="pct"/>
            <w:vAlign w:val="center"/>
          </w:tcPr>
          <w:p w14:paraId="07F18698">
            <w:pPr>
              <w:pStyle w:val="278"/>
              <w:adjustRightInd w:val="0"/>
              <w:snapToGrid w:val="0"/>
              <w:spacing w:line="300" w:lineRule="exact"/>
              <w:rPr>
                <w:rFonts w:hint="eastAsia"/>
              </w:rPr>
            </w:pPr>
            <w:r>
              <w:rPr>
                <w:rFonts w:hint="eastAsia"/>
              </w:rPr>
              <w:t>0.06</w:t>
            </w:r>
          </w:p>
        </w:tc>
      </w:tr>
      <w:tr w14:paraId="38FFA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7" w:type="pct"/>
            <w:vAlign w:val="center"/>
          </w:tcPr>
          <w:p w14:paraId="26D0D432">
            <w:pPr>
              <w:pStyle w:val="278"/>
              <w:adjustRightInd w:val="0"/>
              <w:snapToGrid w:val="0"/>
              <w:spacing w:line="300" w:lineRule="exact"/>
              <w:rPr>
                <w:rFonts w:hint="eastAsia"/>
              </w:rPr>
            </w:pPr>
            <w:r>
              <w:rPr>
                <w:rFonts w:hint="eastAsia"/>
              </w:rPr>
              <w:t>2500</w:t>
            </w:r>
          </w:p>
        </w:tc>
        <w:tc>
          <w:tcPr>
            <w:tcW w:w="569" w:type="pct"/>
            <w:vAlign w:val="center"/>
          </w:tcPr>
          <w:p w14:paraId="34693770">
            <w:pPr>
              <w:pStyle w:val="278"/>
              <w:adjustRightInd w:val="0"/>
              <w:snapToGrid w:val="0"/>
              <w:spacing w:line="300" w:lineRule="exact"/>
              <w:rPr>
                <w:rFonts w:hint="eastAsia"/>
              </w:rPr>
            </w:pPr>
            <w:r>
              <w:rPr>
                <w:rFonts w:hint="eastAsia"/>
              </w:rPr>
              <w:t>30.112</w:t>
            </w:r>
          </w:p>
        </w:tc>
        <w:tc>
          <w:tcPr>
            <w:tcW w:w="406" w:type="pct"/>
            <w:vAlign w:val="center"/>
          </w:tcPr>
          <w:p w14:paraId="4380A325">
            <w:pPr>
              <w:pStyle w:val="278"/>
              <w:adjustRightInd w:val="0"/>
              <w:snapToGrid w:val="0"/>
              <w:spacing w:line="300" w:lineRule="exact"/>
              <w:rPr>
                <w:rFonts w:hint="eastAsia"/>
              </w:rPr>
            </w:pPr>
            <w:r>
              <w:rPr>
                <w:rFonts w:hint="eastAsia"/>
              </w:rPr>
              <w:t>1.51</w:t>
            </w:r>
          </w:p>
        </w:tc>
        <w:tc>
          <w:tcPr>
            <w:tcW w:w="486" w:type="pct"/>
            <w:vAlign w:val="center"/>
          </w:tcPr>
          <w:p w14:paraId="5F3CEF98">
            <w:pPr>
              <w:pStyle w:val="278"/>
              <w:adjustRightInd w:val="0"/>
              <w:snapToGrid w:val="0"/>
              <w:spacing w:line="300" w:lineRule="exact"/>
              <w:rPr>
                <w:rFonts w:hint="eastAsia"/>
              </w:rPr>
            </w:pPr>
            <w:r>
              <w:rPr>
                <w:rFonts w:hint="eastAsia"/>
              </w:rPr>
              <w:t>0.0059</w:t>
            </w:r>
          </w:p>
        </w:tc>
        <w:tc>
          <w:tcPr>
            <w:tcW w:w="408" w:type="pct"/>
            <w:vAlign w:val="center"/>
          </w:tcPr>
          <w:p w14:paraId="3FC08571">
            <w:pPr>
              <w:pStyle w:val="278"/>
              <w:adjustRightInd w:val="0"/>
              <w:snapToGrid w:val="0"/>
              <w:spacing w:line="300" w:lineRule="exact"/>
              <w:rPr>
                <w:rFonts w:hint="eastAsia"/>
              </w:rPr>
            </w:pPr>
            <w:r>
              <w:rPr>
                <w:rFonts w:hint="eastAsia"/>
              </w:rPr>
              <w:t>0.06</w:t>
            </w:r>
          </w:p>
        </w:tc>
        <w:tc>
          <w:tcPr>
            <w:tcW w:w="537" w:type="pct"/>
            <w:vAlign w:val="center"/>
          </w:tcPr>
          <w:p w14:paraId="5E658D9A">
            <w:pPr>
              <w:pStyle w:val="278"/>
              <w:adjustRightInd w:val="0"/>
              <w:snapToGrid w:val="0"/>
              <w:spacing w:line="300" w:lineRule="exact"/>
              <w:rPr>
                <w:rFonts w:hint="eastAsia"/>
              </w:rPr>
            </w:pPr>
            <w:r>
              <w:rPr>
                <w:rFonts w:hint="eastAsia"/>
              </w:rPr>
              <w:t>2500</w:t>
            </w:r>
          </w:p>
        </w:tc>
        <w:tc>
          <w:tcPr>
            <w:tcW w:w="632" w:type="pct"/>
            <w:vAlign w:val="center"/>
          </w:tcPr>
          <w:p w14:paraId="78F6279B">
            <w:pPr>
              <w:pStyle w:val="278"/>
              <w:adjustRightInd w:val="0"/>
              <w:snapToGrid w:val="0"/>
              <w:spacing w:line="300" w:lineRule="exact"/>
              <w:rPr>
                <w:rFonts w:hint="eastAsia"/>
              </w:rPr>
            </w:pPr>
            <w:r>
              <w:rPr>
                <w:rFonts w:hint="eastAsia"/>
              </w:rPr>
              <w:t>6.0223</w:t>
            </w:r>
          </w:p>
        </w:tc>
        <w:tc>
          <w:tcPr>
            <w:tcW w:w="424" w:type="pct"/>
            <w:vAlign w:val="center"/>
          </w:tcPr>
          <w:p w14:paraId="165A5D46">
            <w:pPr>
              <w:pStyle w:val="278"/>
              <w:adjustRightInd w:val="0"/>
              <w:snapToGrid w:val="0"/>
              <w:spacing w:line="300" w:lineRule="exact"/>
              <w:rPr>
                <w:rFonts w:hint="eastAsia"/>
              </w:rPr>
            </w:pPr>
            <w:r>
              <w:rPr>
                <w:rFonts w:hint="eastAsia"/>
              </w:rPr>
              <w:t>0.3</w:t>
            </w:r>
          </w:p>
        </w:tc>
        <w:tc>
          <w:tcPr>
            <w:tcW w:w="632" w:type="pct"/>
            <w:vAlign w:val="center"/>
          </w:tcPr>
          <w:p w14:paraId="0392F6A3">
            <w:pPr>
              <w:pStyle w:val="278"/>
              <w:adjustRightInd w:val="0"/>
              <w:snapToGrid w:val="0"/>
              <w:spacing w:line="300" w:lineRule="exact"/>
              <w:rPr>
                <w:rFonts w:hint="eastAsia"/>
              </w:rPr>
            </w:pPr>
            <w:r>
              <w:rPr>
                <w:rFonts w:hint="eastAsia"/>
              </w:rPr>
              <w:t>0.0059</w:t>
            </w:r>
          </w:p>
        </w:tc>
        <w:tc>
          <w:tcPr>
            <w:tcW w:w="419" w:type="pct"/>
            <w:vAlign w:val="center"/>
          </w:tcPr>
          <w:p w14:paraId="380C8B6E">
            <w:pPr>
              <w:pStyle w:val="278"/>
              <w:adjustRightInd w:val="0"/>
              <w:snapToGrid w:val="0"/>
              <w:spacing w:line="300" w:lineRule="exact"/>
              <w:rPr>
                <w:rFonts w:hint="eastAsia"/>
              </w:rPr>
            </w:pPr>
            <w:r>
              <w:rPr>
                <w:rFonts w:hint="eastAsia"/>
              </w:rPr>
              <w:t>0.06</w:t>
            </w:r>
          </w:p>
        </w:tc>
      </w:tr>
    </w:tbl>
    <w:p w14:paraId="2F01AC22">
      <w:pPr>
        <w:pStyle w:val="109"/>
        <w:rPr>
          <w:rFonts w:hint="eastAsia"/>
        </w:rPr>
      </w:pPr>
    </w:p>
    <w:p w14:paraId="0FFF9FF0">
      <w:pPr>
        <w:pStyle w:val="109"/>
        <w:rPr>
          <w:rFonts w:hint="eastAsia"/>
        </w:rPr>
      </w:pPr>
    </w:p>
    <w:p w14:paraId="1DE1E789">
      <w:pPr>
        <w:pStyle w:val="109"/>
        <w:rPr>
          <w:rFonts w:hint="eastAsia"/>
        </w:rPr>
      </w:pPr>
    </w:p>
    <w:p w14:paraId="414DFA78">
      <w:pPr>
        <w:pStyle w:val="109"/>
        <w:rPr>
          <w:rFonts w:hint="eastAsia"/>
        </w:rPr>
      </w:pPr>
      <w:r>
        <w:rPr>
          <w:rFonts w:hint="eastAsia"/>
        </w:rPr>
        <w:t>表5</w:t>
      </w:r>
      <w:r>
        <w:t>.2</w:t>
      </w:r>
      <w:r>
        <w:rPr>
          <w:rFonts w:hint="eastAsia"/>
        </w:rPr>
        <w:t>-</w:t>
      </w:r>
      <w:r>
        <w:t>7</w:t>
      </w:r>
      <w:r>
        <w:rPr>
          <w:rFonts w:hint="eastAsia"/>
        </w:rPr>
        <w:t xml:space="preserve"> </w:t>
      </w:r>
      <w:r>
        <w:t xml:space="preserve"> </w:t>
      </w:r>
      <w:r>
        <w:rPr>
          <w:rFonts w:hint="eastAsia"/>
        </w:rPr>
        <w:t>一期放空火炬燃烧烟气各污染预测结果一览表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19"/>
        <w:gridCol w:w="1569"/>
        <w:gridCol w:w="1405"/>
        <w:gridCol w:w="1174"/>
        <w:gridCol w:w="1048"/>
        <w:gridCol w:w="1176"/>
        <w:gridCol w:w="955"/>
      </w:tblGrid>
      <w:tr w14:paraId="11C019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0" w:type="pct"/>
            <w:gridSpan w:val="7"/>
            <w:noWrap/>
            <w:vAlign w:val="center"/>
          </w:tcPr>
          <w:p w14:paraId="7F9D5261">
            <w:pPr>
              <w:pStyle w:val="278"/>
              <w:adjustRightInd w:val="0"/>
              <w:snapToGrid w:val="0"/>
              <w:spacing w:line="300" w:lineRule="exact"/>
              <w:rPr>
                <w:rFonts w:hint="eastAsia"/>
              </w:rPr>
            </w:pPr>
            <w:r>
              <w:rPr>
                <w:rFonts w:hint="eastAsia"/>
              </w:rPr>
              <w:t>一期放空火炬</w:t>
            </w:r>
          </w:p>
        </w:tc>
      </w:tr>
      <w:tr w14:paraId="210DF2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vMerge w:val="restart"/>
            <w:noWrap/>
            <w:vAlign w:val="center"/>
          </w:tcPr>
          <w:p w14:paraId="11A1DD71">
            <w:pPr>
              <w:pStyle w:val="278"/>
              <w:adjustRightInd w:val="0"/>
              <w:snapToGrid w:val="0"/>
              <w:spacing w:line="300" w:lineRule="exact"/>
              <w:rPr>
                <w:rFonts w:hint="eastAsia"/>
              </w:rPr>
            </w:pPr>
            <w:r>
              <w:rPr>
                <w:rFonts w:hint="eastAsia"/>
              </w:rPr>
              <w:t>离源距离（m）</w:t>
            </w:r>
          </w:p>
        </w:tc>
        <w:tc>
          <w:tcPr>
            <w:tcW w:w="1662" w:type="pct"/>
            <w:gridSpan w:val="2"/>
            <w:vAlign w:val="center"/>
          </w:tcPr>
          <w:p w14:paraId="09B90501">
            <w:pPr>
              <w:pStyle w:val="278"/>
              <w:adjustRightInd w:val="0"/>
              <w:snapToGrid w:val="0"/>
              <w:spacing w:line="300" w:lineRule="exact"/>
              <w:rPr>
                <w:rFonts w:hint="eastAsia"/>
              </w:rPr>
            </w:pPr>
            <w:r>
              <w:rPr>
                <w:rFonts w:hint="eastAsia"/>
              </w:rPr>
              <w:t>二氧化硫</w:t>
            </w:r>
          </w:p>
        </w:tc>
        <w:tc>
          <w:tcPr>
            <w:tcW w:w="1242" w:type="pct"/>
            <w:gridSpan w:val="2"/>
            <w:vAlign w:val="center"/>
          </w:tcPr>
          <w:p w14:paraId="1A01BFBF">
            <w:pPr>
              <w:pStyle w:val="278"/>
              <w:adjustRightInd w:val="0"/>
              <w:snapToGrid w:val="0"/>
              <w:spacing w:line="300" w:lineRule="exact"/>
              <w:rPr>
                <w:rFonts w:hint="eastAsia"/>
              </w:rPr>
            </w:pPr>
            <w:r>
              <w:rPr>
                <w:rFonts w:hint="eastAsia"/>
              </w:rPr>
              <w:t>氮氧化物</w:t>
            </w:r>
          </w:p>
        </w:tc>
        <w:tc>
          <w:tcPr>
            <w:tcW w:w="1191" w:type="pct"/>
            <w:gridSpan w:val="2"/>
            <w:vAlign w:val="center"/>
          </w:tcPr>
          <w:p w14:paraId="5025C7B2">
            <w:pPr>
              <w:pStyle w:val="278"/>
              <w:adjustRightInd w:val="0"/>
              <w:snapToGrid w:val="0"/>
              <w:spacing w:line="300" w:lineRule="exact"/>
              <w:rPr>
                <w:rFonts w:hint="eastAsia"/>
              </w:rPr>
            </w:pPr>
            <w:r>
              <w:rPr>
                <w:rFonts w:hint="eastAsia"/>
              </w:rPr>
              <w:t>颗粒物</w:t>
            </w:r>
          </w:p>
        </w:tc>
      </w:tr>
      <w:tr w14:paraId="1EBEFA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vMerge w:val="continue"/>
            <w:noWrap/>
            <w:vAlign w:val="center"/>
          </w:tcPr>
          <w:p w14:paraId="2F18012D">
            <w:pPr>
              <w:pStyle w:val="278"/>
              <w:adjustRightInd w:val="0"/>
              <w:snapToGrid w:val="0"/>
              <w:spacing w:line="300" w:lineRule="exact"/>
              <w:rPr>
                <w:rFonts w:hint="eastAsia"/>
              </w:rPr>
            </w:pPr>
          </w:p>
        </w:tc>
        <w:tc>
          <w:tcPr>
            <w:tcW w:w="877" w:type="pct"/>
            <w:tcBorders>
              <w:top w:val="single" w:color="auto" w:sz="4" w:space="0"/>
            </w:tcBorders>
            <w:noWrap/>
            <w:vAlign w:val="center"/>
          </w:tcPr>
          <w:p w14:paraId="46F1ECF2">
            <w:pPr>
              <w:pStyle w:val="278"/>
              <w:adjustRightInd w:val="0"/>
              <w:snapToGrid w:val="0"/>
              <w:spacing w:line="300" w:lineRule="exact"/>
              <w:rPr>
                <w:rFonts w:hint="eastAsia"/>
              </w:rPr>
            </w:pPr>
            <w:r>
              <w:rPr>
                <w:rFonts w:hint="eastAsia"/>
              </w:rPr>
              <w:t>浓度（u</w:t>
            </w:r>
            <w:r>
              <w:t>g/m</w:t>
            </w:r>
            <w:r>
              <w:rPr>
                <w:vertAlign w:val="superscript"/>
              </w:rPr>
              <w:t>3</w:t>
            </w:r>
            <w:r>
              <w:rPr>
                <w:rFonts w:hint="eastAsia"/>
              </w:rPr>
              <w:t>）</w:t>
            </w:r>
          </w:p>
        </w:tc>
        <w:tc>
          <w:tcPr>
            <w:tcW w:w="785" w:type="pct"/>
            <w:noWrap/>
            <w:vAlign w:val="center"/>
          </w:tcPr>
          <w:p w14:paraId="4A1BD256">
            <w:pPr>
              <w:pStyle w:val="278"/>
              <w:adjustRightInd w:val="0"/>
              <w:snapToGrid w:val="0"/>
              <w:spacing w:line="300" w:lineRule="exact"/>
              <w:rPr>
                <w:rFonts w:hint="eastAsia"/>
              </w:rPr>
            </w:pPr>
            <w:r>
              <w:rPr>
                <w:rFonts w:hint="eastAsia"/>
              </w:rPr>
              <w:t>占标率（%）</w:t>
            </w:r>
          </w:p>
        </w:tc>
        <w:tc>
          <w:tcPr>
            <w:tcW w:w="656" w:type="pct"/>
            <w:vAlign w:val="center"/>
          </w:tcPr>
          <w:p w14:paraId="2860FF97">
            <w:pPr>
              <w:pStyle w:val="278"/>
              <w:adjustRightInd w:val="0"/>
              <w:snapToGrid w:val="0"/>
              <w:spacing w:line="300" w:lineRule="exact"/>
              <w:rPr>
                <w:rFonts w:hint="eastAsia"/>
              </w:rPr>
            </w:pPr>
            <w:r>
              <w:rPr>
                <w:rFonts w:hint="eastAsia"/>
              </w:rPr>
              <w:t>浓度（u</w:t>
            </w:r>
            <w:r>
              <w:t>g/m</w:t>
            </w:r>
            <w:r>
              <w:rPr>
                <w:vertAlign w:val="superscript"/>
              </w:rPr>
              <w:t>3</w:t>
            </w:r>
            <w:r>
              <w:rPr>
                <w:rFonts w:hint="eastAsia"/>
              </w:rPr>
              <w:t>）</w:t>
            </w:r>
          </w:p>
        </w:tc>
        <w:tc>
          <w:tcPr>
            <w:tcW w:w="586" w:type="pct"/>
            <w:vAlign w:val="center"/>
          </w:tcPr>
          <w:p w14:paraId="2C3A0F3C">
            <w:pPr>
              <w:pStyle w:val="278"/>
              <w:adjustRightInd w:val="0"/>
              <w:snapToGrid w:val="0"/>
              <w:spacing w:line="300" w:lineRule="exact"/>
              <w:rPr>
                <w:rFonts w:hint="eastAsia"/>
              </w:rPr>
            </w:pPr>
            <w:r>
              <w:rPr>
                <w:rFonts w:hint="eastAsia"/>
              </w:rPr>
              <w:t>占标率（%）</w:t>
            </w:r>
          </w:p>
        </w:tc>
        <w:tc>
          <w:tcPr>
            <w:tcW w:w="657" w:type="pct"/>
            <w:vAlign w:val="center"/>
          </w:tcPr>
          <w:p w14:paraId="4A67404C">
            <w:pPr>
              <w:pStyle w:val="278"/>
              <w:adjustRightInd w:val="0"/>
              <w:snapToGrid w:val="0"/>
              <w:spacing w:line="300" w:lineRule="exact"/>
              <w:rPr>
                <w:rFonts w:hint="eastAsia"/>
              </w:rPr>
            </w:pPr>
            <w:r>
              <w:rPr>
                <w:rFonts w:hint="eastAsia"/>
              </w:rPr>
              <w:t>浓度（u</w:t>
            </w:r>
            <w:r>
              <w:t>g/m</w:t>
            </w:r>
            <w:r>
              <w:rPr>
                <w:vertAlign w:val="superscript"/>
              </w:rPr>
              <w:t>3</w:t>
            </w:r>
            <w:r>
              <w:rPr>
                <w:rFonts w:hint="eastAsia"/>
              </w:rPr>
              <w:t>）</w:t>
            </w:r>
          </w:p>
        </w:tc>
        <w:tc>
          <w:tcPr>
            <w:tcW w:w="534" w:type="pct"/>
            <w:vAlign w:val="center"/>
          </w:tcPr>
          <w:p w14:paraId="761A72BB">
            <w:pPr>
              <w:pStyle w:val="278"/>
              <w:adjustRightInd w:val="0"/>
              <w:snapToGrid w:val="0"/>
              <w:spacing w:line="300" w:lineRule="exact"/>
              <w:rPr>
                <w:rFonts w:hint="eastAsia"/>
              </w:rPr>
            </w:pPr>
            <w:r>
              <w:rPr>
                <w:rFonts w:hint="eastAsia"/>
              </w:rPr>
              <w:t>占标率（%）</w:t>
            </w:r>
          </w:p>
        </w:tc>
      </w:tr>
      <w:tr w14:paraId="537D8F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F9FE6F2">
            <w:pPr>
              <w:pStyle w:val="278"/>
              <w:adjustRightInd w:val="0"/>
              <w:snapToGrid w:val="0"/>
              <w:spacing w:line="300" w:lineRule="exact"/>
              <w:rPr>
                <w:rFonts w:hint="eastAsia"/>
              </w:rPr>
            </w:pPr>
            <w:r>
              <w:rPr>
                <w:rFonts w:hint="eastAsia"/>
              </w:rPr>
              <w:t>10</w:t>
            </w:r>
          </w:p>
        </w:tc>
        <w:tc>
          <w:tcPr>
            <w:tcW w:w="877" w:type="pct"/>
            <w:noWrap/>
            <w:vAlign w:val="center"/>
          </w:tcPr>
          <w:p w14:paraId="546B89F6">
            <w:pPr>
              <w:pStyle w:val="278"/>
              <w:adjustRightInd w:val="0"/>
              <w:snapToGrid w:val="0"/>
              <w:spacing w:line="300" w:lineRule="exact"/>
              <w:rPr>
                <w:rFonts w:hint="eastAsia"/>
              </w:rPr>
            </w:pPr>
            <w:r>
              <w:rPr>
                <w:rFonts w:hint="eastAsia"/>
              </w:rPr>
              <w:t>0.0600</w:t>
            </w:r>
          </w:p>
        </w:tc>
        <w:tc>
          <w:tcPr>
            <w:tcW w:w="785" w:type="pct"/>
            <w:noWrap/>
            <w:vAlign w:val="center"/>
          </w:tcPr>
          <w:p w14:paraId="3C98771D">
            <w:pPr>
              <w:pStyle w:val="278"/>
              <w:adjustRightInd w:val="0"/>
              <w:snapToGrid w:val="0"/>
              <w:spacing w:line="300" w:lineRule="exact"/>
              <w:rPr>
                <w:rFonts w:hint="eastAsia"/>
              </w:rPr>
            </w:pPr>
            <w:r>
              <w:rPr>
                <w:rFonts w:hint="eastAsia"/>
              </w:rPr>
              <w:t>0.01</w:t>
            </w:r>
          </w:p>
        </w:tc>
        <w:tc>
          <w:tcPr>
            <w:tcW w:w="656" w:type="pct"/>
            <w:vAlign w:val="center"/>
          </w:tcPr>
          <w:p w14:paraId="401E57B8">
            <w:pPr>
              <w:pStyle w:val="278"/>
              <w:adjustRightInd w:val="0"/>
              <w:snapToGrid w:val="0"/>
              <w:spacing w:line="300" w:lineRule="exact"/>
              <w:rPr>
                <w:rFonts w:hint="eastAsia"/>
              </w:rPr>
            </w:pPr>
            <w:r>
              <w:rPr>
                <w:rFonts w:hint="eastAsia"/>
              </w:rPr>
              <w:t>0.5711</w:t>
            </w:r>
          </w:p>
        </w:tc>
        <w:tc>
          <w:tcPr>
            <w:tcW w:w="586" w:type="pct"/>
            <w:vAlign w:val="center"/>
          </w:tcPr>
          <w:p w14:paraId="671812EC">
            <w:pPr>
              <w:pStyle w:val="278"/>
              <w:adjustRightInd w:val="0"/>
              <w:snapToGrid w:val="0"/>
              <w:spacing w:line="300" w:lineRule="exact"/>
              <w:rPr>
                <w:rFonts w:hint="eastAsia"/>
              </w:rPr>
            </w:pPr>
            <w:r>
              <w:rPr>
                <w:rFonts w:hint="eastAsia"/>
              </w:rPr>
              <w:t>0.23</w:t>
            </w:r>
          </w:p>
        </w:tc>
        <w:tc>
          <w:tcPr>
            <w:tcW w:w="657" w:type="pct"/>
            <w:vAlign w:val="center"/>
          </w:tcPr>
          <w:p w14:paraId="219AC2D9">
            <w:pPr>
              <w:pStyle w:val="278"/>
              <w:adjustRightInd w:val="0"/>
              <w:snapToGrid w:val="0"/>
              <w:spacing w:line="300" w:lineRule="exact"/>
              <w:rPr>
                <w:rFonts w:hint="eastAsia"/>
              </w:rPr>
            </w:pPr>
            <w:r>
              <w:rPr>
                <w:rFonts w:hint="eastAsia"/>
              </w:rPr>
              <w:t>0.0447</w:t>
            </w:r>
          </w:p>
        </w:tc>
        <w:tc>
          <w:tcPr>
            <w:tcW w:w="534" w:type="pct"/>
            <w:vAlign w:val="center"/>
          </w:tcPr>
          <w:p w14:paraId="4931D3E0">
            <w:pPr>
              <w:pStyle w:val="278"/>
              <w:adjustRightInd w:val="0"/>
              <w:snapToGrid w:val="0"/>
              <w:spacing w:line="300" w:lineRule="exact"/>
              <w:rPr>
                <w:rFonts w:hint="eastAsia"/>
              </w:rPr>
            </w:pPr>
            <w:r>
              <w:rPr>
                <w:rFonts w:hint="eastAsia"/>
              </w:rPr>
              <w:t>0.01</w:t>
            </w:r>
          </w:p>
        </w:tc>
      </w:tr>
      <w:tr w14:paraId="6054B0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2F7223B">
            <w:pPr>
              <w:pStyle w:val="278"/>
              <w:adjustRightInd w:val="0"/>
              <w:snapToGrid w:val="0"/>
              <w:spacing w:line="300" w:lineRule="exact"/>
              <w:rPr>
                <w:rFonts w:hint="eastAsia"/>
              </w:rPr>
            </w:pPr>
            <w:r>
              <w:rPr>
                <w:rFonts w:hint="eastAsia"/>
              </w:rPr>
              <w:t>100</w:t>
            </w:r>
          </w:p>
        </w:tc>
        <w:tc>
          <w:tcPr>
            <w:tcW w:w="877" w:type="pct"/>
            <w:noWrap/>
            <w:vAlign w:val="center"/>
          </w:tcPr>
          <w:p w14:paraId="2DE8E729">
            <w:pPr>
              <w:pStyle w:val="278"/>
              <w:adjustRightInd w:val="0"/>
              <w:snapToGrid w:val="0"/>
              <w:spacing w:line="300" w:lineRule="exact"/>
              <w:rPr>
                <w:rFonts w:hint="eastAsia"/>
              </w:rPr>
            </w:pPr>
            <w:r>
              <w:rPr>
                <w:rFonts w:hint="eastAsia"/>
              </w:rPr>
              <w:t>0.1864</w:t>
            </w:r>
          </w:p>
        </w:tc>
        <w:tc>
          <w:tcPr>
            <w:tcW w:w="785" w:type="pct"/>
            <w:noWrap/>
            <w:vAlign w:val="center"/>
          </w:tcPr>
          <w:p w14:paraId="5AF8CC6F">
            <w:pPr>
              <w:pStyle w:val="278"/>
              <w:adjustRightInd w:val="0"/>
              <w:snapToGrid w:val="0"/>
              <w:spacing w:line="300" w:lineRule="exact"/>
              <w:rPr>
                <w:rFonts w:hint="eastAsia"/>
              </w:rPr>
            </w:pPr>
            <w:r>
              <w:rPr>
                <w:rFonts w:hint="eastAsia"/>
              </w:rPr>
              <w:t>0.04</w:t>
            </w:r>
          </w:p>
        </w:tc>
        <w:tc>
          <w:tcPr>
            <w:tcW w:w="656" w:type="pct"/>
            <w:vAlign w:val="center"/>
          </w:tcPr>
          <w:p w14:paraId="15C7B58A">
            <w:pPr>
              <w:pStyle w:val="278"/>
              <w:adjustRightInd w:val="0"/>
              <w:snapToGrid w:val="0"/>
              <w:spacing w:line="300" w:lineRule="exact"/>
              <w:rPr>
                <w:rFonts w:hint="eastAsia"/>
              </w:rPr>
            </w:pPr>
            <w:r>
              <w:rPr>
                <w:rFonts w:hint="eastAsia"/>
              </w:rPr>
              <w:t>1.7752</w:t>
            </w:r>
          </w:p>
        </w:tc>
        <w:tc>
          <w:tcPr>
            <w:tcW w:w="586" w:type="pct"/>
            <w:vAlign w:val="center"/>
          </w:tcPr>
          <w:p w14:paraId="298C223C">
            <w:pPr>
              <w:pStyle w:val="278"/>
              <w:adjustRightInd w:val="0"/>
              <w:snapToGrid w:val="0"/>
              <w:spacing w:line="300" w:lineRule="exact"/>
              <w:rPr>
                <w:rFonts w:hint="eastAsia"/>
              </w:rPr>
            </w:pPr>
            <w:r>
              <w:rPr>
                <w:rFonts w:hint="eastAsia"/>
              </w:rPr>
              <w:t>0.71</w:t>
            </w:r>
          </w:p>
        </w:tc>
        <w:tc>
          <w:tcPr>
            <w:tcW w:w="657" w:type="pct"/>
            <w:vAlign w:val="center"/>
          </w:tcPr>
          <w:p w14:paraId="000A2CFF">
            <w:pPr>
              <w:pStyle w:val="278"/>
              <w:adjustRightInd w:val="0"/>
              <w:snapToGrid w:val="0"/>
              <w:spacing w:line="300" w:lineRule="exact"/>
              <w:rPr>
                <w:rFonts w:hint="eastAsia"/>
              </w:rPr>
            </w:pPr>
            <w:r>
              <w:rPr>
                <w:rFonts w:hint="eastAsia"/>
              </w:rPr>
              <w:t>0.1391</w:t>
            </w:r>
          </w:p>
        </w:tc>
        <w:tc>
          <w:tcPr>
            <w:tcW w:w="534" w:type="pct"/>
            <w:vAlign w:val="center"/>
          </w:tcPr>
          <w:p w14:paraId="216CD3E8">
            <w:pPr>
              <w:pStyle w:val="278"/>
              <w:adjustRightInd w:val="0"/>
              <w:snapToGrid w:val="0"/>
              <w:spacing w:line="300" w:lineRule="exact"/>
              <w:rPr>
                <w:rFonts w:hint="eastAsia"/>
              </w:rPr>
            </w:pPr>
            <w:r>
              <w:rPr>
                <w:rFonts w:hint="eastAsia"/>
              </w:rPr>
              <w:t>0.03</w:t>
            </w:r>
          </w:p>
        </w:tc>
      </w:tr>
      <w:tr w14:paraId="644F00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C0FCCA4">
            <w:pPr>
              <w:pStyle w:val="278"/>
              <w:adjustRightInd w:val="0"/>
              <w:snapToGrid w:val="0"/>
              <w:spacing w:line="300" w:lineRule="exact"/>
              <w:rPr>
                <w:rFonts w:hint="eastAsia"/>
              </w:rPr>
            </w:pPr>
            <w:bookmarkStart w:id="514" w:name="_Hlk173854454"/>
            <w:r>
              <w:rPr>
                <w:rFonts w:hint="eastAsia"/>
              </w:rPr>
              <w:t>110</w:t>
            </w:r>
          </w:p>
        </w:tc>
        <w:tc>
          <w:tcPr>
            <w:tcW w:w="877" w:type="pct"/>
            <w:noWrap/>
            <w:vAlign w:val="center"/>
          </w:tcPr>
          <w:p w14:paraId="752A8871">
            <w:pPr>
              <w:pStyle w:val="278"/>
              <w:adjustRightInd w:val="0"/>
              <w:snapToGrid w:val="0"/>
              <w:spacing w:line="300" w:lineRule="exact"/>
              <w:rPr>
                <w:rFonts w:hint="eastAsia"/>
              </w:rPr>
            </w:pPr>
            <w:r>
              <w:rPr>
                <w:rFonts w:hint="eastAsia"/>
              </w:rPr>
              <w:t>0.1895</w:t>
            </w:r>
          </w:p>
        </w:tc>
        <w:tc>
          <w:tcPr>
            <w:tcW w:w="785" w:type="pct"/>
            <w:noWrap/>
            <w:vAlign w:val="center"/>
          </w:tcPr>
          <w:p w14:paraId="7BC14139">
            <w:pPr>
              <w:pStyle w:val="278"/>
              <w:adjustRightInd w:val="0"/>
              <w:snapToGrid w:val="0"/>
              <w:spacing w:line="300" w:lineRule="exact"/>
              <w:rPr>
                <w:rFonts w:hint="eastAsia"/>
              </w:rPr>
            </w:pPr>
            <w:r>
              <w:rPr>
                <w:rFonts w:hint="eastAsia"/>
              </w:rPr>
              <w:t>0.04</w:t>
            </w:r>
          </w:p>
        </w:tc>
        <w:tc>
          <w:tcPr>
            <w:tcW w:w="656" w:type="pct"/>
            <w:vAlign w:val="center"/>
          </w:tcPr>
          <w:p w14:paraId="3FF01062">
            <w:pPr>
              <w:pStyle w:val="278"/>
              <w:adjustRightInd w:val="0"/>
              <w:snapToGrid w:val="0"/>
              <w:spacing w:line="300" w:lineRule="exact"/>
              <w:rPr>
                <w:rFonts w:hint="eastAsia"/>
              </w:rPr>
            </w:pPr>
            <w:r>
              <w:rPr>
                <w:rFonts w:hint="eastAsia"/>
              </w:rPr>
              <w:t>1.8050</w:t>
            </w:r>
          </w:p>
        </w:tc>
        <w:tc>
          <w:tcPr>
            <w:tcW w:w="586" w:type="pct"/>
            <w:vAlign w:val="center"/>
          </w:tcPr>
          <w:p w14:paraId="77B14FFF">
            <w:pPr>
              <w:pStyle w:val="278"/>
              <w:adjustRightInd w:val="0"/>
              <w:snapToGrid w:val="0"/>
              <w:spacing w:line="300" w:lineRule="exact"/>
              <w:rPr>
                <w:rFonts w:hint="eastAsia"/>
              </w:rPr>
            </w:pPr>
            <w:r>
              <w:rPr>
                <w:rFonts w:hint="eastAsia"/>
              </w:rPr>
              <w:t>0.72</w:t>
            </w:r>
          </w:p>
        </w:tc>
        <w:tc>
          <w:tcPr>
            <w:tcW w:w="657" w:type="pct"/>
            <w:vAlign w:val="center"/>
          </w:tcPr>
          <w:p w14:paraId="6856E604">
            <w:pPr>
              <w:pStyle w:val="278"/>
              <w:adjustRightInd w:val="0"/>
              <w:snapToGrid w:val="0"/>
              <w:spacing w:line="300" w:lineRule="exact"/>
              <w:rPr>
                <w:rFonts w:hint="eastAsia"/>
              </w:rPr>
            </w:pPr>
            <w:r>
              <w:rPr>
                <w:rFonts w:hint="eastAsia"/>
              </w:rPr>
              <w:t>0.1414</w:t>
            </w:r>
          </w:p>
        </w:tc>
        <w:tc>
          <w:tcPr>
            <w:tcW w:w="534" w:type="pct"/>
            <w:vAlign w:val="center"/>
          </w:tcPr>
          <w:p w14:paraId="68C3155F">
            <w:pPr>
              <w:pStyle w:val="278"/>
              <w:adjustRightInd w:val="0"/>
              <w:snapToGrid w:val="0"/>
              <w:spacing w:line="300" w:lineRule="exact"/>
              <w:rPr>
                <w:rFonts w:hint="eastAsia"/>
              </w:rPr>
            </w:pPr>
            <w:r>
              <w:rPr>
                <w:rFonts w:hint="eastAsia"/>
              </w:rPr>
              <w:t>0.03</w:t>
            </w:r>
          </w:p>
        </w:tc>
      </w:tr>
      <w:bookmarkEnd w:id="514"/>
      <w:tr w14:paraId="3E9221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45DF465D">
            <w:pPr>
              <w:pStyle w:val="278"/>
              <w:adjustRightInd w:val="0"/>
              <w:snapToGrid w:val="0"/>
              <w:spacing w:line="300" w:lineRule="exact"/>
              <w:rPr>
                <w:rFonts w:hint="eastAsia"/>
              </w:rPr>
            </w:pPr>
            <w:r>
              <w:rPr>
                <w:rFonts w:hint="eastAsia"/>
              </w:rPr>
              <w:t>200</w:t>
            </w:r>
          </w:p>
        </w:tc>
        <w:tc>
          <w:tcPr>
            <w:tcW w:w="877" w:type="pct"/>
            <w:noWrap/>
            <w:vAlign w:val="center"/>
          </w:tcPr>
          <w:p w14:paraId="219B41F7">
            <w:pPr>
              <w:pStyle w:val="278"/>
              <w:adjustRightInd w:val="0"/>
              <w:snapToGrid w:val="0"/>
              <w:spacing w:line="300" w:lineRule="exact"/>
              <w:rPr>
                <w:rFonts w:hint="eastAsia"/>
              </w:rPr>
            </w:pPr>
            <w:r>
              <w:rPr>
                <w:rFonts w:hint="eastAsia"/>
              </w:rPr>
              <w:t>0.1462</w:t>
            </w:r>
          </w:p>
        </w:tc>
        <w:tc>
          <w:tcPr>
            <w:tcW w:w="785" w:type="pct"/>
            <w:noWrap/>
            <w:vAlign w:val="center"/>
          </w:tcPr>
          <w:p w14:paraId="5C3E74F3">
            <w:pPr>
              <w:pStyle w:val="278"/>
              <w:adjustRightInd w:val="0"/>
              <w:snapToGrid w:val="0"/>
              <w:spacing w:line="300" w:lineRule="exact"/>
              <w:rPr>
                <w:rFonts w:hint="eastAsia"/>
              </w:rPr>
            </w:pPr>
            <w:r>
              <w:rPr>
                <w:rFonts w:hint="eastAsia"/>
              </w:rPr>
              <w:t>0.03</w:t>
            </w:r>
          </w:p>
        </w:tc>
        <w:tc>
          <w:tcPr>
            <w:tcW w:w="656" w:type="pct"/>
            <w:vAlign w:val="center"/>
          </w:tcPr>
          <w:p w14:paraId="63196E69">
            <w:pPr>
              <w:pStyle w:val="278"/>
              <w:adjustRightInd w:val="0"/>
              <w:snapToGrid w:val="0"/>
              <w:spacing w:line="300" w:lineRule="exact"/>
              <w:rPr>
                <w:rFonts w:hint="eastAsia"/>
              </w:rPr>
            </w:pPr>
            <w:r>
              <w:rPr>
                <w:rFonts w:hint="eastAsia"/>
              </w:rPr>
              <w:t>1.3920</w:t>
            </w:r>
          </w:p>
        </w:tc>
        <w:tc>
          <w:tcPr>
            <w:tcW w:w="586" w:type="pct"/>
            <w:vAlign w:val="center"/>
          </w:tcPr>
          <w:p w14:paraId="61AD8DB5">
            <w:pPr>
              <w:pStyle w:val="278"/>
              <w:adjustRightInd w:val="0"/>
              <w:snapToGrid w:val="0"/>
              <w:spacing w:line="300" w:lineRule="exact"/>
              <w:rPr>
                <w:rFonts w:hint="eastAsia"/>
              </w:rPr>
            </w:pPr>
            <w:r>
              <w:rPr>
                <w:rFonts w:hint="eastAsia"/>
              </w:rPr>
              <w:t>0.56</w:t>
            </w:r>
          </w:p>
        </w:tc>
        <w:tc>
          <w:tcPr>
            <w:tcW w:w="657" w:type="pct"/>
            <w:vAlign w:val="center"/>
          </w:tcPr>
          <w:p w14:paraId="5A22313E">
            <w:pPr>
              <w:pStyle w:val="278"/>
              <w:adjustRightInd w:val="0"/>
              <w:snapToGrid w:val="0"/>
              <w:spacing w:line="300" w:lineRule="exact"/>
              <w:rPr>
                <w:rFonts w:hint="eastAsia"/>
              </w:rPr>
            </w:pPr>
            <w:r>
              <w:rPr>
                <w:rFonts w:hint="eastAsia"/>
              </w:rPr>
              <w:t>0.1090</w:t>
            </w:r>
          </w:p>
        </w:tc>
        <w:tc>
          <w:tcPr>
            <w:tcW w:w="534" w:type="pct"/>
            <w:vAlign w:val="center"/>
          </w:tcPr>
          <w:p w14:paraId="6CC80537">
            <w:pPr>
              <w:pStyle w:val="278"/>
              <w:adjustRightInd w:val="0"/>
              <w:snapToGrid w:val="0"/>
              <w:spacing w:line="300" w:lineRule="exact"/>
              <w:rPr>
                <w:rFonts w:hint="eastAsia"/>
              </w:rPr>
            </w:pPr>
            <w:r>
              <w:rPr>
                <w:rFonts w:hint="eastAsia"/>
              </w:rPr>
              <w:t>0.02</w:t>
            </w:r>
          </w:p>
        </w:tc>
      </w:tr>
      <w:tr w14:paraId="07FD66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07144684">
            <w:pPr>
              <w:pStyle w:val="278"/>
              <w:adjustRightInd w:val="0"/>
              <w:snapToGrid w:val="0"/>
              <w:spacing w:line="300" w:lineRule="exact"/>
              <w:rPr>
                <w:rFonts w:hint="eastAsia"/>
              </w:rPr>
            </w:pPr>
            <w:r>
              <w:rPr>
                <w:rFonts w:hint="eastAsia"/>
              </w:rPr>
              <w:t>300</w:t>
            </w:r>
          </w:p>
        </w:tc>
        <w:tc>
          <w:tcPr>
            <w:tcW w:w="877" w:type="pct"/>
            <w:noWrap/>
            <w:vAlign w:val="center"/>
          </w:tcPr>
          <w:p w14:paraId="2FE1EAA1">
            <w:pPr>
              <w:pStyle w:val="278"/>
              <w:adjustRightInd w:val="0"/>
              <w:snapToGrid w:val="0"/>
              <w:spacing w:line="300" w:lineRule="exact"/>
              <w:rPr>
                <w:rFonts w:hint="eastAsia"/>
              </w:rPr>
            </w:pPr>
            <w:r>
              <w:rPr>
                <w:rFonts w:hint="eastAsia"/>
              </w:rPr>
              <w:t>0.1277</w:t>
            </w:r>
          </w:p>
        </w:tc>
        <w:tc>
          <w:tcPr>
            <w:tcW w:w="785" w:type="pct"/>
            <w:noWrap/>
            <w:vAlign w:val="center"/>
          </w:tcPr>
          <w:p w14:paraId="08F2F091">
            <w:pPr>
              <w:pStyle w:val="278"/>
              <w:adjustRightInd w:val="0"/>
              <w:snapToGrid w:val="0"/>
              <w:spacing w:line="300" w:lineRule="exact"/>
              <w:rPr>
                <w:rFonts w:hint="eastAsia"/>
              </w:rPr>
            </w:pPr>
            <w:r>
              <w:rPr>
                <w:rFonts w:hint="eastAsia"/>
              </w:rPr>
              <w:t>0.03</w:t>
            </w:r>
          </w:p>
        </w:tc>
        <w:tc>
          <w:tcPr>
            <w:tcW w:w="656" w:type="pct"/>
            <w:vAlign w:val="center"/>
          </w:tcPr>
          <w:p w14:paraId="6B03A87D">
            <w:pPr>
              <w:pStyle w:val="278"/>
              <w:adjustRightInd w:val="0"/>
              <w:snapToGrid w:val="0"/>
              <w:spacing w:line="300" w:lineRule="exact"/>
              <w:rPr>
                <w:rFonts w:hint="eastAsia"/>
              </w:rPr>
            </w:pPr>
            <w:r>
              <w:rPr>
                <w:rFonts w:hint="eastAsia"/>
              </w:rPr>
              <w:t>1.2162</w:t>
            </w:r>
          </w:p>
        </w:tc>
        <w:tc>
          <w:tcPr>
            <w:tcW w:w="586" w:type="pct"/>
            <w:vAlign w:val="center"/>
          </w:tcPr>
          <w:p w14:paraId="0663BDFF">
            <w:pPr>
              <w:pStyle w:val="278"/>
              <w:adjustRightInd w:val="0"/>
              <w:snapToGrid w:val="0"/>
              <w:spacing w:line="300" w:lineRule="exact"/>
              <w:rPr>
                <w:rFonts w:hint="eastAsia"/>
              </w:rPr>
            </w:pPr>
            <w:r>
              <w:rPr>
                <w:rFonts w:hint="eastAsia"/>
              </w:rPr>
              <w:t>0.49</w:t>
            </w:r>
          </w:p>
        </w:tc>
        <w:tc>
          <w:tcPr>
            <w:tcW w:w="657" w:type="pct"/>
            <w:vAlign w:val="center"/>
          </w:tcPr>
          <w:p w14:paraId="3B7C9968">
            <w:pPr>
              <w:pStyle w:val="278"/>
              <w:adjustRightInd w:val="0"/>
              <w:snapToGrid w:val="0"/>
              <w:spacing w:line="300" w:lineRule="exact"/>
              <w:rPr>
                <w:rFonts w:hint="eastAsia"/>
              </w:rPr>
            </w:pPr>
            <w:r>
              <w:rPr>
                <w:rFonts w:hint="eastAsia"/>
              </w:rPr>
              <w:t>0.0953</w:t>
            </w:r>
          </w:p>
        </w:tc>
        <w:tc>
          <w:tcPr>
            <w:tcW w:w="534" w:type="pct"/>
            <w:vAlign w:val="center"/>
          </w:tcPr>
          <w:p w14:paraId="36160658">
            <w:pPr>
              <w:pStyle w:val="278"/>
              <w:adjustRightInd w:val="0"/>
              <w:snapToGrid w:val="0"/>
              <w:spacing w:line="300" w:lineRule="exact"/>
              <w:rPr>
                <w:rFonts w:hint="eastAsia"/>
              </w:rPr>
            </w:pPr>
            <w:r>
              <w:rPr>
                <w:rFonts w:hint="eastAsia"/>
              </w:rPr>
              <w:t>0.02</w:t>
            </w:r>
          </w:p>
        </w:tc>
      </w:tr>
      <w:tr w14:paraId="4C52FC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F65030E">
            <w:pPr>
              <w:pStyle w:val="278"/>
              <w:adjustRightInd w:val="0"/>
              <w:snapToGrid w:val="0"/>
              <w:spacing w:line="300" w:lineRule="exact"/>
              <w:rPr>
                <w:rFonts w:hint="eastAsia"/>
              </w:rPr>
            </w:pPr>
            <w:r>
              <w:rPr>
                <w:rFonts w:hint="eastAsia"/>
              </w:rPr>
              <w:t>400</w:t>
            </w:r>
          </w:p>
        </w:tc>
        <w:tc>
          <w:tcPr>
            <w:tcW w:w="877" w:type="pct"/>
            <w:noWrap/>
            <w:vAlign w:val="center"/>
          </w:tcPr>
          <w:p w14:paraId="0132EF54">
            <w:pPr>
              <w:pStyle w:val="278"/>
              <w:adjustRightInd w:val="0"/>
              <w:snapToGrid w:val="0"/>
              <w:spacing w:line="300" w:lineRule="exact"/>
              <w:rPr>
                <w:rFonts w:hint="eastAsia"/>
              </w:rPr>
            </w:pPr>
            <w:r>
              <w:rPr>
                <w:rFonts w:hint="eastAsia"/>
              </w:rPr>
              <w:t>0.1141</w:t>
            </w:r>
          </w:p>
        </w:tc>
        <w:tc>
          <w:tcPr>
            <w:tcW w:w="785" w:type="pct"/>
            <w:noWrap/>
            <w:vAlign w:val="center"/>
          </w:tcPr>
          <w:p w14:paraId="1A1428AF">
            <w:pPr>
              <w:pStyle w:val="278"/>
              <w:adjustRightInd w:val="0"/>
              <w:snapToGrid w:val="0"/>
              <w:spacing w:line="300" w:lineRule="exact"/>
              <w:rPr>
                <w:rFonts w:hint="eastAsia"/>
              </w:rPr>
            </w:pPr>
            <w:r>
              <w:rPr>
                <w:rFonts w:hint="eastAsia"/>
              </w:rPr>
              <w:t>0.02</w:t>
            </w:r>
          </w:p>
        </w:tc>
        <w:tc>
          <w:tcPr>
            <w:tcW w:w="656" w:type="pct"/>
            <w:vAlign w:val="center"/>
          </w:tcPr>
          <w:p w14:paraId="126979C6">
            <w:pPr>
              <w:pStyle w:val="278"/>
              <w:adjustRightInd w:val="0"/>
              <w:snapToGrid w:val="0"/>
              <w:spacing w:line="300" w:lineRule="exact"/>
              <w:rPr>
                <w:rFonts w:hint="eastAsia"/>
              </w:rPr>
            </w:pPr>
            <w:r>
              <w:rPr>
                <w:rFonts w:hint="eastAsia"/>
              </w:rPr>
              <w:t>1.0863</w:t>
            </w:r>
          </w:p>
        </w:tc>
        <w:tc>
          <w:tcPr>
            <w:tcW w:w="586" w:type="pct"/>
            <w:vAlign w:val="center"/>
          </w:tcPr>
          <w:p w14:paraId="737168BF">
            <w:pPr>
              <w:pStyle w:val="278"/>
              <w:adjustRightInd w:val="0"/>
              <w:snapToGrid w:val="0"/>
              <w:spacing w:line="300" w:lineRule="exact"/>
              <w:rPr>
                <w:rFonts w:hint="eastAsia"/>
              </w:rPr>
            </w:pPr>
            <w:r>
              <w:rPr>
                <w:rFonts w:hint="eastAsia"/>
              </w:rPr>
              <w:t>0.43</w:t>
            </w:r>
          </w:p>
        </w:tc>
        <w:tc>
          <w:tcPr>
            <w:tcW w:w="657" w:type="pct"/>
            <w:vAlign w:val="center"/>
          </w:tcPr>
          <w:p w14:paraId="60CC5857">
            <w:pPr>
              <w:pStyle w:val="278"/>
              <w:adjustRightInd w:val="0"/>
              <w:snapToGrid w:val="0"/>
              <w:spacing w:line="300" w:lineRule="exact"/>
              <w:rPr>
                <w:rFonts w:hint="eastAsia"/>
              </w:rPr>
            </w:pPr>
            <w:r>
              <w:rPr>
                <w:rFonts w:hint="eastAsia"/>
              </w:rPr>
              <w:t>0.0851</w:t>
            </w:r>
          </w:p>
        </w:tc>
        <w:tc>
          <w:tcPr>
            <w:tcW w:w="534" w:type="pct"/>
            <w:vAlign w:val="center"/>
          </w:tcPr>
          <w:p w14:paraId="1A65E7E3">
            <w:pPr>
              <w:pStyle w:val="278"/>
              <w:adjustRightInd w:val="0"/>
              <w:snapToGrid w:val="0"/>
              <w:spacing w:line="300" w:lineRule="exact"/>
              <w:rPr>
                <w:rFonts w:hint="eastAsia"/>
              </w:rPr>
            </w:pPr>
            <w:r>
              <w:rPr>
                <w:rFonts w:hint="eastAsia"/>
              </w:rPr>
              <w:t>0.02</w:t>
            </w:r>
          </w:p>
        </w:tc>
      </w:tr>
      <w:tr w14:paraId="6EE863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69B3804">
            <w:pPr>
              <w:pStyle w:val="278"/>
              <w:adjustRightInd w:val="0"/>
              <w:snapToGrid w:val="0"/>
              <w:spacing w:line="300" w:lineRule="exact"/>
              <w:rPr>
                <w:rFonts w:hint="eastAsia"/>
              </w:rPr>
            </w:pPr>
            <w:r>
              <w:rPr>
                <w:rFonts w:hint="eastAsia"/>
              </w:rPr>
              <w:t>500</w:t>
            </w:r>
          </w:p>
        </w:tc>
        <w:tc>
          <w:tcPr>
            <w:tcW w:w="877" w:type="pct"/>
            <w:noWrap/>
            <w:vAlign w:val="center"/>
          </w:tcPr>
          <w:p w14:paraId="2BC0B005">
            <w:pPr>
              <w:pStyle w:val="278"/>
              <w:adjustRightInd w:val="0"/>
              <w:snapToGrid w:val="0"/>
              <w:spacing w:line="300" w:lineRule="exact"/>
              <w:rPr>
                <w:rFonts w:hint="eastAsia"/>
              </w:rPr>
            </w:pPr>
            <w:r>
              <w:rPr>
                <w:rFonts w:hint="eastAsia"/>
              </w:rPr>
              <w:t>0.0960</w:t>
            </w:r>
          </w:p>
        </w:tc>
        <w:tc>
          <w:tcPr>
            <w:tcW w:w="785" w:type="pct"/>
            <w:noWrap/>
            <w:vAlign w:val="center"/>
          </w:tcPr>
          <w:p w14:paraId="1A2D7CFF">
            <w:pPr>
              <w:pStyle w:val="278"/>
              <w:adjustRightInd w:val="0"/>
              <w:snapToGrid w:val="0"/>
              <w:spacing w:line="300" w:lineRule="exact"/>
              <w:rPr>
                <w:rFonts w:hint="eastAsia"/>
              </w:rPr>
            </w:pPr>
            <w:r>
              <w:rPr>
                <w:rFonts w:hint="eastAsia"/>
              </w:rPr>
              <w:t>0.02</w:t>
            </w:r>
          </w:p>
        </w:tc>
        <w:tc>
          <w:tcPr>
            <w:tcW w:w="656" w:type="pct"/>
            <w:vAlign w:val="center"/>
          </w:tcPr>
          <w:p w14:paraId="5E20F98F">
            <w:pPr>
              <w:pStyle w:val="278"/>
              <w:adjustRightInd w:val="0"/>
              <w:snapToGrid w:val="0"/>
              <w:spacing w:line="300" w:lineRule="exact"/>
              <w:rPr>
                <w:rFonts w:hint="eastAsia"/>
              </w:rPr>
            </w:pPr>
            <w:r>
              <w:rPr>
                <w:rFonts w:hint="eastAsia"/>
              </w:rPr>
              <w:t>0.9143</w:t>
            </w:r>
          </w:p>
        </w:tc>
        <w:tc>
          <w:tcPr>
            <w:tcW w:w="586" w:type="pct"/>
            <w:vAlign w:val="center"/>
          </w:tcPr>
          <w:p w14:paraId="3212C242">
            <w:pPr>
              <w:pStyle w:val="278"/>
              <w:adjustRightInd w:val="0"/>
              <w:snapToGrid w:val="0"/>
              <w:spacing w:line="300" w:lineRule="exact"/>
              <w:rPr>
                <w:rFonts w:hint="eastAsia"/>
              </w:rPr>
            </w:pPr>
            <w:r>
              <w:rPr>
                <w:rFonts w:hint="eastAsia"/>
              </w:rPr>
              <w:t>0.37</w:t>
            </w:r>
          </w:p>
        </w:tc>
        <w:tc>
          <w:tcPr>
            <w:tcW w:w="657" w:type="pct"/>
            <w:vAlign w:val="center"/>
          </w:tcPr>
          <w:p w14:paraId="14B3399E">
            <w:pPr>
              <w:pStyle w:val="278"/>
              <w:adjustRightInd w:val="0"/>
              <w:snapToGrid w:val="0"/>
              <w:spacing w:line="300" w:lineRule="exact"/>
              <w:rPr>
                <w:rFonts w:hint="eastAsia"/>
              </w:rPr>
            </w:pPr>
            <w:r>
              <w:rPr>
                <w:rFonts w:hint="eastAsia"/>
              </w:rPr>
              <w:t>0.0716</w:t>
            </w:r>
          </w:p>
        </w:tc>
        <w:tc>
          <w:tcPr>
            <w:tcW w:w="534" w:type="pct"/>
            <w:vAlign w:val="center"/>
          </w:tcPr>
          <w:p w14:paraId="3AB61B7F">
            <w:pPr>
              <w:pStyle w:val="278"/>
              <w:adjustRightInd w:val="0"/>
              <w:snapToGrid w:val="0"/>
              <w:spacing w:line="300" w:lineRule="exact"/>
              <w:rPr>
                <w:rFonts w:hint="eastAsia"/>
              </w:rPr>
            </w:pPr>
            <w:r>
              <w:rPr>
                <w:rFonts w:hint="eastAsia"/>
              </w:rPr>
              <w:t>0.02</w:t>
            </w:r>
          </w:p>
        </w:tc>
      </w:tr>
      <w:tr w14:paraId="0F42E1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64344F5C">
            <w:pPr>
              <w:pStyle w:val="278"/>
              <w:adjustRightInd w:val="0"/>
              <w:snapToGrid w:val="0"/>
              <w:spacing w:line="300" w:lineRule="exact"/>
              <w:rPr>
                <w:rFonts w:hint="eastAsia"/>
              </w:rPr>
            </w:pPr>
            <w:r>
              <w:rPr>
                <w:rFonts w:hint="eastAsia"/>
              </w:rPr>
              <w:t>600</w:t>
            </w:r>
          </w:p>
        </w:tc>
        <w:tc>
          <w:tcPr>
            <w:tcW w:w="877" w:type="pct"/>
            <w:noWrap/>
            <w:vAlign w:val="center"/>
          </w:tcPr>
          <w:p w14:paraId="45D576C8">
            <w:pPr>
              <w:pStyle w:val="278"/>
              <w:adjustRightInd w:val="0"/>
              <w:snapToGrid w:val="0"/>
              <w:spacing w:line="300" w:lineRule="exact"/>
              <w:rPr>
                <w:rFonts w:hint="eastAsia"/>
              </w:rPr>
            </w:pPr>
            <w:r>
              <w:rPr>
                <w:rFonts w:hint="eastAsia"/>
              </w:rPr>
              <w:t>0.0835</w:t>
            </w:r>
          </w:p>
        </w:tc>
        <w:tc>
          <w:tcPr>
            <w:tcW w:w="785" w:type="pct"/>
            <w:noWrap/>
            <w:vAlign w:val="center"/>
          </w:tcPr>
          <w:p w14:paraId="293AA1E3">
            <w:pPr>
              <w:pStyle w:val="278"/>
              <w:adjustRightInd w:val="0"/>
              <w:snapToGrid w:val="0"/>
              <w:spacing w:line="300" w:lineRule="exact"/>
              <w:rPr>
                <w:rFonts w:hint="eastAsia"/>
              </w:rPr>
            </w:pPr>
            <w:r>
              <w:rPr>
                <w:rFonts w:hint="eastAsia"/>
              </w:rPr>
              <w:t>0.02</w:t>
            </w:r>
          </w:p>
        </w:tc>
        <w:tc>
          <w:tcPr>
            <w:tcW w:w="656" w:type="pct"/>
            <w:vAlign w:val="center"/>
          </w:tcPr>
          <w:p w14:paraId="49614307">
            <w:pPr>
              <w:pStyle w:val="278"/>
              <w:adjustRightInd w:val="0"/>
              <w:snapToGrid w:val="0"/>
              <w:spacing w:line="300" w:lineRule="exact"/>
              <w:rPr>
                <w:rFonts w:hint="eastAsia"/>
              </w:rPr>
            </w:pPr>
            <w:r>
              <w:rPr>
                <w:rFonts w:hint="eastAsia"/>
              </w:rPr>
              <w:t>0.7950</w:t>
            </w:r>
          </w:p>
        </w:tc>
        <w:tc>
          <w:tcPr>
            <w:tcW w:w="586" w:type="pct"/>
            <w:vAlign w:val="center"/>
          </w:tcPr>
          <w:p w14:paraId="33553AE9">
            <w:pPr>
              <w:pStyle w:val="278"/>
              <w:adjustRightInd w:val="0"/>
              <w:snapToGrid w:val="0"/>
              <w:spacing w:line="300" w:lineRule="exact"/>
              <w:rPr>
                <w:rFonts w:hint="eastAsia"/>
              </w:rPr>
            </w:pPr>
            <w:r>
              <w:rPr>
                <w:rFonts w:hint="eastAsia"/>
              </w:rPr>
              <w:t>0.32</w:t>
            </w:r>
          </w:p>
        </w:tc>
        <w:tc>
          <w:tcPr>
            <w:tcW w:w="657" w:type="pct"/>
            <w:vAlign w:val="center"/>
          </w:tcPr>
          <w:p w14:paraId="67C1CE8A">
            <w:pPr>
              <w:pStyle w:val="278"/>
              <w:adjustRightInd w:val="0"/>
              <w:snapToGrid w:val="0"/>
              <w:spacing w:line="300" w:lineRule="exact"/>
              <w:rPr>
                <w:rFonts w:hint="eastAsia"/>
              </w:rPr>
            </w:pPr>
            <w:r>
              <w:rPr>
                <w:rFonts w:hint="eastAsia"/>
              </w:rPr>
              <w:t>0.0623</w:t>
            </w:r>
          </w:p>
        </w:tc>
        <w:tc>
          <w:tcPr>
            <w:tcW w:w="534" w:type="pct"/>
            <w:vAlign w:val="center"/>
          </w:tcPr>
          <w:p w14:paraId="111D726E">
            <w:pPr>
              <w:pStyle w:val="278"/>
              <w:adjustRightInd w:val="0"/>
              <w:snapToGrid w:val="0"/>
              <w:spacing w:line="300" w:lineRule="exact"/>
              <w:rPr>
                <w:rFonts w:hint="eastAsia"/>
              </w:rPr>
            </w:pPr>
            <w:r>
              <w:rPr>
                <w:rFonts w:hint="eastAsia"/>
              </w:rPr>
              <w:t>0.01</w:t>
            </w:r>
          </w:p>
        </w:tc>
      </w:tr>
      <w:tr w14:paraId="0C64E4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3DA29FC">
            <w:pPr>
              <w:pStyle w:val="278"/>
              <w:adjustRightInd w:val="0"/>
              <w:snapToGrid w:val="0"/>
              <w:spacing w:line="300" w:lineRule="exact"/>
              <w:rPr>
                <w:rFonts w:hint="eastAsia"/>
              </w:rPr>
            </w:pPr>
            <w:r>
              <w:rPr>
                <w:rFonts w:hint="eastAsia"/>
              </w:rPr>
              <w:t>700</w:t>
            </w:r>
          </w:p>
        </w:tc>
        <w:tc>
          <w:tcPr>
            <w:tcW w:w="877" w:type="pct"/>
            <w:noWrap/>
            <w:vAlign w:val="center"/>
          </w:tcPr>
          <w:p w14:paraId="33896FBB">
            <w:pPr>
              <w:pStyle w:val="278"/>
              <w:adjustRightInd w:val="0"/>
              <w:snapToGrid w:val="0"/>
              <w:spacing w:line="300" w:lineRule="exact"/>
              <w:rPr>
                <w:rFonts w:hint="eastAsia"/>
              </w:rPr>
            </w:pPr>
            <w:r>
              <w:rPr>
                <w:rFonts w:hint="eastAsia"/>
              </w:rPr>
              <w:t>0.0745</w:t>
            </w:r>
          </w:p>
        </w:tc>
        <w:tc>
          <w:tcPr>
            <w:tcW w:w="785" w:type="pct"/>
            <w:noWrap/>
            <w:vAlign w:val="center"/>
          </w:tcPr>
          <w:p w14:paraId="3A9021D7">
            <w:pPr>
              <w:pStyle w:val="278"/>
              <w:adjustRightInd w:val="0"/>
              <w:snapToGrid w:val="0"/>
              <w:spacing w:line="300" w:lineRule="exact"/>
              <w:rPr>
                <w:rFonts w:hint="eastAsia"/>
              </w:rPr>
            </w:pPr>
            <w:r>
              <w:rPr>
                <w:rFonts w:hint="eastAsia"/>
              </w:rPr>
              <w:t>0.01</w:t>
            </w:r>
          </w:p>
        </w:tc>
        <w:tc>
          <w:tcPr>
            <w:tcW w:w="656" w:type="pct"/>
            <w:vAlign w:val="center"/>
          </w:tcPr>
          <w:p w14:paraId="466F04D4">
            <w:pPr>
              <w:pStyle w:val="278"/>
              <w:adjustRightInd w:val="0"/>
              <w:snapToGrid w:val="0"/>
              <w:spacing w:line="300" w:lineRule="exact"/>
              <w:rPr>
                <w:rFonts w:hint="eastAsia"/>
              </w:rPr>
            </w:pPr>
            <w:r>
              <w:rPr>
                <w:rFonts w:hint="eastAsia"/>
              </w:rPr>
              <w:t>0.7094</w:t>
            </w:r>
          </w:p>
        </w:tc>
        <w:tc>
          <w:tcPr>
            <w:tcW w:w="586" w:type="pct"/>
            <w:vAlign w:val="center"/>
          </w:tcPr>
          <w:p w14:paraId="2C191D0C">
            <w:pPr>
              <w:pStyle w:val="278"/>
              <w:adjustRightInd w:val="0"/>
              <w:snapToGrid w:val="0"/>
              <w:spacing w:line="300" w:lineRule="exact"/>
              <w:rPr>
                <w:rFonts w:hint="eastAsia"/>
              </w:rPr>
            </w:pPr>
            <w:r>
              <w:rPr>
                <w:rFonts w:hint="eastAsia"/>
              </w:rPr>
              <w:t>0.28</w:t>
            </w:r>
          </w:p>
        </w:tc>
        <w:tc>
          <w:tcPr>
            <w:tcW w:w="657" w:type="pct"/>
            <w:vAlign w:val="center"/>
          </w:tcPr>
          <w:p w14:paraId="5A7C1BA4">
            <w:pPr>
              <w:pStyle w:val="278"/>
              <w:adjustRightInd w:val="0"/>
              <w:snapToGrid w:val="0"/>
              <w:spacing w:line="300" w:lineRule="exact"/>
              <w:rPr>
                <w:rFonts w:hint="eastAsia"/>
              </w:rPr>
            </w:pPr>
            <w:r>
              <w:rPr>
                <w:rFonts w:hint="eastAsia"/>
              </w:rPr>
              <w:t>0.0556</w:t>
            </w:r>
          </w:p>
        </w:tc>
        <w:tc>
          <w:tcPr>
            <w:tcW w:w="534" w:type="pct"/>
            <w:vAlign w:val="center"/>
          </w:tcPr>
          <w:p w14:paraId="663D4AF4">
            <w:pPr>
              <w:pStyle w:val="278"/>
              <w:adjustRightInd w:val="0"/>
              <w:snapToGrid w:val="0"/>
              <w:spacing w:line="300" w:lineRule="exact"/>
              <w:rPr>
                <w:rFonts w:hint="eastAsia"/>
              </w:rPr>
            </w:pPr>
            <w:r>
              <w:rPr>
                <w:rFonts w:hint="eastAsia"/>
              </w:rPr>
              <w:t>0.01</w:t>
            </w:r>
          </w:p>
        </w:tc>
      </w:tr>
      <w:tr w14:paraId="0CD214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5A42BFE">
            <w:pPr>
              <w:pStyle w:val="278"/>
              <w:adjustRightInd w:val="0"/>
              <w:snapToGrid w:val="0"/>
              <w:spacing w:line="300" w:lineRule="exact"/>
              <w:rPr>
                <w:rFonts w:hint="eastAsia"/>
              </w:rPr>
            </w:pPr>
            <w:r>
              <w:rPr>
                <w:rFonts w:hint="eastAsia"/>
              </w:rPr>
              <w:t>800</w:t>
            </w:r>
          </w:p>
        </w:tc>
        <w:tc>
          <w:tcPr>
            <w:tcW w:w="877" w:type="pct"/>
            <w:noWrap/>
            <w:vAlign w:val="center"/>
          </w:tcPr>
          <w:p w14:paraId="56385C87">
            <w:pPr>
              <w:pStyle w:val="278"/>
              <w:adjustRightInd w:val="0"/>
              <w:snapToGrid w:val="0"/>
              <w:spacing w:line="300" w:lineRule="exact"/>
              <w:rPr>
                <w:rFonts w:hint="eastAsia"/>
              </w:rPr>
            </w:pPr>
            <w:r>
              <w:rPr>
                <w:rFonts w:hint="eastAsia"/>
              </w:rPr>
              <w:t>0.0715</w:t>
            </w:r>
          </w:p>
        </w:tc>
        <w:tc>
          <w:tcPr>
            <w:tcW w:w="785" w:type="pct"/>
            <w:noWrap/>
            <w:vAlign w:val="center"/>
          </w:tcPr>
          <w:p w14:paraId="4B429C28">
            <w:pPr>
              <w:pStyle w:val="278"/>
              <w:adjustRightInd w:val="0"/>
              <w:snapToGrid w:val="0"/>
              <w:spacing w:line="300" w:lineRule="exact"/>
              <w:rPr>
                <w:rFonts w:hint="eastAsia"/>
              </w:rPr>
            </w:pPr>
            <w:r>
              <w:rPr>
                <w:rFonts w:hint="eastAsia"/>
              </w:rPr>
              <w:t>0.01</w:t>
            </w:r>
          </w:p>
        </w:tc>
        <w:tc>
          <w:tcPr>
            <w:tcW w:w="656" w:type="pct"/>
            <w:vAlign w:val="center"/>
          </w:tcPr>
          <w:p w14:paraId="556D80B3">
            <w:pPr>
              <w:pStyle w:val="278"/>
              <w:adjustRightInd w:val="0"/>
              <w:snapToGrid w:val="0"/>
              <w:spacing w:line="300" w:lineRule="exact"/>
              <w:rPr>
                <w:rFonts w:hint="eastAsia"/>
              </w:rPr>
            </w:pPr>
            <w:r>
              <w:rPr>
                <w:rFonts w:hint="eastAsia"/>
              </w:rPr>
              <w:t>0.6805</w:t>
            </w:r>
          </w:p>
        </w:tc>
        <w:tc>
          <w:tcPr>
            <w:tcW w:w="586" w:type="pct"/>
            <w:vAlign w:val="center"/>
          </w:tcPr>
          <w:p w14:paraId="64EF2885">
            <w:pPr>
              <w:pStyle w:val="278"/>
              <w:adjustRightInd w:val="0"/>
              <w:snapToGrid w:val="0"/>
              <w:spacing w:line="300" w:lineRule="exact"/>
              <w:rPr>
                <w:rFonts w:hint="eastAsia"/>
              </w:rPr>
            </w:pPr>
            <w:r>
              <w:rPr>
                <w:rFonts w:hint="eastAsia"/>
              </w:rPr>
              <w:t>0.27</w:t>
            </w:r>
          </w:p>
        </w:tc>
        <w:tc>
          <w:tcPr>
            <w:tcW w:w="657" w:type="pct"/>
            <w:vAlign w:val="center"/>
          </w:tcPr>
          <w:p w14:paraId="45F259D2">
            <w:pPr>
              <w:pStyle w:val="278"/>
              <w:adjustRightInd w:val="0"/>
              <w:snapToGrid w:val="0"/>
              <w:spacing w:line="300" w:lineRule="exact"/>
              <w:rPr>
                <w:rFonts w:hint="eastAsia"/>
              </w:rPr>
            </w:pPr>
            <w:r>
              <w:rPr>
                <w:rFonts w:hint="eastAsia"/>
              </w:rPr>
              <w:t>0.0533</w:t>
            </w:r>
          </w:p>
        </w:tc>
        <w:tc>
          <w:tcPr>
            <w:tcW w:w="534" w:type="pct"/>
            <w:vAlign w:val="center"/>
          </w:tcPr>
          <w:p w14:paraId="7D6CAF84">
            <w:pPr>
              <w:pStyle w:val="278"/>
              <w:adjustRightInd w:val="0"/>
              <w:snapToGrid w:val="0"/>
              <w:spacing w:line="300" w:lineRule="exact"/>
              <w:rPr>
                <w:rFonts w:hint="eastAsia"/>
              </w:rPr>
            </w:pPr>
            <w:r>
              <w:rPr>
                <w:rFonts w:hint="eastAsia"/>
              </w:rPr>
              <w:t>0.01</w:t>
            </w:r>
          </w:p>
        </w:tc>
      </w:tr>
      <w:tr w14:paraId="70D3B6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7272D07B">
            <w:pPr>
              <w:pStyle w:val="278"/>
              <w:adjustRightInd w:val="0"/>
              <w:snapToGrid w:val="0"/>
              <w:spacing w:line="300" w:lineRule="exact"/>
              <w:rPr>
                <w:rFonts w:hint="eastAsia"/>
              </w:rPr>
            </w:pPr>
            <w:r>
              <w:rPr>
                <w:rFonts w:hint="eastAsia"/>
              </w:rPr>
              <w:t>900</w:t>
            </w:r>
          </w:p>
        </w:tc>
        <w:tc>
          <w:tcPr>
            <w:tcW w:w="877" w:type="pct"/>
            <w:noWrap/>
            <w:vAlign w:val="center"/>
          </w:tcPr>
          <w:p w14:paraId="39B4EA82">
            <w:pPr>
              <w:pStyle w:val="278"/>
              <w:adjustRightInd w:val="0"/>
              <w:snapToGrid w:val="0"/>
              <w:spacing w:line="300" w:lineRule="exact"/>
              <w:rPr>
                <w:rFonts w:hint="eastAsia"/>
              </w:rPr>
            </w:pPr>
            <w:r>
              <w:rPr>
                <w:rFonts w:hint="eastAsia"/>
              </w:rPr>
              <w:t>0.0679</w:t>
            </w:r>
          </w:p>
        </w:tc>
        <w:tc>
          <w:tcPr>
            <w:tcW w:w="785" w:type="pct"/>
            <w:noWrap/>
            <w:vAlign w:val="center"/>
          </w:tcPr>
          <w:p w14:paraId="6C953F63">
            <w:pPr>
              <w:pStyle w:val="278"/>
              <w:adjustRightInd w:val="0"/>
              <w:snapToGrid w:val="0"/>
              <w:spacing w:line="300" w:lineRule="exact"/>
              <w:rPr>
                <w:rFonts w:hint="eastAsia"/>
              </w:rPr>
            </w:pPr>
            <w:r>
              <w:rPr>
                <w:rFonts w:hint="eastAsia"/>
              </w:rPr>
              <w:t>0.01</w:t>
            </w:r>
          </w:p>
        </w:tc>
        <w:tc>
          <w:tcPr>
            <w:tcW w:w="656" w:type="pct"/>
            <w:vAlign w:val="center"/>
          </w:tcPr>
          <w:p w14:paraId="34ADA1B7">
            <w:pPr>
              <w:pStyle w:val="278"/>
              <w:adjustRightInd w:val="0"/>
              <w:snapToGrid w:val="0"/>
              <w:spacing w:line="300" w:lineRule="exact"/>
              <w:rPr>
                <w:rFonts w:hint="eastAsia"/>
              </w:rPr>
            </w:pPr>
            <w:r>
              <w:rPr>
                <w:rFonts w:hint="eastAsia"/>
              </w:rPr>
              <w:t>0.6467</w:t>
            </w:r>
          </w:p>
        </w:tc>
        <w:tc>
          <w:tcPr>
            <w:tcW w:w="586" w:type="pct"/>
            <w:vAlign w:val="center"/>
          </w:tcPr>
          <w:p w14:paraId="0421C0ED">
            <w:pPr>
              <w:pStyle w:val="278"/>
              <w:adjustRightInd w:val="0"/>
              <w:snapToGrid w:val="0"/>
              <w:spacing w:line="300" w:lineRule="exact"/>
              <w:rPr>
                <w:rFonts w:hint="eastAsia"/>
              </w:rPr>
            </w:pPr>
            <w:r>
              <w:rPr>
                <w:rFonts w:hint="eastAsia"/>
              </w:rPr>
              <w:t>0.26</w:t>
            </w:r>
          </w:p>
        </w:tc>
        <w:tc>
          <w:tcPr>
            <w:tcW w:w="657" w:type="pct"/>
            <w:vAlign w:val="center"/>
          </w:tcPr>
          <w:p w14:paraId="1DF2F69A">
            <w:pPr>
              <w:pStyle w:val="278"/>
              <w:adjustRightInd w:val="0"/>
              <w:snapToGrid w:val="0"/>
              <w:spacing w:line="300" w:lineRule="exact"/>
              <w:rPr>
                <w:rFonts w:hint="eastAsia"/>
              </w:rPr>
            </w:pPr>
            <w:r>
              <w:rPr>
                <w:rFonts w:hint="eastAsia"/>
              </w:rPr>
              <w:t>0.0507</w:t>
            </w:r>
          </w:p>
        </w:tc>
        <w:tc>
          <w:tcPr>
            <w:tcW w:w="534" w:type="pct"/>
            <w:vAlign w:val="center"/>
          </w:tcPr>
          <w:p w14:paraId="0CEB35C2">
            <w:pPr>
              <w:pStyle w:val="278"/>
              <w:adjustRightInd w:val="0"/>
              <w:snapToGrid w:val="0"/>
              <w:spacing w:line="300" w:lineRule="exact"/>
              <w:rPr>
                <w:rFonts w:hint="eastAsia"/>
              </w:rPr>
            </w:pPr>
            <w:r>
              <w:rPr>
                <w:rFonts w:hint="eastAsia"/>
              </w:rPr>
              <w:t>0.01</w:t>
            </w:r>
          </w:p>
        </w:tc>
      </w:tr>
      <w:tr w14:paraId="62D0B4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0505E399">
            <w:pPr>
              <w:pStyle w:val="278"/>
              <w:adjustRightInd w:val="0"/>
              <w:snapToGrid w:val="0"/>
              <w:spacing w:line="300" w:lineRule="exact"/>
              <w:rPr>
                <w:rFonts w:hint="eastAsia"/>
              </w:rPr>
            </w:pPr>
            <w:r>
              <w:rPr>
                <w:rFonts w:hint="eastAsia"/>
              </w:rPr>
              <w:t>1000</w:t>
            </w:r>
          </w:p>
        </w:tc>
        <w:tc>
          <w:tcPr>
            <w:tcW w:w="877" w:type="pct"/>
            <w:noWrap/>
            <w:vAlign w:val="center"/>
          </w:tcPr>
          <w:p w14:paraId="4DF9288B">
            <w:pPr>
              <w:pStyle w:val="278"/>
              <w:adjustRightInd w:val="0"/>
              <w:snapToGrid w:val="0"/>
              <w:spacing w:line="300" w:lineRule="exact"/>
              <w:rPr>
                <w:rFonts w:hint="eastAsia"/>
              </w:rPr>
            </w:pPr>
            <w:r>
              <w:rPr>
                <w:rFonts w:hint="eastAsia"/>
              </w:rPr>
              <w:t>0.0654</w:t>
            </w:r>
          </w:p>
        </w:tc>
        <w:tc>
          <w:tcPr>
            <w:tcW w:w="785" w:type="pct"/>
            <w:noWrap/>
            <w:vAlign w:val="center"/>
          </w:tcPr>
          <w:p w14:paraId="6A952CAB">
            <w:pPr>
              <w:pStyle w:val="278"/>
              <w:adjustRightInd w:val="0"/>
              <w:snapToGrid w:val="0"/>
              <w:spacing w:line="300" w:lineRule="exact"/>
              <w:rPr>
                <w:rFonts w:hint="eastAsia"/>
              </w:rPr>
            </w:pPr>
            <w:r>
              <w:rPr>
                <w:rFonts w:hint="eastAsia"/>
              </w:rPr>
              <w:t>0.01</w:t>
            </w:r>
          </w:p>
        </w:tc>
        <w:tc>
          <w:tcPr>
            <w:tcW w:w="656" w:type="pct"/>
            <w:vAlign w:val="center"/>
          </w:tcPr>
          <w:p w14:paraId="77DF8398">
            <w:pPr>
              <w:pStyle w:val="278"/>
              <w:adjustRightInd w:val="0"/>
              <w:snapToGrid w:val="0"/>
              <w:spacing w:line="300" w:lineRule="exact"/>
              <w:rPr>
                <w:rFonts w:hint="eastAsia"/>
              </w:rPr>
            </w:pPr>
            <w:r>
              <w:rPr>
                <w:rFonts w:hint="eastAsia"/>
              </w:rPr>
              <w:t>0.6232</w:t>
            </w:r>
          </w:p>
        </w:tc>
        <w:tc>
          <w:tcPr>
            <w:tcW w:w="586" w:type="pct"/>
            <w:vAlign w:val="center"/>
          </w:tcPr>
          <w:p w14:paraId="54C85880">
            <w:pPr>
              <w:pStyle w:val="278"/>
              <w:adjustRightInd w:val="0"/>
              <w:snapToGrid w:val="0"/>
              <w:spacing w:line="300" w:lineRule="exact"/>
              <w:rPr>
                <w:rFonts w:hint="eastAsia"/>
              </w:rPr>
            </w:pPr>
            <w:r>
              <w:rPr>
                <w:rFonts w:hint="eastAsia"/>
              </w:rPr>
              <w:t>0.25</w:t>
            </w:r>
          </w:p>
        </w:tc>
        <w:tc>
          <w:tcPr>
            <w:tcW w:w="657" w:type="pct"/>
            <w:vAlign w:val="center"/>
          </w:tcPr>
          <w:p w14:paraId="24F81120">
            <w:pPr>
              <w:pStyle w:val="278"/>
              <w:adjustRightInd w:val="0"/>
              <w:snapToGrid w:val="0"/>
              <w:spacing w:line="300" w:lineRule="exact"/>
              <w:rPr>
                <w:rFonts w:hint="eastAsia"/>
              </w:rPr>
            </w:pPr>
            <w:r>
              <w:rPr>
                <w:rFonts w:hint="eastAsia"/>
              </w:rPr>
              <w:t>0.0488</w:t>
            </w:r>
          </w:p>
        </w:tc>
        <w:tc>
          <w:tcPr>
            <w:tcW w:w="534" w:type="pct"/>
            <w:vAlign w:val="center"/>
          </w:tcPr>
          <w:p w14:paraId="5BB5BE4F">
            <w:pPr>
              <w:pStyle w:val="278"/>
              <w:adjustRightInd w:val="0"/>
              <w:snapToGrid w:val="0"/>
              <w:spacing w:line="300" w:lineRule="exact"/>
              <w:rPr>
                <w:rFonts w:hint="eastAsia"/>
              </w:rPr>
            </w:pPr>
            <w:r>
              <w:rPr>
                <w:rFonts w:hint="eastAsia"/>
              </w:rPr>
              <w:t>0.01</w:t>
            </w:r>
          </w:p>
        </w:tc>
      </w:tr>
      <w:tr w14:paraId="6C7369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7BACE356">
            <w:pPr>
              <w:pStyle w:val="278"/>
              <w:adjustRightInd w:val="0"/>
              <w:snapToGrid w:val="0"/>
              <w:spacing w:line="300" w:lineRule="exact"/>
              <w:rPr>
                <w:rFonts w:hint="eastAsia"/>
              </w:rPr>
            </w:pPr>
            <w:r>
              <w:rPr>
                <w:rFonts w:hint="eastAsia"/>
              </w:rPr>
              <w:t>1100</w:t>
            </w:r>
          </w:p>
        </w:tc>
        <w:tc>
          <w:tcPr>
            <w:tcW w:w="877" w:type="pct"/>
            <w:noWrap/>
            <w:vAlign w:val="center"/>
          </w:tcPr>
          <w:p w14:paraId="329A5C52">
            <w:pPr>
              <w:pStyle w:val="278"/>
              <w:adjustRightInd w:val="0"/>
              <w:snapToGrid w:val="0"/>
              <w:spacing w:line="300" w:lineRule="exact"/>
              <w:rPr>
                <w:rFonts w:hint="eastAsia"/>
              </w:rPr>
            </w:pPr>
            <w:r>
              <w:rPr>
                <w:rFonts w:hint="eastAsia"/>
              </w:rPr>
              <w:t>0.0627</w:t>
            </w:r>
          </w:p>
        </w:tc>
        <w:tc>
          <w:tcPr>
            <w:tcW w:w="785" w:type="pct"/>
            <w:noWrap/>
            <w:vAlign w:val="center"/>
          </w:tcPr>
          <w:p w14:paraId="66D475DA">
            <w:pPr>
              <w:pStyle w:val="278"/>
              <w:adjustRightInd w:val="0"/>
              <w:snapToGrid w:val="0"/>
              <w:spacing w:line="300" w:lineRule="exact"/>
              <w:rPr>
                <w:rFonts w:hint="eastAsia"/>
              </w:rPr>
            </w:pPr>
            <w:r>
              <w:rPr>
                <w:rFonts w:hint="eastAsia"/>
              </w:rPr>
              <w:t>0.01</w:t>
            </w:r>
          </w:p>
        </w:tc>
        <w:tc>
          <w:tcPr>
            <w:tcW w:w="656" w:type="pct"/>
            <w:vAlign w:val="center"/>
          </w:tcPr>
          <w:p w14:paraId="7FBA11A5">
            <w:pPr>
              <w:pStyle w:val="278"/>
              <w:adjustRightInd w:val="0"/>
              <w:snapToGrid w:val="0"/>
              <w:spacing w:line="300" w:lineRule="exact"/>
              <w:rPr>
                <w:rFonts w:hint="eastAsia"/>
              </w:rPr>
            </w:pPr>
            <w:r>
              <w:rPr>
                <w:rFonts w:hint="eastAsia"/>
              </w:rPr>
              <w:t>0.5975</w:t>
            </w:r>
          </w:p>
        </w:tc>
        <w:tc>
          <w:tcPr>
            <w:tcW w:w="586" w:type="pct"/>
            <w:vAlign w:val="center"/>
          </w:tcPr>
          <w:p w14:paraId="2043E4E6">
            <w:pPr>
              <w:pStyle w:val="278"/>
              <w:adjustRightInd w:val="0"/>
              <w:snapToGrid w:val="0"/>
              <w:spacing w:line="300" w:lineRule="exact"/>
              <w:rPr>
                <w:rFonts w:hint="eastAsia"/>
              </w:rPr>
            </w:pPr>
            <w:r>
              <w:rPr>
                <w:rFonts w:hint="eastAsia"/>
              </w:rPr>
              <w:t>0.24</w:t>
            </w:r>
          </w:p>
        </w:tc>
        <w:tc>
          <w:tcPr>
            <w:tcW w:w="657" w:type="pct"/>
            <w:vAlign w:val="center"/>
          </w:tcPr>
          <w:p w14:paraId="67B10C11">
            <w:pPr>
              <w:pStyle w:val="278"/>
              <w:adjustRightInd w:val="0"/>
              <w:snapToGrid w:val="0"/>
              <w:spacing w:line="300" w:lineRule="exact"/>
              <w:rPr>
                <w:rFonts w:hint="eastAsia"/>
              </w:rPr>
            </w:pPr>
            <w:r>
              <w:rPr>
                <w:rFonts w:hint="eastAsia"/>
              </w:rPr>
              <w:t>0.0468</w:t>
            </w:r>
          </w:p>
        </w:tc>
        <w:tc>
          <w:tcPr>
            <w:tcW w:w="534" w:type="pct"/>
            <w:vAlign w:val="center"/>
          </w:tcPr>
          <w:p w14:paraId="0E28D114">
            <w:pPr>
              <w:pStyle w:val="278"/>
              <w:adjustRightInd w:val="0"/>
              <w:snapToGrid w:val="0"/>
              <w:spacing w:line="300" w:lineRule="exact"/>
              <w:rPr>
                <w:rFonts w:hint="eastAsia"/>
              </w:rPr>
            </w:pPr>
            <w:r>
              <w:rPr>
                <w:rFonts w:hint="eastAsia"/>
              </w:rPr>
              <w:t>0.01</w:t>
            </w:r>
          </w:p>
        </w:tc>
      </w:tr>
      <w:tr w14:paraId="237EB4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297EAC6">
            <w:pPr>
              <w:pStyle w:val="278"/>
              <w:adjustRightInd w:val="0"/>
              <w:snapToGrid w:val="0"/>
              <w:spacing w:line="300" w:lineRule="exact"/>
              <w:rPr>
                <w:rFonts w:hint="eastAsia"/>
              </w:rPr>
            </w:pPr>
            <w:r>
              <w:rPr>
                <w:rFonts w:hint="eastAsia"/>
              </w:rPr>
              <w:t>1200</w:t>
            </w:r>
          </w:p>
        </w:tc>
        <w:tc>
          <w:tcPr>
            <w:tcW w:w="877" w:type="pct"/>
            <w:noWrap/>
            <w:vAlign w:val="center"/>
          </w:tcPr>
          <w:p w14:paraId="39168393">
            <w:pPr>
              <w:pStyle w:val="278"/>
              <w:adjustRightInd w:val="0"/>
              <w:snapToGrid w:val="0"/>
              <w:spacing w:line="300" w:lineRule="exact"/>
              <w:rPr>
                <w:rFonts w:hint="eastAsia"/>
              </w:rPr>
            </w:pPr>
            <w:r>
              <w:rPr>
                <w:rFonts w:hint="eastAsia"/>
              </w:rPr>
              <w:t>0.0599</w:t>
            </w:r>
          </w:p>
        </w:tc>
        <w:tc>
          <w:tcPr>
            <w:tcW w:w="785" w:type="pct"/>
            <w:noWrap/>
            <w:vAlign w:val="center"/>
          </w:tcPr>
          <w:p w14:paraId="2FC2697B">
            <w:pPr>
              <w:pStyle w:val="278"/>
              <w:adjustRightInd w:val="0"/>
              <w:snapToGrid w:val="0"/>
              <w:spacing w:line="300" w:lineRule="exact"/>
              <w:rPr>
                <w:rFonts w:hint="eastAsia"/>
              </w:rPr>
            </w:pPr>
            <w:r>
              <w:rPr>
                <w:rFonts w:hint="eastAsia"/>
              </w:rPr>
              <w:t>0.01</w:t>
            </w:r>
          </w:p>
        </w:tc>
        <w:tc>
          <w:tcPr>
            <w:tcW w:w="656" w:type="pct"/>
            <w:vAlign w:val="center"/>
          </w:tcPr>
          <w:p w14:paraId="50556DAC">
            <w:pPr>
              <w:pStyle w:val="278"/>
              <w:adjustRightInd w:val="0"/>
              <w:snapToGrid w:val="0"/>
              <w:spacing w:line="300" w:lineRule="exact"/>
              <w:rPr>
                <w:rFonts w:hint="eastAsia"/>
              </w:rPr>
            </w:pPr>
            <w:r>
              <w:rPr>
                <w:rFonts w:hint="eastAsia"/>
              </w:rPr>
              <w:t>0.5704</w:t>
            </w:r>
          </w:p>
        </w:tc>
        <w:tc>
          <w:tcPr>
            <w:tcW w:w="586" w:type="pct"/>
            <w:vAlign w:val="center"/>
          </w:tcPr>
          <w:p w14:paraId="785D3F17">
            <w:pPr>
              <w:pStyle w:val="278"/>
              <w:adjustRightInd w:val="0"/>
              <w:snapToGrid w:val="0"/>
              <w:spacing w:line="300" w:lineRule="exact"/>
              <w:rPr>
                <w:rFonts w:hint="eastAsia"/>
              </w:rPr>
            </w:pPr>
            <w:r>
              <w:rPr>
                <w:rFonts w:hint="eastAsia"/>
              </w:rPr>
              <w:t>0.23</w:t>
            </w:r>
          </w:p>
        </w:tc>
        <w:tc>
          <w:tcPr>
            <w:tcW w:w="657" w:type="pct"/>
            <w:vAlign w:val="center"/>
          </w:tcPr>
          <w:p w14:paraId="2C4A4CDE">
            <w:pPr>
              <w:pStyle w:val="278"/>
              <w:adjustRightInd w:val="0"/>
              <w:snapToGrid w:val="0"/>
              <w:spacing w:line="300" w:lineRule="exact"/>
              <w:rPr>
                <w:rFonts w:hint="eastAsia"/>
              </w:rPr>
            </w:pPr>
            <w:r>
              <w:rPr>
                <w:rFonts w:hint="eastAsia"/>
              </w:rPr>
              <w:t>0.0447</w:t>
            </w:r>
          </w:p>
        </w:tc>
        <w:tc>
          <w:tcPr>
            <w:tcW w:w="534" w:type="pct"/>
            <w:vAlign w:val="center"/>
          </w:tcPr>
          <w:p w14:paraId="3973AFB3">
            <w:pPr>
              <w:pStyle w:val="278"/>
              <w:adjustRightInd w:val="0"/>
              <w:snapToGrid w:val="0"/>
              <w:spacing w:line="300" w:lineRule="exact"/>
              <w:rPr>
                <w:rFonts w:hint="eastAsia"/>
              </w:rPr>
            </w:pPr>
            <w:r>
              <w:rPr>
                <w:rFonts w:hint="eastAsia"/>
              </w:rPr>
              <w:t>0.01</w:t>
            </w:r>
          </w:p>
        </w:tc>
      </w:tr>
      <w:tr w14:paraId="278EE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4EE3C433">
            <w:pPr>
              <w:pStyle w:val="278"/>
              <w:adjustRightInd w:val="0"/>
              <w:snapToGrid w:val="0"/>
              <w:spacing w:line="300" w:lineRule="exact"/>
              <w:rPr>
                <w:rFonts w:hint="eastAsia"/>
              </w:rPr>
            </w:pPr>
            <w:r>
              <w:rPr>
                <w:rFonts w:hint="eastAsia"/>
              </w:rPr>
              <w:t>1300</w:t>
            </w:r>
          </w:p>
        </w:tc>
        <w:tc>
          <w:tcPr>
            <w:tcW w:w="877" w:type="pct"/>
            <w:noWrap/>
            <w:vAlign w:val="center"/>
          </w:tcPr>
          <w:p w14:paraId="12EAB837">
            <w:pPr>
              <w:pStyle w:val="278"/>
              <w:adjustRightInd w:val="0"/>
              <w:snapToGrid w:val="0"/>
              <w:spacing w:line="300" w:lineRule="exact"/>
              <w:rPr>
                <w:rFonts w:hint="eastAsia"/>
              </w:rPr>
            </w:pPr>
            <w:r>
              <w:rPr>
                <w:rFonts w:hint="eastAsia"/>
              </w:rPr>
              <w:t>0.0570</w:t>
            </w:r>
          </w:p>
        </w:tc>
        <w:tc>
          <w:tcPr>
            <w:tcW w:w="785" w:type="pct"/>
            <w:noWrap/>
            <w:vAlign w:val="center"/>
          </w:tcPr>
          <w:p w14:paraId="51A9C7BB">
            <w:pPr>
              <w:pStyle w:val="278"/>
              <w:adjustRightInd w:val="0"/>
              <w:snapToGrid w:val="0"/>
              <w:spacing w:line="300" w:lineRule="exact"/>
              <w:rPr>
                <w:rFonts w:hint="eastAsia"/>
              </w:rPr>
            </w:pPr>
            <w:r>
              <w:rPr>
                <w:rFonts w:hint="eastAsia"/>
              </w:rPr>
              <w:t>0.01</w:t>
            </w:r>
          </w:p>
        </w:tc>
        <w:tc>
          <w:tcPr>
            <w:tcW w:w="656" w:type="pct"/>
            <w:vAlign w:val="center"/>
          </w:tcPr>
          <w:p w14:paraId="79604226">
            <w:pPr>
              <w:pStyle w:val="278"/>
              <w:adjustRightInd w:val="0"/>
              <w:snapToGrid w:val="0"/>
              <w:spacing w:line="300" w:lineRule="exact"/>
              <w:rPr>
                <w:rFonts w:hint="eastAsia"/>
              </w:rPr>
            </w:pPr>
            <w:r>
              <w:rPr>
                <w:rFonts w:hint="eastAsia"/>
              </w:rPr>
              <w:t>0.5432</w:t>
            </w:r>
          </w:p>
        </w:tc>
        <w:tc>
          <w:tcPr>
            <w:tcW w:w="586" w:type="pct"/>
            <w:vAlign w:val="center"/>
          </w:tcPr>
          <w:p w14:paraId="7CD69740">
            <w:pPr>
              <w:pStyle w:val="278"/>
              <w:adjustRightInd w:val="0"/>
              <w:snapToGrid w:val="0"/>
              <w:spacing w:line="300" w:lineRule="exact"/>
              <w:rPr>
                <w:rFonts w:hint="eastAsia"/>
              </w:rPr>
            </w:pPr>
            <w:r>
              <w:rPr>
                <w:rFonts w:hint="eastAsia"/>
              </w:rPr>
              <w:t>0.22</w:t>
            </w:r>
          </w:p>
        </w:tc>
        <w:tc>
          <w:tcPr>
            <w:tcW w:w="657" w:type="pct"/>
            <w:vAlign w:val="center"/>
          </w:tcPr>
          <w:p w14:paraId="4F755E5F">
            <w:pPr>
              <w:pStyle w:val="278"/>
              <w:adjustRightInd w:val="0"/>
              <w:snapToGrid w:val="0"/>
              <w:spacing w:line="300" w:lineRule="exact"/>
              <w:rPr>
                <w:rFonts w:hint="eastAsia"/>
              </w:rPr>
            </w:pPr>
            <w:r>
              <w:rPr>
                <w:rFonts w:hint="eastAsia"/>
              </w:rPr>
              <w:t>0.0425</w:t>
            </w:r>
          </w:p>
        </w:tc>
        <w:tc>
          <w:tcPr>
            <w:tcW w:w="534" w:type="pct"/>
            <w:vAlign w:val="center"/>
          </w:tcPr>
          <w:p w14:paraId="64B2408B">
            <w:pPr>
              <w:pStyle w:val="278"/>
              <w:adjustRightInd w:val="0"/>
              <w:snapToGrid w:val="0"/>
              <w:spacing w:line="300" w:lineRule="exact"/>
              <w:rPr>
                <w:rFonts w:hint="eastAsia"/>
              </w:rPr>
            </w:pPr>
            <w:r>
              <w:rPr>
                <w:rFonts w:hint="eastAsia"/>
              </w:rPr>
              <w:t>0.01</w:t>
            </w:r>
          </w:p>
        </w:tc>
      </w:tr>
      <w:tr w14:paraId="4C1060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303A8F16">
            <w:pPr>
              <w:pStyle w:val="278"/>
              <w:adjustRightInd w:val="0"/>
              <w:snapToGrid w:val="0"/>
              <w:spacing w:line="300" w:lineRule="exact"/>
              <w:rPr>
                <w:rFonts w:hint="eastAsia"/>
              </w:rPr>
            </w:pPr>
            <w:r>
              <w:rPr>
                <w:rFonts w:hint="eastAsia"/>
              </w:rPr>
              <w:t>1400</w:t>
            </w:r>
          </w:p>
        </w:tc>
        <w:tc>
          <w:tcPr>
            <w:tcW w:w="877" w:type="pct"/>
            <w:noWrap/>
            <w:vAlign w:val="center"/>
          </w:tcPr>
          <w:p w14:paraId="519015AF">
            <w:pPr>
              <w:pStyle w:val="278"/>
              <w:adjustRightInd w:val="0"/>
              <w:snapToGrid w:val="0"/>
              <w:spacing w:line="300" w:lineRule="exact"/>
              <w:rPr>
                <w:rFonts w:hint="eastAsia"/>
              </w:rPr>
            </w:pPr>
            <w:r>
              <w:rPr>
                <w:rFonts w:hint="eastAsia"/>
              </w:rPr>
              <w:t>0.0542</w:t>
            </w:r>
          </w:p>
        </w:tc>
        <w:tc>
          <w:tcPr>
            <w:tcW w:w="785" w:type="pct"/>
            <w:noWrap/>
            <w:vAlign w:val="center"/>
          </w:tcPr>
          <w:p w14:paraId="1F9CBA7C">
            <w:pPr>
              <w:pStyle w:val="278"/>
              <w:adjustRightInd w:val="0"/>
              <w:snapToGrid w:val="0"/>
              <w:spacing w:line="300" w:lineRule="exact"/>
              <w:rPr>
                <w:rFonts w:hint="eastAsia"/>
              </w:rPr>
            </w:pPr>
            <w:r>
              <w:rPr>
                <w:rFonts w:hint="eastAsia"/>
              </w:rPr>
              <w:t>0.01</w:t>
            </w:r>
          </w:p>
        </w:tc>
        <w:tc>
          <w:tcPr>
            <w:tcW w:w="656" w:type="pct"/>
            <w:vAlign w:val="center"/>
          </w:tcPr>
          <w:p w14:paraId="5AAAEDB4">
            <w:pPr>
              <w:pStyle w:val="278"/>
              <w:adjustRightInd w:val="0"/>
              <w:snapToGrid w:val="0"/>
              <w:spacing w:line="300" w:lineRule="exact"/>
              <w:rPr>
                <w:rFonts w:hint="eastAsia"/>
              </w:rPr>
            </w:pPr>
            <w:r>
              <w:rPr>
                <w:rFonts w:hint="eastAsia"/>
              </w:rPr>
              <w:t>0.5157</w:t>
            </w:r>
          </w:p>
        </w:tc>
        <w:tc>
          <w:tcPr>
            <w:tcW w:w="586" w:type="pct"/>
            <w:vAlign w:val="center"/>
          </w:tcPr>
          <w:p w14:paraId="6A6DF73E">
            <w:pPr>
              <w:pStyle w:val="278"/>
              <w:adjustRightInd w:val="0"/>
              <w:snapToGrid w:val="0"/>
              <w:spacing w:line="300" w:lineRule="exact"/>
              <w:rPr>
                <w:rFonts w:hint="eastAsia"/>
              </w:rPr>
            </w:pPr>
            <w:r>
              <w:rPr>
                <w:rFonts w:hint="eastAsia"/>
              </w:rPr>
              <w:t>0.21</w:t>
            </w:r>
          </w:p>
        </w:tc>
        <w:tc>
          <w:tcPr>
            <w:tcW w:w="657" w:type="pct"/>
            <w:vAlign w:val="center"/>
          </w:tcPr>
          <w:p w14:paraId="17B2F219">
            <w:pPr>
              <w:pStyle w:val="278"/>
              <w:adjustRightInd w:val="0"/>
              <w:snapToGrid w:val="0"/>
              <w:spacing w:line="300" w:lineRule="exact"/>
              <w:rPr>
                <w:rFonts w:hint="eastAsia"/>
              </w:rPr>
            </w:pPr>
            <w:r>
              <w:rPr>
                <w:rFonts w:hint="eastAsia"/>
              </w:rPr>
              <w:t>0.0404</w:t>
            </w:r>
          </w:p>
        </w:tc>
        <w:tc>
          <w:tcPr>
            <w:tcW w:w="534" w:type="pct"/>
            <w:vAlign w:val="center"/>
          </w:tcPr>
          <w:p w14:paraId="46FE6420">
            <w:pPr>
              <w:pStyle w:val="278"/>
              <w:adjustRightInd w:val="0"/>
              <w:snapToGrid w:val="0"/>
              <w:spacing w:line="300" w:lineRule="exact"/>
              <w:rPr>
                <w:rFonts w:hint="eastAsia"/>
              </w:rPr>
            </w:pPr>
            <w:r>
              <w:rPr>
                <w:rFonts w:hint="eastAsia"/>
              </w:rPr>
              <w:t>0.01</w:t>
            </w:r>
          </w:p>
        </w:tc>
      </w:tr>
      <w:tr w14:paraId="42815E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B5B0EF2">
            <w:pPr>
              <w:pStyle w:val="278"/>
              <w:adjustRightInd w:val="0"/>
              <w:snapToGrid w:val="0"/>
              <w:spacing w:line="300" w:lineRule="exact"/>
              <w:rPr>
                <w:rFonts w:hint="eastAsia"/>
              </w:rPr>
            </w:pPr>
            <w:r>
              <w:rPr>
                <w:rFonts w:hint="eastAsia"/>
              </w:rPr>
              <w:t>1500</w:t>
            </w:r>
          </w:p>
        </w:tc>
        <w:tc>
          <w:tcPr>
            <w:tcW w:w="877" w:type="pct"/>
            <w:noWrap/>
            <w:vAlign w:val="center"/>
          </w:tcPr>
          <w:p w14:paraId="5F5911CF">
            <w:pPr>
              <w:pStyle w:val="278"/>
              <w:adjustRightInd w:val="0"/>
              <w:snapToGrid w:val="0"/>
              <w:spacing w:line="300" w:lineRule="exact"/>
              <w:rPr>
                <w:rFonts w:hint="eastAsia"/>
              </w:rPr>
            </w:pPr>
            <w:r>
              <w:rPr>
                <w:rFonts w:hint="eastAsia"/>
              </w:rPr>
              <w:t>0.0537</w:t>
            </w:r>
          </w:p>
        </w:tc>
        <w:tc>
          <w:tcPr>
            <w:tcW w:w="785" w:type="pct"/>
            <w:noWrap/>
            <w:vAlign w:val="center"/>
          </w:tcPr>
          <w:p w14:paraId="770D1F5E">
            <w:pPr>
              <w:pStyle w:val="278"/>
              <w:adjustRightInd w:val="0"/>
              <w:snapToGrid w:val="0"/>
              <w:spacing w:line="300" w:lineRule="exact"/>
              <w:rPr>
                <w:rFonts w:hint="eastAsia"/>
              </w:rPr>
            </w:pPr>
            <w:r>
              <w:rPr>
                <w:rFonts w:hint="eastAsia"/>
              </w:rPr>
              <w:t>0.01</w:t>
            </w:r>
          </w:p>
        </w:tc>
        <w:tc>
          <w:tcPr>
            <w:tcW w:w="656" w:type="pct"/>
            <w:vAlign w:val="center"/>
          </w:tcPr>
          <w:p w14:paraId="4D794BF0">
            <w:pPr>
              <w:pStyle w:val="278"/>
              <w:adjustRightInd w:val="0"/>
              <w:snapToGrid w:val="0"/>
              <w:spacing w:line="300" w:lineRule="exact"/>
              <w:rPr>
                <w:rFonts w:hint="eastAsia"/>
              </w:rPr>
            </w:pPr>
            <w:r>
              <w:rPr>
                <w:rFonts w:hint="eastAsia"/>
              </w:rPr>
              <w:t>0.5117</w:t>
            </w:r>
          </w:p>
        </w:tc>
        <w:tc>
          <w:tcPr>
            <w:tcW w:w="586" w:type="pct"/>
            <w:vAlign w:val="center"/>
          </w:tcPr>
          <w:p w14:paraId="41631A84">
            <w:pPr>
              <w:pStyle w:val="278"/>
              <w:adjustRightInd w:val="0"/>
              <w:snapToGrid w:val="0"/>
              <w:spacing w:line="300" w:lineRule="exact"/>
              <w:rPr>
                <w:rFonts w:hint="eastAsia"/>
              </w:rPr>
            </w:pPr>
            <w:r>
              <w:rPr>
                <w:rFonts w:hint="eastAsia"/>
              </w:rPr>
              <w:t>0.2</w:t>
            </w:r>
          </w:p>
        </w:tc>
        <w:tc>
          <w:tcPr>
            <w:tcW w:w="657" w:type="pct"/>
            <w:vAlign w:val="center"/>
          </w:tcPr>
          <w:p w14:paraId="11FD1C1D">
            <w:pPr>
              <w:pStyle w:val="278"/>
              <w:adjustRightInd w:val="0"/>
              <w:snapToGrid w:val="0"/>
              <w:spacing w:line="300" w:lineRule="exact"/>
              <w:rPr>
                <w:rFonts w:hint="eastAsia"/>
              </w:rPr>
            </w:pPr>
            <w:r>
              <w:rPr>
                <w:rFonts w:hint="eastAsia"/>
              </w:rPr>
              <w:t>0.0401</w:t>
            </w:r>
          </w:p>
        </w:tc>
        <w:tc>
          <w:tcPr>
            <w:tcW w:w="534" w:type="pct"/>
            <w:vAlign w:val="center"/>
          </w:tcPr>
          <w:p w14:paraId="362C3610">
            <w:pPr>
              <w:pStyle w:val="278"/>
              <w:adjustRightInd w:val="0"/>
              <w:snapToGrid w:val="0"/>
              <w:spacing w:line="300" w:lineRule="exact"/>
              <w:rPr>
                <w:rFonts w:hint="eastAsia"/>
              </w:rPr>
            </w:pPr>
            <w:r>
              <w:rPr>
                <w:rFonts w:hint="eastAsia"/>
              </w:rPr>
              <w:t>0.01</w:t>
            </w:r>
          </w:p>
        </w:tc>
      </w:tr>
      <w:tr w14:paraId="29D3AF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78153836">
            <w:pPr>
              <w:pStyle w:val="278"/>
              <w:adjustRightInd w:val="0"/>
              <w:snapToGrid w:val="0"/>
              <w:spacing w:line="300" w:lineRule="exact"/>
              <w:rPr>
                <w:rFonts w:hint="eastAsia"/>
              </w:rPr>
            </w:pPr>
            <w:r>
              <w:rPr>
                <w:rFonts w:hint="eastAsia"/>
              </w:rPr>
              <w:t>1600</w:t>
            </w:r>
          </w:p>
        </w:tc>
        <w:tc>
          <w:tcPr>
            <w:tcW w:w="877" w:type="pct"/>
            <w:noWrap/>
            <w:vAlign w:val="center"/>
          </w:tcPr>
          <w:p w14:paraId="611A6C85">
            <w:pPr>
              <w:pStyle w:val="278"/>
              <w:adjustRightInd w:val="0"/>
              <w:snapToGrid w:val="0"/>
              <w:spacing w:line="300" w:lineRule="exact"/>
              <w:rPr>
                <w:rFonts w:hint="eastAsia"/>
              </w:rPr>
            </w:pPr>
            <w:r>
              <w:rPr>
                <w:rFonts w:hint="eastAsia"/>
              </w:rPr>
              <w:t>0.0546</w:t>
            </w:r>
          </w:p>
        </w:tc>
        <w:tc>
          <w:tcPr>
            <w:tcW w:w="785" w:type="pct"/>
            <w:noWrap/>
            <w:vAlign w:val="center"/>
          </w:tcPr>
          <w:p w14:paraId="4DC222BA">
            <w:pPr>
              <w:pStyle w:val="278"/>
              <w:adjustRightInd w:val="0"/>
              <w:snapToGrid w:val="0"/>
              <w:spacing w:line="300" w:lineRule="exact"/>
              <w:rPr>
                <w:rFonts w:hint="eastAsia"/>
              </w:rPr>
            </w:pPr>
            <w:r>
              <w:rPr>
                <w:rFonts w:hint="eastAsia"/>
              </w:rPr>
              <w:t>0.01</w:t>
            </w:r>
          </w:p>
        </w:tc>
        <w:tc>
          <w:tcPr>
            <w:tcW w:w="656" w:type="pct"/>
            <w:vAlign w:val="center"/>
          </w:tcPr>
          <w:p w14:paraId="2BBB0F71">
            <w:pPr>
              <w:pStyle w:val="278"/>
              <w:adjustRightInd w:val="0"/>
              <w:snapToGrid w:val="0"/>
              <w:spacing w:line="300" w:lineRule="exact"/>
              <w:rPr>
                <w:rFonts w:hint="eastAsia"/>
              </w:rPr>
            </w:pPr>
            <w:r>
              <w:rPr>
                <w:rFonts w:hint="eastAsia"/>
              </w:rPr>
              <w:t>0.5204</w:t>
            </w:r>
          </w:p>
        </w:tc>
        <w:tc>
          <w:tcPr>
            <w:tcW w:w="586" w:type="pct"/>
            <w:vAlign w:val="center"/>
          </w:tcPr>
          <w:p w14:paraId="424C1BAC">
            <w:pPr>
              <w:pStyle w:val="278"/>
              <w:adjustRightInd w:val="0"/>
              <w:snapToGrid w:val="0"/>
              <w:spacing w:line="300" w:lineRule="exact"/>
              <w:rPr>
                <w:rFonts w:hint="eastAsia"/>
              </w:rPr>
            </w:pPr>
            <w:r>
              <w:rPr>
                <w:rFonts w:hint="eastAsia"/>
              </w:rPr>
              <w:t>0.21</w:t>
            </w:r>
          </w:p>
        </w:tc>
        <w:tc>
          <w:tcPr>
            <w:tcW w:w="657" w:type="pct"/>
            <w:vAlign w:val="center"/>
          </w:tcPr>
          <w:p w14:paraId="7CCE631B">
            <w:pPr>
              <w:pStyle w:val="278"/>
              <w:adjustRightInd w:val="0"/>
              <w:snapToGrid w:val="0"/>
              <w:spacing w:line="300" w:lineRule="exact"/>
              <w:rPr>
                <w:rFonts w:hint="eastAsia"/>
              </w:rPr>
            </w:pPr>
            <w:r>
              <w:rPr>
                <w:rFonts w:hint="eastAsia"/>
              </w:rPr>
              <w:t>0.0408</w:t>
            </w:r>
          </w:p>
        </w:tc>
        <w:tc>
          <w:tcPr>
            <w:tcW w:w="534" w:type="pct"/>
            <w:vAlign w:val="center"/>
          </w:tcPr>
          <w:p w14:paraId="14BD09E8">
            <w:pPr>
              <w:pStyle w:val="278"/>
              <w:adjustRightInd w:val="0"/>
              <w:snapToGrid w:val="0"/>
              <w:spacing w:line="300" w:lineRule="exact"/>
              <w:rPr>
                <w:rFonts w:hint="eastAsia"/>
              </w:rPr>
            </w:pPr>
            <w:r>
              <w:rPr>
                <w:rFonts w:hint="eastAsia"/>
              </w:rPr>
              <w:t>0.01</w:t>
            </w:r>
          </w:p>
        </w:tc>
      </w:tr>
      <w:tr w14:paraId="4EC5E7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38F8D58B">
            <w:pPr>
              <w:pStyle w:val="278"/>
              <w:adjustRightInd w:val="0"/>
              <w:snapToGrid w:val="0"/>
              <w:spacing w:line="300" w:lineRule="exact"/>
              <w:rPr>
                <w:rFonts w:hint="eastAsia"/>
              </w:rPr>
            </w:pPr>
            <w:r>
              <w:rPr>
                <w:rFonts w:hint="eastAsia"/>
              </w:rPr>
              <w:t>1700</w:t>
            </w:r>
          </w:p>
        </w:tc>
        <w:tc>
          <w:tcPr>
            <w:tcW w:w="877" w:type="pct"/>
            <w:noWrap/>
            <w:vAlign w:val="center"/>
          </w:tcPr>
          <w:p w14:paraId="3D2514A8">
            <w:pPr>
              <w:pStyle w:val="278"/>
              <w:adjustRightInd w:val="0"/>
              <w:snapToGrid w:val="0"/>
              <w:spacing w:line="300" w:lineRule="exact"/>
              <w:rPr>
                <w:rFonts w:hint="eastAsia"/>
              </w:rPr>
            </w:pPr>
            <w:r>
              <w:rPr>
                <w:rFonts w:hint="eastAsia"/>
              </w:rPr>
              <w:t>0.0544</w:t>
            </w:r>
          </w:p>
        </w:tc>
        <w:tc>
          <w:tcPr>
            <w:tcW w:w="785" w:type="pct"/>
            <w:noWrap/>
            <w:vAlign w:val="center"/>
          </w:tcPr>
          <w:p w14:paraId="52963EBB">
            <w:pPr>
              <w:pStyle w:val="278"/>
              <w:adjustRightInd w:val="0"/>
              <w:snapToGrid w:val="0"/>
              <w:spacing w:line="300" w:lineRule="exact"/>
              <w:rPr>
                <w:rFonts w:hint="eastAsia"/>
              </w:rPr>
            </w:pPr>
            <w:r>
              <w:rPr>
                <w:rFonts w:hint="eastAsia"/>
              </w:rPr>
              <w:t>0.01</w:t>
            </w:r>
          </w:p>
        </w:tc>
        <w:tc>
          <w:tcPr>
            <w:tcW w:w="656" w:type="pct"/>
            <w:vAlign w:val="center"/>
          </w:tcPr>
          <w:p w14:paraId="68F173A2">
            <w:pPr>
              <w:pStyle w:val="278"/>
              <w:adjustRightInd w:val="0"/>
              <w:snapToGrid w:val="0"/>
              <w:spacing w:line="300" w:lineRule="exact"/>
              <w:rPr>
                <w:rFonts w:hint="eastAsia"/>
              </w:rPr>
            </w:pPr>
            <w:r>
              <w:rPr>
                <w:rFonts w:hint="eastAsia"/>
              </w:rPr>
              <w:t>0.5179</w:t>
            </w:r>
          </w:p>
        </w:tc>
        <w:tc>
          <w:tcPr>
            <w:tcW w:w="586" w:type="pct"/>
            <w:vAlign w:val="center"/>
          </w:tcPr>
          <w:p w14:paraId="11EDF6AE">
            <w:pPr>
              <w:pStyle w:val="278"/>
              <w:adjustRightInd w:val="0"/>
              <w:snapToGrid w:val="0"/>
              <w:spacing w:line="300" w:lineRule="exact"/>
              <w:rPr>
                <w:rFonts w:hint="eastAsia"/>
              </w:rPr>
            </w:pPr>
            <w:r>
              <w:rPr>
                <w:rFonts w:hint="eastAsia"/>
              </w:rPr>
              <w:t>0.21</w:t>
            </w:r>
          </w:p>
        </w:tc>
        <w:tc>
          <w:tcPr>
            <w:tcW w:w="657" w:type="pct"/>
            <w:vAlign w:val="center"/>
          </w:tcPr>
          <w:p w14:paraId="711D291B">
            <w:pPr>
              <w:pStyle w:val="278"/>
              <w:adjustRightInd w:val="0"/>
              <w:snapToGrid w:val="0"/>
              <w:spacing w:line="300" w:lineRule="exact"/>
              <w:rPr>
                <w:rFonts w:hint="eastAsia"/>
              </w:rPr>
            </w:pPr>
            <w:r>
              <w:rPr>
                <w:rFonts w:hint="eastAsia"/>
              </w:rPr>
              <w:t>0.0406</w:t>
            </w:r>
          </w:p>
        </w:tc>
        <w:tc>
          <w:tcPr>
            <w:tcW w:w="534" w:type="pct"/>
            <w:vAlign w:val="center"/>
          </w:tcPr>
          <w:p w14:paraId="06BEDDFC">
            <w:pPr>
              <w:pStyle w:val="278"/>
              <w:adjustRightInd w:val="0"/>
              <w:snapToGrid w:val="0"/>
              <w:spacing w:line="300" w:lineRule="exact"/>
              <w:rPr>
                <w:rFonts w:hint="eastAsia"/>
              </w:rPr>
            </w:pPr>
            <w:r>
              <w:rPr>
                <w:rFonts w:hint="eastAsia"/>
              </w:rPr>
              <w:t>0.01</w:t>
            </w:r>
          </w:p>
        </w:tc>
      </w:tr>
      <w:tr w14:paraId="69A708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1953BDEB">
            <w:pPr>
              <w:pStyle w:val="278"/>
              <w:adjustRightInd w:val="0"/>
              <w:snapToGrid w:val="0"/>
              <w:spacing w:line="300" w:lineRule="exact"/>
              <w:rPr>
                <w:rFonts w:hint="eastAsia"/>
              </w:rPr>
            </w:pPr>
            <w:r>
              <w:rPr>
                <w:rFonts w:hint="eastAsia"/>
              </w:rPr>
              <w:t>1800</w:t>
            </w:r>
          </w:p>
        </w:tc>
        <w:tc>
          <w:tcPr>
            <w:tcW w:w="877" w:type="pct"/>
            <w:noWrap/>
            <w:vAlign w:val="center"/>
          </w:tcPr>
          <w:p w14:paraId="3CA99D37">
            <w:pPr>
              <w:pStyle w:val="278"/>
              <w:adjustRightInd w:val="0"/>
              <w:snapToGrid w:val="0"/>
              <w:spacing w:line="300" w:lineRule="exact"/>
              <w:rPr>
                <w:rFonts w:hint="eastAsia"/>
              </w:rPr>
            </w:pPr>
            <w:r>
              <w:rPr>
                <w:rFonts w:hint="eastAsia"/>
              </w:rPr>
              <w:t>0.0534</w:t>
            </w:r>
          </w:p>
        </w:tc>
        <w:tc>
          <w:tcPr>
            <w:tcW w:w="785" w:type="pct"/>
            <w:noWrap/>
            <w:vAlign w:val="center"/>
          </w:tcPr>
          <w:p w14:paraId="52010D56">
            <w:pPr>
              <w:pStyle w:val="278"/>
              <w:adjustRightInd w:val="0"/>
              <w:snapToGrid w:val="0"/>
              <w:spacing w:line="300" w:lineRule="exact"/>
              <w:rPr>
                <w:rFonts w:hint="eastAsia"/>
              </w:rPr>
            </w:pPr>
            <w:r>
              <w:rPr>
                <w:rFonts w:hint="eastAsia"/>
              </w:rPr>
              <w:t>0.01</w:t>
            </w:r>
          </w:p>
        </w:tc>
        <w:tc>
          <w:tcPr>
            <w:tcW w:w="656" w:type="pct"/>
            <w:vAlign w:val="center"/>
          </w:tcPr>
          <w:p w14:paraId="0D698B97">
            <w:pPr>
              <w:pStyle w:val="278"/>
              <w:adjustRightInd w:val="0"/>
              <w:snapToGrid w:val="0"/>
              <w:spacing w:line="300" w:lineRule="exact"/>
              <w:rPr>
                <w:rFonts w:hint="eastAsia"/>
              </w:rPr>
            </w:pPr>
            <w:r>
              <w:rPr>
                <w:rFonts w:hint="eastAsia"/>
              </w:rPr>
              <w:t>0.5084</w:t>
            </w:r>
          </w:p>
        </w:tc>
        <w:tc>
          <w:tcPr>
            <w:tcW w:w="586" w:type="pct"/>
            <w:vAlign w:val="center"/>
          </w:tcPr>
          <w:p w14:paraId="251CD030">
            <w:pPr>
              <w:pStyle w:val="278"/>
              <w:adjustRightInd w:val="0"/>
              <w:snapToGrid w:val="0"/>
              <w:spacing w:line="300" w:lineRule="exact"/>
              <w:rPr>
                <w:rFonts w:hint="eastAsia"/>
              </w:rPr>
            </w:pPr>
            <w:r>
              <w:rPr>
                <w:rFonts w:hint="eastAsia"/>
              </w:rPr>
              <w:t>0.2</w:t>
            </w:r>
          </w:p>
        </w:tc>
        <w:tc>
          <w:tcPr>
            <w:tcW w:w="657" w:type="pct"/>
            <w:vAlign w:val="center"/>
          </w:tcPr>
          <w:p w14:paraId="5D6B7AFB">
            <w:pPr>
              <w:pStyle w:val="278"/>
              <w:adjustRightInd w:val="0"/>
              <w:snapToGrid w:val="0"/>
              <w:spacing w:line="300" w:lineRule="exact"/>
              <w:rPr>
                <w:rFonts w:hint="eastAsia"/>
              </w:rPr>
            </w:pPr>
            <w:r>
              <w:rPr>
                <w:rFonts w:hint="eastAsia"/>
              </w:rPr>
              <w:t>0.0398</w:t>
            </w:r>
          </w:p>
        </w:tc>
        <w:tc>
          <w:tcPr>
            <w:tcW w:w="534" w:type="pct"/>
            <w:vAlign w:val="center"/>
          </w:tcPr>
          <w:p w14:paraId="7F59DC33">
            <w:pPr>
              <w:pStyle w:val="278"/>
              <w:adjustRightInd w:val="0"/>
              <w:snapToGrid w:val="0"/>
              <w:spacing w:line="300" w:lineRule="exact"/>
              <w:rPr>
                <w:rFonts w:hint="eastAsia"/>
              </w:rPr>
            </w:pPr>
            <w:r>
              <w:rPr>
                <w:rFonts w:hint="eastAsia"/>
              </w:rPr>
              <w:t>0.01</w:t>
            </w:r>
          </w:p>
        </w:tc>
      </w:tr>
      <w:tr w14:paraId="61AFA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4810BFC1">
            <w:pPr>
              <w:pStyle w:val="278"/>
              <w:adjustRightInd w:val="0"/>
              <w:snapToGrid w:val="0"/>
              <w:spacing w:line="300" w:lineRule="exact"/>
              <w:rPr>
                <w:rFonts w:hint="eastAsia"/>
              </w:rPr>
            </w:pPr>
            <w:r>
              <w:rPr>
                <w:rFonts w:hint="eastAsia"/>
              </w:rPr>
              <w:t>1900</w:t>
            </w:r>
          </w:p>
        </w:tc>
        <w:tc>
          <w:tcPr>
            <w:tcW w:w="877" w:type="pct"/>
            <w:noWrap/>
            <w:vAlign w:val="center"/>
          </w:tcPr>
          <w:p w14:paraId="459933E4">
            <w:pPr>
              <w:pStyle w:val="278"/>
              <w:adjustRightInd w:val="0"/>
              <w:snapToGrid w:val="0"/>
              <w:spacing w:line="300" w:lineRule="exact"/>
              <w:rPr>
                <w:rFonts w:hint="eastAsia"/>
              </w:rPr>
            </w:pPr>
            <w:r>
              <w:rPr>
                <w:rFonts w:hint="eastAsia"/>
              </w:rPr>
              <w:t>0.0526</w:t>
            </w:r>
          </w:p>
        </w:tc>
        <w:tc>
          <w:tcPr>
            <w:tcW w:w="785" w:type="pct"/>
            <w:noWrap/>
            <w:vAlign w:val="center"/>
          </w:tcPr>
          <w:p w14:paraId="2168976F">
            <w:pPr>
              <w:pStyle w:val="278"/>
              <w:adjustRightInd w:val="0"/>
              <w:snapToGrid w:val="0"/>
              <w:spacing w:line="300" w:lineRule="exact"/>
              <w:rPr>
                <w:rFonts w:hint="eastAsia"/>
              </w:rPr>
            </w:pPr>
            <w:r>
              <w:rPr>
                <w:rFonts w:hint="eastAsia"/>
              </w:rPr>
              <w:t>0.01</w:t>
            </w:r>
          </w:p>
        </w:tc>
        <w:tc>
          <w:tcPr>
            <w:tcW w:w="656" w:type="pct"/>
            <w:vAlign w:val="center"/>
          </w:tcPr>
          <w:p w14:paraId="44863C7D">
            <w:pPr>
              <w:pStyle w:val="278"/>
              <w:adjustRightInd w:val="0"/>
              <w:snapToGrid w:val="0"/>
              <w:spacing w:line="300" w:lineRule="exact"/>
              <w:rPr>
                <w:rFonts w:hint="eastAsia"/>
              </w:rPr>
            </w:pPr>
            <w:r>
              <w:rPr>
                <w:rFonts w:hint="eastAsia"/>
              </w:rPr>
              <w:t>0.5005</w:t>
            </w:r>
          </w:p>
        </w:tc>
        <w:tc>
          <w:tcPr>
            <w:tcW w:w="586" w:type="pct"/>
            <w:vAlign w:val="center"/>
          </w:tcPr>
          <w:p w14:paraId="6CCB65F8">
            <w:pPr>
              <w:pStyle w:val="278"/>
              <w:adjustRightInd w:val="0"/>
              <w:snapToGrid w:val="0"/>
              <w:spacing w:line="300" w:lineRule="exact"/>
              <w:rPr>
                <w:rFonts w:hint="eastAsia"/>
              </w:rPr>
            </w:pPr>
            <w:r>
              <w:rPr>
                <w:rFonts w:hint="eastAsia"/>
              </w:rPr>
              <w:t>0.2</w:t>
            </w:r>
          </w:p>
        </w:tc>
        <w:tc>
          <w:tcPr>
            <w:tcW w:w="657" w:type="pct"/>
            <w:vAlign w:val="center"/>
          </w:tcPr>
          <w:p w14:paraId="5213BDC6">
            <w:pPr>
              <w:pStyle w:val="278"/>
              <w:adjustRightInd w:val="0"/>
              <w:snapToGrid w:val="0"/>
              <w:spacing w:line="300" w:lineRule="exact"/>
              <w:rPr>
                <w:rFonts w:hint="eastAsia"/>
              </w:rPr>
            </w:pPr>
            <w:r>
              <w:rPr>
                <w:rFonts w:hint="eastAsia"/>
              </w:rPr>
              <w:t>0.0392</w:t>
            </w:r>
          </w:p>
        </w:tc>
        <w:tc>
          <w:tcPr>
            <w:tcW w:w="534" w:type="pct"/>
            <w:vAlign w:val="center"/>
          </w:tcPr>
          <w:p w14:paraId="5A64374F">
            <w:pPr>
              <w:pStyle w:val="278"/>
              <w:adjustRightInd w:val="0"/>
              <w:snapToGrid w:val="0"/>
              <w:spacing w:line="300" w:lineRule="exact"/>
              <w:rPr>
                <w:rFonts w:hint="eastAsia"/>
              </w:rPr>
            </w:pPr>
            <w:r>
              <w:rPr>
                <w:rFonts w:hint="eastAsia"/>
              </w:rPr>
              <w:t>0.01</w:t>
            </w:r>
          </w:p>
        </w:tc>
      </w:tr>
      <w:tr w14:paraId="3E6FE3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AE3B8B8">
            <w:pPr>
              <w:pStyle w:val="278"/>
              <w:adjustRightInd w:val="0"/>
              <w:snapToGrid w:val="0"/>
              <w:spacing w:line="300" w:lineRule="exact"/>
              <w:rPr>
                <w:rFonts w:hint="eastAsia"/>
              </w:rPr>
            </w:pPr>
            <w:r>
              <w:rPr>
                <w:rFonts w:hint="eastAsia"/>
              </w:rPr>
              <w:t>2000</w:t>
            </w:r>
          </w:p>
        </w:tc>
        <w:tc>
          <w:tcPr>
            <w:tcW w:w="877" w:type="pct"/>
            <w:noWrap/>
            <w:vAlign w:val="center"/>
          </w:tcPr>
          <w:p w14:paraId="7D323B17">
            <w:pPr>
              <w:pStyle w:val="278"/>
              <w:adjustRightInd w:val="0"/>
              <w:snapToGrid w:val="0"/>
              <w:spacing w:line="300" w:lineRule="exact"/>
              <w:rPr>
                <w:rFonts w:hint="eastAsia"/>
              </w:rPr>
            </w:pPr>
            <w:r>
              <w:rPr>
                <w:rFonts w:hint="eastAsia"/>
              </w:rPr>
              <w:t>0.0523</w:t>
            </w:r>
          </w:p>
        </w:tc>
        <w:tc>
          <w:tcPr>
            <w:tcW w:w="785" w:type="pct"/>
            <w:noWrap/>
            <w:vAlign w:val="center"/>
          </w:tcPr>
          <w:p w14:paraId="0B11CFCE">
            <w:pPr>
              <w:pStyle w:val="278"/>
              <w:adjustRightInd w:val="0"/>
              <w:snapToGrid w:val="0"/>
              <w:spacing w:line="300" w:lineRule="exact"/>
              <w:rPr>
                <w:rFonts w:hint="eastAsia"/>
              </w:rPr>
            </w:pPr>
            <w:r>
              <w:rPr>
                <w:rFonts w:hint="eastAsia"/>
              </w:rPr>
              <w:t>0.01</w:t>
            </w:r>
          </w:p>
        </w:tc>
        <w:tc>
          <w:tcPr>
            <w:tcW w:w="656" w:type="pct"/>
            <w:vAlign w:val="center"/>
          </w:tcPr>
          <w:p w14:paraId="455DBB6C">
            <w:pPr>
              <w:pStyle w:val="278"/>
              <w:adjustRightInd w:val="0"/>
              <w:snapToGrid w:val="0"/>
              <w:spacing w:line="300" w:lineRule="exact"/>
              <w:rPr>
                <w:rFonts w:hint="eastAsia"/>
              </w:rPr>
            </w:pPr>
            <w:r>
              <w:rPr>
                <w:rFonts w:hint="eastAsia"/>
              </w:rPr>
              <w:t>0.4984</w:t>
            </w:r>
          </w:p>
        </w:tc>
        <w:tc>
          <w:tcPr>
            <w:tcW w:w="586" w:type="pct"/>
            <w:vAlign w:val="center"/>
          </w:tcPr>
          <w:p w14:paraId="37EBF0CE">
            <w:pPr>
              <w:pStyle w:val="278"/>
              <w:adjustRightInd w:val="0"/>
              <w:snapToGrid w:val="0"/>
              <w:spacing w:line="300" w:lineRule="exact"/>
              <w:rPr>
                <w:rFonts w:hint="eastAsia"/>
              </w:rPr>
            </w:pPr>
            <w:r>
              <w:rPr>
                <w:rFonts w:hint="eastAsia"/>
              </w:rPr>
              <w:t>0.2</w:t>
            </w:r>
          </w:p>
        </w:tc>
        <w:tc>
          <w:tcPr>
            <w:tcW w:w="657" w:type="pct"/>
            <w:vAlign w:val="center"/>
          </w:tcPr>
          <w:p w14:paraId="7181EF1E">
            <w:pPr>
              <w:pStyle w:val="278"/>
              <w:adjustRightInd w:val="0"/>
              <w:snapToGrid w:val="0"/>
              <w:spacing w:line="300" w:lineRule="exact"/>
              <w:rPr>
                <w:rFonts w:hint="eastAsia"/>
              </w:rPr>
            </w:pPr>
            <w:r>
              <w:rPr>
                <w:rFonts w:hint="eastAsia"/>
              </w:rPr>
              <w:t>0.0390</w:t>
            </w:r>
          </w:p>
        </w:tc>
        <w:tc>
          <w:tcPr>
            <w:tcW w:w="534" w:type="pct"/>
            <w:vAlign w:val="center"/>
          </w:tcPr>
          <w:p w14:paraId="20BF3B66">
            <w:pPr>
              <w:pStyle w:val="278"/>
              <w:adjustRightInd w:val="0"/>
              <w:snapToGrid w:val="0"/>
              <w:spacing w:line="300" w:lineRule="exact"/>
              <w:rPr>
                <w:rFonts w:hint="eastAsia"/>
              </w:rPr>
            </w:pPr>
            <w:r>
              <w:rPr>
                <w:rFonts w:hint="eastAsia"/>
              </w:rPr>
              <w:t>0.01</w:t>
            </w:r>
          </w:p>
        </w:tc>
      </w:tr>
      <w:tr w14:paraId="7D503B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6568DE6C">
            <w:pPr>
              <w:pStyle w:val="278"/>
              <w:adjustRightInd w:val="0"/>
              <w:snapToGrid w:val="0"/>
              <w:spacing w:line="300" w:lineRule="exact"/>
              <w:rPr>
                <w:rFonts w:hint="eastAsia"/>
              </w:rPr>
            </w:pPr>
            <w:r>
              <w:rPr>
                <w:rFonts w:hint="eastAsia"/>
              </w:rPr>
              <w:t>2100</w:t>
            </w:r>
          </w:p>
        </w:tc>
        <w:tc>
          <w:tcPr>
            <w:tcW w:w="877" w:type="pct"/>
            <w:noWrap/>
            <w:vAlign w:val="center"/>
          </w:tcPr>
          <w:p w14:paraId="0329BDFD">
            <w:pPr>
              <w:pStyle w:val="278"/>
              <w:adjustRightInd w:val="0"/>
              <w:snapToGrid w:val="0"/>
              <w:spacing w:line="300" w:lineRule="exact"/>
              <w:rPr>
                <w:rFonts w:hint="eastAsia"/>
              </w:rPr>
            </w:pPr>
            <w:r>
              <w:rPr>
                <w:rFonts w:hint="eastAsia"/>
              </w:rPr>
              <w:t>0.0514</w:t>
            </w:r>
          </w:p>
        </w:tc>
        <w:tc>
          <w:tcPr>
            <w:tcW w:w="785" w:type="pct"/>
            <w:noWrap/>
            <w:vAlign w:val="center"/>
          </w:tcPr>
          <w:p w14:paraId="736A43D6">
            <w:pPr>
              <w:pStyle w:val="278"/>
              <w:adjustRightInd w:val="0"/>
              <w:snapToGrid w:val="0"/>
              <w:spacing w:line="300" w:lineRule="exact"/>
              <w:rPr>
                <w:rFonts w:hint="eastAsia"/>
              </w:rPr>
            </w:pPr>
            <w:r>
              <w:rPr>
                <w:rFonts w:hint="eastAsia"/>
              </w:rPr>
              <w:t>0.01</w:t>
            </w:r>
          </w:p>
        </w:tc>
        <w:tc>
          <w:tcPr>
            <w:tcW w:w="656" w:type="pct"/>
            <w:vAlign w:val="center"/>
          </w:tcPr>
          <w:p w14:paraId="4EB95A09">
            <w:pPr>
              <w:pStyle w:val="278"/>
              <w:adjustRightInd w:val="0"/>
              <w:snapToGrid w:val="0"/>
              <w:spacing w:line="300" w:lineRule="exact"/>
              <w:rPr>
                <w:rFonts w:hint="eastAsia"/>
              </w:rPr>
            </w:pPr>
            <w:r>
              <w:rPr>
                <w:rFonts w:hint="eastAsia"/>
              </w:rPr>
              <w:t>0.4894</w:t>
            </w:r>
          </w:p>
        </w:tc>
        <w:tc>
          <w:tcPr>
            <w:tcW w:w="586" w:type="pct"/>
            <w:vAlign w:val="center"/>
          </w:tcPr>
          <w:p w14:paraId="37BFEE67">
            <w:pPr>
              <w:pStyle w:val="278"/>
              <w:adjustRightInd w:val="0"/>
              <w:snapToGrid w:val="0"/>
              <w:spacing w:line="300" w:lineRule="exact"/>
              <w:rPr>
                <w:rFonts w:hint="eastAsia"/>
              </w:rPr>
            </w:pPr>
            <w:r>
              <w:rPr>
                <w:rFonts w:hint="eastAsia"/>
              </w:rPr>
              <w:t>0.2</w:t>
            </w:r>
          </w:p>
        </w:tc>
        <w:tc>
          <w:tcPr>
            <w:tcW w:w="657" w:type="pct"/>
            <w:vAlign w:val="center"/>
          </w:tcPr>
          <w:p w14:paraId="5929A4CE">
            <w:pPr>
              <w:pStyle w:val="278"/>
              <w:adjustRightInd w:val="0"/>
              <w:snapToGrid w:val="0"/>
              <w:spacing w:line="300" w:lineRule="exact"/>
              <w:rPr>
                <w:rFonts w:hint="eastAsia"/>
              </w:rPr>
            </w:pPr>
            <w:r>
              <w:rPr>
                <w:rFonts w:hint="eastAsia"/>
              </w:rPr>
              <w:t>0.0383</w:t>
            </w:r>
          </w:p>
        </w:tc>
        <w:tc>
          <w:tcPr>
            <w:tcW w:w="534" w:type="pct"/>
            <w:vAlign w:val="center"/>
          </w:tcPr>
          <w:p w14:paraId="2DA4664D">
            <w:pPr>
              <w:pStyle w:val="278"/>
              <w:adjustRightInd w:val="0"/>
              <w:snapToGrid w:val="0"/>
              <w:spacing w:line="300" w:lineRule="exact"/>
              <w:rPr>
                <w:rFonts w:hint="eastAsia"/>
              </w:rPr>
            </w:pPr>
            <w:r>
              <w:rPr>
                <w:rFonts w:hint="eastAsia"/>
              </w:rPr>
              <w:t>0.01</w:t>
            </w:r>
          </w:p>
        </w:tc>
      </w:tr>
      <w:tr w14:paraId="44DB47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09F95F2C">
            <w:pPr>
              <w:pStyle w:val="278"/>
              <w:adjustRightInd w:val="0"/>
              <w:snapToGrid w:val="0"/>
              <w:spacing w:line="300" w:lineRule="exact"/>
              <w:rPr>
                <w:rFonts w:hint="eastAsia"/>
              </w:rPr>
            </w:pPr>
            <w:r>
              <w:rPr>
                <w:rFonts w:hint="eastAsia"/>
              </w:rPr>
              <w:t>2200</w:t>
            </w:r>
          </w:p>
        </w:tc>
        <w:tc>
          <w:tcPr>
            <w:tcW w:w="877" w:type="pct"/>
            <w:noWrap/>
            <w:vAlign w:val="center"/>
          </w:tcPr>
          <w:p w14:paraId="3EC4C9F7">
            <w:pPr>
              <w:pStyle w:val="278"/>
              <w:adjustRightInd w:val="0"/>
              <w:snapToGrid w:val="0"/>
              <w:spacing w:line="300" w:lineRule="exact"/>
              <w:rPr>
                <w:rFonts w:hint="eastAsia"/>
              </w:rPr>
            </w:pPr>
            <w:r>
              <w:rPr>
                <w:rFonts w:hint="eastAsia"/>
              </w:rPr>
              <w:t>0.0504</w:t>
            </w:r>
          </w:p>
        </w:tc>
        <w:tc>
          <w:tcPr>
            <w:tcW w:w="785" w:type="pct"/>
            <w:noWrap/>
            <w:vAlign w:val="center"/>
          </w:tcPr>
          <w:p w14:paraId="1E84DE4D">
            <w:pPr>
              <w:pStyle w:val="278"/>
              <w:adjustRightInd w:val="0"/>
              <w:snapToGrid w:val="0"/>
              <w:spacing w:line="300" w:lineRule="exact"/>
              <w:rPr>
                <w:rFonts w:hint="eastAsia"/>
              </w:rPr>
            </w:pPr>
            <w:r>
              <w:rPr>
                <w:rFonts w:hint="eastAsia"/>
              </w:rPr>
              <w:t>0.01</w:t>
            </w:r>
          </w:p>
        </w:tc>
        <w:tc>
          <w:tcPr>
            <w:tcW w:w="656" w:type="pct"/>
            <w:vAlign w:val="center"/>
          </w:tcPr>
          <w:p w14:paraId="6A50F415">
            <w:pPr>
              <w:pStyle w:val="278"/>
              <w:adjustRightInd w:val="0"/>
              <w:snapToGrid w:val="0"/>
              <w:spacing w:line="300" w:lineRule="exact"/>
              <w:rPr>
                <w:rFonts w:hint="eastAsia"/>
              </w:rPr>
            </w:pPr>
            <w:r>
              <w:rPr>
                <w:rFonts w:hint="eastAsia"/>
              </w:rPr>
              <w:t>0.4798</w:t>
            </w:r>
          </w:p>
        </w:tc>
        <w:tc>
          <w:tcPr>
            <w:tcW w:w="586" w:type="pct"/>
            <w:vAlign w:val="center"/>
          </w:tcPr>
          <w:p w14:paraId="3EB0A7BD">
            <w:pPr>
              <w:pStyle w:val="278"/>
              <w:adjustRightInd w:val="0"/>
              <w:snapToGrid w:val="0"/>
              <w:spacing w:line="300" w:lineRule="exact"/>
              <w:rPr>
                <w:rFonts w:hint="eastAsia"/>
              </w:rPr>
            </w:pPr>
            <w:r>
              <w:rPr>
                <w:rFonts w:hint="eastAsia"/>
              </w:rPr>
              <w:t>0.19</w:t>
            </w:r>
          </w:p>
        </w:tc>
        <w:tc>
          <w:tcPr>
            <w:tcW w:w="657" w:type="pct"/>
            <w:vAlign w:val="center"/>
          </w:tcPr>
          <w:p w14:paraId="1A1FDCE6">
            <w:pPr>
              <w:pStyle w:val="278"/>
              <w:adjustRightInd w:val="0"/>
              <w:snapToGrid w:val="0"/>
              <w:spacing w:line="300" w:lineRule="exact"/>
              <w:rPr>
                <w:rFonts w:hint="eastAsia"/>
              </w:rPr>
            </w:pPr>
            <w:r>
              <w:rPr>
                <w:rFonts w:hint="eastAsia"/>
              </w:rPr>
              <w:t>0.0376</w:t>
            </w:r>
          </w:p>
        </w:tc>
        <w:tc>
          <w:tcPr>
            <w:tcW w:w="534" w:type="pct"/>
            <w:vAlign w:val="center"/>
          </w:tcPr>
          <w:p w14:paraId="536A11DC">
            <w:pPr>
              <w:pStyle w:val="278"/>
              <w:adjustRightInd w:val="0"/>
              <w:snapToGrid w:val="0"/>
              <w:spacing w:line="300" w:lineRule="exact"/>
              <w:rPr>
                <w:rFonts w:hint="eastAsia"/>
              </w:rPr>
            </w:pPr>
            <w:r>
              <w:rPr>
                <w:rFonts w:hint="eastAsia"/>
              </w:rPr>
              <w:t>0.01</w:t>
            </w:r>
          </w:p>
        </w:tc>
      </w:tr>
      <w:tr w14:paraId="7C205C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2B5D1EDE">
            <w:pPr>
              <w:pStyle w:val="278"/>
              <w:adjustRightInd w:val="0"/>
              <w:snapToGrid w:val="0"/>
              <w:spacing w:line="300" w:lineRule="exact"/>
              <w:rPr>
                <w:rFonts w:hint="eastAsia"/>
              </w:rPr>
            </w:pPr>
            <w:r>
              <w:rPr>
                <w:rFonts w:hint="eastAsia"/>
              </w:rPr>
              <w:t>2300</w:t>
            </w:r>
          </w:p>
        </w:tc>
        <w:tc>
          <w:tcPr>
            <w:tcW w:w="877" w:type="pct"/>
            <w:noWrap/>
            <w:vAlign w:val="center"/>
          </w:tcPr>
          <w:p w14:paraId="2E75FD5F">
            <w:pPr>
              <w:pStyle w:val="278"/>
              <w:adjustRightInd w:val="0"/>
              <w:snapToGrid w:val="0"/>
              <w:spacing w:line="300" w:lineRule="exact"/>
              <w:rPr>
                <w:rFonts w:hint="eastAsia"/>
              </w:rPr>
            </w:pPr>
            <w:r>
              <w:rPr>
                <w:rFonts w:hint="eastAsia"/>
              </w:rPr>
              <w:t>0.0493</w:t>
            </w:r>
          </w:p>
        </w:tc>
        <w:tc>
          <w:tcPr>
            <w:tcW w:w="785" w:type="pct"/>
            <w:noWrap/>
            <w:vAlign w:val="center"/>
          </w:tcPr>
          <w:p w14:paraId="7F85ED5D">
            <w:pPr>
              <w:pStyle w:val="278"/>
              <w:adjustRightInd w:val="0"/>
              <w:snapToGrid w:val="0"/>
              <w:spacing w:line="300" w:lineRule="exact"/>
              <w:rPr>
                <w:rFonts w:hint="eastAsia"/>
              </w:rPr>
            </w:pPr>
            <w:r>
              <w:rPr>
                <w:rFonts w:hint="eastAsia"/>
              </w:rPr>
              <w:t>0.01</w:t>
            </w:r>
          </w:p>
        </w:tc>
        <w:tc>
          <w:tcPr>
            <w:tcW w:w="656" w:type="pct"/>
            <w:vAlign w:val="center"/>
          </w:tcPr>
          <w:p w14:paraId="4FF01068">
            <w:pPr>
              <w:pStyle w:val="278"/>
              <w:adjustRightInd w:val="0"/>
              <w:snapToGrid w:val="0"/>
              <w:spacing w:line="300" w:lineRule="exact"/>
              <w:rPr>
                <w:rFonts w:hint="eastAsia"/>
              </w:rPr>
            </w:pPr>
            <w:r>
              <w:rPr>
                <w:rFonts w:hint="eastAsia"/>
              </w:rPr>
              <w:t>0.4697</w:t>
            </w:r>
          </w:p>
        </w:tc>
        <w:tc>
          <w:tcPr>
            <w:tcW w:w="586" w:type="pct"/>
            <w:vAlign w:val="center"/>
          </w:tcPr>
          <w:p w14:paraId="47B236EE">
            <w:pPr>
              <w:pStyle w:val="278"/>
              <w:adjustRightInd w:val="0"/>
              <w:snapToGrid w:val="0"/>
              <w:spacing w:line="300" w:lineRule="exact"/>
              <w:rPr>
                <w:rFonts w:hint="eastAsia"/>
              </w:rPr>
            </w:pPr>
            <w:r>
              <w:rPr>
                <w:rFonts w:hint="eastAsia"/>
              </w:rPr>
              <w:t>0.19</w:t>
            </w:r>
          </w:p>
        </w:tc>
        <w:tc>
          <w:tcPr>
            <w:tcW w:w="657" w:type="pct"/>
            <w:vAlign w:val="center"/>
          </w:tcPr>
          <w:p w14:paraId="1AF21770">
            <w:pPr>
              <w:pStyle w:val="278"/>
              <w:adjustRightInd w:val="0"/>
              <w:snapToGrid w:val="0"/>
              <w:spacing w:line="300" w:lineRule="exact"/>
              <w:rPr>
                <w:rFonts w:hint="eastAsia"/>
              </w:rPr>
            </w:pPr>
            <w:r>
              <w:rPr>
                <w:rFonts w:hint="eastAsia"/>
              </w:rPr>
              <w:t>0.0368</w:t>
            </w:r>
          </w:p>
        </w:tc>
        <w:tc>
          <w:tcPr>
            <w:tcW w:w="534" w:type="pct"/>
            <w:vAlign w:val="center"/>
          </w:tcPr>
          <w:p w14:paraId="5479E865">
            <w:pPr>
              <w:pStyle w:val="278"/>
              <w:adjustRightInd w:val="0"/>
              <w:snapToGrid w:val="0"/>
              <w:spacing w:line="300" w:lineRule="exact"/>
              <w:rPr>
                <w:rFonts w:hint="eastAsia"/>
              </w:rPr>
            </w:pPr>
            <w:r>
              <w:rPr>
                <w:rFonts w:hint="eastAsia"/>
              </w:rPr>
              <w:t>0.01</w:t>
            </w:r>
          </w:p>
        </w:tc>
      </w:tr>
      <w:tr w14:paraId="120C90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00971B73">
            <w:pPr>
              <w:pStyle w:val="278"/>
              <w:adjustRightInd w:val="0"/>
              <w:snapToGrid w:val="0"/>
              <w:spacing w:line="300" w:lineRule="exact"/>
              <w:rPr>
                <w:rFonts w:hint="eastAsia"/>
              </w:rPr>
            </w:pPr>
            <w:r>
              <w:rPr>
                <w:rFonts w:hint="eastAsia"/>
              </w:rPr>
              <w:t>2400</w:t>
            </w:r>
          </w:p>
        </w:tc>
        <w:tc>
          <w:tcPr>
            <w:tcW w:w="877" w:type="pct"/>
            <w:noWrap/>
            <w:vAlign w:val="center"/>
          </w:tcPr>
          <w:p w14:paraId="4004AED1">
            <w:pPr>
              <w:pStyle w:val="278"/>
              <w:adjustRightInd w:val="0"/>
              <w:snapToGrid w:val="0"/>
              <w:spacing w:line="300" w:lineRule="exact"/>
              <w:rPr>
                <w:rFonts w:hint="eastAsia"/>
              </w:rPr>
            </w:pPr>
            <w:r>
              <w:rPr>
                <w:rFonts w:hint="eastAsia"/>
              </w:rPr>
              <w:t>0.0482</w:t>
            </w:r>
          </w:p>
        </w:tc>
        <w:tc>
          <w:tcPr>
            <w:tcW w:w="785" w:type="pct"/>
            <w:noWrap/>
            <w:vAlign w:val="center"/>
          </w:tcPr>
          <w:p w14:paraId="0EB36FEE">
            <w:pPr>
              <w:pStyle w:val="278"/>
              <w:adjustRightInd w:val="0"/>
              <w:snapToGrid w:val="0"/>
              <w:spacing w:line="300" w:lineRule="exact"/>
              <w:rPr>
                <w:rFonts w:hint="eastAsia"/>
              </w:rPr>
            </w:pPr>
            <w:r>
              <w:rPr>
                <w:rFonts w:hint="eastAsia"/>
              </w:rPr>
              <w:t>0.01</w:t>
            </w:r>
          </w:p>
        </w:tc>
        <w:tc>
          <w:tcPr>
            <w:tcW w:w="656" w:type="pct"/>
            <w:vAlign w:val="center"/>
          </w:tcPr>
          <w:p w14:paraId="14D9C0E6">
            <w:pPr>
              <w:pStyle w:val="278"/>
              <w:adjustRightInd w:val="0"/>
              <w:snapToGrid w:val="0"/>
              <w:spacing w:line="300" w:lineRule="exact"/>
              <w:rPr>
                <w:rFonts w:hint="eastAsia"/>
              </w:rPr>
            </w:pPr>
            <w:r>
              <w:rPr>
                <w:rFonts w:hint="eastAsia"/>
              </w:rPr>
              <w:t>0.4594</w:t>
            </w:r>
          </w:p>
        </w:tc>
        <w:tc>
          <w:tcPr>
            <w:tcW w:w="586" w:type="pct"/>
            <w:vAlign w:val="center"/>
          </w:tcPr>
          <w:p w14:paraId="00C9FD51">
            <w:pPr>
              <w:pStyle w:val="278"/>
              <w:adjustRightInd w:val="0"/>
              <w:snapToGrid w:val="0"/>
              <w:spacing w:line="300" w:lineRule="exact"/>
              <w:rPr>
                <w:rFonts w:hint="eastAsia"/>
              </w:rPr>
            </w:pPr>
            <w:r>
              <w:rPr>
                <w:rFonts w:hint="eastAsia"/>
              </w:rPr>
              <w:t>0.18</w:t>
            </w:r>
          </w:p>
        </w:tc>
        <w:tc>
          <w:tcPr>
            <w:tcW w:w="657" w:type="pct"/>
            <w:vAlign w:val="center"/>
          </w:tcPr>
          <w:p w14:paraId="6007C405">
            <w:pPr>
              <w:pStyle w:val="278"/>
              <w:adjustRightInd w:val="0"/>
              <w:snapToGrid w:val="0"/>
              <w:spacing w:line="300" w:lineRule="exact"/>
              <w:rPr>
                <w:rFonts w:hint="eastAsia"/>
              </w:rPr>
            </w:pPr>
            <w:r>
              <w:rPr>
                <w:rFonts w:hint="eastAsia"/>
              </w:rPr>
              <w:t>0.0360</w:t>
            </w:r>
          </w:p>
        </w:tc>
        <w:tc>
          <w:tcPr>
            <w:tcW w:w="534" w:type="pct"/>
            <w:vAlign w:val="center"/>
          </w:tcPr>
          <w:p w14:paraId="24F7EB7B">
            <w:pPr>
              <w:pStyle w:val="278"/>
              <w:adjustRightInd w:val="0"/>
              <w:snapToGrid w:val="0"/>
              <w:spacing w:line="300" w:lineRule="exact"/>
              <w:rPr>
                <w:rFonts w:hint="eastAsia"/>
              </w:rPr>
            </w:pPr>
            <w:r>
              <w:rPr>
                <w:rFonts w:hint="eastAsia"/>
              </w:rPr>
              <w:t>0.01</w:t>
            </w:r>
          </w:p>
        </w:tc>
      </w:tr>
      <w:tr w14:paraId="7EB5F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5" w:type="pct"/>
            <w:noWrap/>
            <w:vAlign w:val="center"/>
          </w:tcPr>
          <w:p w14:paraId="071C55A1">
            <w:pPr>
              <w:pStyle w:val="278"/>
              <w:adjustRightInd w:val="0"/>
              <w:snapToGrid w:val="0"/>
              <w:spacing w:line="300" w:lineRule="exact"/>
              <w:rPr>
                <w:rFonts w:hint="eastAsia"/>
              </w:rPr>
            </w:pPr>
            <w:r>
              <w:rPr>
                <w:rFonts w:hint="eastAsia"/>
              </w:rPr>
              <w:t>2500</w:t>
            </w:r>
          </w:p>
        </w:tc>
        <w:tc>
          <w:tcPr>
            <w:tcW w:w="877" w:type="pct"/>
            <w:noWrap/>
            <w:vAlign w:val="center"/>
          </w:tcPr>
          <w:p w14:paraId="650DC1B3">
            <w:pPr>
              <w:pStyle w:val="278"/>
              <w:adjustRightInd w:val="0"/>
              <w:snapToGrid w:val="0"/>
              <w:spacing w:line="300" w:lineRule="exact"/>
              <w:rPr>
                <w:rFonts w:hint="eastAsia"/>
              </w:rPr>
            </w:pPr>
            <w:r>
              <w:rPr>
                <w:rFonts w:hint="eastAsia"/>
              </w:rPr>
              <w:t>0.0471</w:t>
            </w:r>
          </w:p>
        </w:tc>
        <w:tc>
          <w:tcPr>
            <w:tcW w:w="785" w:type="pct"/>
            <w:noWrap/>
            <w:vAlign w:val="center"/>
          </w:tcPr>
          <w:p w14:paraId="5BCCE36A">
            <w:pPr>
              <w:pStyle w:val="278"/>
              <w:adjustRightInd w:val="0"/>
              <w:snapToGrid w:val="0"/>
              <w:spacing w:line="300" w:lineRule="exact"/>
              <w:rPr>
                <w:rFonts w:hint="eastAsia"/>
              </w:rPr>
            </w:pPr>
            <w:r>
              <w:rPr>
                <w:rFonts w:hint="eastAsia"/>
              </w:rPr>
              <w:t>0.01</w:t>
            </w:r>
          </w:p>
        </w:tc>
        <w:tc>
          <w:tcPr>
            <w:tcW w:w="656" w:type="pct"/>
            <w:vAlign w:val="center"/>
          </w:tcPr>
          <w:p w14:paraId="5E3D4F38">
            <w:pPr>
              <w:pStyle w:val="278"/>
              <w:adjustRightInd w:val="0"/>
              <w:snapToGrid w:val="0"/>
              <w:spacing w:line="300" w:lineRule="exact"/>
              <w:rPr>
                <w:rFonts w:hint="eastAsia"/>
              </w:rPr>
            </w:pPr>
            <w:r>
              <w:rPr>
                <w:rFonts w:hint="eastAsia"/>
              </w:rPr>
              <w:t>0.4489</w:t>
            </w:r>
          </w:p>
        </w:tc>
        <w:tc>
          <w:tcPr>
            <w:tcW w:w="586" w:type="pct"/>
            <w:vAlign w:val="center"/>
          </w:tcPr>
          <w:p w14:paraId="7114FEE4">
            <w:pPr>
              <w:pStyle w:val="278"/>
              <w:adjustRightInd w:val="0"/>
              <w:snapToGrid w:val="0"/>
              <w:spacing w:line="300" w:lineRule="exact"/>
              <w:rPr>
                <w:rFonts w:hint="eastAsia"/>
              </w:rPr>
            </w:pPr>
            <w:r>
              <w:rPr>
                <w:rFonts w:hint="eastAsia"/>
              </w:rPr>
              <w:t>0.18</w:t>
            </w:r>
          </w:p>
        </w:tc>
        <w:tc>
          <w:tcPr>
            <w:tcW w:w="657" w:type="pct"/>
            <w:vAlign w:val="center"/>
          </w:tcPr>
          <w:p w14:paraId="4D837214">
            <w:pPr>
              <w:pStyle w:val="278"/>
              <w:adjustRightInd w:val="0"/>
              <w:snapToGrid w:val="0"/>
              <w:spacing w:line="300" w:lineRule="exact"/>
              <w:rPr>
                <w:rFonts w:hint="eastAsia"/>
              </w:rPr>
            </w:pPr>
            <w:r>
              <w:rPr>
                <w:rFonts w:hint="eastAsia"/>
              </w:rPr>
              <w:t>0.0352</w:t>
            </w:r>
          </w:p>
        </w:tc>
        <w:tc>
          <w:tcPr>
            <w:tcW w:w="534" w:type="pct"/>
            <w:vAlign w:val="center"/>
          </w:tcPr>
          <w:p w14:paraId="46BC4FD8">
            <w:pPr>
              <w:pStyle w:val="278"/>
              <w:adjustRightInd w:val="0"/>
              <w:snapToGrid w:val="0"/>
              <w:spacing w:line="300" w:lineRule="exact"/>
              <w:rPr>
                <w:rFonts w:hint="eastAsia"/>
              </w:rPr>
            </w:pPr>
            <w:r>
              <w:rPr>
                <w:rFonts w:hint="eastAsia"/>
              </w:rPr>
              <w:t>0.01</w:t>
            </w:r>
          </w:p>
        </w:tc>
      </w:tr>
    </w:tbl>
    <w:p w14:paraId="6347F366">
      <w:pPr>
        <w:pStyle w:val="191"/>
        <w:ind w:firstLine="480"/>
        <w:rPr>
          <w:rFonts w:hint="eastAsia"/>
        </w:rPr>
      </w:pPr>
      <w:r>
        <w:rPr>
          <w:rFonts w:hint="eastAsia"/>
        </w:rPr>
        <w:t>由预测结果可知：非甲烷总烃和硫化氢的短期浓度贡献值小，不会使区域环境空气质量发生明显改变；厂界N</w:t>
      </w:r>
      <w:r>
        <w:t>MHC</w:t>
      </w:r>
      <w:r>
        <w:rPr>
          <w:rFonts w:hint="eastAsia"/>
        </w:rPr>
        <w:t>浓度可满足《陆上石油天然气开采工业大气污染物排放标准》（</w:t>
      </w:r>
      <w:r>
        <w:t>GB39728</w:t>
      </w:r>
      <w:r>
        <w:rPr>
          <w:rFonts w:hint="eastAsia"/>
        </w:rPr>
        <w:t>—</w:t>
      </w:r>
      <w:r>
        <w:t>2020</w:t>
      </w:r>
      <w:r>
        <w:rPr>
          <w:rFonts w:hint="eastAsia"/>
        </w:rPr>
        <w:t>）企业边界污染物控制要求，硫化氢排放浓度满足《恶臭污染物排放标准》（GB14554-93）中的表1限值要求；放空火炬燃烧烟气中二氧化硫、氮氧化物和颗粒物执行《大气污染物综合排放标准》（GB16297-1996）表2无组织排放监控浓度限值要求</w:t>
      </w:r>
      <w:r>
        <w:rPr>
          <w:rFonts w:hint="eastAsia" w:cs="宋体"/>
          <w:szCs w:val="21"/>
          <w:lang w:bidi="ar"/>
        </w:rPr>
        <w:t>；</w:t>
      </w:r>
      <w:r>
        <w:rPr>
          <w:rFonts w:hint="eastAsia"/>
        </w:rPr>
        <w:t>项目区地域空旷，无集中固定</w:t>
      </w:r>
      <w:r>
        <w:t>人</w:t>
      </w:r>
      <w:r>
        <w:rPr>
          <w:rFonts w:hint="eastAsia"/>
        </w:rPr>
        <w:t>群</w:t>
      </w:r>
      <w:r>
        <w:t>居住</w:t>
      </w:r>
      <w:r>
        <w:rPr>
          <w:rFonts w:hint="eastAsia"/>
        </w:rPr>
        <w:t>，</w:t>
      </w:r>
      <w:r>
        <w:t>项目</w:t>
      </w:r>
      <w:r>
        <w:rPr>
          <w:rFonts w:hint="eastAsia"/>
        </w:rPr>
        <w:t>运营期</w:t>
      </w:r>
      <w:r>
        <w:t>对区域大气环境的影响可以保持在环境可接受的范围之内。</w:t>
      </w:r>
    </w:p>
    <w:p w14:paraId="4EB6C254">
      <w:pPr>
        <w:pStyle w:val="117"/>
        <w:ind w:firstLine="480"/>
        <w:rPr>
          <w:rFonts w:hint="eastAsia"/>
        </w:rPr>
      </w:pPr>
      <w:bookmarkStart w:id="515" w:name="_Hlk173406894"/>
      <w:r>
        <w:rPr>
          <w:rFonts w:hint="eastAsia"/>
        </w:rPr>
        <w:t>（7）硫化氢对周围农业的影响分析</w:t>
      </w:r>
    </w:p>
    <w:p w14:paraId="5449F3CB">
      <w:pPr>
        <w:pStyle w:val="117"/>
        <w:ind w:firstLine="480"/>
        <w:rPr>
          <w:rFonts w:hint="eastAsia"/>
          <w:kern w:val="0"/>
        </w:rPr>
      </w:pPr>
      <w:r>
        <w:rPr>
          <w:rFonts w:hint="eastAsia"/>
        </w:rPr>
        <w:t>伴生气中硫化氢含量</w:t>
      </w:r>
      <w:r>
        <w:rPr>
          <w:rFonts w:hint="eastAsia"/>
          <w:kern w:val="0"/>
        </w:rPr>
        <w:t>254ppm（353mg/m</w:t>
      </w:r>
      <w:r>
        <w:rPr>
          <w:rFonts w:hint="eastAsia"/>
          <w:kern w:val="0"/>
          <w:vertAlign w:val="superscript"/>
        </w:rPr>
        <w:t>3</w:t>
      </w:r>
      <w:r>
        <w:rPr>
          <w:rFonts w:hint="eastAsia"/>
          <w:kern w:val="0"/>
        </w:rPr>
        <w:t>），计量站和采油平台上设有除硫加药装置去除伴生气中的硫化氢；项目区地域空旷，扩散条件较好，且评价范围内的农业大部分位于采油平台的上风向，伴生气中的硫化氢不会对周围农业产生明显不利影响。</w:t>
      </w:r>
    </w:p>
    <w:bookmarkEnd w:id="515"/>
    <w:p w14:paraId="341AA670">
      <w:pPr>
        <w:pStyle w:val="117"/>
        <w:ind w:firstLine="480"/>
        <w:rPr>
          <w:rFonts w:hint="eastAsia"/>
          <w:kern w:val="0"/>
        </w:rPr>
      </w:pPr>
      <w:r>
        <w:rPr>
          <w:rFonts w:hint="eastAsia"/>
          <w:kern w:val="0"/>
        </w:rPr>
        <w:t>（8）对大气环境敏感目标的影响分析</w:t>
      </w:r>
    </w:p>
    <w:p w14:paraId="7D6FDB8B">
      <w:pPr>
        <w:pStyle w:val="117"/>
        <w:ind w:firstLine="480"/>
        <w:rPr>
          <w:rFonts w:hint="eastAsia"/>
          <w:kern w:val="0"/>
        </w:rPr>
      </w:pPr>
      <w:r>
        <w:rPr>
          <w:rFonts w:hint="eastAsia"/>
          <w:kern w:val="0"/>
        </w:rPr>
        <w:t>大气评价范围内存在大气环境保护目标四厂湖和农一连，项目产生的各类废气均可实现达标排放，大气环境保护目标主要位于项目区的上风向和侧风向，且项目区地域空旷，扩散条件较好，项目实施不会对大气环境敏感目标产生明显不利影响。</w:t>
      </w:r>
    </w:p>
    <w:p w14:paraId="70054E2E">
      <w:pPr>
        <w:pStyle w:val="117"/>
        <w:ind w:firstLine="480"/>
        <w:rPr>
          <w:rFonts w:hint="eastAsia"/>
        </w:rPr>
      </w:pPr>
      <w:r>
        <w:rPr>
          <w:rFonts w:hint="eastAsia"/>
        </w:rPr>
        <w:t>（9）罐车运输对周围大气环境的影响分析</w:t>
      </w:r>
    </w:p>
    <w:p w14:paraId="169538D1">
      <w:pPr>
        <w:pStyle w:val="117"/>
        <w:ind w:firstLine="480"/>
        <w:rPr>
          <w:rFonts w:hint="eastAsia"/>
        </w:rPr>
      </w:pPr>
      <w:r>
        <w:rPr>
          <w:rFonts w:hint="eastAsia"/>
        </w:rPr>
        <w:t>一期工程采用罐车将采出液拉运至页岩油联合站处理，罐车运输过程中产生的扬尘、罐车尾气会对周围大气环境产生的一定的影响，运输道路为砂石路面和沥青路面，产生的扬尘量较小；罐车使用符合国家标准的油品，日常加强维修保养；项目区地域空旷，扩散条件好，周围无居民区、医院、学校等环境保护目标，不会对周围大气环境产生不利影响。</w:t>
      </w:r>
    </w:p>
    <w:p w14:paraId="3693A003">
      <w:pPr>
        <w:pStyle w:val="117"/>
        <w:ind w:firstLine="480"/>
        <w:rPr>
          <w:rFonts w:hint="eastAsia"/>
        </w:rPr>
      </w:pPr>
      <w:bookmarkStart w:id="516" w:name="_Toc474416141"/>
      <w:bookmarkStart w:id="517" w:name="_Toc453870928"/>
      <w:bookmarkStart w:id="518" w:name="_Toc445996415"/>
      <w:bookmarkStart w:id="519" w:name="_Toc20265"/>
      <w:bookmarkStart w:id="520" w:name="_Toc445829789"/>
      <w:bookmarkStart w:id="521" w:name="_Toc459026582"/>
      <w:bookmarkStart w:id="522" w:name="_Toc445840405"/>
      <w:bookmarkStart w:id="523" w:name="_Toc445842093"/>
      <w:r>
        <w:rPr>
          <w:rFonts w:hint="eastAsia"/>
        </w:rPr>
        <w:t>大气环境影响评价自查表见附件5。</w:t>
      </w:r>
    </w:p>
    <w:p w14:paraId="586E5AA5">
      <w:pPr>
        <w:pStyle w:val="4"/>
        <w:rPr>
          <w:rFonts w:hint="eastAsia"/>
        </w:rPr>
      </w:pPr>
      <w:r>
        <w:rPr>
          <w:rFonts w:hint="eastAsia"/>
        </w:rPr>
        <w:t>运营期水环境影响分析</w:t>
      </w:r>
    </w:p>
    <w:p w14:paraId="471E02D5">
      <w:pPr>
        <w:pStyle w:val="117"/>
        <w:spacing w:line="480" w:lineRule="exact"/>
        <w:ind w:firstLine="480"/>
        <w:rPr>
          <w:rFonts w:hint="eastAsia"/>
        </w:rPr>
      </w:pPr>
      <w:r>
        <w:rPr>
          <w:rFonts w:hint="eastAsia"/>
        </w:rPr>
        <w:t>（1）区域水文地质概况</w:t>
      </w:r>
    </w:p>
    <w:p w14:paraId="655F9000">
      <w:pPr>
        <w:pStyle w:val="117"/>
        <w:spacing w:line="480" w:lineRule="exact"/>
        <w:ind w:firstLine="480"/>
        <w:rPr>
          <w:rFonts w:hint="eastAsia"/>
        </w:rPr>
      </w:pPr>
      <w:r>
        <w:rPr>
          <w:rFonts w:hint="eastAsia"/>
        </w:rPr>
        <w:t>第四系松散岩地层沉积厚度数十米至上百米不等，含水层为一套冲积—湖积的双层结构，上部为潜水，下部为承压水，含水层岩性以粗砂为主，承压含水顶板埋深多大于 100m，潜水位埋深较大(10～50m)，矿化度＞10g/l，水化学类型主要以CaCl</w:t>
      </w:r>
      <w:r>
        <w:rPr>
          <w:rFonts w:hint="eastAsia"/>
          <w:vertAlign w:val="subscript"/>
        </w:rPr>
        <w:t>2</w:t>
      </w:r>
      <w:r>
        <w:rPr>
          <w:rFonts w:hint="eastAsia"/>
        </w:rPr>
        <w:t>型为主；水量小，无开采利用价值。</w:t>
      </w:r>
    </w:p>
    <w:p w14:paraId="1E243C0D">
      <w:pPr>
        <w:pStyle w:val="117"/>
        <w:spacing w:line="480" w:lineRule="exact"/>
        <w:ind w:firstLine="480"/>
        <w:rPr>
          <w:rFonts w:hint="eastAsia"/>
        </w:rPr>
      </w:pPr>
      <w:r>
        <w:rPr>
          <w:rFonts w:hint="eastAsia"/>
        </w:rPr>
        <w:t>第三系碎屑岩类孔隙—裂隙水广泛分布于准噶尔盆地广大地区，为主要的生产用水开采水源。其含水层岩性主要是砂岩和泥质砂岩，承压水顶板埋深在50～100m以下，矿化度3～10g/L，水化学类型主要以CaCl</w:t>
      </w:r>
      <w:r>
        <w:rPr>
          <w:rFonts w:hint="eastAsia"/>
          <w:vertAlign w:val="subscript"/>
        </w:rPr>
        <w:t>2</w:t>
      </w:r>
      <w:r>
        <w:rPr>
          <w:rFonts w:hint="eastAsia"/>
        </w:rPr>
        <w:t>型为主；富水性极不均匀，单井涌水量90～500m³/d。</w:t>
      </w:r>
    </w:p>
    <w:p w14:paraId="6F206F59">
      <w:pPr>
        <w:pStyle w:val="191"/>
        <w:ind w:firstLine="480"/>
        <w:rPr>
          <w:rFonts w:hint="eastAsia"/>
        </w:rPr>
      </w:pPr>
      <w:r>
        <w:rPr>
          <w:rFonts w:hint="eastAsia"/>
        </w:rPr>
        <w:t>油田区域地层岩性为：表层为第四系干燥松散的风成沙沉积，厚约</w:t>
      </w:r>
      <w:r>
        <w:t>200m</w:t>
      </w:r>
      <w:r>
        <w:rPr>
          <w:rFonts w:hint="eastAsia"/>
        </w:rPr>
        <w:t>左右；向下为第三系，地层由以泥岩、砂岩、粉砂岩为主的碎屑沉积物组成，含水层以砂岩为主，厚度在</w:t>
      </w:r>
      <w:r>
        <w:t>50</w:t>
      </w:r>
      <w:r>
        <w:rPr>
          <w:rFonts w:hint="eastAsia"/>
        </w:rPr>
        <w:t>～</w:t>
      </w:r>
      <w:r>
        <w:t>150m</w:t>
      </w:r>
      <w:r>
        <w:rPr>
          <w:rFonts w:hint="eastAsia"/>
        </w:rPr>
        <w:t>；底部为第三系的粉砂岩、泥岩沉积。地下水主要为第三系碎屑岩类承压水，顶板埋深大于</w:t>
      </w:r>
      <w:r>
        <w:t>100m</w:t>
      </w:r>
      <w:r>
        <w:rPr>
          <w:rFonts w:hint="eastAsia"/>
        </w:rPr>
        <w:t>。本区主要含水层水文地质特征如下：</w:t>
      </w:r>
    </w:p>
    <w:p w14:paraId="4A5CA51D">
      <w:pPr>
        <w:pStyle w:val="191"/>
        <w:ind w:firstLine="472"/>
        <w:rPr>
          <w:rFonts w:hint="eastAsia"/>
          <w:spacing w:val="-2"/>
        </w:rPr>
      </w:pPr>
      <w:r>
        <w:rPr>
          <w:rFonts w:hint="eastAsia"/>
          <w:spacing w:val="-4"/>
        </w:rPr>
        <w:t>①白垩系含水岩组：含水层为砂岩、砾岩，富水性为贫乏～中等，一般水质</w:t>
      </w:r>
      <w:r>
        <w:rPr>
          <w:rFonts w:hint="eastAsia"/>
          <w:spacing w:val="-2"/>
        </w:rPr>
        <w:t>较差，为咸水。</w:t>
      </w:r>
    </w:p>
    <w:p w14:paraId="5F372612">
      <w:pPr>
        <w:pStyle w:val="191"/>
        <w:ind w:firstLine="476"/>
        <w:rPr>
          <w:rFonts w:hint="eastAsia"/>
          <w:spacing w:val="-14"/>
        </w:rPr>
      </w:pPr>
      <w:r>
        <w:rPr>
          <w:rFonts w:hint="eastAsia"/>
          <w:spacing w:val="-2"/>
        </w:rPr>
        <w:t>②第三系含水岩组：岩性为中、粗粒砂岩、砾岩、泥岩互层，泥岩将含水的中粗粒砂岩、砾岩分隔成若干层，岩石颗粒越粗，相对富水性越好。因第三系地</w:t>
      </w:r>
      <w:r>
        <w:rPr>
          <w:rFonts w:hint="eastAsia"/>
          <w:spacing w:val="-14"/>
        </w:rPr>
        <w:t>层在项目区内厚度很大，分布广泛，主要为承压水，为项目区内重要的含水岩组。</w:t>
      </w:r>
    </w:p>
    <w:p w14:paraId="61BC66E4">
      <w:pPr>
        <w:pStyle w:val="191"/>
        <w:ind w:firstLine="472"/>
        <w:rPr>
          <w:rFonts w:hint="eastAsia"/>
          <w:spacing w:val="-2"/>
        </w:rPr>
      </w:pPr>
      <w:r>
        <w:rPr>
          <w:rFonts w:hint="eastAsia"/>
          <w:spacing w:val="-4"/>
        </w:rPr>
        <w:t>③第四系含水岩组：岩性主要为风成沙，该套岩层基本不含水，富水特征多</w:t>
      </w:r>
      <w:r>
        <w:rPr>
          <w:rFonts w:hint="eastAsia"/>
          <w:spacing w:val="-2"/>
        </w:rPr>
        <w:t>为潜水性质。</w:t>
      </w:r>
    </w:p>
    <w:p w14:paraId="13C41751">
      <w:pPr>
        <w:pStyle w:val="191"/>
        <w:ind w:firstLine="476"/>
        <w:rPr>
          <w:rFonts w:hint="eastAsia"/>
          <w:spacing w:val="-2"/>
        </w:rPr>
      </w:pPr>
      <w:r>
        <w:rPr>
          <w:rFonts w:hint="eastAsia"/>
          <w:spacing w:val="-2"/>
        </w:rPr>
        <w:t>（2）补径排条件</w:t>
      </w:r>
    </w:p>
    <w:p w14:paraId="64BF33C6">
      <w:pPr>
        <w:pStyle w:val="191"/>
        <w:ind w:firstLine="480"/>
        <w:rPr>
          <w:rFonts w:hint="eastAsia"/>
        </w:rPr>
      </w:pPr>
      <w:r>
        <w:rPr>
          <w:rFonts w:hint="eastAsia"/>
        </w:rPr>
        <w:t>本项目位于准噶尔古尔班通古特沙漠东南缘。山区以及丘陵区为中生界碎屑岩中孔隙裂隙潜水及层间水提供赋存条件。现代河流及间隙水山口外，呈扇形堆积，由洪积造成山麓带，为灰色砾石层，由各种变质岩及火成岩构成，近平原地带，则颗粒变细夹亚砂土层或砂质黏土层，厚度不等</w:t>
      </w:r>
      <w:r>
        <w:t>10</w:t>
      </w:r>
      <w:r>
        <w:rPr>
          <w:rFonts w:hint="eastAsia"/>
        </w:rPr>
        <w:t>～</w:t>
      </w:r>
      <w:r>
        <w:t>210.4m</w:t>
      </w:r>
      <w:r>
        <w:rPr>
          <w:rFonts w:hint="eastAsia"/>
        </w:rPr>
        <w:t>；倾斜平原区砂石层为松散岩类孔隙裂隙水提供了良好地下水储存场所。</w:t>
      </w:r>
    </w:p>
    <w:p w14:paraId="1632195C">
      <w:pPr>
        <w:pStyle w:val="191"/>
        <w:ind w:firstLine="472"/>
        <w:rPr>
          <w:rFonts w:hint="eastAsia"/>
          <w:spacing w:val="-4"/>
        </w:rPr>
      </w:pPr>
      <w:r>
        <w:rPr>
          <w:rFonts w:hint="eastAsia"/>
          <w:spacing w:val="-4"/>
        </w:rPr>
        <w:t>本项目区域上属于南部的天山水系地下水系统，从南部天山山区分水岭到平原、沙漠构成一个完整的水文地质单元。按区域地下水运动规律，南侧的博格达高山区是地下水的总发源地和补给区，中山带是地下水补给、迳流、排泄交替带，山前倾斜砾质平原及细土平原区是地下水迳流、排泄区，沙漠地带是以蒸发为主的地下水排泄区。</w:t>
      </w:r>
    </w:p>
    <w:p w14:paraId="1B039D84">
      <w:pPr>
        <w:pStyle w:val="191"/>
        <w:ind w:firstLine="480"/>
        <w:rPr>
          <w:rFonts w:hint="eastAsia"/>
        </w:rPr>
      </w:pPr>
      <w:r>
        <w:rPr>
          <w:rFonts w:hint="eastAsia"/>
        </w:rPr>
        <w:t>本项目区域地层水的水型为</w:t>
      </w:r>
      <w:r>
        <w:t>CaCl</w:t>
      </w:r>
      <w:r>
        <w:rPr>
          <w:vertAlign w:val="subscript"/>
        </w:rPr>
        <w:t>2</w:t>
      </w:r>
      <w:r>
        <w:rPr>
          <w:rFonts w:hint="eastAsia"/>
        </w:rPr>
        <w:t>型，地下水径流方向基本由南向北。</w:t>
      </w:r>
    </w:p>
    <w:p w14:paraId="74BE822E">
      <w:pPr>
        <w:pStyle w:val="117"/>
        <w:spacing w:line="480" w:lineRule="exact"/>
        <w:ind w:firstLine="480"/>
        <w:rPr>
          <w:rFonts w:hint="eastAsia"/>
        </w:rPr>
      </w:pPr>
      <w:r>
        <w:rPr>
          <w:rFonts w:hint="eastAsia"/>
        </w:rPr>
        <w:t>本工程区域水文地质见图5.2-1。</w:t>
      </w:r>
    </w:p>
    <w:p w14:paraId="5E9D4E7D">
      <w:pPr>
        <w:pStyle w:val="117"/>
        <w:ind w:firstLine="480"/>
        <w:rPr>
          <w:rFonts w:hint="eastAsia"/>
        </w:rPr>
      </w:pPr>
      <w:r>
        <w:rPr>
          <w:rFonts w:hint="eastAsia"/>
        </w:rPr>
        <w:t>（</w:t>
      </w:r>
      <w:r>
        <w:t>2</w:t>
      </w:r>
      <w:r>
        <w:rPr>
          <w:rFonts w:hint="eastAsia"/>
        </w:rPr>
        <w:t>）正常工况下对地下水环境影响分析</w:t>
      </w:r>
    </w:p>
    <w:p w14:paraId="2F151142">
      <w:pPr>
        <w:pStyle w:val="117"/>
        <w:ind w:firstLine="0" w:firstLineChars="0"/>
        <w:rPr>
          <w:rFonts w:hint="eastAsia"/>
        </w:rPr>
      </w:pPr>
      <w:r>
        <w:rPr>
          <w:rFonts w:hint="eastAsia"/>
        </w:rPr>
        <w:t>废水主要为洗井废水、压裂返排液、酸化返排液和废洗井液，井下作业时带罐作业，废水采用储罐收集后，由罐车拉运至压裂液返排液处理装置处理，出水水质满</w:t>
      </w:r>
      <w:bookmarkStart w:id="524" w:name="OLE_LINK138"/>
      <w:r>
        <w:rPr>
          <w:rFonts w:hint="eastAsia"/>
        </w:rPr>
        <w:t>足《压裂酸化返排液处理技术规范》（Q/SY02012-2016）</w:t>
      </w:r>
      <w:bookmarkEnd w:id="524"/>
      <w:r>
        <w:rPr>
          <w:rFonts w:hint="eastAsia"/>
        </w:rPr>
        <w:t>中的相关要求用于压裂液复配，不外排。项目各类废水均得到妥善处置，正常情况下不会对地下水产生不利影响。</w:t>
      </w:r>
    </w:p>
    <w:p w14:paraId="3D9D1E6A">
      <w:pPr>
        <w:pStyle w:val="117"/>
        <w:spacing w:line="480" w:lineRule="exact"/>
        <w:ind w:firstLine="480"/>
        <w:rPr>
          <w:rFonts w:ascii="Calibri" w:hAnsi="Calibri"/>
          <w:b/>
          <w:bCs/>
          <w:spacing w:val="-3"/>
          <w:w w:val="95"/>
          <w:sz w:val="21"/>
          <w:szCs w:val="22"/>
        </w:rPr>
      </w:pPr>
      <w:r>
        <mc:AlternateContent>
          <mc:Choice Requires="wpg">
            <w:drawing>
              <wp:anchor distT="0" distB="0" distL="114300" distR="114300" simplePos="0" relativeHeight="251677696" behindDoc="0" locked="0" layoutInCell="0" allowOverlap="1">
                <wp:simplePos x="0" y="0"/>
                <wp:positionH relativeFrom="margin">
                  <wp:align>center</wp:align>
                </wp:positionH>
                <wp:positionV relativeFrom="paragraph">
                  <wp:posOffset>64770</wp:posOffset>
                </wp:positionV>
                <wp:extent cx="5278755" cy="7323455"/>
                <wp:effectExtent l="0" t="0" r="0" b="0"/>
                <wp:wrapNone/>
                <wp:docPr id="6" name="组合 6"/>
                <wp:cNvGraphicFramePr/>
                <a:graphic xmlns:a="http://schemas.openxmlformats.org/drawingml/2006/main">
                  <a:graphicData uri="http://schemas.microsoft.com/office/word/2010/wordprocessingGroup">
                    <wpg:wgp>
                      <wpg:cNvGrpSpPr/>
                      <wpg:grpSpPr>
                        <a:xfrm>
                          <a:off x="0" y="0"/>
                          <a:ext cx="5278755" cy="7323455"/>
                          <a:chOff x="0" y="0"/>
                          <a:chExt cx="7277" cy="10767"/>
                        </a:xfrm>
                      </wpg:grpSpPr>
                      <pic:pic xmlns:pic="http://schemas.openxmlformats.org/drawingml/2006/picture">
                        <pic:nvPicPr>
                          <pic:cNvPr id="7"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7280" cy="10760"/>
                          </a:xfrm>
                          <a:prstGeom prst="rect">
                            <a:avLst/>
                          </a:prstGeom>
                          <a:noFill/>
                          <a:ln>
                            <a:noFill/>
                          </a:ln>
                        </pic:spPr>
                      </pic:pic>
                      <wpg:grpSp>
                        <wpg:cNvPr id="12" name="Group 9"/>
                        <wpg:cNvGrpSpPr/>
                        <wpg:grpSpPr>
                          <a:xfrm>
                            <a:off x="4126" y="1860"/>
                            <a:ext cx="2163" cy="1156"/>
                            <a:chOff x="4126" y="1860"/>
                            <a:chExt cx="2163" cy="1156"/>
                          </a:xfrm>
                        </wpg:grpSpPr>
                        <wps:wsp>
                          <wps:cNvPr id="13" name="Freeform 10"/>
                          <wps:cNvSpPr/>
                          <wps:spPr bwMode="auto">
                            <a:xfrm>
                              <a:off x="4126" y="1860"/>
                              <a:ext cx="2163" cy="1156"/>
                            </a:xfrm>
                            <a:custGeom>
                              <a:avLst/>
                              <a:gdLst>
                                <a:gd name="T0" fmla="*/ 965 w 2163"/>
                                <a:gd name="T1" fmla="*/ 536 h 1156"/>
                                <a:gd name="T2" fmla="*/ 759 w 2163"/>
                                <a:gd name="T3" fmla="*/ 536 h 1156"/>
                                <a:gd name="T4" fmla="*/ 759 w 2163"/>
                                <a:gd name="T5" fmla="*/ 0 h 1156"/>
                                <a:gd name="T6" fmla="*/ 2162 w 2163"/>
                                <a:gd name="T7" fmla="*/ 0 h 1156"/>
                                <a:gd name="T8" fmla="*/ 2162 w 2163"/>
                                <a:gd name="T9" fmla="*/ 10 h 1156"/>
                                <a:gd name="T10" fmla="*/ 779 w 2163"/>
                                <a:gd name="T11" fmla="*/ 10 h 1156"/>
                                <a:gd name="T12" fmla="*/ 769 w 2163"/>
                                <a:gd name="T13" fmla="*/ 20 h 1156"/>
                                <a:gd name="T14" fmla="*/ 779 w 2163"/>
                                <a:gd name="T15" fmla="*/ 20 h 1156"/>
                                <a:gd name="T16" fmla="*/ 779 w 2163"/>
                                <a:gd name="T17" fmla="*/ 516 h 1156"/>
                                <a:gd name="T18" fmla="*/ 769 w 2163"/>
                                <a:gd name="T19" fmla="*/ 516 h 1156"/>
                                <a:gd name="T20" fmla="*/ 779 w 2163"/>
                                <a:gd name="T21" fmla="*/ 526 h 1156"/>
                                <a:gd name="T22" fmla="*/ 981 w 2163"/>
                                <a:gd name="T23" fmla="*/ 526 h 1156"/>
                                <a:gd name="T24" fmla="*/ 965 w 2163"/>
                                <a:gd name="T25" fmla="*/ 536 h 1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3" h="1156">
                                  <a:moveTo>
                                    <a:pt x="965" y="536"/>
                                  </a:moveTo>
                                  <a:lnTo>
                                    <a:pt x="759" y="536"/>
                                  </a:lnTo>
                                  <a:lnTo>
                                    <a:pt x="759" y="0"/>
                                  </a:lnTo>
                                  <a:lnTo>
                                    <a:pt x="2162" y="0"/>
                                  </a:lnTo>
                                  <a:lnTo>
                                    <a:pt x="2162" y="10"/>
                                  </a:lnTo>
                                  <a:lnTo>
                                    <a:pt x="779" y="10"/>
                                  </a:lnTo>
                                  <a:lnTo>
                                    <a:pt x="769" y="20"/>
                                  </a:lnTo>
                                  <a:lnTo>
                                    <a:pt x="779" y="20"/>
                                  </a:lnTo>
                                  <a:lnTo>
                                    <a:pt x="779" y="516"/>
                                  </a:lnTo>
                                  <a:lnTo>
                                    <a:pt x="769" y="516"/>
                                  </a:lnTo>
                                  <a:lnTo>
                                    <a:pt x="779" y="526"/>
                                  </a:lnTo>
                                  <a:lnTo>
                                    <a:pt x="981" y="526"/>
                                  </a:lnTo>
                                  <a:lnTo>
                                    <a:pt x="965" y="536"/>
                                  </a:lnTo>
                                  <a:close/>
                                </a:path>
                              </a:pathLst>
                            </a:custGeom>
                            <a:solidFill>
                              <a:srgbClr val="FF0000"/>
                            </a:solidFill>
                            <a:ln>
                              <a:noFill/>
                            </a:ln>
                          </wps:spPr>
                          <wps:bodyPr rot="0" vert="horz" wrap="square" lIns="91440" tIns="45720" rIns="91440" bIns="45720" anchor="t" anchorCtr="0" upright="1">
                            <a:noAutofit/>
                          </wps:bodyPr>
                        </wps:wsp>
                        <wps:wsp>
                          <wps:cNvPr id="14" name="Freeform 11"/>
                          <wps:cNvSpPr/>
                          <wps:spPr bwMode="auto">
                            <a:xfrm>
                              <a:off x="4126" y="1860"/>
                              <a:ext cx="2163" cy="1156"/>
                            </a:xfrm>
                            <a:custGeom>
                              <a:avLst/>
                              <a:gdLst>
                                <a:gd name="T0" fmla="*/ 779 w 2163"/>
                                <a:gd name="T1" fmla="*/ 20 h 1156"/>
                                <a:gd name="T2" fmla="*/ 769 w 2163"/>
                                <a:gd name="T3" fmla="*/ 20 h 1156"/>
                                <a:gd name="T4" fmla="*/ 779 w 2163"/>
                                <a:gd name="T5" fmla="*/ 10 h 1156"/>
                                <a:gd name="T6" fmla="*/ 779 w 2163"/>
                                <a:gd name="T7" fmla="*/ 20 h 1156"/>
                              </a:gdLst>
                              <a:ahLst/>
                              <a:cxnLst>
                                <a:cxn ang="0">
                                  <a:pos x="T0" y="T1"/>
                                </a:cxn>
                                <a:cxn ang="0">
                                  <a:pos x="T2" y="T3"/>
                                </a:cxn>
                                <a:cxn ang="0">
                                  <a:pos x="T4" y="T5"/>
                                </a:cxn>
                                <a:cxn ang="0">
                                  <a:pos x="T6" y="T7"/>
                                </a:cxn>
                              </a:cxnLst>
                              <a:rect l="0" t="0" r="r" b="b"/>
                              <a:pathLst>
                                <a:path w="2163" h="1156">
                                  <a:moveTo>
                                    <a:pt x="779" y="20"/>
                                  </a:moveTo>
                                  <a:lnTo>
                                    <a:pt x="769" y="20"/>
                                  </a:lnTo>
                                  <a:lnTo>
                                    <a:pt x="779" y="10"/>
                                  </a:lnTo>
                                  <a:lnTo>
                                    <a:pt x="779" y="20"/>
                                  </a:lnTo>
                                  <a:close/>
                                </a:path>
                              </a:pathLst>
                            </a:custGeom>
                            <a:solidFill>
                              <a:srgbClr val="FF0000"/>
                            </a:solidFill>
                            <a:ln>
                              <a:noFill/>
                            </a:ln>
                          </wps:spPr>
                          <wps:bodyPr rot="0" vert="horz" wrap="square" lIns="91440" tIns="45720" rIns="91440" bIns="45720" anchor="t" anchorCtr="0" upright="1">
                            <a:noAutofit/>
                          </wps:bodyPr>
                        </wps:wsp>
                        <wps:wsp>
                          <wps:cNvPr id="15" name="Freeform 12"/>
                          <wps:cNvSpPr/>
                          <wps:spPr bwMode="auto">
                            <a:xfrm>
                              <a:off x="4126" y="1860"/>
                              <a:ext cx="2163" cy="1156"/>
                            </a:xfrm>
                            <a:custGeom>
                              <a:avLst/>
                              <a:gdLst>
                                <a:gd name="T0" fmla="*/ 2142 w 2163"/>
                                <a:gd name="T1" fmla="*/ 20 h 1156"/>
                                <a:gd name="T2" fmla="*/ 779 w 2163"/>
                                <a:gd name="T3" fmla="*/ 20 h 1156"/>
                                <a:gd name="T4" fmla="*/ 779 w 2163"/>
                                <a:gd name="T5" fmla="*/ 10 h 1156"/>
                                <a:gd name="T6" fmla="*/ 2142 w 2163"/>
                                <a:gd name="T7" fmla="*/ 10 h 1156"/>
                                <a:gd name="T8" fmla="*/ 2142 w 2163"/>
                                <a:gd name="T9" fmla="*/ 20 h 1156"/>
                              </a:gdLst>
                              <a:ahLst/>
                              <a:cxnLst>
                                <a:cxn ang="0">
                                  <a:pos x="T0" y="T1"/>
                                </a:cxn>
                                <a:cxn ang="0">
                                  <a:pos x="T2" y="T3"/>
                                </a:cxn>
                                <a:cxn ang="0">
                                  <a:pos x="T4" y="T5"/>
                                </a:cxn>
                                <a:cxn ang="0">
                                  <a:pos x="T6" y="T7"/>
                                </a:cxn>
                                <a:cxn ang="0">
                                  <a:pos x="T8" y="T9"/>
                                </a:cxn>
                              </a:cxnLst>
                              <a:rect l="0" t="0" r="r" b="b"/>
                              <a:pathLst>
                                <a:path w="2163" h="1156">
                                  <a:moveTo>
                                    <a:pt x="2142" y="20"/>
                                  </a:moveTo>
                                  <a:lnTo>
                                    <a:pt x="779" y="20"/>
                                  </a:lnTo>
                                  <a:lnTo>
                                    <a:pt x="779" y="10"/>
                                  </a:lnTo>
                                  <a:lnTo>
                                    <a:pt x="2142" y="10"/>
                                  </a:lnTo>
                                  <a:lnTo>
                                    <a:pt x="2142" y="20"/>
                                  </a:lnTo>
                                  <a:close/>
                                </a:path>
                              </a:pathLst>
                            </a:custGeom>
                            <a:solidFill>
                              <a:srgbClr val="FF0000"/>
                            </a:solidFill>
                            <a:ln>
                              <a:noFill/>
                            </a:ln>
                          </wps:spPr>
                          <wps:bodyPr rot="0" vert="horz" wrap="square" lIns="91440" tIns="45720" rIns="91440" bIns="45720" anchor="t" anchorCtr="0" upright="1">
                            <a:noAutofit/>
                          </wps:bodyPr>
                        </wps:wsp>
                        <wps:wsp>
                          <wps:cNvPr id="20" name="Freeform 13"/>
                          <wps:cNvSpPr/>
                          <wps:spPr bwMode="auto">
                            <a:xfrm>
                              <a:off x="4126" y="1860"/>
                              <a:ext cx="2163" cy="1156"/>
                            </a:xfrm>
                            <a:custGeom>
                              <a:avLst/>
                              <a:gdLst>
                                <a:gd name="T0" fmla="*/ 2142 w 2163"/>
                                <a:gd name="T1" fmla="*/ 526 h 1156"/>
                                <a:gd name="T2" fmla="*/ 2142 w 2163"/>
                                <a:gd name="T3" fmla="*/ 10 h 1156"/>
                                <a:gd name="T4" fmla="*/ 2152 w 2163"/>
                                <a:gd name="T5" fmla="*/ 20 h 1156"/>
                                <a:gd name="T6" fmla="*/ 2162 w 2163"/>
                                <a:gd name="T7" fmla="*/ 20 h 1156"/>
                                <a:gd name="T8" fmla="*/ 2162 w 2163"/>
                                <a:gd name="T9" fmla="*/ 516 h 1156"/>
                                <a:gd name="T10" fmla="*/ 2152 w 2163"/>
                                <a:gd name="T11" fmla="*/ 516 h 1156"/>
                                <a:gd name="T12" fmla="*/ 2142 w 2163"/>
                                <a:gd name="T13" fmla="*/ 526 h 1156"/>
                              </a:gdLst>
                              <a:ahLst/>
                              <a:cxnLst>
                                <a:cxn ang="0">
                                  <a:pos x="T0" y="T1"/>
                                </a:cxn>
                                <a:cxn ang="0">
                                  <a:pos x="T2" y="T3"/>
                                </a:cxn>
                                <a:cxn ang="0">
                                  <a:pos x="T4" y="T5"/>
                                </a:cxn>
                                <a:cxn ang="0">
                                  <a:pos x="T6" y="T7"/>
                                </a:cxn>
                                <a:cxn ang="0">
                                  <a:pos x="T8" y="T9"/>
                                </a:cxn>
                                <a:cxn ang="0">
                                  <a:pos x="T10" y="T11"/>
                                </a:cxn>
                                <a:cxn ang="0">
                                  <a:pos x="T12" y="T13"/>
                                </a:cxn>
                              </a:cxnLst>
                              <a:rect l="0" t="0" r="r" b="b"/>
                              <a:pathLst>
                                <a:path w="2163" h="1156">
                                  <a:moveTo>
                                    <a:pt x="2142" y="526"/>
                                  </a:moveTo>
                                  <a:lnTo>
                                    <a:pt x="2142" y="10"/>
                                  </a:lnTo>
                                  <a:lnTo>
                                    <a:pt x="2152" y="20"/>
                                  </a:lnTo>
                                  <a:lnTo>
                                    <a:pt x="2162" y="20"/>
                                  </a:lnTo>
                                  <a:lnTo>
                                    <a:pt x="2162" y="516"/>
                                  </a:lnTo>
                                  <a:lnTo>
                                    <a:pt x="2152" y="516"/>
                                  </a:lnTo>
                                  <a:lnTo>
                                    <a:pt x="2142" y="526"/>
                                  </a:lnTo>
                                  <a:close/>
                                </a:path>
                              </a:pathLst>
                            </a:custGeom>
                            <a:solidFill>
                              <a:srgbClr val="FF0000"/>
                            </a:solidFill>
                            <a:ln>
                              <a:noFill/>
                            </a:ln>
                          </wps:spPr>
                          <wps:bodyPr rot="0" vert="horz" wrap="square" lIns="91440" tIns="45720" rIns="91440" bIns="45720" anchor="t" anchorCtr="0" upright="1">
                            <a:noAutofit/>
                          </wps:bodyPr>
                        </wps:wsp>
                        <wps:wsp>
                          <wps:cNvPr id="25" name="Freeform 14"/>
                          <wps:cNvSpPr/>
                          <wps:spPr bwMode="auto">
                            <a:xfrm>
                              <a:off x="4126" y="1860"/>
                              <a:ext cx="2163" cy="1156"/>
                            </a:xfrm>
                            <a:custGeom>
                              <a:avLst/>
                              <a:gdLst>
                                <a:gd name="T0" fmla="*/ 2162 w 2163"/>
                                <a:gd name="T1" fmla="*/ 20 h 1156"/>
                                <a:gd name="T2" fmla="*/ 2152 w 2163"/>
                                <a:gd name="T3" fmla="*/ 20 h 1156"/>
                                <a:gd name="T4" fmla="*/ 2142 w 2163"/>
                                <a:gd name="T5" fmla="*/ 10 h 1156"/>
                                <a:gd name="T6" fmla="*/ 2162 w 2163"/>
                                <a:gd name="T7" fmla="*/ 10 h 1156"/>
                                <a:gd name="T8" fmla="*/ 2162 w 2163"/>
                                <a:gd name="T9" fmla="*/ 20 h 1156"/>
                              </a:gdLst>
                              <a:ahLst/>
                              <a:cxnLst>
                                <a:cxn ang="0">
                                  <a:pos x="T0" y="T1"/>
                                </a:cxn>
                                <a:cxn ang="0">
                                  <a:pos x="T2" y="T3"/>
                                </a:cxn>
                                <a:cxn ang="0">
                                  <a:pos x="T4" y="T5"/>
                                </a:cxn>
                                <a:cxn ang="0">
                                  <a:pos x="T6" y="T7"/>
                                </a:cxn>
                                <a:cxn ang="0">
                                  <a:pos x="T8" y="T9"/>
                                </a:cxn>
                              </a:cxnLst>
                              <a:rect l="0" t="0" r="r" b="b"/>
                              <a:pathLst>
                                <a:path w="2163" h="1156">
                                  <a:moveTo>
                                    <a:pt x="2162" y="20"/>
                                  </a:moveTo>
                                  <a:lnTo>
                                    <a:pt x="2152" y="20"/>
                                  </a:lnTo>
                                  <a:lnTo>
                                    <a:pt x="2142" y="10"/>
                                  </a:lnTo>
                                  <a:lnTo>
                                    <a:pt x="2162" y="10"/>
                                  </a:lnTo>
                                  <a:lnTo>
                                    <a:pt x="2162" y="20"/>
                                  </a:lnTo>
                                  <a:close/>
                                </a:path>
                              </a:pathLst>
                            </a:custGeom>
                            <a:solidFill>
                              <a:srgbClr val="FF0000"/>
                            </a:solidFill>
                            <a:ln>
                              <a:noFill/>
                            </a:ln>
                          </wps:spPr>
                          <wps:bodyPr rot="0" vert="horz" wrap="square" lIns="91440" tIns="45720" rIns="91440" bIns="45720" anchor="t" anchorCtr="0" upright="1">
                            <a:noAutofit/>
                          </wps:bodyPr>
                        </wps:wsp>
                        <wps:wsp>
                          <wps:cNvPr id="26" name="Freeform 15"/>
                          <wps:cNvSpPr/>
                          <wps:spPr bwMode="auto">
                            <a:xfrm>
                              <a:off x="4126" y="1860"/>
                              <a:ext cx="2163" cy="1156"/>
                            </a:xfrm>
                            <a:custGeom>
                              <a:avLst/>
                              <a:gdLst>
                                <a:gd name="T0" fmla="*/ 779 w 2163"/>
                                <a:gd name="T1" fmla="*/ 526 h 1156"/>
                                <a:gd name="T2" fmla="*/ 769 w 2163"/>
                                <a:gd name="T3" fmla="*/ 516 h 1156"/>
                                <a:gd name="T4" fmla="*/ 779 w 2163"/>
                                <a:gd name="T5" fmla="*/ 516 h 1156"/>
                                <a:gd name="T6" fmla="*/ 779 w 2163"/>
                                <a:gd name="T7" fmla="*/ 526 h 1156"/>
                              </a:gdLst>
                              <a:ahLst/>
                              <a:cxnLst>
                                <a:cxn ang="0">
                                  <a:pos x="T0" y="T1"/>
                                </a:cxn>
                                <a:cxn ang="0">
                                  <a:pos x="T2" y="T3"/>
                                </a:cxn>
                                <a:cxn ang="0">
                                  <a:pos x="T4" y="T5"/>
                                </a:cxn>
                                <a:cxn ang="0">
                                  <a:pos x="T6" y="T7"/>
                                </a:cxn>
                              </a:cxnLst>
                              <a:rect l="0" t="0" r="r" b="b"/>
                              <a:pathLst>
                                <a:path w="2163" h="1156">
                                  <a:moveTo>
                                    <a:pt x="779" y="526"/>
                                  </a:moveTo>
                                  <a:lnTo>
                                    <a:pt x="769" y="516"/>
                                  </a:lnTo>
                                  <a:lnTo>
                                    <a:pt x="779" y="516"/>
                                  </a:lnTo>
                                  <a:lnTo>
                                    <a:pt x="779" y="526"/>
                                  </a:lnTo>
                                  <a:close/>
                                </a:path>
                              </a:pathLst>
                            </a:custGeom>
                            <a:solidFill>
                              <a:srgbClr val="FF0000"/>
                            </a:solidFill>
                            <a:ln>
                              <a:noFill/>
                            </a:ln>
                          </wps:spPr>
                          <wps:bodyPr rot="0" vert="horz" wrap="square" lIns="91440" tIns="45720" rIns="91440" bIns="45720" anchor="t" anchorCtr="0" upright="1">
                            <a:noAutofit/>
                          </wps:bodyPr>
                        </wps:wsp>
                        <wps:wsp>
                          <wps:cNvPr id="27" name="Freeform 16"/>
                          <wps:cNvSpPr/>
                          <wps:spPr bwMode="auto">
                            <a:xfrm>
                              <a:off x="4126" y="1860"/>
                              <a:ext cx="2163" cy="1156"/>
                            </a:xfrm>
                            <a:custGeom>
                              <a:avLst/>
                              <a:gdLst>
                                <a:gd name="T0" fmla="*/ 981 w 2163"/>
                                <a:gd name="T1" fmla="*/ 526 h 1156"/>
                                <a:gd name="T2" fmla="*/ 779 w 2163"/>
                                <a:gd name="T3" fmla="*/ 526 h 1156"/>
                                <a:gd name="T4" fmla="*/ 779 w 2163"/>
                                <a:gd name="T5" fmla="*/ 516 h 1156"/>
                                <a:gd name="T6" fmla="*/ 1034 w 2163"/>
                                <a:gd name="T7" fmla="*/ 516 h 1156"/>
                                <a:gd name="T8" fmla="*/ 1032 w 2163"/>
                                <a:gd name="T9" fmla="*/ 518 h 1156"/>
                                <a:gd name="T10" fmla="*/ 994 w 2163"/>
                                <a:gd name="T11" fmla="*/ 518 h 1156"/>
                                <a:gd name="T12" fmla="*/ 981 w 2163"/>
                                <a:gd name="T13" fmla="*/ 526 h 1156"/>
                              </a:gdLst>
                              <a:ahLst/>
                              <a:cxnLst>
                                <a:cxn ang="0">
                                  <a:pos x="T0" y="T1"/>
                                </a:cxn>
                                <a:cxn ang="0">
                                  <a:pos x="T2" y="T3"/>
                                </a:cxn>
                                <a:cxn ang="0">
                                  <a:pos x="T4" y="T5"/>
                                </a:cxn>
                                <a:cxn ang="0">
                                  <a:pos x="T6" y="T7"/>
                                </a:cxn>
                                <a:cxn ang="0">
                                  <a:pos x="T8" y="T9"/>
                                </a:cxn>
                                <a:cxn ang="0">
                                  <a:pos x="T10" y="T11"/>
                                </a:cxn>
                                <a:cxn ang="0">
                                  <a:pos x="T12" y="T13"/>
                                </a:cxn>
                              </a:cxnLst>
                              <a:rect l="0" t="0" r="r" b="b"/>
                              <a:pathLst>
                                <a:path w="2163" h="1156">
                                  <a:moveTo>
                                    <a:pt x="981" y="526"/>
                                  </a:moveTo>
                                  <a:lnTo>
                                    <a:pt x="779" y="526"/>
                                  </a:lnTo>
                                  <a:lnTo>
                                    <a:pt x="779" y="516"/>
                                  </a:lnTo>
                                  <a:lnTo>
                                    <a:pt x="1034" y="516"/>
                                  </a:lnTo>
                                  <a:lnTo>
                                    <a:pt x="1032" y="518"/>
                                  </a:lnTo>
                                  <a:lnTo>
                                    <a:pt x="994" y="518"/>
                                  </a:lnTo>
                                  <a:lnTo>
                                    <a:pt x="981" y="526"/>
                                  </a:lnTo>
                                  <a:close/>
                                </a:path>
                              </a:pathLst>
                            </a:custGeom>
                            <a:solidFill>
                              <a:srgbClr val="FF0000"/>
                            </a:solidFill>
                            <a:ln>
                              <a:noFill/>
                            </a:ln>
                          </wps:spPr>
                          <wps:bodyPr rot="0" vert="horz" wrap="square" lIns="91440" tIns="45720" rIns="91440" bIns="45720" anchor="t" anchorCtr="0" upright="1">
                            <a:noAutofit/>
                          </wps:bodyPr>
                        </wps:wsp>
                        <wps:wsp>
                          <wps:cNvPr id="34" name="Freeform 17"/>
                          <wps:cNvSpPr/>
                          <wps:spPr bwMode="auto">
                            <a:xfrm>
                              <a:off x="4126" y="1860"/>
                              <a:ext cx="2163" cy="1156"/>
                            </a:xfrm>
                            <a:custGeom>
                              <a:avLst/>
                              <a:gdLst>
                                <a:gd name="T0" fmla="*/ 78 w 2163"/>
                                <a:gd name="T1" fmla="*/ 1121 h 1156"/>
                                <a:gd name="T2" fmla="*/ 77 w 2163"/>
                                <a:gd name="T3" fmla="*/ 1121 h 1156"/>
                                <a:gd name="T4" fmla="*/ 205 w 2163"/>
                                <a:gd name="T5" fmla="*/ 1040 h 1156"/>
                                <a:gd name="T6" fmla="*/ 1343 w 2163"/>
                                <a:gd name="T7" fmla="*/ 516 h 1156"/>
                                <a:gd name="T8" fmla="*/ 2142 w 2163"/>
                                <a:gd name="T9" fmla="*/ 516 h 1156"/>
                                <a:gd name="T10" fmla="*/ 2142 w 2163"/>
                                <a:gd name="T11" fmla="*/ 526 h 1156"/>
                                <a:gd name="T12" fmla="*/ 2162 w 2163"/>
                                <a:gd name="T13" fmla="*/ 526 h 1156"/>
                                <a:gd name="T14" fmla="*/ 2162 w 2163"/>
                                <a:gd name="T15" fmla="*/ 536 h 1156"/>
                                <a:gd name="T16" fmla="*/ 1349 w 2163"/>
                                <a:gd name="T17" fmla="*/ 536 h 1156"/>
                                <a:gd name="T18" fmla="*/ 1345 w 2163"/>
                                <a:gd name="T19" fmla="*/ 536 h 1156"/>
                                <a:gd name="T20" fmla="*/ 1347 w 2163"/>
                                <a:gd name="T21" fmla="*/ 536 h 1156"/>
                                <a:gd name="T22" fmla="*/ 78 w 2163"/>
                                <a:gd name="T23" fmla="*/ 1121 h 1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163" h="1156">
                                  <a:moveTo>
                                    <a:pt x="78" y="1121"/>
                                  </a:moveTo>
                                  <a:lnTo>
                                    <a:pt x="77" y="1121"/>
                                  </a:lnTo>
                                  <a:lnTo>
                                    <a:pt x="205" y="1040"/>
                                  </a:lnTo>
                                  <a:lnTo>
                                    <a:pt x="1343" y="516"/>
                                  </a:lnTo>
                                  <a:lnTo>
                                    <a:pt x="2142" y="516"/>
                                  </a:lnTo>
                                  <a:lnTo>
                                    <a:pt x="2142" y="526"/>
                                  </a:lnTo>
                                  <a:lnTo>
                                    <a:pt x="2162" y="526"/>
                                  </a:lnTo>
                                  <a:lnTo>
                                    <a:pt x="2162" y="536"/>
                                  </a:lnTo>
                                  <a:lnTo>
                                    <a:pt x="1349" y="536"/>
                                  </a:lnTo>
                                  <a:lnTo>
                                    <a:pt x="1345" y="536"/>
                                  </a:lnTo>
                                  <a:lnTo>
                                    <a:pt x="1347" y="536"/>
                                  </a:lnTo>
                                  <a:lnTo>
                                    <a:pt x="78" y="1121"/>
                                  </a:lnTo>
                                  <a:close/>
                                </a:path>
                              </a:pathLst>
                            </a:custGeom>
                            <a:solidFill>
                              <a:srgbClr val="FF0000"/>
                            </a:solidFill>
                            <a:ln>
                              <a:noFill/>
                            </a:ln>
                          </wps:spPr>
                          <wps:bodyPr rot="0" vert="horz" wrap="square" lIns="91440" tIns="45720" rIns="91440" bIns="45720" anchor="t" anchorCtr="0" upright="1">
                            <a:noAutofit/>
                          </wps:bodyPr>
                        </wps:wsp>
                        <wps:wsp>
                          <wps:cNvPr id="35" name="Freeform 18"/>
                          <wps:cNvSpPr/>
                          <wps:spPr bwMode="auto">
                            <a:xfrm>
                              <a:off x="4126" y="1860"/>
                              <a:ext cx="2163" cy="1156"/>
                            </a:xfrm>
                            <a:custGeom>
                              <a:avLst/>
                              <a:gdLst>
                                <a:gd name="T0" fmla="*/ 2162 w 2163"/>
                                <a:gd name="T1" fmla="*/ 526 h 1156"/>
                                <a:gd name="T2" fmla="*/ 2142 w 2163"/>
                                <a:gd name="T3" fmla="*/ 526 h 1156"/>
                                <a:gd name="T4" fmla="*/ 2152 w 2163"/>
                                <a:gd name="T5" fmla="*/ 516 h 1156"/>
                                <a:gd name="T6" fmla="*/ 2162 w 2163"/>
                                <a:gd name="T7" fmla="*/ 516 h 1156"/>
                                <a:gd name="T8" fmla="*/ 2162 w 2163"/>
                                <a:gd name="T9" fmla="*/ 526 h 1156"/>
                              </a:gdLst>
                              <a:ahLst/>
                              <a:cxnLst>
                                <a:cxn ang="0">
                                  <a:pos x="T0" y="T1"/>
                                </a:cxn>
                                <a:cxn ang="0">
                                  <a:pos x="T2" y="T3"/>
                                </a:cxn>
                                <a:cxn ang="0">
                                  <a:pos x="T4" y="T5"/>
                                </a:cxn>
                                <a:cxn ang="0">
                                  <a:pos x="T6" y="T7"/>
                                </a:cxn>
                                <a:cxn ang="0">
                                  <a:pos x="T8" y="T9"/>
                                </a:cxn>
                              </a:cxnLst>
                              <a:rect l="0" t="0" r="r" b="b"/>
                              <a:pathLst>
                                <a:path w="2163" h="1156">
                                  <a:moveTo>
                                    <a:pt x="2162" y="526"/>
                                  </a:moveTo>
                                  <a:lnTo>
                                    <a:pt x="2142" y="526"/>
                                  </a:lnTo>
                                  <a:lnTo>
                                    <a:pt x="2152" y="516"/>
                                  </a:lnTo>
                                  <a:lnTo>
                                    <a:pt x="2162" y="516"/>
                                  </a:lnTo>
                                  <a:lnTo>
                                    <a:pt x="2162" y="526"/>
                                  </a:lnTo>
                                  <a:close/>
                                </a:path>
                              </a:pathLst>
                            </a:custGeom>
                            <a:solidFill>
                              <a:srgbClr val="FF0000"/>
                            </a:solidFill>
                            <a:ln>
                              <a:noFill/>
                            </a:ln>
                          </wps:spPr>
                          <wps:bodyPr rot="0" vert="horz" wrap="square" lIns="91440" tIns="45720" rIns="91440" bIns="45720" anchor="t" anchorCtr="0" upright="1">
                            <a:noAutofit/>
                          </wps:bodyPr>
                        </wps:wsp>
                        <wps:wsp>
                          <wps:cNvPr id="50" name="Freeform 19"/>
                          <wps:cNvSpPr/>
                          <wps:spPr bwMode="auto">
                            <a:xfrm>
                              <a:off x="4126" y="1860"/>
                              <a:ext cx="2163" cy="1156"/>
                            </a:xfrm>
                            <a:custGeom>
                              <a:avLst/>
                              <a:gdLst>
                                <a:gd name="T0" fmla="*/ 4 w 2163"/>
                                <a:gd name="T1" fmla="*/ 1155 h 1156"/>
                                <a:gd name="T2" fmla="*/ 0 w 2163"/>
                                <a:gd name="T3" fmla="*/ 1147 h 1156"/>
                                <a:gd name="T4" fmla="*/ 994 w 2163"/>
                                <a:gd name="T5" fmla="*/ 518 h 1156"/>
                                <a:gd name="T6" fmla="*/ 1000 w 2163"/>
                                <a:gd name="T7" fmla="*/ 536 h 1156"/>
                                <a:gd name="T8" fmla="*/ 1002 w 2163"/>
                                <a:gd name="T9" fmla="*/ 536 h 1156"/>
                                <a:gd name="T10" fmla="*/ 205 w 2163"/>
                                <a:gd name="T11" fmla="*/ 1040 h 1156"/>
                                <a:gd name="T12" fmla="*/ 68 w 2163"/>
                                <a:gd name="T13" fmla="*/ 1103 h 1156"/>
                                <a:gd name="T14" fmla="*/ 77 w 2163"/>
                                <a:gd name="T15" fmla="*/ 1121 h 1156"/>
                                <a:gd name="T16" fmla="*/ 78 w 2163"/>
                                <a:gd name="T17" fmla="*/ 1121 h 1156"/>
                                <a:gd name="T18" fmla="*/ 4 w 2163"/>
                                <a:gd name="T19" fmla="*/ 1155 h 1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3" h="1156">
                                  <a:moveTo>
                                    <a:pt x="4" y="1155"/>
                                  </a:moveTo>
                                  <a:lnTo>
                                    <a:pt x="0" y="1147"/>
                                  </a:lnTo>
                                  <a:lnTo>
                                    <a:pt x="994" y="518"/>
                                  </a:lnTo>
                                  <a:lnTo>
                                    <a:pt x="1000" y="536"/>
                                  </a:lnTo>
                                  <a:lnTo>
                                    <a:pt x="1002" y="536"/>
                                  </a:lnTo>
                                  <a:lnTo>
                                    <a:pt x="205" y="1040"/>
                                  </a:lnTo>
                                  <a:lnTo>
                                    <a:pt x="68" y="1103"/>
                                  </a:lnTo>
                                  <a:lnTo>
                                    <a:pt x="77" y="1121"/>
                                  </a:lnTo>
                                  <a:lnTo>
                                    <a:pt x="78" y="1121"/>
                                  </a:lnTo>
                                  <a:lnTo>
                                    <a:pt x="4" y="1155"/>
                                  </a:lnTo>
                                  <a:close/>
                                </a:path>
                              </a:pathLst>
                            </a:custGeom>
                            <a:solidFill>
                              <a:srgbClr val="FF0000"/>
                            </a:solidFill>
                            <a:ln>
                              <a:noFill/>
                            </a:ln>
                          </wps:spPr>
                          <wps:bodyPr rot="0" vert="horz" wrap="square" lIns="91440" tIns="45720" rIns="91440" bIns="45720" anchor="t" anchorCtr="0" upright="1">
                            <a:noAutofit/>
                          </wps:bodyPr>
                        </wps:wsp>
                        <wps:wsp>
                          <wps:cNvPr id="51" name="Freeform 20"/>
                          <wps:cNvSpPr/>
                          <wps:spPr bwMode="auto">
                            <a:xfrm>
                              <a:off x="4126" y="1860"/>
                              <a:ext cx="2163" cy="1156"/>
                            </a:xfrm>
                            <a:custGeom>
                              <a:avLst/>
                              <a:gdLst>
                                <a:gd name="T0" fmla="*/ 1002 w 2163"/>
                                <a:gd name="T1" fmla="*/ 536 h 1156"/>
                                <a:gd name="T2" fmla="*/ 1000 w 2163"/>
                                <a:gd name="T3" fmla="*/ 536 h 1156"/>
                                <a:gd name="T4" fmla="*/ 994 w 2163"/>
                                <a:gd name="T5" fmla="*/ 518 h 1156"/>
                                <a:gd name="T6" fmla="*/ 1032 w 2163"/>
                                <a:gd name="T7" fmla="*/ 518 h 1156"/>
                                <a:gd name="T8" fmla="*/ 1002 w 2163"/>
                                <a:gd name="T9" fmla="*/ 536 h 1156"/>
                              </a:gdLst>
                              <a:ahLst/>
                              <a:cxnLst>
                                <a:cxn ang="0">
                                  <a:pos x="T0" y="T1"/>
                                </a:cxn>
                                <a:cxn ang="0">
                                  <a:pos x="T2" y="T3"/>
                                </a:cxn>
                                <a:cxn ang="0">
                                  <a:pos x="T4" y="T5"/>
                                </a:cxn>
                                <a:cxn ang="0">
                                  <a:pos x="T6" y="T7"/>
                                </a:cxn>
                                <a:cxn ang="0">
                                  <a:pos x="T8" y="T9"/>
                                </a:cxn>
                              </a:cxnLst>
                              <a:rect l="0" t="0" r="r" b="b"/>
                              <a:pathLst>
                                <a:path w="2163" h="1156">
                                  <a:moveTo>
                                    <a:pt x="1002" y="536"/>
                                  </a:moveTo>
                                  <a:lnTo>
                                    <a:pt x="1000" y="536"/>
                                  </a:lnTo>
                                  <a:lnTo>
                                    <a:pt x="994" y="518"/>
                                  </a:lnTo>
                                  <a:lnTo>
                                    <a:pt x="1032" y="518"/>
                                  </a:lnTo>
                                  <a:lnTo>
                                    <a:pt x="1002" y="536"/>
                                  </a:lnTo>
                                  <a:close/>
                                </a:path>
                              </a:pathLst>
                            </a:custGeom>
                            <a:solidFill>
                              <a:srgbClr val="FF0000"/>
                            </a:solidFill>
                            <a:ln>
                              <a:noFill/>
                            </a:ln>
                          </wps:spPr>
                          <wps:bodyPr rot="0" vert="horz" wrap="square" lIns="91440" tIns="45720" rIns="91440" bIns="45720" anchor="t" anchorCtr="0" upright="1">
                            <a:noAutofit/>
                          </wps:bodyPr>
                        </wps:wsp>
                        <wps:wsp>
                          <wps:cNvPr id="52" name="Freeform 21"/>
                          <wps:cNvSpPr/>
                          <wps:spPr bwMode="auto">
                            <a:xfrm>
                              <a:off x="4126" y="1860"/>
                              <a:ext cx="2163" cy="1156"/>
                            </a:xfrm>
                            <a:custGeom>
                              <a:avLst/>
                              <a:gdLst>
                                <a:gd name="T0" fmla="*/ 1347 w 2163"/>
                                <a:gd name="T1" fmla="*/ 536 h 1156"/>
                                <a:gd name="T2" fmla="*/ 1345 w 2163"/>
                                <a:gd name="T3" fmla="*/ 536 h 1156"/>
                                <a:gd name="T4" fmla="*/ 1349 w 2163"/>
                                <a:gd name="T5" fmla="*/ 536 h 1156"/>
                                <a:gd name="T6" fmla="*/ 1347 w 2163"/>
                                <a:gd name="T7" fmla="*/ 536 h 1156"/>
                              </a:gdLst>
                              <a:ahLst/>
                              <a:cxnLst>
                                <a:cxn ang="0">
                                  <a:pos x="T0" y="T1"/>
                                </a:cxn>
                                <a:cxn ang="0">
                                  <a:pos x="T2" y="T3"/>
                                </a:cxn>
                                <a:cxn ang="0">
                                  <a:pos x="T4" y="T5"/>
                                </a:cxn>
                                <a:cxn ang="0">
                                  <a:pos x="T6" y="T7"/>
                                </a:cxn>
                              </a:cxnLst>
                              <a:rect l="0" t="0" r="r" b="b"/>
                              <a:pathLst>
                                <a:path w="2163" h="1156">
                                  <a:moveTo>
                                    <a:pt x="1347" y="536"/>
                                  </a:moveTo>
                                  <a:lnTo>
                                    <a:pt x="1345" y="536"/>
                                  </a:lnTo>
                                  <a:lnTo>
                                    <a:pt x="1349" y="536"/>
                                  </a:lnTo>
                                  <a:lnTo>
                                    <a:pt x="1347" y="536"/>
                                  </a:lnTo>
                                  <a:close/>
                                </a:path>
                              </a:pathLst>
                            </a:custGeom>
                            <a:solidFill>
                              <a:srgbClr val="FF0000"/>
                            </a:solidFill>
                            <a:ln>
                              <a:noFill/>
                            </a:ln>
                          </wps:spPr>
                          <wps:bodyPr rot="0" vert="horz" wrap="square" lIns="91440" tIns="45720" rIns="91440" bIns="45720" anchor="t" anchorCtr="0" upright="1">
                            <a:noAutofit/>
                          </wps:bodyPr>
                        </wps:wsp>
                        <wps:wsp>
                          <wps:cNvPr id="53" name="Freeform 22"/>
                          <wps:cNvSpPr/>
                          <wps:spPr bwMode="auto">
                            <a:xfrm>
                              <a:off x="4126" y="1860"/>
                              <a:ext cx="2163" cy="1156"/>
                            </a:xfrm>
                            <a:custGeom>
                              <a:avLst/>
                              <a:gdLst>
                                <a:gd name="T0" fmla="*/ 2162 w 2163"/>
                                <a:gd name="T1" fmla="*/ 536 h 1156"/>
                                <a:gd name="T2" fmla="*/ 1347 w 2163"/>
                                <a:gd name="T3" fmla="*/ 536 h 1156"/>
                                <a:gd name="T4" fmla="*/ 1349 w 2163"/>
                                <a:gd name="T5" fmla="*/ 536 h 1156"/>
                                <a:gd name="T6" fmla="*/ 2162 w 2163"/>
                                <a:gd name="T7" fmla="*/ 536 h 1156"/>
                                <a:gd name="T8" fmla="*/ 2162 w 2163"/>
                                <a:gd name="T9" fmla="*/ 536 h 1156"/>
                              </a:gdLst>
                              <a:ahLst/>
                              <a:cxnLst>
                                <a:cxn ang="0">
                                  <a:pos x="T0" y="T1"/>
                                </a:cxn>
                                <a:cxn ang="0">
                                  <a:pos x="T2" y="T3"/>
                                </a:cxn>
                                <a:cxn ang="0">
                                  <a:pos x="T4" y="T5"/>
                                </a:cxn>
                                <a:cxn ang="0">
                                  <a:pos x="T6" y="T7"/>
                                </a:cxn>
                                <a:cxn ang="0">
                                  <a:pos x="T8" y="T9"/>
                                </a:cxn>
                              </a:cxnLst>
                              <a:rect l="0" t="0" r="r" b="b"/>
                              <a:pathLst>
                                <a:path w="2163" h="1156">
                                  <a:moveTo>
                                    <a:pt x="2162" y="536"/>
                                  </a:moveTo>
                                  <a:lnTo>
                                    <a:pt x="1347" y="536"/>
                                  </a:lnTo>
                                  <a:lnTo>
                                    <a:pt x="1349" y="536"/>
                                  </a:lnTo>
                                  <a:lnTo>
                                    <a:pt x="2162" y="536"/>
                                  </a:lnTo>
                                  <a:lnTo>
                                    <a:pt x="2162" y="536"/>
                                  </a:lnTo>
                                  <a:close/>
                                </a:path>
                              </a:pathLst>
                            </a:custGeom>
                            <a:solidFill>
                              <a:srgbClr val="FF0000"/>
                            </a:solidFill>
                            <a:ln>
                              <a:noFill/>
                            </a:ln>
                          </wps:spPr>
                          <wps:bodyPr rot="0" vert="horz" wrap="square" lIns="91440" tIns="45720" rIns="91440" bIns="45720" anchor="t" anchorCtr="0" upright="1">
                            <a:noAutofit/>
                          </wps:bodyPr>
                        </wps:wsp>
                        <wps:wsp>
                          <wps:cNvPr id="54" name="Freeform 23"/>
                          <wps:cNvSpPr/>
                          <wps:spPr bwMode="auto">
                            <a:xfrm>
                              <a:off x="4126" y="1860"/>
                              <a:ext cx="2163" cy="1156"/>
                            </a:xfrm>
                            <a:custGeom>
                              <a:avLst/>
                              <a:gdLst>
                                <a:gd name="T0" fmla="*/ 77 w 2163"/>
                                <a:gd name="T1" fmla="*/ 1121 h 1156"/>
                                <a:gd name="T2" fmla="*/ 68 w 2163"/>
                                <a:gd name="T3" fmla="*/ 1103 h 1156"/>
                                <a:gd name="T4" fmla="*/ 205 w 2163"/>
                                <a:gd name="T5" fmla="*/ 1040 h 1156"/>
                                <a:gd name="T6" fmla="*/ 77 w 2163"/>
                                <a:gd name="T7" fmla="*/ 1121 h 1156"/>
                              </a:gdLst>
                              <a:ahLst/>
                              <a:cxnLst>
                                <a:cxn ang="0">
                                  <a:pos x="T0" y="T1"/>
                                </a:cxn>
                                <a:cxn ang="0">
                                  <a:pos x="T2" y="T3"/>
                                </a:cxn>
                                <a:cxn ang="0">
                                  <a:pos x="T4" y="T5"/>
                                </a:cxn>
                                <a:cxn ang="0">
                                  <a:pos x="T6" y="T7"/>
                                </a:cxn>
                              </a:cxnLst>
                              <a:rect l="0" t="0" r="r" b="b"/>
                              <a:pathLst>
                                <a:path w="2163" h="1156">
                                  <a:moveTo>
                                    <a:pt x="77" y="1121"/>
                                  </a:moveTo>
                                  <a:lnTo>
                                    <a:pt x="68" y="1103"/>
                                  </a:lnTo>
                                  <a:lnTo>
                                    <a:pt x="205" y="1040"/>
                                  </a:lnTo>
                                  <a:lnTo>
                                    <a:pt x="77" y="1121"/>
                                  </a:lnTo>
                                  <a:close/>
                                </a:path>
                              </a:pathLst>
                            </a:custGeom>
                            <a:solidFill>
                              <a:srgbClr val="FF0000"/>
                            </a:solidFill>
                            <a:ln>
                              <a:noFill/>
                            </a:ln>
                          </wps:spPr>
                          <wps:bodyPr rot="0" vert="horz" wrap="square" lIns="91440" tIns="45720" rIns="91440" bIns="45720" anchor="t" anchorCtr="0" upright="1">
                            <a:noAutofit/>
                          </wps:bodyPr>
                        </wps:wsp>
                      </wpg:grpSp>
                      <pic:pic xmlns:pic="http://schemas.openxmlformats.org/drawingml/2006/picture">
                        <pic:nvPicPr>
                          <pic:cNvPr id="55"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4009" y="2862"/>
                            <a:ext cx="280" cy="280"/>
                          </a:xfrm>
                          <a:prstGeom prst="rect">
                            <a:avLst/>
                          </a:prstGeom>
                          <a:noFill/>
                          <a:ln>
                            <a:noFill/>
                          </a:ln>
                        </pic:spPr>
                      </pic:pic>
                      <wps:wsp>
                        <wps:cNvPr id="56" name="Text Box 25"/>
                        <wps:cNvSpPr txBox="1">
                          <a:spLocks noChangeArrowheads="1"/>
                        </wps:cNvSpPr>
                        <wps:spPr bwMode="auto">
                          <a:xfrm>
                            <a:off x="5050" y="1988"/>
                            <a:ext cx="983" cy="240"/>
                          </a:xfrm>
                          <a:prstGeom prst="rect">
                            <a:avLst/>
                          </a:prstGeom>
                          <a:noFill/>
                          <a:ln>
                            <a:noFill/>
                          </a:ln>
                        </wps:spPr>
                        <wps:txbx>
                          <w:txbxContent>
                            <w:p w14:paraId="47548131">
                              <w:pPr>
                                <w:pStyle w:val="19"/>
                                <w:kinsoku w:val="0"/>
                                <w:overflowPunct w:val="0"/>
                                <w:spacing w:line="240" w:lineRule="exact"/>
                                <w:rPr>
                                  <w:b/>
                                  <w:bCs/>
                                  <w:color w:val="FF0000"/>
                                  <w:spacing w:val="-3"/>
                                  <w:w w:val="95"/>
                                </w:rPr>
                              </w:pPr>
                              <w:r>
                                <w:rPr>
                                  <w:rFonts w:hint="eastAsia"/>
                                  <w:b/>
                                  <w:bCs/>
                                  <w:color w:val="FF0000"/>
                                  <w:spacing w:val="-3"/>
                                  <w:w w:val="95"/>
                                </w:rPr>
                                <w:t>项目位置</w:t>
                              </w:r>
                            </w:p>
                          </w:txbxContent>
                        </wps:txbx>
                        <wps:bodyPr rot="0" vert="horz" wrap="square" lIns="0" tIns="0" rIns="0" bIns="0" anchor="t" anchorCtr="0" upright="1">
                          <a:noAutofit/>
                        </wps:bodyPr>
                      </wps:wsp>
                    </wpg:wgp>
                  </a:graphicData>
                </a:graphic>
              </wp:anchor>
            </w:drawing>
          </mc:Choice>
          <mc:Fallback>
            <w:pict>
              <v:group id="_x0000_s1026" o:spid="_x0000_s1026" o:spt="203" style="position:absolute;left:0pt;margin-top:5.1pt;height:576.65pt;width:415.65pt;mso-position-horizontal:center;mso-position-horizontal-relative:margin;z-index:251677696;mso-width-relative:page;mso-height-relative:page;" coordsize="7277,10767" o:allowincell="f" o:gfxdata="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">
                <o:lock v:ext="edit" aspectratio="f"/>
                <v:shape id="Picture 8" o:spid="_x0000_s1026" o:spt="75" type="#_x0000_t75" style="position:absolute;left:0;top:0;height:10760;width:7280;" filled="f" o:preferrelative="t" stroked="f" coordsize="21600,21600" o:gfxdata="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eL/R74A&#10;AADaAAAADwAAAAAAAAABACAAAAAiAAAAZHJzL2Rvd25yZXYueG1sUEsBAhQAFAAAAAgAh07iQDMv&#10;BZ47AAAAOQAAABAAAAAAAAAAAQAgAAAADQEAAGRycy9zaGFwZXhtbC54bWxQSwUGAAAAAAYABgBb&#10;AQAAtwMAAAAA&#10;">
                  <v:fill on="f" focussize="0,0"/>
                  <v:stroke on="f"/>
                  <v:imagedata r:id="rId69" o:title=""/>
                  <o:lock v:ext="edit" aspectratio="t"/>
                </v:shape>
                <v:group id="Group 9" o:spid="_x0000_s1026" o:spt="203" style="position:absolute;left:4126;top:1860;height:1156;width:2163;" coordorigin="4126,1860" coordsize="2163,1156"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shape id="Freeform 10" o:spid="_x0000_s1026" o:spt="100" style="position:absolute;left:4126;top:1860;height:1156;width:2163;" fillcolor="#FF0000" filled="t" stroked="f" coordsize="2163,1156" o:gfxdata="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wBSKm5AAAA2wAA&#10;AA8AAAAAAAAAAQAgAAAAIgAAAGRycy9kb3ducmV2LnhtbFBLAQIUABQAAAAIAIdO4kAzLwWeOwAA&#10;ADkAAAAQAAAAAAAAAAEAIAAAAAgBAABkcnMvc2hhcGV4bWwueG1sUEsFBgAAAAAGAAYAWwEAALID&#10;AAAAAA==&#10;" path="m965,536l759,536,759,0,2162,0,2162,10,779,10,769,20,779,20,779,516,769,516,779,526,981,526,965,536xe">
                    <v:path o:connectlocs="965,536;759,536;759,0;2162,0;2162,10;779,10;769,20;779,20;779,516;769,516;779,526;981,526;965,536" o:connectangles="0,0,0,0,0,0,0,0,0,0,0,0,0"/>
                    <v:fill on="t" focussize="0,0"/>
                    <v:stroke on="f"/>
                    <v:imagedata o:title=""/>
                    <o:lock v:ext="edit" aspectratio="f"/>
                  </v:shape>
                  <v:shape id="Freeform 11" o:spid="_x0000_s1026" o:spt="100" style="position:absolute;left:4126;top:1860;height:1156;width:2163;" fillcolor="#FF0000" filled="t" stroked="f" coordsize="2163,1156" o:gfxdata="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o0N25AAAA2wAA&#10;AA8AAAAAAAAAAQAgAAAAIgAAAGRycy9kb3ducmV2LnhtbFBLAQIUABQAAAAIAIdO4kAzLwWeOwAA&#10;ADkAAAAQAAAAAAAAAAEAIAAAAAgBAABkcnMvc2hhcGV4bWwueG1sUEsFBgAAAAAGAAYAWwEAALID&#10;AAAAAA==&#10;" path="m779,20l769,20,779,10,779,20xe">
                    <v:path o:connectlocs="779,20;769,20;779,10;779,20" o:connectangles="0,0,0,0"/>
                    <v:fill on="t" focussize="0,0"/>
                    <v:stroke on="f"/>
                    <v:imagedata o:title=""/>
                    <o:lock v:ext="edit" aspectratio="f"/>
                  </v:shape>
                  <v:shape id="Freeform 12" o:spid="_x0000_s1026" o:spt="100" style="position:absolute;left:4126;top:1860;height:1156;width:2163;" fillcolor="#FF0000" filled="t" stroked="f" coordsize="2163,1156" o:gfxdata="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ykdUa5AAAA2wAA&#10;AA8AAAAAAAAAAQAgAAAAIgAAAGRycy9kb3ducmV2LnhtbFBLAQIUABQAAAAIAIdO4kAzLwWeOwAA&#10;ADkAAAAQAAAAAAAAAAEAIAAAAAgBAABkcnMvc2hhcGV4bWwueG1sUEsFBgAAAAAGAAYAWwEAALID&#10;AAAAAA==&#10;" path="m2142,20l779,20,779,10,2142,10,2142,20xe">
                    <v:path o:connectlocs="2142,20;779,20;779,10;2142,10;2142,20" o:connectangles="0,0,0,0,0"/>
                    <v:fill on="t" focussize="0,0"/>
                    <v:stroke on="f"/>
                    <v:imagedata o:title=""/>
                    <o:lock v:ext="edit" aspectratio="f"/>
                  </v:shape>
                  <v:shape id="Freeform 13" o:spid="_x0000_s1026" o:spt="100" style="position:absolute;left:4126;top:1860;height:1156;width:2163;" fillcolor="#FF0000" filled="t" stroked="f" coordsize="2163,1156" o:gfxdata="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r8cY7gAAADbAAAA&#10;DwAAAAAAAAABACAAAAAiAAAAZHJzL2Rvd25yZXYueG1sUEsBAhQAFAAAAAgAh07iQDMvBZ47AAAA&#10;OQAAABAAAAAAAAAAAQAgAAAABwEAAGRycy9zaGFwZXhtbC54bWxQSwUGAAAAAAYABgBbAQAAsQMA&#10;AAAA&#10;" path="m2142,526l2142,10,2152,20,2162,20,2162,516,2152,516,2142,526xe">
                    <v:path o:connectlocs="2142,526;2142,10;2152,20;2162,20;2162,516;2152,516;2142,526" o:connectangles="0,0,0,0,0,0,0"/>
                    <v:fill on="t" focussize="0,0"/>
                    <v:stroke on="f"/>
                    <v:imagedata o:title=""/>
                    <o:lock v:ext="edit" aspectratio="f"/>
                  </v:shape>
                  <v:shape id="Freeform 14" o:spid="_x0000_s1026" o:spt="100" style="position:absolute;left:4126;top:1860;height:1156;width:2163;" fillcolor="#FF0000" filled="t" stroked="f" coordsize="2163,1156" o:gfxdata="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Iv/u8AAAA&#10;2wAAAA8AAAAAAAAAAQAgAAAAIgAAAGRycy9kb3ducmV2LnhtbFBLAQIUABQAAAAIAIdO4kAzLwWe&#10;OwAAADkAAAAQAAAAAAAAAAEAIAAAAAsBAABkcnMvc2hhcGV4bWwueG1sUEsFBgAAAAAGAAYAWwEA&#10;ALUDAAAAAA==&#10;" path="m2162,20l2152,20,2142,10,2162,10,2162,20xe">
                    <v:path o:connectlocs="2162,20;2152,20;2142,10;2162,10;2162,20" o:connectangles="0,0,0,0,0"/>
                    <v:fill on="t" focussize="0,0"/>
                    <v:stroke on="f"/>
                    <v:imagedata o:title=""/>
                    <o:lock v:ext="edit" aspectratio="f"/>
                  </v:shape>
                  <v:shape id="Freeform 15" o:spid="_x0000_s1026" o:spt="100" style="position:absolute;left:4126;top:1860;height:1156;width:2163;" fillcolor="#FF0000" filled="t" stroked="f" coordsize="2163,1156" o:gfxdata="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aIYy8AAAA&#10;2wAAAA8AAAAAAAAAAQAgAAAAIgAAAGRycy9kb3ducmV2LnhtbFBLAQIUABQAAAAIAIdO4kAzLwWe&#10;OwAAADkAAAAQAAAAAAAAAAEAIAAAAAsBAABkcnMvc2hhcGV4bWwueG1sUEsFBgAAAAAGAAYAWwEA&#10;ALUDAAAAAA==&#10;" path="m779,526l769,516,779,516,779,526xe">
                    <v:path o:connectlocs="779,526;769,516;779,516;779,526" o:connectangles="0,0,0,0"/>
                    <v:fill on="t" focussize="0,0"/>
                    <v:stroke on="f"/>
                    <v:imagedata o:title=""/>
                    <o:lock v:ext="edit" aspectratio="f"/>
                  </v:shape>
                  <v:shape id="Freeform 16" o:spid="_x0000_s1026" o:spt="100" style="position:absolute;left:4126;top:1860;height:1156;width:2163;" fillcolor="#FF0000" filled="t" stroked="f" coordsize="2163,1156" o:gfxdata="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WhBe8AAAA&#10;2wAAAA8AAAAAAAAAAQAgAAAAIgAAAGRycy9kb3ducmV2LnhtbFBLAQIUABQAAAAIAIdO4kAzLwWe&#10;OwAAADkAAAAQAAAAAAAAAAEAIAAAAAsBAABkcnMvc2hhcGV4bWwueG1sUEsFBgAAAAAGAAYAWwEA&#10;ALUDAAAAAA==&#10;" path="m981,526l779,526,779,516,1034,516,1032,518,994,518,981,526xe">
                    <v:path o:connectlocs="981,526;779,526;779,516;1034,516;1032,518;994,518;981,526" o:connectangles="0,0,0,0,0,0,0"/>
                    <v:fill on="t" focussize="0,0"/>
                    <v:stroke on="f"/>
                    <v:imagedata o:title=""/>
                    <o:lock v:ext="edit" aspectratio="f"/>
                  </v:shape>
                  <v:shape id="Freeform 17" o:spid="_x0000_s1026" o:spt="100" style="position:absolute;left:4126;top:1860;height:1156;width:2163;" fillcolor="#FF0000" filled="t" stroked="f" coordsize="2163,1156" o:gfxdata="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djL28AAAA&#10;2wAAAA8AAAAAAAAAAQAgAAAAIgAAAGRycy9kb3ducmV2LnhtbFBLAQIUABQAAAAIAIdO4kAzLwWe&#10;OwAAADkAAAAQAAAAAAAAAAEAIAAAAAsBAABkcnMvc2hhcGV4bWwueG1sUEsFBgAAAAAGAAYAWwEA&#10;ALUDAAAAAA==&#10;" path="m78,1121l77,1121,205,1040,1343,516,2142,516,2142,526,2162,526,2162,536,1349,536,1345,536,1347,536,78,1121xe">
                    <v:path o:connectlocs="78,1121;77,1121;205,1040;1343,516;2142,516;2142,526;2162,526;2162,536;1349,536;1345,536;1347,536;78,1121" o:connectangles="0,0,0,0,0,0,0,0,0,0,0,0"/>
                    <v:fill on="t" focussize="0,0"/>
                    <v:stroke on="f"/>
                    <v:imagedata o:title=""/>
                    <o:lock v:ext="edit" aspectratio="f"/>
                  </v:shape>
                  <v:shape id="Freeform 18" o:spid="_x0000_s1026" o:spt="100" style="position:absolute;left:4126;top:1860;height:1156;width:2163;" fillcolor="#FF0000" filled="t" stroked="f" coordsize="2163,1156" o:gfxdata="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xEpJrsAAADb&#10;AAAADwAAAAAAAAABACAAAAAiAAAAZHJzL2Rvd25yZXYueG1sUEsBAhQAFAAAAAgAh07iQDMvBZ47&#10;AAAAOQAAABAAAAAAAAAAAQAgAAAACgEAAGRycy9zaGFwZXhtbC54bWxQSwUGAAAAAAYABgBbAQAA&#10;tAMAAAAA&#10;" path="m2162,526l2142,526,2152,516,2162,516,2162,526xe">
                    <v:path o:connectlocs="2162,526;2142,526;2152,516;2162,516;2162,526" o:connectangles="0,0,0,0,0"/>
                    <v:fill on="t" focussize="0,0"/>
                    <v:stroke on="f"/>
                    <v:imagedata o:title=""/>
                    <o:lock v:ext="edit" aspectratio="f"/>
                  </v:shape>
                  <v:shape id="Freeform 19" o:spid="_x0000_s1026" o:spt="100" style="position:absolute;left:4126;top:1860;height:1156;width:2163;" fillcolor="#FF0000" filled="t" stroked="f" coordsize="2163,1156" o:gfxdata="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rlvHrgAAADbAAAA&#10;DwAAAAAAAAABACAAAAAiAAAAZHJzL2Rvd25yZXYueG1sUEsBAhQAFAAAAAgAh07iQDMvBZ47AAAA&#10;OQAAABAAAAAAAAAAAQAgAAAABwEAAGRycy9zaGFwZXhtbC54bWxQSwUGAAAAAAYABgBbAQAAsQMA&#10;AAAA&#10;" path="m4,1155l0,1147,994,518,1000,536,1002,536,205,1040,68,1103,77,1121,78,1121,4,1155xe">
                    <v:path o:connectlocs="4,1155;0,1147;994,518;1000,536;1002,536;205,1040;68,1103;77,1121;78,1121;4,1155" o:connectangles="0,0,0,0,0,0,0,0,0,0"/>
                    <v:fill on="t" focussize="0,0"/>
                    <v:stroke on="f"/>
                    <v:imagedata o:title=""/>
                    <o:lock v:ext="edit" aspectratio="f"/>
                  </v:shape>
                  <v:shape id="Freeform 20" o:spid="_x0000_s1026" o:spt="100" style="position:absolute;left:4126;top:1860;height:1156;width:2163;" fillcolor="#FF0000" filled="t" stroked="f" coordsize="2163,1156" o:gfxdata="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1yoW8AAAA&#10;2wAAAA8AAAAAAAAAAQAgAAAAIgAAAGRycy9kb3ducmV2LnhtbFBLAQIUABQAAAAIAIdO4kAzLwWe&#10;OwAAADkAAAAQAAAAAAAAAAEAIAAAAAsBAABkcnMvc2hhcGV4bWwueG1sUEsFBgAAAAAGAAYAWwEA&#10;ALUDAAAAAA==&#10;" path="m1002,536l1000,536,994,518,1032,518,1002,536xe">
                    <v:path o:connectlocs="1002,536;1000,536;994,518;1032,518;1002,536" o:connectangles="0,0,0,0,0"/>
                    <v:fill on="t" focussize="0,0"/>
                    <v:stroke on="f"/>
                    <v:imagedata o:title=""/>
                    <o:lock v:ext="edit" aspectratio="f"/>
                  </v:shape>
                  <v:shape id="Freeform 21" o:spid="_x0000_s1026" o:spt="100" style="position:absolute;left:4126;top:1860;height:1156;width:2163;" fillcolor="#FF0000" filled="t" stroked="f" coordsize="2163,1156" o:gfxdata="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nVPK8AAAA&#10;2wAAAA8AAAAAAAAAAQAgAAAAIgAAAGRycy9kb3ducmV2LnhtbFBLAQIUABQAAAAIAIdO4kAzLwWe&#10;OwAAADkAAAAQAAAAAAAAAAEAIAAAAAsBAABkcnMvc2hhcGV4bWwueG1sUEsFBgAAAAAGAAYAWwEA&#10;ALUDAAAAAA==&#10;" path="m1347,536l1345,536,1349,536,1347,536xe">
                    <v:path o:connectlocs="1347,536;1345,536;1349,536;1347,536" o:connectangles="0,0,0,0"/>
                    <v:fill on="t" focussize="0,0"/>
                    <v:stroke on="f"/>
                    <v:imagedata o:title=""/>
                    <o:lock v:ext="edit" aspectratio="f"/>
                  </v:shape>
                  <v:shape id="Freeform 22" o:spid="_x0000_s1026" o:spt="100" style="position:absolute;left:4126;top:1860;height:1156;width:2163;" fillcolor="#FF0000" filled="t" stroked="f" coordsize="2163,1156" o:gfxdata="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vxabsAAADb&#10;AAAADwAAAAAAAAABACAAAAAiAAAAZHJzL2Rvd25yZXYueG1sUEsBAhQAFAAAAAgAh07iQDMvBZ47&#10;AAAAOQAAABAAAAAAAAAAAQAgAAAACgEAAGRycy9zaGFwZXhtbC54bWxQSwUGAAAAAAYABgBbAQAA&#10;tAMAAAAA&#10;" path="m2162,536l1347,536,1349,536,2162,536,2162,536xe">
                    <v:path o:connectlocs="2162,536;1347,536;1349,536;2162,536;2162,536" o:connectangles="0,0,0,0,0"/>
                    <v:fill on="t" focussize="0,0"/>
                    <v:stroke on="f"/>
                    <v:imagedata o:title=""/>
                    <o:lock v:ext="edit" aspectratio="f"/>
                  </v:shape>
                  <v:shape id="Freeform 23" o:spid="_x0000_s1026" o:spt="100" style="position:absolute;left:4126;top:1860;height:1156;width:2163;" fillcolor="#FF0000" filled="t" stroked="f" coordsize="2163,1156" o:gfxdata="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YJpHbsAAADb&#10;AAAADwAAAAAAAAABACAAAAAiAAAAZHJzL2Rvd25yZXYueG1sUEsBAhQAFAAAAAgAh07iQDMvBZ47&#10;AAAAOQAAABAAAAAAAAAAAQAgAAAACgEAAGRycy9zaGFwZXhtbC54bWxQSwUGAAAAAAYABgBbAQAA&#10;tAMAAAAA&#10;" path="m77,1121l68,1103,205,1040,77,1121xe">
                    <v:path o:connectlocs="77,1121;68,1103;205,1040;77,1121" o:connectangles="0,0,0,0"/>
                    <v:fill on="t" focussize="0,0"/>
                    <v:stroke on="f"/>
                    <v:imagedata o:title=""/>
                    <o:lock v:ext="edit" aspectratio="f"/>
                  </v:shape>
                </v:group>
                <v:shape id="Picture 24" o:spid="_x0000_s1026" o:spt="75" type="#_x0000_t75" style="position:absolute;left:4009;top:2862;height:280;width:280;" filled="f" o:preferrelative="t" stroked="f" coordsize="21600,21600" o:gfxdata="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7wZvvQAA&#10;ANsAAAAPAAAAAAAAAAEAIAAAACIAAABkcnMvZG93bnJldi54bWxQSwECFAAUAAAACACHTuJAMy8F&#10;njsAAAA5AAAAEAAAAAAAAAABACAAAAAMAQAAZHJzL3NoYXBleG1sLnhtbFBLBQYAAAAABgAGAFsB&#10;AAC2AwAAAAA=&#10;">
                  <v:fill on="f" focussize="0,0"/>
                  <v:stroke on="f"/>
                  <v:imagedata r:id="rId70" o:title=""/>
                  <o:lock v:ext="edit" aspectratio="t"/>
                </v:shape>
                <v:shape id="Text Box 25" o:spid="_x0000_s1026" o:spt="202" type="#_x0000_t202" style="position:absolute;left:5050;top:1988;height:240;width:983;" filled="f" stroked="f" coordsize="21600,21600" o:gfxdata="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xXW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7548131">
                        <w:pPr>
                          <w:pStyle w:val="19"/>
                          <w:kinsoku w:val="0"/>
                          <w:overflowPunct w:val="0"/>
                          <w:spacing w:line="240" w:lineRule="exact"/>
                          <w:rPr>
                            <w:b/>
                            <w:bCs/>
                            <w:color w:val="FF0000"/>
                            <w:spacing w:val="-3"/>
                            <w:w w:val="95"/>
                          </w:rPr>
                        </w:pPr>
                        <w:r>
                          <w:rPr>
                            <w:rFonts w:hint="eastAsia"/>
                            <w:b/>
                            <w:bCs/>
                            <w:color w:val="FF0000"/>
                            <w:spacing w:val="-3"/>
                            <w:w w:val="95"/>
                          </w:rPr>
                          <w:t>项目位置</w:t>
                        </w:r>
                      </w:p>
                    </w:txbxContent>
                  </v:textbox>
                </v:shape>
              </v:group>
            </w:pict>
          </mc:Fallback>
        </mc:AlternateContent>
      </w:r>
    </w:p>
    <w:p w14:paraId="4FA4A74B">
      <w:pPr>
        <w:pStyle w:val="117"/>
        <w:spacing w:line="480" w:lineRule="exact"/>
        <w:ind w:firstLine="393"/>
        <w:rPr>
          <w:rFonts w:ascii="Calibri" w:hAnsi="Calibri"/>
          <w:b/>
          <w:bCs/>
          <w:spacing w:val="-3"/>
          <w:w w:val="95"/>
          <w:sz w:val="21"/>
          <w:szCs w:val="22"/>
        </w:rPr>
      </w:pPr>
    </w:p>
    <w:p w14:paraId="7AB2B977">
      <w:pPr>
        <w:pStyle w:val="117"/>
        <w:spacing w:line="480" w:lineRule="exact"/>
        <w:ind w:firstLine="480"/>
        <w:rPr>
          <w:rFonts w:hint="eastAsia"/>
        </w:rPr>
      </w:pPr>
    </w:p>
    <w:p w14:paraId="3582068A">
      <w:pPr>
        <w:pStyle w:val="117"/>
        <w:spacing w:line="480" w:lineRule="exact"/>
        <w:ind w:firstLine="480"/>
        <w:rPr>
          <w:rFonts w:hint="eastAsia"/>
        </w:rPr>
      </w:pPr>
    </w:p>
    <w:p w14:paraId="58419CCB">
      <w:pPr>
        <w:pStyle w:val="117"/>
        <w:spacing w:line="480" w:lineRule="exact"/>
        <w:ind w:firstLine="480"/>
        <w:rPr>
          <w:rFonts w:hint="eastAsia"/>
        </w:rPr>
      </w:pPr>
    </w:p>
    <w:p w14:paraId="68290E95">
      <w:pPr>
        <w:pStyle w:val="117"/>
        <w:spacing w:line="480" w:lineRule="exact"/>
        <w:ind w:firstLine="480"/>
        <w:rPr>
          <w:rFonts w:hint="eastAsia"/>
        </w:rPr>
      </w:pPr>
    </w:p>
    <w:p w14:paraId="0A21471E">
      <w:pPr>
        <w:pStyle w:val="117"/>
        <w:spacing w:line="480" w:lineRule="exact"/>
        <w:ind w:firstLine="480"/>
        <w:rPr>
          <w:rFonts w:hint="eastAsia"/>
        </w:rPr>
      </w:pPr>
    </w:p>
    <w:p w14:paraId="39B20D56">
      <w:pPr>
        <w:pStyle w:val="117"/>
        <w:spacing w:line="480" w:lineRule="exact"/>
        <w:ind w:firstLine="480"/>
        <w:rPr>
          <w:rFonts w:hint="eastAsia"/>
        </w:rPr>
      </w:pPr>
    </w:p>
    <w:p w14:paraId="7EB661FF">
      <w:pPr>
        <w:pStyle w:val="117"/>
        <w:spacing w:line="480" w:lineRule="exact"/>
        <w:ind w:firstLine="480"/>
        <w:rPr>
          <w:rFonts w:hint="eastAsia"/>
        </w:rPr>
      </w:pPr>
    </w:p>
    <w:p w14:paraId="35DA77F6">
      <w:pPr>
        <w:pStyle w:val="117"/>
        <w:spacing w:line="480" w:lineRule="exact"/>
        <w:ind w:firstLine="0" w:firstLineChars="0"/>
        <w:rPr>
          <w:rFonts w:hint="eastAsia"/>
        </w:rPr>
      </w:pPr>
    </w:p>
    <w:p w14:paraId="1938E9D1">
      <w:pPr>
        <w:pStyle w:val="117"/>
        <w:spacing w:line="480" w:lineRule="exact"/>
        <w:ind w:firstLine="480"/>
        <w:rPr>
          <w:rFonts w:hint="eastAsia"/>
        </w:rPr>
      </w:pPr>
    </w:p>
    <w:p w14:paraId="376EBB69">
      <w:pPr>
        <w:pStyle w:val="117"/>
        <w:spacing w:line="480" w:lineRule="exact"/>
        <w:ind w:firstLine="480"/>
        <w:rPr>
          <w:rFonts w:hint="eastAsia"/>
        </w:rPr>
      </w:pPr>
    </w:p>
    <w:p w14:paraId="2E1885BC">
      <w:pPr>
        <w:pStyle w:val="117"/>
        <w:spacing w:line="480" w:lineRule="exact"/>
        <w:ind w:firstLine="480"/>
        <w:rPr>
          <w:rFonts w:hint="eastAsia"/>
        </w:rPr>
      </w:pPr>
    </w:p>
    <w:p w14:paraId="7DCF47EC">
      <w:pPr>
        <w:pStyle w:val="117"/>
        <w:spacing w:line="480" w:lineRule="exact"/>
        <w:ind w:firstLine="199" w:firstLineChars="83"/>
        <w:rPr>
          <w:rFonts w:hint="eastAsia"/>
        </w:rPr>
      </w:pPr>
    </w:p>
    <w:p w14:paraId="140725A5">
      <w:pPr>
        <w:pStyle w:val="117"/>
        <w:spacing w:line="480" w:lineRule="exact"/>
        <w:ind w:firstLine="480"/>
        <w:rPr>
          <w:rFonts w:hint="eastAsia"/>
        </w:rPr>
      </w:pPr>
    </w:p>
    <w:p w14:paraId="713BD69F">
      <w:pPr>
        <w:pStyle w:val="117"/>
        <w:spacing w:line="480" w:lineRule="exact"/>
        <w:ind w:firstLine="480"/>
        <w:rPr>
          <w:rFonts w:hint="eastAsia"/>
        </w:rPr>
      </w:pPr>
    </w:p>
    <w:p w14:paraId="1FA58DFF">
      <w:pPr>
        <w:pStyle w:val="117"/>
        <w:spacing w:line="480" w:lineRule="exact"/>
        <w:ind w:firstLine="480"/>
        <w:rPr>
          <w:rFonts w:hint="eastAsia"/>
        </w:rPr>
      </w:pPr>
    </w:p>
    <w:p w14:paraId="2D452968">
      <w:pPr>
        <w:pStyle w:val="117"/>
        <w:spacing w:line="480" w:lineRule="exact"/>
        <w:ind w:firstLine="480"/>
        <w:rPr>
          <w:rFonts w:hint="eastAsia"/>
        </w:rPr>
      </w:pPr>
    </w:p>
    <w:p w14:paraId="51525658">
      <w:pPr>
        <w:pStyle w:val="117"/>
        <w:spacing w:line="480" w:lineRule="exact"/>
        <w:ind w:firstLine="480"/>
        <w:rPr>
          <w:rFonts w:hint="eastAsia"/>
        </w:rPr>
      </w:pPr>
    </w:p>
    <w:p w14:paraId="5EC74675">
      <w:pPr>
        <w:pStyle w:val="117"/>
        <w:spacing w:line="480" w:lineRule="exact"/>
        <w:ind w:firstLine="480"/>
        <w:rPr>
          <w:rFonts w:hint="eastAsia"/>
        </w:rPr>
      </w:pPr>
    </w:p>
    <w:p w14:paraId="1DE6E434">
      <w:pPr>
        <w:pStyle w:val="117"/>
        <w:spacing w:line="480" w:lineRule="exact"/>
        <w:ind w:firstLine="480"/>
        <w:rPr>
          <w:rFonts w:hint="eastAsia"/>
        </w:rPr>
      </w:pPr>
    </w:p>
    <w:p w14:paraId="74C95188">
      <w:pPr>
        <w:pStyle w:val="117"/>
        <w:spacing w:line="480" w:lineRule="exact"/>
        <w:ind w:firstLine="480"/>
        <w:rPr>
          <w:rFonts w:hint="eastAsia"/>
        </w:rPr>
      </w:pPr>
    </w:p>
    <w:p w14:paraId="3DCD4F5F">
      <w:pPr>
        <w:pStyle w:val="117"/>
        <w:spacing w:line="480" w:lineRule="exact"/>
        <w:ind w:firstLine="480"/>
        <w:rPr>
          <w:rFonts w:hint="eastAsia"/>
        </w:rPr>
      </w:pPr>
    </w:p>
    <w:p w14:paraId="086AB6FF">
      <w:pPr>
        <w:pStyle w:val="117"/>
        <w:spacing w:line="480" w:lineRule="exact"/>
        <w:ind w:firstLine="480"/>
        <w:rPr>
          <w:rFonts w:hint="eastAsia"/>
        </w:rPr>
      </w:pPr>
    </w:p>
    <w:p w14:paraId="00FB130E">
      <w:pPr>
        <w:pStyle w:val="15"/>
        <w:rPr>
          <w:rFonts w:hint="eastAsia"/>
        </w:rPr>
      </w:pPr>
      <w:r>
        <w:rPr>
          <w:rFonts w:hint="eastAsia"/>
        </w:rPr>
        <w:t>图5.2-1  项目区水文地质示意图</w:t>
      </w:r>
    </w:p>
    <w:p w14:paraId="2BB8E227">
      <w:pPr>
        <w:pStyle w:val="117"/>
        <w:spacing w:line="480" w:lineRule="exact"/>
        <w:ind w:firstLine="480"/>
        <w:rPr>
          <w:rFonts w:hint="eastAsia" w:cs="宋体"/>
        </w:rPr>
      </w:pPr>
      <w:r>
        <w:rPr>
          <w:rFonts w:hint="eastAsia" w:cs="宋体"/>
        </w:rPr>
        <w:t>（</w:t>
      </w:r>
      <w:r>
        <w:rPr>
          <w:rFonts w:cs="宋体"/>
        </w:rPr>
        <w:t>3</w:t>
      </w:r>
      <w:r>
        <w:rPr>
          <w:rFonts w:hint="eastAsia" w:cs="宋体"/>
        </w:rPr>
        <w:t>）非正常工况对地下水的影响分析</w:t>
      </w:r>
    </w:p>
    <w:p w14:paraId="755113B0">
      <w:pPr>
        <w:pStyle w:val="117"/>
        <w:spacing w:line="480" w:lineRule="exact"/>
        <w:ind w:firstLine="480"/>
        <w:rPr>
          <w:rFonts w:hint="eastAsia" w:cs="宋体"/>
        </w:rPr>
      </w:pPr>
      <w:bookmarkStart w:id="525" w:name="_Hlk147587649"/>
      <w:r>
        <w:rPr>
          <w:rFonts w:hint="eastAsia" w:cs="宋体"/>
        </w:rPr>
        <w:t>本次评价非正常工况主要考虑集油干线泄漏、拉油方罐泄漏、套管破损泄漏对地下水环境的影响分析。</w:t>
      </w:r>
    </w:p>
    <w:p w14:paraId="053CAD36">
      <w:pPr>
        <w:pStyle w:val="117"/>
        <w:spacing w:line="480" w:lineRule="exact"/>
        <w:ind w:firstLine="480"/>
        <w:rPr>
          <w:rFonts w:hint="eastAsia" w:cs="宋体"/>
        </w:rPr>
      </w:pPr>
      <w:r>
        <w:rPr>
          <w:rFonts w:hint="eastAsia"/>
        </w:rPr>
        <w:t>①管线、拉油方罐泄漏</w:t>
      </w:r>
      <w:r>
        <w:rPr>
          <w:rFonts w:hint="eastAsia" w:cs="宋体"/>
        </w:rPr>
        <w:t>对地下水的影响</w:t>
      </w:r>
    </w:p>
    <w:p w14:paraId="1ACB20AC">
      <w:pPr>
        <w:pStyle w:val="117"/>
        <w:ind w:firstLine="480"/>
        <w:rPr>
          <w:rFonts w:hint="eastAsia"/>
        </w:rPr>
      </w:pPr>
      <w:r>
        <w:rPr>
          <w:rFonts w:hint="eastAsia"/>
        </w:rPr>
        <w:t>非正常工况下，单井采油管线、集油干线和拉油方罐破裂导致原油泄漏，泄漏的原油可能通过包气带土层</w:t>
      </w:r>
      <w:r>
        <w:t>渗漏进入</w:t>
      </w:r>
      <w:r>
        <w:rPr>
          <w:rFonts w:hint="eastAsia"/>
        </w:rPr>
        <w:t>地下</w:t>
      </w:r>
      <w:r>
        <w:t>含水层</w:t>
      </w:r>
      <w:r>
        <w:rPr>
          <w:rFonts w:hint="eastAsia"/>
        </w:rPr>
        <w:t>，对地下水造成污染影响。</w:t>
      </w:r>
      <w:bookmarkEnd w:id="525"/>
      <w:r>
        <w:rPr>
          <w:rFonts w:hint="eastAsia"/>
        </w:rPr>
        <w:t>据前节工程分析，本次针对集油干线、拉油方罐泄漏对地下水产生的影响进行预测。</w:t>
      </w:r>
    </w:p>
    <w:p w14:paraId="7DB1372E">
      <w:pPr>
        <w:pStyle w:val="117"/>
        <w:ind w:firstLine="480" w:firstLineChars="0"/>
        <w:rPr>
          <w:rFonts w:hint="eastAsia"/>
        </w:rPr>
      </w:pPr>
      <w:bookmarkStart w:id="526" w:name="OLE_LINK81"/>
      <w:r>
        <w:rPr>
          <w:rFonts w:hint="eastAsia"/>
        </w:rPr>
        <w:t>※</w:t>
      </w:r>
      <w:bookmarkEnd w:id="526"/>
      <w:r>
        <w:rPr>
          <w:rFonts w:hint="eastAsia"/>
        </w:rPr>
        <w:t>泄</w:t>
      </w:r>
      <w:bookmarkStart w:id="527" w:name="OLE_LINK75"/>
      <w:r>
        <w:rPr>
          <w:rFonts w:hint="eastAsia"/>
        </w:rPr>
        <w:t>漏量预测</w:t>
      </w:r>
      <w:bookmarkEnd w:id="527"/>
    </w:p>
    <w:p w14:paraId="129ED19B">
      <w:pPr>
        <w:pStyle w:val="117"/>
        <w:ind w:firstLine="480"/>
        <w:rPr>
          <w:rFonts w:hint="eastAsia"/>
        </w:rPr>
      </w:pPr>
      <w:r>
        <w:rPr>
          <w:rFonts w:hint="eastAsia"/>
        </w:rPr>
        <w:t>按最不利情况考虑假设条件，假设集油干线发生孔径20mm（孔径10%）的泄漏，拉油方罐在距离底部0</w:t>
      </w:r>
      <w:r>
        <w:t>.5</w:t>
      </w:r>
      <w:r>
        <w:rPr>
          <w:rFonts w:hint="eastAsia"/>
        </w:rPr>
        <w:t>m处发生0</w:t>
      </w:r>
      <w:r>
        <w:t>.01</w:t>
      </w:r>
      <w:r>
        <w:rPr>
          <w:rFonts w:hint="eastAsia"/>
        </w:rPr>
        <w:t>m孔径破裂，泄漏</w:t>
      </w:r>
      <w:r>
        <w:t>速度Q</w:t>
      </w:r>
      <w:r>
        <w:rPr>
          <w:vertAlign w:val="subscript"/>
        </w:rPr>
        <w:t>L</w:t>
      </w:r>
      <w:r>
        <w:t>用</w:t>
      </w:r>
      <w:r>
        <w:rPr>
          <w:rFonts w:hint="eastAsia"/>
        </w:rPr>
        <w:t>伯</w:t>
      </w:r>
      <w:r>
        <w:t>努利方程计算：</w:t>
      </w:r>
    </w:p>
    <w:p w14:paraId="6D5A673E">
      <w:pPr>
        <w:pStyle w:val="117"/>
        <w:spacing w:line="360" w:lineRule="auto"/>
        <w:ind w:firstLine="480"/>
        <w:jc w:val="center"/>
        <w:rPr>
          <w:rFonts w:hint="eastAsia"/>
        </w:rPr>
      </w:pPr>
      <w:r>
        <w:object>
          <v:shape id="_x0000_i1030" o:spt="75" type="#_x0000_t75" style="height:34.95pt;width:144pt;" o:ole="t" filled="f" o:preferrelative="t" stroked="f" coordsize="21600,21600">
            <v:path/>
            <v:fill on="f" focussize="0,0"/>
            <v:stroke on="f" joinstyle="miter"/>
            <v:imagedata r:id="rId72" o:title=""/>
            <o:lock v:ext="edit" aspectratio="t"/>
            <w10:wrap type="none"/>
            <w10:anchorlock/>
          </v:shape>
          <o:OLEObject Type="Embed" ProgID="Visio.Drawing.11" ShapeID="_x0000_i1030" DrawAspect="Content" ObjectID="_1468075730" r:id="rId71">
            <o:LockedField>false</o:LockedField>
          </o:OLEObject>
        </w:object>
      </w:r>
    </w:p>
    <w:p w14:paraId="00B151EB">
      <w:pPr>
        <w:pStyle w:val="117"/>
        <w:ind w:firstLine="480"/>
        <w:rPr>
          <w:rFonts w:hint="eastAsia"/>
        </w:rPr>
      </w:pPr>
      <w:bookmarkStart w:id="528" w:name="_Hlk147587667"/>
      <w:bookmarkStart w:id="529" w:name="_Toc445996414"/>
      <w:bookmarkStart w:id="530" w:name="_Toc445842092"/>
      <w:bookmarkStart w:id="531" w:name="_Toc25766"/>
      <w:r>
        <w:t>式中：</w:t>
      </w:r>
    </w:p>
    <w:p w14:paraId="2DA044D1">
      <w:pPr>
        <w:pStyle w:val="117"/>
        <w:ind w:firstLine="991" w:firstLineChars="413"/>
        <w:rPr>
          <w:rFonts w:hint="eastAsia"/>
        </w:rPr>
      </w:pPr>
      <w:r>
        <w:t>Q</w:t>
      </w:r>
      <w:r>
        <w:rPr>
          <w:vertAlign w:val="subscript"/>
        </w:rPr>
        <w:t>L</w:t>
      </w:r>
      <w:r>
        <w:t>——液体泄漏速度，kg/s；</w:t>
      </w:r>
    </w:p>
    <w:p w14:paraId="787CD25A">
      <w:pPr>
        <w:pStyle w:val="117"/>
        <w:ind w:firstLine="991" w:firstLineChars="413"/>
        <w:rPr>
          <w:rFonts w:hint="eastAsia"/>
        </w:rPr>
      </w:pPr>
      <w:r>
        <w:t>C</w:t>
      </w:r>
      <w:r>
        <w:rPr>
          <w:vertAlign w:val="subscript"/>
        </w:rPr>
        <w:t>d</w:t>
      </w:r>
      <w:r>
        <w:t>——液体泄漏系数，取0.65；</w:t>
      </w:r>
    </w:p>
    <w:p w14:paraId="679EB686">
      <w:pPr>
        <w:pStyle w:val="117"/>
        <w:ind w:firstLine="991" w:firstLineChars="413"/>
        <w:rPr>
          <w:rFonts w:hint="eastAsia"/>
        </w:rPr>
      </w:pPr>
      <w:r>
        <w:t>A——裂口面积</w:t>
      </w:r>
      <w:r>
        <w:rPr>
          <w:rFonts w:hint="eastAsia"/>
        </w:rPr>
        <w:t>，</w:t>
      </w:r>
      <w:r>
        <w:t>m</w:t>
      </w:r>
      <w:r>
        <w:rPr>
          <w:vertAlign w:val="superscript"/>
        </w:rPr>
        <w:t>2</w:t>
      </w:r>
      <w:r>
        <w:t>；</w:t>
      </w:r>
    </w:p>
    <w:p w14:paraId="4ECD2399">
      <w:pPr>
        <w:pStyle w:val="117"/>
        <w:ind w:firstLine="991" w:firstLineChars="413"/>
        <w:rPr>
          <w:rFonts w:hint="eastAsia"/>
        </w:rPr>
      </w:pPr>
      <w:r>
        <w:t>ρ——泄漏液体密度</w:t>
      </w:r>
      <w:r>
        <w:rPr>
          <w:rFonts w:hint="eastAsia"/>
        </w:rPr>
        <w:t>；</w:t>
      </w:r>
    </w:p>
    <w:p w14:paraId="2EDB7428">
      <w:pPr>
        <w:pStyle w:val="117"/>
        <w:ind w:firstLine="991" w:firstLineChars="413"/>
        <w:rPr>
          <w:rFonts w:hint="eastAsia"/>
        </w:rPr>
      </w:pPr>
      <w:r>
        <w:t>P——容器内介质压力，Pa；</w:t>
      </w:r>
    </w:p>
    <w:p w14:paraId="3403F8A0">
      <w:pPr>
        <w:pStyle w:val="117"/>
        <w:ind w:firstLine="991" w:firstLineChars="413"/>
        <w:rPr>
          <w:rFonts w:hint="eastAsia"/>
        </w:rPr>
      </w:pPr>
      <w:r>
        <w:t>P</w:t>
      </w:r>
      <w:r>
        <w:rPr>
          <w:vertAlign w:val="subscript"/>
        </w:rPr>
        <w:t>0</w:t>
      </w:r>
      <w:r>
        <w:t>——环境压力</w:t>
      </w:r>
      <w:r>
        <w:rPr>
          <w:rFonts w:hint="eastAsia"/>
        </w:rPr>
        <w:t>，</w:t>
      </w:r>
      <w:r>
        <w:t>Pa；</w:t>
      </w:r>
    </w:p>
    <w:p w14:paraId="1765E0A7">
      <w:pPr>
        <w:pStyle w:val="117"/>
        <w:ind w:firstLine="991" w:firstLineChars="413"/>
        <w:rPr>
          <w:rFonts w:hint="eastAsia"/>
        </w:rPr>
      </w:pPr>
      <w:r>
        <w:t>g——重力加速度，9.8m/s</w:t>
      </w:r>
      <w:r>
        <w:rPr>
          <w:vertAlign w:val="superscript"/>
        </w:rPr>
        <w:t>2</w:t>
      </w:r>
      <w:r>
        <w:t>；</w:t>
      </w:r>
    </w:p>
    <w:p w14:paraId="3A6827EE">
      <w:pPr>
        <w:pStyle w:val="117"/>
        <w:ind w:firstLine="991" w:firstLineChars="413"/>
        <w:rPr>
          <w:rFonts w:hint="eastAsia"/>
        </w:rPr>
      </w:pPr>
      <w:r>
        <w:t>h——裂口之上液位高度</w:t>
      </w:r>
      <w:r>
        <w:rPr>
          <w:rFonts w:hint="eastAsia"/>
        </w:rPr>
        <w:t>，</w:t>
      </w:r>
      <w:r>
        <w:t>m。</w:t>
      </w:r>
    </w:p>
    <w:p w14:paraId="48D0B751">
      <w:pPr>
        <w:pStyle w:val="117"/>
        <w:adjustRightInd w:val="0"/>
        <w:snapToGrid w:val="0"/>
        <w:ind w:firstLine="480"/>
        <w:rPr>
          <w:rFonts w:hint="eastAsia"/>
        </w:rPr>
      </w:pPr>
      <w:r>
        <w:t>经计算，在设定事故条件下泄漏速率见</w:t>
      </w:r>
      <w:r>
        <w:rPr>
          <w:rFonts w:hint="eastAsia"/>
        </w:rPr>
        <w:t>表</w:t>
      </w:r>
      <w:r>
        <w:t>5.2</w:t>
      </w:r>
      <w:r>
        <w:rPr>
          <w:rFonts w:hint="eastAsia"/>
        </w:rPr>
        <w:t>-8</w:t>
      </w:r>
      <w:r>
        <w:t>。</w:t>
      </w:r>
    </w:p>
    <w:p w14:paraId="0A1580CF">
      <w:pPr>
        <w:pStyle w:val="15"/>
        <w:adjustRightInd w:val="0"/>
        <w:snapToGrid w:val="0"/>
        <w:spacing w:line="500" w:lineRule="exact"/>
        <w:rPr>
          <w:rFonts w:hint="eastAsia"/>
          <w:bCs/>
        </w:rPr>
      </w:pPr>
      <w:r>
        <w:rPr>
          <w:rFonts w:hint="eastAsia"/>
          <w:bCs/>
        </w:rPr>
        <w:t>表</w:t>
      </w:r>
      <w:r>
        <w:rPr>
          <w:bCs/>
        </w:rPr>
        <w:t>5.2</w:t>
      </w:r>
      <w:r>
        <w:rPr>
          <w:rFonts w:hint="eastAsia"/>
          <w:bCs/>
        </w:rPr>
        <w:t>-8</w:t>
      </w:r>
      <w:r>
        <w:rPr>
          <w:bCs/>
        </w:rPr>
        <w:t xml:space="preserve">  设定事故条件下泄漏速率计算结果</w:t>
      </w:r>
    </w:p>
    <w:tbl>
      <w:tblPr>
        <w:tblStyle w:val="51"/>
        <w:tblW w:w="8731"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276"/>
        <w:gridCol w:w="1276"/>
        <w:gridCol w:w="1683"/>
        <w:gridCol w:w="1118"/>
        <w:gridCol w:w="1173"/>
        <w:gridCol w:w="1104"/>
        <w:gridCol w:w="1101"/>
      </w:tblGrid>
      <w:tr w14:paraId="7EB3C8F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1276" w:type="dxa"/>
            <w:vAlign w:val="center"/>
          </w:tcPr>
          <w:p w14:paraId="1F73826F">
            <w:pPr>
              <w:adjustRightInd w:val="0"/>
              <w:snapToGrid w:val="0"/>
              <w:spacing w:line="320" w:lineRule="atLeast"/>
              <w:jc w:val="center"/>
              <w:rPr>
                <w:rFonts w:hint="eastAsia" w:ascii="宋体" w:hAnsi="宋体"/>
                <w:szCs w:val="21"/>
              </w:rPr>
            </w:pPr>
            <w:r>
              <w:rPr>
                <w:rFonts w:hint="eastAsia" w:ascii="宋体" w:hAnsi="宋体"/>
                <w:szCs w:val="21"/>
              </w:rPr>
              <w:t>类别</w:t>
            </w:r>
          </w:p>
        </w:tc>
        <w:tc>
          <w:tcPr>
            <w:tcW w:w="1276" w:type="dxa"/>
            <w:vAlign w:val="center"/>
          </w:tcPr>
          <w:p w14:paraId="449155CD">
            <w:pPr>
              <w:adjustRightInd w:val="0"/>
              <w:snapToGrid w:val="0"/>
              <w:spacing w:line="320" w:lineRule="atLeast"/>
              <w:jc w:val="center"/>
              <w:rPr>
                <w:rFonts w:hint="eastAsia" w:ascii="宋体" w:hAnsi="宋体"/>
                <w:szCs w:val="21"/>
              </w:rPr>
            </w:pPr>
            <w:r>
              <w:rPr>
                <w:rFonts w:ascii="宋体" w:hAnsi="宋体"/>
                <w:szCs w:val="21"/>
              </w:rPr>
              <w:t>泄漏口面积(m</w:t>
            </w:r>
            <w:r>
              <w:rPr>
                <w:rFonts w:ascii="宋体" w:hAnsi="宋体"/>
                <w:szCs w:val="21"/>
                <w:vertAlign w:val="superscript"/>
              </w:rPr>
              <w:t>2</w:t>
            </w:r>
            <w:r>
              <w:rPr>
                <w:rFonts w:ascii="宋体" w:hAnsi="宋体"/>
                <w:szCs w:val="21"/>
              </w:rPr>
              <w:t>)</w:t>
            </w:r>
          </w:p>
        </w:tc>
        <w:tc>
          <w:tcPr>
            <w:tcW w:w="1683" w:type="dxa"/>
            <w:vAlign w:val="center"/>
          </w:tcPr>
          <w:p w14:paraId="16956C1F">
            <w:pPr>
              <w:adjustRightInd w:val="0"/>
              <w:snapToGrid w:val="0"/>
              <w:spacing w:line="320" w:lineRule="atLeast"/>
              <w:jc w:val="center"/>
              <w:rPr>
                <w:rFonts w:hint="eastAsia" w:ascii="宋体" w:hAnsi="宋体"/>
                <w:szCs w:val="21"/>
              </w:rPr>
            </w:pPr>
            <w:r>
              <w:rPr>
                <w:rFonts w:ascii="宋体" w:hAnsi="宋体"/>
                <w:szCs w:val="21"/>
              </w:rPr>
              <w:t>泄漏口之上液位高度(m)</w:t>
            </w:r>
          </w:p>
        </w:tc>
        <w:tc>
          <w:tcPr>
            <w:tcW w:w="1118" w:type="dxa"/>
            <w:vAlign w:val="center"/>
          </w:tcPr>
          <w:p w14:paraId="7D61A225">
            <w:pPr>
              <w:adjustRightInd w:val="0"/>
              <w:snapToGrid w:val="0"/>
              <w:spacing w:line="320" w:lineRule="atLeast"/>
              <w:jc w:val="center"/>
              <w:rPr>
                <w:rFonts w:hint="eastAsia" w:ascii="宋体" w:hAnsi="宋体"/>
                <w:szCs w:val="21"/>
              </w:rPr>
            </w:pPr>
            <w:r>
              <w:rPr>
                <w:rFonts w:hint="eastAsia" w:ascii="宋体" w:hAnsi="宋体"/>
                <w:szCs w:val="21"/>
              </w:rPr>
              <w:t>底部</w:t>
            </w:r>
            <w:r>
              <w:rPr>
                <w:rFonts w:ascii="宋体" w:hAnsi="宋体"/>
                <w:szCs w:val="21"/>
              </w:rPr>
              <w:t>压力</w:t>
            </w:r>
            <w:r>
              <w:rPr>
                <w:rFonts w:hint="eastAsia" w:ascii="宋体" w:hAnsi="宋体"/>
                <w:szCs w:val="21"/>
              </w:rPr>
              <w:t>（MPa）</w:t>
            </w:r>
          </w:p>
        </w:tc>
        <w:tc>
          <w:tcPr>
            <w:tcW w:w="1173" w:type="dxa"/>
            <w:vAlign w:val="center"/>
          </w:tcPr>
          <w:p w14:paraId="2596712F">
            <w:pPr>
              <w:adjustRightInd w:val="0"/>
              <w:snapToGrid w:val="0"/>
              <w:spacing w:line="320" w:lineRule="atLeast"/>
              <w:jc w:val="center"/>
              <w:rPr>
                <w:rFonts w:hint="eastAsia" w:ascii="宋体" w:hAnsi="宋体"/>
                <w:szCs w:val="21"/>
              </w:rPr>
            </w:pPr>
            <w:r>
              <w:rPr>
                <w:rFonts w:hint="eastAsia" w:ascii="宋体" w:hAnsi="宋体"/>
                <w:szCs w:val="21"/>
              </w:rPr>
              <w:t>环境</w:t>
            </w:r>
            <w:r>
              <w:rPr>
                <w:rFonts w:ascii="宋体" w:hAnsi="宋体"/>
                <w:szCs w:val="21"/>
              </w:rPr>
              <w:t>压力</w:t>
            </w:r>
            <w:r>
              <w:rPr>
                <w:rFonts w:hint="eastAsia" w:ascii="宋体" w:hAnsi="宋体"/>
                <w:szCs w:val="21"/>
              </w:rPr>
              <w:t>（MPa）</w:t>
            </w:r>
          </w:p>
        </w:tc>
        <w:tc>
          <w:tcPr>
            <w:tcW w:w="1104" w:type="dxa"/>
            <w:vAlign w:val="center"/>
          </w:tcPr>
          <w:p w14:paraId="1780E8C6">
            <w:pPr>
              <w:adjustRightInd w:val="0"/>
              <w:snapToGrid w:val="0"/>
              <w:spacing w:line="320" w:lineRule="atLeast"/>
              <w:jc w:val="center"/>
              <w:rPr>
                <w:rFonts w:hint="eastAsia" w:ascii="宋体" w:hAnsi="宋体"/>
                <w:szCs w:val="21"/>
              </w:rPr>
            </w:pPr>
            <w:r>
              <w:rPr>
                <w:rFonts w:ascii="宋体" w:hAnsi="宋体"/>
                <w:szCs w:val="21"/>
              </w:rPr>
              <w:t>液体密度(kg/m</w:t>
            </w:r>
            <w:r>
              <w:rPr>
                <w:rFonts w:ascii="宋体" w:hAnsi="宋体"/>
                <w:szCs w:val="21"/>
                <w:vertAlign w:val="superscript"/>
              </w:rPr>
              <w:t>3</w:t>
            </w:r>
            <w:r>
              <w:rPr>
                <w:rFonts w:ascii="宋体" w:hAnsi="宋体"/>
                <w:szCs w:val="21"/>
              </w:rPr>
              <w:t>)</w:t>
            </w:r>
          </w:p>
        </w:tc>
        <w:tc>
          <w:tcPr>
            <w:tcW w:w="1101" w:type="dxa"/>
            <w:vAlign w:val="center"/>
          </w:tcPr>
          <w:p w14:paraId="476EBF75">
            <w:pPr>
              <w:adjustRightInd w:val="0"/>
              <w:snapToGrid w:val="0"/>
              <w:spacing w:line="320" w:lineRule="atLeast"/>
              <w:jc w:val="center"/>
              <w:rPr>
                <w:rFonts w:hint="eastAsia" w:ascii="宋体" w:hAnsi="宋体"/>
                <w:szCs w:val="21"/>
              </w:rPr>
            </w:pPr>
            <w:r>
              <w:rPr>
                <w:rFonts w:ascii="宋体" w:hAnsi="宋体"/>
                <w:szCs w:val="21"/>
              </w:rPr>
              <w:t>泄漏速</w:t>
            </w:r>
            <w:r>
              <w:rPr>
                <w:rFonts w:hint="eastAsia" w:ascii="宋体" w:hAnsi="宋体"/>
                <w:szCs w:val="21"/>
              </w:rPr>
              <w:t>度</w:t>
            </w:r>
            <w:r>
              <w:rPr>
                <w:rFonts w:ascii="宋体" w:hAnsi="宋体"/>
                <w:szCs w:val="21"/>
              </w:rPr>
              <w:t>(kg/s)</w:t>
            </w:r>
          </w:p>
        </w:tc>
      </w:tr>
      <w:tr w14:paraId="1BAA8D9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1276" w:type="dxa"/>
            <w:vAlign w:val="center"/>
          </w:tcPr>
          <w:p w14:paraId="2210D6E4">
            <w:pPr>
              <w:adjustRightInd w:val="0"/>
              <w:snapToGrid w:val="0"/>
              <w:spacing w:line="320" w:lineRule="atLeast"/>
              <w:jc w:val="center"/>
              <w:rPr>
                <w:rFonts w:hint="eastAsia" w:ascii="宋体" w:hAnsi="宋体"/>
                <w:szCs w:val="21"/>
              </w:rPr>
            </w:pPr>
            <w:r>
              <w:rPr>
                <w:rFonts w:hint="eastAsia" w:ascii="宋体" w:hAnsi="宋体"/>
                <w:szCs w:val="21"/>
              </w:rPr>
              <w:t>集油干线</w:t>
            </w:r>
          </w:p>
        </w:tc>
        <w:tc>
          <w:tcPr>
            <w:tcW w:w="1276" w:type="dxa"/>
            <w:vAlign w:val="center"/>
          </w:tcPr>
          <w:p w14:paraId="48EABD88">
            <w:pPr>
              <w:adjustRightInd w:val="0"/>
              <w:snapToGrid w:val="0"/>
              <w:spacing w:line="320" w:lineRule="atLeast"/>
              <w:jc w:val="center"/>
              <w:rPr>
                <w:rFonts w:hint="eastAsia" w:ascii="宋体" w:hAnsi="宋体"/>
                <w:szCs w:val="21"/>
              </w:rPr>
            </w:pPr>
            <w:r>
              <w:rPr>
                <w:rFonts w:hint="eastAsia" w:ascii="宋体" w:hAnsi="宋体"/>
                <w:szCs w:val="21"/>
              </w:rPr>
              <w:t>0.000314</w:t>
            </w:r>
          </w:p>
        </w:tc>
        <w:tc>
          <w:tcPr>
            <w:tcW w:w="1683" w:type="dxa"/>
            <w:vAlign w:val="center"/>
          </w:tcPr>
          <w:p w14:paraId="7075F8C6">
            <w:pPr>
              <w:adjustRightInd w:val="0"/>
              <w:snapToGrid w:val="0"/>
              <w:spacing w:line="320" w:lineRule="atLeast"/>
              <w:jc w:val="center"/>
              <w:rPr>
                <w:rFonts w:hint="eastAsia" w:ascii="宋体" w:hAnsi="宋体"/>
                <w:szCs w:val="21"/>
              </w:rPr>
            </w:pPr>
            <w:r>
              <w:rPr>
                <w:rFonts w:hint="eastAsia" w:ascii="宋体" w:hAnsi="宋体"/>
                <w:szCs w:val="21"/>
              </w:rPr>
              <w:t>0</w:t>
            </w:r>
          </w:p>
        </w:tc>
        <w:tc>
          <w:tcPr>
            <w:tcW w:w="1118" w:type="dxa"/>
            <w:vAlign w:val="center"/>
          </w:tcPr>
          <w:p w14:paraId="78D5B31F">
            <w:pPr>
              <w:adjustRightInd w:val="0"/>
              <w:snapToGrid w:val="0"/>
              <w:spacing w:line="320" w:lineRule="atLeast"/>
              <w:jc w:val="center"/>
              <w:rPr>
                <w:rFonts w:hint="eastAsia" w:ascii="宋体" w:hAnsi="宋体"/>
                <w:szCs w:val="21"/>
              </w:rPr>
            </w:pPr>
            <w:r>
              <w:rPr>
                <w:rFonts w:hint="eastAsia" w:ascii="宋体" w:hAnsi="宋体"/>
                <w:szCs w:val="21"/>
              </w:rPr>
              <w:t>1.265</w:t>
            </w:r>
          </w:p>
        </w:tc>
        <w:tc>
          <w:tcPr>
            <w:tcW w:w="1173" w:type="dxa"/>
            <w:vAlign w:val="center"/>
          </w:tcPr>
          <w:p w14:paraId="39459B62">
            <w:pPr>
              <w:adjustRightInd w:val="0"/>
              <w:snapToGrid w:val="0"/>
              <w:spacing w:line="320" w:lineRule="atLeast"/>
              <w:jc w:val="center"/>
              <w:rPr>
                <w:rFonts w:hint="eastAsia" w:ascii="宋体" w:hAnsi="宋体"/>
                <w:szCs w:val="21"/>
              </w:rPr>
            </w:pPr>
            <w:r>
              <w:rPr>
                <w:rFonts w:hint="eastAsia" w:ascii="宋体" w:hAnsi="宋体"/>
                <w:szCs w:val="21"/>
              </w:rPr>
              <w:t>0.101</w:t>
            </w:r>
          </w:p>
        </w:tc>
        <w:tc>
          <w:tcPr>
            <w:tcW w:w="1104" w:type="dxa"/>
            <w:vAlign w:val="center"/>
          </w:tcPr>
          <w:p w14:paraId="3E66C077">
            <w:pPr>
              <w:adjustRightInd w:val="0"/>
              <w:snapToGrid w:val="0"/>
              <w:spacing w:line="320" w:lineRule="atLeast"/>
              <w:jc w:val="center"/>
              <w:rPr>
                <w:rFonts w:hint="eastAsia" w:ascii="宋体" w:hAnsi="宋体"/>
                <w:szCs w:val="21"/>
              </w:rPr>
            </w:pPr>
            <w:r>
              <w:rPr>
                <w:rFonts w:hint="eastAsia" w:ascii="宋体" w:hAnsi="宋体"/>
                <w:szCs w:val="21"/>
              </w:rPr>
              <w:t>885.4</w:t>
            </w:r>
          </w:p>
        </w:tc>
        <w:tc>
          <w:tcPr>
            <w:tcW w:w="1101" w:type="dxa"/>
            <w:vAlign w:val="center"/>
          </w:tcPr>
          <w:p w14:paraId="06F2621C">
            <w:pPr>
              <w:adjustRightInd w:val="0"/>
              <w:snapToGrid w:val="0"/>
              <w:spacing w:line="320" w:lineRule="atLeast"/>
              <w:jc w:val="center"/>
              <w:rPr>
                <w:rFonts w:hint="eastAsia" w:ascii="宋体" w:hAnsi="宋体"/>
                <w:szCs w:val="21"/>
              </w:rPr>
            </w:pPr>
            <w:r>
              <w:rPr>
                <w:rFonts w:hint="eastAsia" w:ascii="宋体" w:hAnsi="宋体"/>
                <w:szCs w:val="21"/>
              </w:rPr>
              <w:t>9.27</w:t>
            </w:r>
          </w:p>
        </w:tc>
      </w:tr>
      <w:tr w14:paraId="2CA7B52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1276" w:type="dxa"/>
            <w:vAlign w:val="center"/>
          </w:tcPr>
          <w:p w14:paraId="3A48BAE4">
            <w:pPr>
              <w:adjustRightInd w:val="0"/>
              <w:snapToGrid w:val="0"/>
              <w:spacing w:line="320" w:lineRule="atLeast"/>
              <w:jc w:val="center"/>
              <w:rPr>
                <w:rFonts w:hint="eastAsia" w:ascii="宋体" w:hAnsi="宋体"/>
                <w:szCs w:val="21"/>
              </w:rPr>
            </w:pPr>
            <w:r>
              <w:rPr>
                <w:rFonts w:hint="eastAsia" w:ascii="宋体" w:hAnsi="宋体"/>
                <w:szCs w:val="21"/>
              </w:rPr>
              <w:t>拉油方罐</w:t>
            </w:r>
          </w:p>
        </w:tc>
        <w:tc>
          <w:tcPr>
            <w:tcW w:w="1276" w:type="dxa"/>
            <w:vAlign w:val="center"/>
          </w:tcPr>
          <w:p w14:paraId="133699AB">
            <w:pPr>
              <w:adjustRightInd w:val="0"/>
              <w:snapToGrid w:val="0"/>
              <w:spacing w:line="320" w:lineRule="atLeast"/>
              <w:jc w:val="center"/>
              <w:rPr>
                <w:rFonts w:hint="eastAsia" w:ascii="宋体" w:hAnsi="宋体"/>
                <w:szCs w:val="21"/>
              </w:rPr>
            </w:pPr>
            <w:r>
              <w:rPr>
                <w:rFonts w:hint="eastAsia" w:ascii="宋体" w:hAnsi="宋体"/>
                <w:szCs w:val="21"/>
              </w:rPr>
              <w:t>0.00008</w:t>
            </w:r>
          </w:p>
        </w:tc>
        <w:tc>
          <w:tcPr>
            <w:tcW w:w="1683" w:type="dxa"/>
            <w:vAlign w:val="center"/>
          </w:tcPr>
          <w:p w14:paraId="30B1EA9F">
            <w:pPr>
              <w:adjustRightInd w:val="0"/>
              <w:snapToGrid w:val="0"/>
              <w:spacing w:line="320" w:lineRule="atLeast"/>
              <w:jc w:val="center"/>
              <w:rPr>
                <w:rFonts w:hint="eastAsia" w:ascii="宋体" w:hAnsi="宋体"/>
                <w:szCs w:val="21"/>
              </w:rPr>
            </w:pPr>
            <w:r>
              <w:rPr>
                <w:rFonts w:hint="eastAsia" w:ascii="宋体" w:hAnsi="宋体"/>
                <w:szCs w:val="21"/>
              </w:rPr>
              <w:t>2.5</w:t>
            </w:r>
          </w:p>
        </w:tc>
        <w:tc>
          <w:tcPr>
            <w:tcW w:w="1118" w:type="dxa"/>
            <w:vAlign w:val="center"/>
          </w:tcPr>
          <w:p w14:paraId="3482A3C3">
            <w:pPr>
              <w:adjustRightInd w:val="0"/>
              <w:snapToGrid w:val="0"/>
              <w:spacing w:line="320" w:lineRule="atLeast"/>
              <w:jc w:val="center"/>
              <w:rPr>
                <w:rFonts w:hint="eastAsia" w:ascii="宋体" w:hAnsi="宋体"/>
                <w:szCs w:val="21"/>
              </w:rPr>
            </w:pPr>
            <w:r>
              <w:rPr>
                <w:rFonts w:hint="eastAsia" w:ascii="宋体" w:hAnsi="宋体"/>
                <w:szCs w:val="21"/>
              </w:rPr>
              <w:t>0.123</w:t>
            </w:r>
          </w:p>
        </w:tc>
        <w:tc>
          <w:tcPr>
            <w:tcW w:w="1173" w:type="dxa"/>
            <w:vAlign w:val="center"/>
          </w:tcPr>
          <w:p w14:paraId="12D14D0E">
            <w:pPr>
              <w:adjustRightInd w:val="0"/>
              <w:snapToGrid w:val="0"/>
              <w:spacing w:line="320" w:lineRule="atLeast"/>
              <w:jc w:val="center"/>
              <w:rPr>
                <w:rFonts w:hint="eastAsia" w:ascii="宋体" w:hAnsi="宋体"/>
                <w:szCs w:val="21"/>
              </w:rPr>
            </w:pPr>
            <w:r>
              <w:rPr>
                <w:rFonts w:hint="eastAsia" w:ascii="宋体" w:hAnsi="宋体"/>
                <w:szCs w:val="21"/>
              </w:rPr>
              <w:t>0.101</w:t>
            </w:r>
          </w:p>
        </w:tc>
        <w:tc>
          <w:tcPr>
            <w:tcW w:w="1104" w:type="dxa"/>
            <w:vAlign w:val="center"/>
          </w:tcPr>
          <w:p w14:paraId="0285C411">
            <w:pPr>
              <w:adjustRightInd w:val="0"/>
              <w:snapToGrid w:val="0"/>
              <w:spacing w:line="320" w:lineRule="atLeast"/>
              <w:jc w:val="center"/>
              <w:rPr>
                <w:rFonts w:hint="eastAsia" w:ascii="宋体" w:hAnsi="宋体"/>
                <w:szCs w:val="21"/>
              </w:rPr>
            </w:pPr>
            <w:r>
              <w:rPr>
                <w:rFonts w:hint="eastAsia" w:ascii="宋体" w:hAnsi="宋体"/>
                <w:szCs w:val="21"/>
              </w:rPr>
              <w:t>885.4</w:t>
            </w:r>
          </w:p>
        </w:tc>
        <w:tc>
          <w:tcPr>
            <w:tcW w:w="1101" w:type="dxa"/>
            <w:vAlign w:val="center"/>
          </w:tcPr>
          <w:p w14:paraId="60BF7992">
            <w:pPr>
              <w:adjustRightInd w:val="0"/>
              <w:snapToGrid w:val="0"/>
              <w:spacing w:line="320" w:lineRule="atLeast"/>
              <w:jc w:val="center"/>
              <w:rPr>
                <w:rFonts w:hint="eastAsia" w:ascii="宋体" w:hAnsi="宋体"/>
                <w:szCs w:val="21"/>
              </w:rPr>
            </w:pPr>
            <w:r>
              <w:rPr>
                <w:rFonts w:hint="eastAsia" w:ascii="宋体" w:hAnsi="宋体"/>
                <w:szCs w:val="21"/>
              </w:rPr>
              <w:t>0.46</w:t>
            </w:r>
          </w:p>
        </w:tc>
      </w:tr>
    </w:tbl>
    <w:p w14:paraId="3A975B62">
      <w:pPr>
        <w:pStyle w:val="117"/>
        <w:adjustRightInd w:val="0"/>
        <w:snapToGrid w:val="0"/>
        <w:ind w:firstLine="480"/>
        <w:rPr>
          <w:rFonts w:hint="eastAsia"/>
        </w:rPr>
      </w:pPr>
      <w:bookmarkStart w:id="532" w:name="OLE_LINK78"/>
      <w:r>
        <w:rPr>
          <w:rFonts w:hint="eastAsia"/>
        </w:rPr>
        <w:t>由表</w:t>
      </w:r>
      <w:r>
        <w:t>5.2</w:t>
      </w:r>
      <w:r>
        <w:rPr>
          <w:rFonts w:hint="eastAsia"/>
        </w:rPr>
        <w:t>-8可知，集油干线和拉油方罐泄漏速率分别为9.</w:t>
      </w:r>
      <w:bookmarkStart w:id="533" w:name="OLE_LINK79"/>
      <w:r>
        <w:rPr>
          <w:rFonts w:hint="eastAsia"/>
        </w:rPr>
        <w:t>27</w:t>
      </w:r>
      <w:r>
        <w:t>kg/s</w:t>
      </w:r>
      <w:bookmarkEnd w:id="533"/>
      <w:r>
        <w:rPr>
          <w:rFonts w:hint="eastAsia"/>
        </w:rPr>
        <w:t>、0.46</w:t>
      </w:r>
      <w:r>
        <w:t>kg/s</w:t>
      </w:r>
      <w:r>
        <w:rPr>
          <w:rFonts w:hint="eastAsia"/>
        </w:rPr>
        <w:t>，假定发现泄漏后</w:t>
      </w:r>
      <w:r>
        <w:t>3</w:t>
      </w:r>
      <w:r>
        <w:rPr>
          <w:rFonts w:hint="eastAsia"/>
        </w:rPr>
        <w:t>0min处理完毕，切断事故阀门，则集油干线和拉油方罐的泄漏量分别为16.69</w:t>
      </w:r>
      <w:r>
        <w:t>t</w:t>
      </w:r>
      <w:r>
        <w:rPr>
          <w:rFonts w:hint="eastAsia"/>
        </w:rPr>
        <w:t>、0.828t。按照土壤表层对污染物截留率90%计算，集油干线和拉油方罐泄漏后可能进入含水层的物料分别为</w:t>
      </w:r>
      <w:bookmarkStart w:id="534" w:name="OLE_LINK379"/>
      <w:r>
        <w:rPr>
          <w:rFonts w:hint="eastAsia"/>
        </w:rPr>
        <w:t>1.669t</w:t>
      </w:r>
      <w:bookmarkStart w:id="535" w:name="OLE_LINK80"/>
      <w:r>
        <w:rPr>
          <w:rFonts w:hint="eastAsia"/>
        </w:rPr>
        <w:t>、0.0828t</w:t>
      </w:r>
      <w:bookmarkEnd w:id="534"/>
      <w:r>
        <w:rPr>
          <w:rFonts w:hint="eastAsia"/>
        </w:rPr>
        <w:t>。</w:t>
      </w:r>
      <w:bookmarkEnd w:id="535"/>
    </w:p>
    <w:bookmarkEnd w:id="528"/>
    <w:bookmarkEnd w:id="532"/>
    <w:p w14:paraId="02DF9EBE">
      <w:pPr>
        <w:spacing w:line="500" w:lineRule="exact"/>
        <w:ind w:firstLine="480" w:firstLineChars="200"/>
        <w:rPr>
          <w:rFonts w:hint="eastAsia" w:ascii="宋体" w:hAnsi="宋体"/>
          <w:sz w:val="24"/>
        </w:rPr>
      </w:pPr>
      <w:bookmarkStart w:id="536" w:name="_Hlk147587693"/>
      <w:r>
        <w:rPr>
          <w:rFonts w:hint="eastAsia" w:ascii="宋体" w:hAnsi="宋体"/>
          <w:sz w:val="24"/>
        </w:rPr>
        <w:t>※影响预测</w:t>
      </w:r>
    </w:p>
    <w:p w14:paraId="57D97E91">
      <w:pPr>
        <w:pStyle w:val="117"/>
        <w:ind w:firstLine="480"/>
        <w:rPr>
          <w:rFonts w:hint="eastAsia"/>
        </w:rPr>
      </w:pPr>
      <w:r>
        <w:rPr>
          <w:rFonts w:hint="eastAsia"/>
        </w:rPr>
        <w:t>预测因子为石油类，根据《环境影响评价技术导则  地下水环境》（HJ610-2016），采用解析法进行预测，预测模型选择导则推荐的地下水溶质运移解析法中的一维稳定流动二维弥散点源模型进行预测。</w:t>
      </w:r>
    </w:p>
    <w:p w14:paraId="5055D389">
      <w:pPr>
        <w:pStyle w:val="117"/>
        <w:ind w:firstLine="480"/>
        <w:rPr>
          <w:rFonts w:hint="eastAsia"/>
        </w:rPr>
      </w:pPr>
    </w:p>
    <w:p w14:paraId="4DD96C93">
      <w:pPr>
        <w:pStyle w:val="117"/>
        <w:ind w:firstLine="480"/>
        <w:rPr>
          <w:rFonts w:hint="eastAsia"/>
        </w:rPr>
      </w:pPr>
      <w:r>
        <w:drawing>
          <wp:anchor distT="0" distB="0" distL="114300" distR="114300" simplePos="0" relativeHeight="251661312" behindDoc="0" locked="0" layoutInCell="1" allowOverlap="1">
            <wp:simplePos x="0" y="0"/>
            <wp:positionH relativeFrom="column">
              <wp:posOffset>820420</wp:posOffset>
            </wp:positionH>
            <wp:positionV relativeFrom="paragraph">
              <wp:posOffset>51435</wp:posOffset>
            </wp:positionV>
            <wp:extent cx="2949575" cy="688975"/>
            <wp:effectExtent l="0" t="0" r="0" b="0"/>
            <wp:wrapNone/>
            <wp:docPr id="1146" name="图片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769"/>
                    <pic:cNvPicPr>
                      <a:picLocks noChangeAspect="1" noChangeArrowheads="1"/>
                    </pic:cNvPicPr>
                  </pic:nvPicPr>
                  <pic:blipFill>
                    <a:blip r:embed="rId73">
                      <a:extLst>
                        <a:ext uri="{28A0092B-C50C-407E-A947-70E740481C1C}">
                          <a14:useLocalDpi xmlns:a14="http://schemas.microsoft.com/office/drawing/2010/main" val="0"/>
                        </a:ext>
                      </a:extLst>
                    </a:blip>
                    <a:srcRect t="8488" b="22752"/>
                    <a:stretch>
                      <a:fillRect/>
                    </a:stretch>
                  </pic:blipFill>
                  <pic:spPr>
                    <a:xfrm>
                      <a:off x="0" y="0"/>
                      <a:ext cx="2949575" cy="688975"/>
                    </a:xfrm>
                    <a:prstGeom prst="rect">
                      <a:avLst/>
                    </a:prstGeom>
                    <a:noFill/>
                    <a:ln>
                      <a:noFill/>
                    </a:ln>
                  </pic:spPr>
                </pic:pic>
              </a:graphicData>
            </a:graphic>
          </wp:anchor>
        </w:drawing>
      </w:r>
    </w:p>
    <w:p w14:paraId="29272376">
      <w:pPr>
        <w:pStyle w:val="117"/>
        <w:ind w:firstLine="480"/>
        <w:rPr>
          <w:rFonts w:hint="eastAsia"/>
        </w:rPr>
      </w:pPr>
    </w:p>
    <w:p w14:paraId="5D883A76">
      <w:pPr>
        <w:pStyle w:val="117"/>
        <w:ind w:firstLine="480"/>
        <w:rPr>
          <w:rFonts w:hint="eastAsia"/>
        </w:rPr>
      </w:pPr>
      <w:r>
        <w:rPr>
          <w:rFonts w:hint="eastAsia"/>
        </w:rPr>
        <w:t>式中：</w:t>
      </w:r>
    </w:p>
    <w:p w14:paraId="4E379D7A">
      <w:pPr>
        <w:pStyle w:val="117"/>
        <w:ind w:firstLine="1132" w:firstLineChars="472"/>
        <w:rPr>
          <w:rFonts w:hint="eastAsia"/>
        </w:rPr>
      </w:pPr>
      <w:r>
        <w:t>x</w:t>
      </w:r>
      <w:r>
        <w:rPr>
          <w:rFonts w:hint="eastAsia"/>
        </w:rPr>
        <w:t>、</w:t>
      </w:r>
      <w:r>
        <w:t>y—</w:t>
      </w:r>
      <w:r>
        <w:rPr>
          <w:rFonts w:hint="eastAsia"/>
        </w:rPr>
        <w:t>计算点处的位置坐标；</w:t>
      </w:r>
    </w:p>
    <w:p w14:paraId="46A13EA4">
      <w:pPr>
        <w:pStyle w:val="117"/>
        <w:ind w:firstLine="1132" w:firstLineChars="472"/>
        <w:rPr>
          <w:rFonts w:hint="eastAsia"/>
        </w:rPr>
      </w:pPr>
      <w:r>
        <w:t>t—</w:t>
      </w:r>
      <w:r>
        <w:rPr>
          <w:rFonts w:hint="eastAsia"/>
        </w:rPr>
        <w:t>时间</w:t>
      </w:r>
      <w:r>
        <w:t>(d)</w:t>
      </w:r>
      <w:r>
        <w:rPr>
          <w:rFonts w:hint="eastAsia"/>
        </w:rPr>
        <w:t>；</w:t>
      </w:r>
    </w:p>
    <w:p w14:paraId="32ECF3F1">
      <w:pPr>
        <w:pStyle w:val="117"/>
        <w:ind w:firstLine="1132" w:firstLineChars="472"/>
        <w:rPr>
          <w:rFonts w:hint="eastAsia"/>
          <w:spacing w:val="-2"/>
        </w:rPr>
      </w:pPr>
      <w:r>
        <w:t>C(x,y,t)—t</w:t>
      </w:r>
      <w:r>
        <w:rPr>
          <w:rFonts w:hint="eastAsia"/>
          <w:spacing w:val="-2"/>
        </w:rPr>
        <w:t>时刻点</w:t>
      </w:r>
      <w:r>
        <w:t>x,y</w:t>
      </w:r>
      <w:r>
        <w:rPr>
          <w:rFonts w:hint="eastAsia"/>
          <w:spacing w:val="-2"/>
        </w:rPr>
        <w:t>处的示踪剂浓度</w:t>
      </w:r>
      <w:r>
        <w:rPr>
          <w:spacing w:val="-2"/>
        </w:rPr>
        <w:t>(g/L)</w:t>
      </w:r>
      <w:r>
        <w:rPr>
          <w:rFonts w:hint="eastAsia"/>
          <w:spacing w:val="-2"/>
        </w:rPr>
        <w:t>；</w:t>
      </w:r>
    </w:p>
    <w:p w14:paraId="475740A3">
      <w:pPr>
        <w:pStyle w:val="117"/>
        <w:ind w:firstLine="1132" w:firstLineChars="472"/>
        <w:rPr>
          <w:rFonts w:hint="eastAsia"/>
          <w:spacing w:val="-2"/>
        </w:rPr>
      </w:pPr>
      <w:r>
        <w:t>M—</w:t>
      </w:r>
      <w:r>
        <w:rPr>
          <w:rFonts w:hint="eastAsia"/>
        </w:rPr>
        <w:t>含水层厚度</w:t>
      </w:r>
      <w:r>
        <w:t>(m)</w:t>
      </w:r>
      <w:r>
        <w:rPr>
          <w:rFonts w:hint="eastAsia"/>
        </w:rPr>
        <w:t>；</w:t>
      </w:r>
    </w:p>
    <w:p w14:paraId="7957901E">
      <w:pPr>
        <w:pStyle w:val="117"/>
        <w:ind w:firstLine="1132" w:firstLineChars="472"/>
        <w:rPr>
          <w:rFonts w:hint="eastAsia"/>
        </w:rPr>
      </w:pPr>
      <w:r>
        <w:rPr>
          <w:position w:val="2"/>
        </w:rPr>
        <w:t>m</w:t>
      </w:r>
      <w:r>
        <w:rPr>
          <w:rFonts w:hint="eastAsia"/>
          <w:vertAlign w:val="subscript"/>
        </w:rPr>
        <w:t>M</w:t>
      </w:r>
      <w:r>
        <w:rPr>
          <w:position w:val="2"/>
        </w:rPr>
        <w:t>—</w:t>
      </w:r>
      <w:r>
        <w:rPr>
          <w:rFonts w:hint="eastAsia"/>
          <w:position w:val="2"/>
        </w:rPr>
        <w:t>瞬时注入的质量</w:t>
      </w:r>
      <w:r>
        <w:rPr>
          <w:position w:val="2"/>
        </w:rPr>
        <w:t>(kg)</w:t>
      </w:r>
      <w:r>
        <w:rPr>
          <w:rFonts w:hint="eastAsia"/>
          <w:position w:val="2"/>
        </w:rPr>
        <w:t>；</w:t>
      </w:r>
    </w:p>
    <w:p w14:paraId="2F40C61C">
      <w:pPr>
        <w:pStyle w:val="117"/>
        <w:ind w:firstLine="1132" w:firstLineChars="472"/>
        <w:rPr>
          <w:rFonts w:hint="eastAsia"/>
        </w:rPr>
      </w:pPr>
      <w:r>
        <w:t>U—</w:t>
      </w:r>
      <w:r>
        <w:rPr>
          <w:rFonts w:hint="eastAsia"/>
        </w:rPr>
        <w:t>水流速度</w:t>
      </w:r>
      <w:r>
        <w:t>(m/d)</w:t>
      </w:r>
      <w:r>
        <w:rPr>
          <w:rFonts w:hint="eastAsia"/>
        </w:rPr>
        <w:t>；</w:t>
      </w:r>
    </w:p>
    <w:p w14:paraId="62FCF9B6">
      <w:pPr>
        <w:pStyle w:val="117"/>
        <w:ind w:firstLine="1132" w:firstLineChars="472"/>
        <w:rPr>
          <w:rFonts w:hint="eastAsia"/>
        </w:rPr>
      </w:pPr>
      <w:r>
        <w:rPr>
          <w:position w:val="2"/>
        </w:rPr>
        <w:t>n</w:t>
      </w:r>
      <w:r>
        <w:rPr>
          <w:vertAlign w:val="subscript"/>
        </w:rPr>
        <w:t>e</w:t>
      </w:r>
      <w:r>
        <w:rPr>
          <w:position w:val="2"/>
        </w:rPr>
        <w:t>—</w:t>
      </w:r>
      <w:r>
        <w:rPr>
          <w:rFonts w:hint="eastAsia"/>
          <w:position w:val="2"/>
        </w:rPr>
        <w:t>孔隙度，无量纲；</w:t>
      </w:r>
    </w:p>
    <w:p w14:paraId="1E049748">
      <w:pPr>
        <w:pStyle w:val="117"/>
        <w:ind w:firstLine="1132" w:firstLineChars="472"/>
        <w:rPr>
          <w:rFonts w:hint="eastAsia"/>
          <w:spacing w:val="-1"/>
        </w:rPr>
      </w:pPr>
      <w:r>
        <w:t>D</w:t>
      </w:r>
      <w:r>
        <w:rPr>
          <w:vertAlign w:val="subscript"/>
        </w:rPr>
        <w:t>L</w:t>
      </w:r>
      <w:r>
        <w:rPr>
          <w:spacing w:val="-1"/>
        </w:rPr>
        <w:t>—</w:t>
      </w:r>
      <w:r>
        <w:rPr>
          <w:rFonts w:hint="eastAsia"/>
          <w:spacing w:val="-1"/>
        </w:rPr>
        <w:t>纵向弥散系数</w:t>
      </w:r>
      <w:r>
        <w:rPr>
          <w:spacing w:val="-1"/>
        </w:rPr>
        <w:t>(m</w:t>
      </w:r>
      <w:r>
        <w:rPr>
          <w:spacing w:val="-1"/>
          <w:vertAlign w:val="superscript"/>
        </w:rPr>
        <w:t>2</w:t>
      </w:r>
      <w:r>
        <w:rPr>
          <w:spacing w:val="-1"/>
        </w:rPr>
        <w:t>/d)</w:t>
      </w:r>
      <w:r>
        <w:rPr>
          <w:rFonts w:hint="eastAsia"/>
          <w:spacing w:val="-1"/>
        </w:rPr>
        <w:t>；</w:t>
      </w:r>
    </w:p>
    <w:p w14:paraId="312C68AB">
      <w:pPr>
        <w:pStyle w:val="117"/>
        <w:ind w:firstLine="1132" w:firstLineChars="472"/>
        <w:rPr>
          <w:rFonts w:hint="eastAsia"/>
          <w:spacing w:val="25"/>
        </w:rPr>
      </w:pPr>
      <w:r>
        <w:t>D</w:t>
      </w:r>
      <w:r>
        <w:rPr>
          <w:rFonts w:hint="eastAsia"/>
          <w:vertAlign w:val="subscript"/>
        </w:rPr>
        <w:t>t</w:t>
      </w:r>
      <w:r>
        <w:rPr>
          <w:spacing w:val="-1"/>
        </w:rPr>
        <w:t>—</w:t>
      </w:r>
      <w:r>
        <w:rPr>
          <w:rFonts w:hint="eastAsia"/>
          <w:spacing w:val="-1"/>
        </w:rPr>
        <w:t>横向y方向的弥散系数</w:t>
      </w:r>
      <w:r>
        <w:rPr>
          <w:spacing w:val="-1"/>
        </w:rPr>
        <w:t>(m</w:t>
      </w:r>
      <w:r>
        <w:rPr>
          <w:spacing w:val="-1"/>
          <w:vertAlign w:val="superscript"/>
        </w:rPr>
        <w:t>2</w:t>
      </w:r>
      <w:r>
        <w:rPr>
          <w:spacing w:val="-1"/>
        </w:rPr>
        <w:t>/d)</w:t>
      </w:r>
      <w:r>
        <w:rPr>
          <w:rFonts w:hint="eastAsia"/>
          <w:spacing w:val="-1"/>
        </w:rPr>
        <w:t>；</w:t>
      </w:r>
    </w:p>
    <w:p w14:paraId="0FB834DA">
      <w:pPr>
        <w:pStyle w:val="117"/>
        <w:ind w:firstLine="1123" w:firstLineChars="472"/>
        <w:rPr>
          <w:rFonts w:hint="eastAsia"/>
          <w:spacing w:val="-1"/>
        </w:rPr>
      </w:pPr>
      <w:r>
        <w:rPr>
          <w:rFonts w:hint="eastAsia"/>
          <w:spacing w:val="-1"/>
        </w:rPr>
        <w:t>Π</w:t>
      </w:r>
      <w:r>
        <w:rPr>
          <w:spacing w:val="-1"/>
        </w:rPr>
        <w:t>—</w:t>
      </w:r>
      <w:r>
        <w:rPr>
          <w:rFonts w:hint="eastAsia"/>
          <w:spacing w:val="-1"/>
        </w:rPr>
        <w:t>圆周率；</w:t>
      </w:r>
    </w:p>
    <w:p w14:paraId="28D042AC">
      <w:pPr>
        <w:pStyle w:val="117"/>
        <w:adjustRightInd w:val="0"/>
        <w:snapToGrid w:val="0"/>
        <w:ind w:firstLine="480"/>
        <w:rPr>
          <w:rFonts w:hint="eastAsia"/>
        </w:rPr>
      </w:pPr>
      <w:r>
        <w:rPr>
          <w:rFonts w:hint="eastAsia"/>
        </w:rPr>
        <w:t>模型中所需参数及来源见表</w:t>
      </w:r>
      <w:r>
        <w:t>5.2</w:t>
      </w:r>
      <w:r>
        <w:rPr>
          <w:rFonts w:hint="eastAsia"/>
        </w:rPr>
        <w:t>-9。</w:t>
      </w:r>
    </w:p>
    <w:p w14:paraId="589A9228">
      <w:pPr>
        <w:pStyle w:val="15"/>
        <w:keepNext/>
        <w:adjustRightInd w:val="0"/>
        <w:snapToGrid w:val="0"/>
        <w:spacing w:line="500" w:lineRule="exact"/>
        <w:rPr>
          <w:rFonts w:hint="eastAsia"/>
          <w:bCs/>
        </w:rPr>
      </w:pPr>
      <w:r>
        <w:rPr>
          <w:rFonts w:hint="eastAsia"/>
          <w:bCs/>
        </w:rPr>
        <w:t>表</w:t>
      </w:r>
      <w:r>
        <w:rPr>
          <w:bCs/>
        </w:rPr>
        <w:t>5.2</w:t>
      </w:r>
      <w:r>
        <w:rPr>
          <w:rFonts w:hint="eastAsia"/>
          <w:bCs/>
        </w:rPr>
        <w:t>-9  模型所需参数一览表</w:t>
      </w:r>
    </w:p>
    <w:tbl>
      <w:tblPr>
        <w:tblStyle w:val="51"/>
        <w:tblW w:w="8731"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710"/>
        <w:gridCol w:w="3004"/>
        <w:gridCol w:w="2976"/>
      </w:tblGrid>
      <w:tr w14:paraId="11B14B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3CE5E1EC">
            <w:pPr>
              <w:pStyle w:val="286"/>
              <w:rPr>
                <w:rFonts w:hint="eastAsia"/>
                <w:sz w:val="21"/>
              </w:rPr>
            </w:pPr>
            <w:r>
              <w:rPr>
                <w:rFonts w:hint="eastAsia"/>
                <w:sz w:val="21"/>
              </w:rPr>
              <w:t>序号</w:t>
            </w:r>
          </w:p>
        </w:tc>
        <w:tc>
          <w:tcPr>
            <w:tcW w:w="1710" w:type="dxa"/>
            <w:vAlign w:val="center"/>
          </w:tcPr>
          <w:p w14:paraId="5A18E8F5">
            <w:pPr>
              <w:pStyle w:val="286"/>
              <w:rPr>
                <w:rFonts w:hint="eastAsia"/>
                <w:sz w:val="21"/>
              </w:rPr>
            </w:pPr>
            <w:r>
              <w:rPr>
                <w:rFonts w:hint="eastAsia"/>
                <w:sz w:val="21"/>
              </w:rPr>
              <w:t>参数符号</w:t>
            </w:r>
          </w:p>
        </w:tc>
        <w:tc>
          <w:tcPr>
            <w:tcW w:w="3004" w:type="dxa"/>
            <w:vAlign w:val="center"/>
          </w:tcPr>
          <w:p w14:paraId="08ADF120">
            <w:pPr>
              <w:pStyle w:val="286"/>
              <w:rPr>
                <w:rFonts w:hint="eastAsia"/>
                <w:sz w:val="21"/>
              </w:rPr>
            </w:pPr>
            <w:r>
              <w:rPr>
                <w:rFonts w:hint="eastAsia"/>
                <w:sz w:val="21"/>
              </w:rPr>
              <w:t>参数名称</w:t>
            </w:r>
          </w:p>
        </w:tc>
        <w:tc>
          <w:tcPr>
            <w:tcW w:w="2976" w:type="dxa"/>
            <w:vAlign w:val="center"/>
          </w:tcPr>
          <w:p w14:paraId="1407FE3E">
            <w:pPr>
              <w:pStyle w:val="286"/>
              <w:rPr>
                <w:rFonts w:hint="eastAsia"/>
                <w:sz w:val="21"/>
              </w:rPr>
            </w:pPr>
            <w:r>
              <w:rPr>
                <w:rFonts w:hint="eastAsia"/>
                <w:sz w:val="21"/>
              </w:rPr>
              <w:t>参考数值</w:t>
            </w:r>
          </w:p>
        </w:tc>
      </w:tr>
      <w:tr w14:paraId="39F47A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5998B984">
            <w:pPr>
              <w:pStyle w:val="286"/>
              <w:rPr>
                <w:rFonts w:hint="eastAsia"/>
                <w:sz w:val="21"/>
              </w:rPr>
            </w:pPr>
            <w:r>
              <w:rPr>
                <w:rFonts w:hint="eastAsia"/>
                <w:sz w:val="21"/>
              </w:rPr>
              <w:t>1</w:t>
            </w:r>
          </w:p>
        </w:tc>
        <w:tc>
          <w:tcPr>
            <w:tcW w:w="1710" w:type="dxa"/>
            <w:vAlign w:val="center"/>
          </w:tcPr>
          <w:p w14:paraId="5311D298">
            <w:pPr>
              <w:pStyle w:val="286"/>
              <w:rPr>
                <w:rFonts w:hint="eastAsia"/>
                <w:sz w:val="21"/>
              </w:rPr>
            </w:pPr>
            <w:r>
              <w:rPr>
                <w:position w:val="2"/>
                <w:sz w:val="21"/>
              </w:rPr>
              <w:t>m</w:t>
            </w:r>
            <w:r>
              <w:rPr>
                <w:rFonts w:hint="eastAsia"/>
                <w:sz w:val="21"/>
                <w:vertAlign w:val="subscript"/>
              </w:rPr>
              <w:t>M</w:t>
            </w:r>
          </w:p>
        </w:tc>
        <w:tc>
          <w:tcPr>
            <w:tcW w:w="3004" w:type="dxa"/>
            <w:vAlign w:val="center"/>
          </w:tcPr>
          <w:p w14:paraId="6DC902A8">
            <w:pPr>
              <w:pStyle w:val="286"/>
              <w:rPr>
                <w:rFonts w:hint="eastAsia"/>
                <w:sz w:val="21"/>
              </w:rPr>
            </w:pPr>
            <w:r>
              <w:rPr>
                <w:rFonts w:hint="eastAsia"/>
                <w:position w:val="2"/>
                <w:sz w:val="21"/>
              </w:rPr>
              <w:t>瞬时注入的质量</w:t>
            </w:r>
          </w:p>
        </w:tc>
        <w:tc>
          <w:tcPr>
            <w:tcW w:w="2976" w:type="dxa"/>
            <w:vAlign w:val="center"/>
          </w:tcPr>
          <w:p w14:paraId="5377E762">
            <w:pPr>
              <w:pStyle w:val="286"/>
              <w:rPr>
                <w:rFonts w:hint="eastAsia"/>
                <w:sz w:val="21"/>
              </w:rPr>
            </w:pPr>
            <w:r>
              <w:rPr>
                <w:rFonts w:hint="eastAsia"/>
                <w:sz w:val="21"/>
              </w:rPr>
              <w:t>1.669t、0.0828t</w:t>
            </w:r>
          </w:p>
        </w:tc>
      </w:tr>
      <w:tr w14:paraId="5D6E6A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73041AA2">
            <w:pPr>
              <w:pStyle w:val="286"/>
              <w:rPr>
                <w:rFonts w:hint="eastAsia"/>
                <w:sz w:val="21"/>
              </w:rPr>
            </w:pPr>
            <w:r>
              <w:rPr>
                <w:rFonts w:hint="eastAsia"/>
                <w:sz w:val="21"/>
              </w:rPr>
              <w:t>2</w:t>
            </w:r>
          </w:p>
        </w:tc>
        <w:tc>
          <w:tcPr>
            <w:tcW w:w="1710" w:type="dxa"/>
            <w:vAlign w:val="center"/>
          </w:tcPr>
          <w:p w14:paraId="7F7EAA11">
            <w:pPr>
              <w:pStyle w:val="286"/>
              <w:rPr>
                <w:rFonts w:hint="eastAsia"/>
                <w:sz w:val="21"/>
              </w:rPr>
            </w:pPr>
            <w:r>
              <w:rPr>
                <w:sz w:val="21"/>
              </w:rPr>
              <w:t>t</w:t>
            </w:r>
          </w:p>
        </w:tc>
        <w:tc>
          <w:tcPr>
            <w:tcW w:w="3004" w:type="dxa"/>
            <w:vAlign w:val="center"/>
          </w:tcPr>
          <w:p w14:paraId="394F39B3">
            <w:pPr>
              <w:pStyle w:val="286"/>
              <w:rPr>
                <w:rFonts w:hint="eastAsia"/>
                <w:sz w:val="21"/>
              </w:rPr>
            </w:pPr>
            <w:r>
              <w:rPr>
                <w:rFonts w:hint="eastAsia"/>
                <w:sz w:val="21"/>
              </w:rPr>
              <w:t>时间</w:t>
            </w:r>
          </w:p>
        </w:tc>
        <w:tc>
          <w:tcPr>
            <w:tcW w:w="2976" w:type="dxa"/>
            <w:vAlign w:val="center"/>
          </w:tcPr>
          <w:p w14:paraId="2F6554AE">
            <w:pPr>
              <w:pStyle w:val="286"/>
              <w:rPr>
                <w:rFonts w:hint="eastAsia"/>
                <w:sz w:val="21"/>
              </w:rPr>
            </w:pPr>
            <w:r>
              <w:rPr>
                <w:rFonts w:hint="eastAsia"/>
                <w:sz w:val="21"/>
              </w:rPr>
              <w:t>100d、1000d</w:t>
            </w:r>
          </w:p>
        </w:tc>
      </w:tr>
      <w:tr w14:paraId="4E4FDB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6FE87D6B">
            <w:pPr>
              <w:pStyle w:val="286"/>
              <w:rPr>
                <w:rFonts w:hint="eastAsia"/>
                <w:sz w:val="21"/>
              </w:rPr>
            </w:pPr>
            <w:r>
              <w:rPr>
                <w:rFonts w:hint="eastAsia"/>
                <w:sz w:val="21"/>
              </w:rPr>
              <w:t>3</w:t>
            </w:r>
          </w:p>
        </w:tc>
        <w:tc>
          <w:tcPr>
            <w:tcW w:w="1710" w:type="dxa"/>
            <w:vAlign w:val="center"/>
          </w:tcPr>
          <w:p w14:paraId="45207140">
            <w:pPr>
              <w:pStyle w:val="286"/>
              <w:rPr>
                <w:rFonts w:hint="eastAsia"/>
                <w:sz w:val="21"/>
              </w:rPr>
            </w:pPr>
            <w:r>
              <w:rPr>
                <w:rFonts w:hint="eastAsia"/>
                <w:sz w:val="21"/>
              </w:rPr>
              <w:t>M</w:t>
            </w:r>
          </w:p>
        </w:tc>
        <w:tc>
          <w:tcPr>
            <w:tcW w:w="3004" w:type="dxa"/>
            <w:vAlign w:val="center"/>
          </w:tcPr>
          <w:p w14:paraId="08A57600">
            <w:pPr>
              <w:pStyle w:val="286"/>
              <w:rPr>
                <w:rFonts w:hint="eastAsia"/>
                <w:sz w:val="21"/>
              </w:rPr>
            </w:pPr>
            <w:r>
              <w:rPr>
                <w:rFonts w:hint="eastAsia"/>
                <w:sz w:val="21"/>
              </w:rPr>
              <w:t>含水层厚度</w:t>
            </w:r>
          </w:p>
        </w:tc>
        <w:tc>
          <w:tcPr>
            <w:tcW w:w="2976" w:type="dxa"/>
            <w:vAlign w:val="center"/>
          </w:tcPr>
          <w:p w14:paraId="4EAC97FE">
            <w:pPr>
              <w:pStyle w:val="286"/>
              <w:rPr>
                <w:rFonts w:hint="eastAsia"/>
                <w:sz w:val="21"/>
              </w:rPr>
            </w:pPr>
            <w:r>
              <w:rPr>
                <w:rFonts w:hint="eastAsia"/>
                <w:sz w:val="21"/>
              </w:rPr>
              <w:t>50m</w:t>
            </w:r>
          </w:p>
        </w:tc>
      </w:tr>
      <w:tr w14:paraId="31556A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68ADD426">
            <w:pPr>
              <w:pStyle w:val="286"/>
              <w:rPr>
                <w:rFonts w:hint="eastAsia"/>
                <w:sz w:val="21"/>
              </w:rPr>
            </w:pPr>
            <w:r>
              <w:rPr>
                <w:rFonts w:hint="eastAsia"/>
                <w:sz w:val="21"/>
              </w:rPr>
              <w:t>4</w:t>
            </w:r>
          </w:p>
        </w:tc>
        <w:tc>
          <w:tcPr>
            <w:tcW w:w="1710" w:type="dxa"/>
            <w:vAlign w:val="center"/>
          </w:tcPr>
          <w:p w14:paraId="6FB0A49F">
            <w:pPr>
              <w:pStyle w:val="286"/>
              <w:rPr>
                <w:rFonts w:hint="eastAsia"/>
                <w:sz w:val="21"/>
              </w:rPr>
            </w:pPr>
            <w:r>
              <w:rPr>
                <w:rFonts w:hint="eastAsia"/>
                <w:sz w:val="21"/>
              </w:rPr>
              <w:t>u</w:t>
            </w:r>
          </w:p>
        </w:tc>
        <w:tc>
          <w:tcPr>
            <w:tcW w:w="3004" w:type="dxa"/>
            <w:vAlign w:val="center"/>
          </w:tcPr>
          <w:p w14:paraId="66A85A66">
            <w:pPr>
              <w:pStyle w:val="286"/>
              <w:rPr>
                <w:rFonts w:hint="eastAsia"/>
                <w:sz w:val="21"/>
              </w:rPr>
            </w:pPr>
            <w:r>
              <w:rPr>
                <w:rFonts w:hint="eastAsia"/>
                <w:sz w:val="21"/>
              </w:rPr>
              <w:t>水流速度</w:t>
            </w:r>
          </w:p>
        </w:tc>
        <w:tc>
          <w:tcPr>
            <w:tcW w:w="2976" w:type="dxa"/>
            <w:vAlign w:val="center"/>
          </w:tcPr>
          <w:p w14:paraId="63A0F7F5">
            <w:pPr>
              <w:pStyle w:val="286"/>
              <w:rPr>
                <w:rFonts w:hint="eastAsia"/>
                <w:sz w:val="21"/>
              </w:rPr>
            </w:pPr>
            <w:r>
              <w:rPr>
                <w:rFonts w:hint="eastAsia"/>
                <w:sz w:val="21"/>
              </w:rPr>
              <w:t>0.33m/d</w:t>
            </w:r>
          </w:p>
        </w:tc>
      </w:tr>
      <w:tr w14:paraId="2C6A2A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34DD5A82">
            <w:pPr>
              <w:pStyle w:val="286"/>
              <w:rPr>
                <w:rFonts w:hint="eastAsia"/>
                <w:sz w:val="21"/>
              </w:rPr>
            </w:pPr>
            <w:r>
              <w:rPr>
                <w:rFonts w:hint="eastAsia"/>
                <w:sz w:val="21"/>
              </w:rPr>
              <w:t>5</w:t>
            </w:r>
          </w:p>
        </w:tc>
        <w:tc>
          <w:tcPr>
            <w:tcW w:w="1710" w:type="dxa"/>
            <w:vAlign w:val="center"/>
          </w:tcPr>
          <w:p w14:paraId="2AE5EAF8">
            <w:pPr>
              <w:pStyle w:val="286"/>
              <w:rPr>
                <w:rFonts w:hint="eastAsia"/>
                <w:sz w:val="21"/>
              </w:rPr>
            </w:pPr>
            <w:r>
              <w:rPr>
                <w:rFonts w:hint="eastAsia"/>
                <w:sz w:val="21"/>
              </w:rPr>
              <w:t>D</w:t>
            </w:r>
            <w:r>
              <w:rPr>
                <w:rFonts w:hint="eastAsia"/>
                <w:sz w:val="21"/>
                <w:vertAlign w:val="subscript"/>
              </w:rPr>
              <w:t>L</w:t>
            </w:r>
          </w:p>
        </w:tc>
        <w:tc>
          <w:tcPr>
            <w:tcW w:w="3004" w:type="dxa"/>
            <w:vAlign w:val="center"/>
          </w:tcPr>
          <w:p w14:paraId="5173F958">
            <w:pPr>
              <w:pStyle w:val="286"/>
              <w:ind w:firstLine="476"/>
              <w:rPr>
                <w:rFonts w:hint="eastAsia"/>
                <w:sz w:val="21"/>
              </w:rPr>
            </w:pPr>
            <w:r>
              <w:rPr>
                <w:rFonts w:hint="eastAsia"/>
                <w:spacing w:val="-1"/>
                <w:sz w:val="21"/>
              </w:rPr>
              <w:t>纵向弥散系数</w:t>
            </w:r>
          </w:p>
        </w:tc>
        <w:tc>
          <w:tcPr>
            <w:tcW w:w="2976" w:type="dxa"/>
            <w:vAlign w:val="center"/>
          </w:tcPr>
          <w:p w14:paraId="69318938">
            <w:pPr>
              <w:pStyle w:val="286"/>
              <w:rPr>
                <w:rFonts w:hint="eastAsia"/>
                <w:sz w:val="21"/>
              </w:rPr>
            </w:pPr>
            <w:r>
              <w:rPr>
                <w:rFonts w:hint="eastAsia"/>
                <w:sz w:val="21"/>
              </w:rPr>
              <w:t>0.12m</w:t>
            </w:r>
            <w:r>
              <w:rPr>
                <w:rFonts w:hint="eastAsia"/>
                <w:sz w:val="21"/>
                <w:vertAlign w:val="superscript"/>
              </w:rPr>
              <w:t>2</w:t>
            </w:r>
            <w:r>
              <w:rPr>
                <w:rFonts w:hint="eastAsia"/>
                <w:sz w:val="21"/>
              </w:rPr>
              <w:t>/d</w:t>
            </w:r>
          </w:p>
        </w:tc>
      </w:tr>
      <w:tr w14:paraId="40C659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7FFC6F33">
            <w:pPr>
              <w:pStyle w:val="286"/>
              <w:rPr>
                <w:rFonts w:hint="eastAsia"/>
                <w:sz w:val="21"/>
              </w:rPr>
            </w:pPr>
            <w:r>
              <w:rPr>
                <w:rFonts w:hint="eastAsia"/>
                <w:sz w:val="21"/>
              </w:rPr>
              <w:t>6</w:t>
            </w:r>
          </w:p>
        </w:tc>
        <w:tc>
          <w:tcPr>
            <w:tcW w:w="1710" w:type="dxa"/>
            <w:vAlign w:val="center"/>
          </w:tcPr>
          <w:p w14:paraId="1242F9D5">
            <w:pPr>
              <w:pStyle w:val="286"/>
              <w:rPr>
                <w:rFonts w:hint="eastAsia"/>
                <w:sz w:val="21"/>
              </w:rPr>
            </w:pPr>
            <w:r>
              <w:rPr>
                <w:rFonts w:hint="eastAsia"/>
                <w:sz w:val="21"/>
              </w:rPr>
              <w:t>D</w:t>
            </w:r>
            <w:r>
              <w:rPr>
                <w:rFonts w:hint="eastAsia"/>
                <w:sz w:val="21"/>
                <w:vertAlign w:val="subscript"/>
              </w:rPr>
              <w:t>T</w:t>
            </w:r>
          </w:p>
        </w:tc>
        <w:tc>
          <w:tcPr>
            <w:tcW w:w="3004" w:type="dxa"/>
            <w:vAlign w:val="center"/>
          </w:tcPr>
          <w:p w14:paraId="2E770F10">
            <w:pPr>
              <w:pStyle w:val="286"/>
              <w:ind w:firstLine="476"/>
              <w:rPr>
                <w:rFonts w:hint="eastAsia"/>
                <w:sz w:val="21"/>
              </w:rPr>
            </w:pPr>
            <w:r>
              <w:rPr>
                <w:rFonts w:hint="eastAsia"/>
                <w:spacing w:val="-1"/>
                <w:sz w:val="21"/>
              </w:rPr>
              <w:t>横向y方向的弥散系数</w:t>
            </w:r>
          </w:p>
        </w:tc>
        <w:tc>
          <w:tcPr>
            <w:tcW w:w="2976" w:type="dxa"/>
            <w:vAlign w:val="center"/>
          </w:tcPr>
          <w:p w14:paraId="28899282">
            <w:pPr>
              <w:pStyle w:val="286"/>
              <w:rPr>
                <w:rFonts w:hint="eastAsia"/>
                <w:sz w:val="21"/>
              </w:rPr>
            </w:pPr>
            <w:r>
              <w:rPr>
                <w:rFonts w:hint="eastAsia"/>
                <w:sz w:val="21"/>
              </w:rPr>
              <w:t>0.012m</w:t>
            </w:r>
            <w:r>
              <w:rPr>
                <w:rFonts w:hint="eastAsia"/>
                <w:sz w:val="21"/>
                <w:vertAlign w:val="superscript"/>
              </w:rPr>
              <w:t>2</w:t>
            </w:r>
            <w:r>
              <w:rPr>
                <w:rFonts w:hint="eastAsia"/>
                <w:sz w:val="21"/>
              </w:rPr>
              <w:t>/d</w:t>
            </w:r>
          </w:p>
        </w:tc>
      </w:tr>
      <w:tr w14:paraId="256A28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41" w:type="dxa"/>
            <w:vAlign w:val="center"/>
          </w:tcPr>
          <w:p w14:paraId="1470A9E7">
            <w:pPr>
              <w:pStyle w:val="286"/>
              <w:rPr>
                <w:rFonts w:hint="eastAsia"/>
                <w:sz w:val="21"/>
              </w:rPr>
            </w:pPr>
            <w:r>
              <w:rPr>
                <w:rFonts w:hint="eastAsia"/>
                <w:sz w:val="21"/>
              </w:rPr>
              <w:t>7</w:t>
            </w:r>
          </w:p>
        </w:tc>
        <w:tc>
          <w:tcPr>
            <w:tcW w:w="1710" w:type="dxa"/>
            <w:vAlign w:val="center"/>
          </w:tcPr>
          <w:p w14:paraId="4132C9E0">
            <w:pPr>
              <w:pStyle w:val="286"/>
              <w:rPr>
                <w:rFonts w:hint="eastAsia"/>
                <w:sz w:val="21"/>
              </w:rPr>
            </w:pPr>
            <w:r>
              <w:rPr>
                <w:position w:val="2"/>
                <w:sz w:val="21"/>
              </w:rPr>
              <w:t>n</w:t>
            </w:r>
            <w:r>
              <w:rPr>
                <w:sz w:val="21"/>
                <w:vertAlign w:val="subscript"/>
              </w:rPr>
              <w:t>e</w:t>
            </w:r>
          </w:p>
        </w:tc>
        <w:tc>
          <w:tcPr>
            <w:tcW w:w="3004" w:type="dxa"/>
            <w:vAlign w:val="center"/>
          </w:tcPr>
          <w:p w14:paraId="547770BD">
            <w:pPr>
              <w:pStyle w:val="286"/>
              <w:ind w:firstLine="476"/>
              <w:rPr>
                <w:rFonts w:hint="eastAsia"/>
                <w:spacing w:val="-1"/>
                <w:sz w:val="21"/>
              </w:rPr>
            </w:pPr>
            <w:r>
              <w:rPr>
                <w:rFonts w:hint="eastAsia"/>
                <w:spacing w:val="-1"/>
                <w:sz w:val="21"/>
              </w:rPr>
              <w:t>有效孔隙度</w:t>
            </w:r>
          </w:p>
        </w:tc>
        <w:tc>
          <w:tcPr>
            <w:tcW w:w="2976" w:type="dxa"/>
            <w:vAlign w:val="center"/>
          </w:tcPr>
          <w:p w14:paraId="052CDEC0">
            <w:pPr>
              <w:pStyle w:val="286"/>
              <w:rPr>
                <w:rFonts w:hint="eastAsia"/>
                <w:sz w:val="21"/>
              </w:rPr>
            </w:pPr>
            <w:r>
              <w:rPr>
                <w:rFonts w:hint="eastAsia"/>
                <w:sz w:val="21"/>
              </w:rPr>
              <w:t>0.12</w:t>
            </w:r>
          </w:p>
        </w:tc>
      </w:tr>
    </w:tbl>
    <w:p w14:paraId="74989617">
      <w:pPr>
        <w:pStyle w:val="117"/>
        <w:tabs>
          <w:tab w:val="left" w:pos="709"/>
        </w:tabs>
        <w:adjustRightInd w:val="0"/>
        <w:snapToGrid w:val="0"/>
        <w:ind w:firstLine="480"/>
        <w:rPr>
          <w:rFonts w:hint="eastAsia"/>
          <w:bCs/>
        </w:rPr>
      </w:pPr>
      <w:r>
        <w:rPr>
          <w:rFonts w:hint="eastAsia"/>
        </w:rPr>
        <w:t>当集油干线、拉油罐发生泄漏时，石油类物质经过100d和1000d后在地下水中的扩散结果见表</w:t>
      </w:r>
      <w:r>
        <w:t>5.2</w:t>
      </w:r>
      <w:r>
        <w:rPr>
          <w:rFonts w:hint="eastAsia"/>
        </w:rPr>
        <w:t>-10。</w:t>
      </w:r>
    </w:p>
    <w:p w14:paraId="1CC2F030">
      <w:pPr>
        <w:pStyle w:val="15"/>
        <w:adjustRightInd w:val="0"/>
        <w:snapToGrid w:val="0"/>
        <w:spacing w:line="500" w:lineRule="exact"/>
        <w:rPr>
          <w:rFonts w:hint="eastAsia"/>
          <w:bCs/>
        </w:rPr>
      </w:pPr>
      <w:r>
        <w:rPr>
          <w:rFonts w:hint="eastAsia"/>
          <w:bCs/>
        </w:rPr>
        <w:t>表</w:t>
      </w:r>
      <w:r>
        <w:rPr>
          <w:bCs/>
        </w:rPr>
        <w:t>5.2</w:t>
      </w:r>
      <w:r>
        <w:rPr>
          <w:rFonts w:hint="eastAsia"/>
          <w:bCs/>
        </w:rPr>
        <w:t>-10</w:t>
      </w:r>
      <w:r>
        <w:rPr>
          <w:bCs/>
        </w:rPr>
        <w:t xml:space="preserve">  </w:t>
      </w:r>
      <w:r>
        <w:rPr>
          <w:rFonts w:hint="eastAsia"/>
          <w:bCs/>
        </w:rPr>
        <w:t>地下水影响预测结果一览表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28" w:type="dxa"/>
          <w:bottom w:w="0" w:type="dxa"/>
          <w:right w:w="28" w:type="dxa"/>
        </w:tblCellMar>
      </w:tblPr>
      <w:tblGrid>
        <w:gridCol w:w="713"/>
        <w:gridCol w:w="619"/>
        <w:gridCol w:w="965"/>
        <w:gridCol w:w="1003"/>
        <w:gridCol w:w="1374"/>
        <w:gridCol w:w="1360"/>
        <w:gridCol w:w="1360"/>
        <w:gridCol w:w="1392"/>
      </w:tblGrid>
      <w:tr w14:paraId="784D10F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29" w:hRule="atLeast"/>
          <w:jc w:val="center"/>
        </w:trPr>
        <w:tc>
          <w:tcPr>
            <w:tcW w:w="406" w:type="pct"/>
            <w:tcBorders>
              <w:right w:val="single" w:color="auto" w:sz="4" w:space="0"/>
            </w:tcBorders>
            <w:vAlign w:val="center"/>
          </w:tcPr>
          <w:p w14:paraId="7D85106A">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泄漏点名称</w:t>
            </w:r>
          </w:p>
        </w:tc>
        <w:tc>
          <w:tcPr>
            <w:tcW w:w="352" w:type="pct"/>
            <w:tcBorders>
              <w:right w:val="single" w:color="auto" w:sz="4" w:space="0"/>
            </w:tcBorders>
            <w:vAlign w:val="center"/>
          </w:tcPr>
          <w:p w14:paraId="74D3AE70">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污染物</w:t>
            </w:r>
          </w:p>
        </w:tc>
        <w:tc>
          <w:tcPr>
            <w:tcW w:w="549" w:type="pct"/>
            <w:vAlign w:val="center"/>
          </w:tcPr>
          <w:p w14:paraId="77D7E94F">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预测时间d</w:t>
            </w:r>
          </w:p>
        </w:tc>
        <w:tc>
          <w:tcPr>
            <w:tcW w:w="571" w:type="pct"/>
            <w:tcBorders>
              <w:right w:val="single" w:color="auto" w:sz="4" w:space="0"/>
            </w:tcBorders>
            <w:vAlign w:val="center"/>
          </w:tcPr>
          <w:p w14:paraId="311E67D2">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最大浓度</w:t>
            </w:r>
          </w:p>
          <w:p w14:paraId="7681C152">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（mg/L）</w:t>
            </w:r>
          </w:p>
        </w:tc>
        <w:tc>
          <w:tcPr>
            <w:tcW w:w="782" w:type="pct"/>
            <w:tcBorders>
              <w:left w:val="single" w:color="auto" w:sz="4" w:space="0"/>
              <w:right w:val="single" w:color="auto" w:sz="4" w:space="0"/>
            </w:tcBorders>
            <w:vAlign w:val="center"/>
          </w:tcPr>
          <w:p w14:paraId="6AE2656A">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下游最大浓度对应距离（m）</w:t>
            </w:r>
          </w:p>
        </w:tc>
        <w:tc>
          <w:tcPr>
            <w:tcW w:w="774" w:type="pct"/>
            <w:tcBorders>
              <w:left w:val="single" w:color="auto" w:sz="4" w:space="0"/>
              <w:right w:val="single" w:color="auto" w:sz="4" w:space="0"/>
            </w:tcBorders>
          </w:tcPr>
          <w:p w14:paraId="0A5992D1">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下游达标浓度</w:t>
            </w:r>
          </w:p>
          <w:p w14:paraId="2962006B">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（mg/L）</w:t>
            </w:r>
          </w:p>
        </w:tc>
        <w:tc>
          <w:tcPr>
            <w:tcW w:w="774" w:type="pct"/>
            <w:tcBorders>
              <w:left w:val="single" w:color="auto" w:sz="4" w:space="0"/>
              <w:right w:val="single" w:color="auto" w:sz="4" w:space="0"/>
            </w:tcBorders>
            <w:vAlign w:val="center"/>
          </w:tcPr>
          <w:p w14:paraId="2FB6CDF5">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下游达标浓度对应距离（m）</w:t>
            </w:r>
          </w:p>
        </w:tc>
        <w:tc>
          <w:tcPr>
            <w:tcW w:w="792" w:type="pct"/>
            <w:tcBorders>
              <w:left w:val="single" w:color="auto" w:sz="4" w:space="0"/>
            </w:tcBorders>
            <w:vAlign w:val="center"/>
          </w:tcPr>
          <w:p w14:paraId="1307F59E">
            <w:pPr>
              <w:adjustRightInd w:val="0"/>
              <w:snapToGrid w:val="0"/>
              <w:spacing w:line="300" w:lineRule="exact"/>
              <w:jc w:val="center"/>
              <w:rPr>
                <w:rFonts w:hint="eastAsia" w:ascii="宋体" w:hAnsi="宋体" w:cs="宋体"/>
                <w:szCs w:val="21"/>
              </w:rPr>
            </w:pPr>
            <w:r>
              <w:rPr>
                <w:rFonts w:hint="eastAsia" w:ascii="宋体" w:hAnsi="宋体" w:cs="宋体"/>
                <w:szCs w:val="21"/>
              </w:rPr>
              <w:t>Ⅲ类标准</w:t>
            </w:r>
          </w:p>
          <w:p w14:paraId="3366580F">
            <w:pPr>
              <w:adjustRightInd w:val="0"/>
              <w:snapToGrid w:val="0"/>
              <w:spacing w:line="300" w:lineRule="exact"/>
              <w:jc w:val="center"/>
              <w:rPr>
                <w:rFonts w:hint="eastAsia" w:ascii="宋体" w:hAnsi="宋体" w:cs="宋体"/>
                <w:szCs w:val="21"/>
              </w:rPr>
            </w:pPr>
            <w:r>
              <w:rPr>
                <w:rFonts w:hint="eastAsia" w:ascii="宋体" w:hAnsi="宋体" w:cs="宋体"/>
                <w:szCs w:val="21"/>
              </w:rPr>
              <w:t>（mg/L）</w:t>
            </w:r>
          </w:p>
        </w:tc>
      </w:tr>
      <w:tr w14:paraId="349237B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29" w:hRule="atLeast"/>
          <w:jc w:val="center"/>
        </w:trPr>
        <w:tc>
          <w:tcPr>
            <w:tcW w:w="406" w:type="pct"/>
            <w:vMerge w:val="restart"/>
            <w:tcBorders>
              <w:right w:val="single" w:color="auto" w:sz="4" w:space="0"/>
            </w:tcBorders>
            <w:vAlign w:val="center"/>
          </w:tcPr>
          <w:p w14:paraId="4F9C3C27">
            <w:pPr>
              <w:widowControl/>
              <w:adjustRightInd w:val="0"/>
              <w:snapToGrid w:val="0"/>
              <w:spacing w:line="300" w:lineRule="exact"/>
              <w:jc w:val="center"/>
              <w:rPr>
                <w:rFonts w:hint="eastAsia" w:ascii="宋体" w:hAnsi="宋体" w:cs="宋体"/>
                <w:szCs w:val="21"/>
              </w:rPr>
            </w:pPr>
            <w:bookmarkStart w:id="537" w:name="_Hlk173435774"/>
            <w:r>
              <w:rPr>
                <w:rFonts w:hint="eastAsia" w:ascii="宋体" w:hAnsi="宋体" w:cs="宋体"/>
                <w:szCs w:val="21"/>
              </w:rPr>
              <w:t>集油干线</w:t>
            </w:r>
          </w:p>
        </w:tc>
        <w:tc>
          <w:tcPr>
            <w:tcW w:w="352" w:type="pct"/>
            <w:vMerge w:val="restart"/>
            <w:tcBorders>
              <w:right w:val="single" w:color="auto" w:sz="4" w:space="0"/>
            </w:tcBorders>
            <w:vAlign w:val="center"/>
          </w:tcPr>
          <w:p w14:paraId="37BC7BE9">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石油类</w:t>
            </w:r>
          </w:p>
        </w:tc>
        <w:tc>
          <w:tcPr>
            <w:tcW w:w="549" w:type="pct"/>
            <w:vAlign w:val="center"/>
          </w:tcPr>
          <w:p w14:paraId="54EA6805">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100</w:t>
            </w:r>
          </w:p>
        </w:tc>
        <w:tc>
          <w:tcPr>
            <w:tcW w:w="571" w:type="pct"/>
            <w:tcBorders>
              <w:right w:val="single" w:color="auto" w:sz="4" w:space="0"/>
            </w:tcBorders>
            <w:vAlign w:val="center"/>
          </w:tcPr>
          <w:p w14:paraId="3FA56182">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5833.3</w:t>
            </w:r>
          </w:p>
        </w:tc>
        <w:tc>
          <w:tcPr>
            <w:tcW w:w="782" w:type="pct"/>
            <w:tcBorders>
              <w:left w:val="single" w:color="auto" w:sz="4" w:space="0"/>
              <w:right w:val="single" w:color="auto" w:sz="4" w:space="0"/>
            </w:tcBorders>
            <w:vAlign w:val="center"/>
          </w:tcPr>
          <w:p w14:paraId="469A7BF6">
            <w:pPr>
              <w:adjustRightInd w:val="0"/>
              <w:snapToGrid w:val="0"/>
              <w:spacing w:line="300" w:lineRule="exact"/>
              <w:jc w:val="center"/>
              <w:rPr>
                <w:rFonts w:hint="eastAsia" w:ascii="宋体" w:hAnsi="宋体" w:cs="宋体"/>
                <w:szCs w:val="21"/>
              </w:rPr>
            </w:pPr>
            <w:r>
              <w:rPr>
                <w:rFonts w:hint="eastAsia" w:ascii="宋体" w:hAnsi="宋体" w:cs="宋体"/>
                <w:szCs w:val="21"/>
              </w:rPr>
              <w:t>33</w:t>
            </w:r>
          </w:p>
        </w:tc>
        <w:tc>
          <w:tcPr>
            <w:tcW w:w="774" w:type="pct"/>
            <w:tcBorders>
              <w:left w:val="single" w:color="auto" w:sz="4" w:space="0"/>
              <w:right w:val="single" w:color="auto" w:sz="4" w:space="0"/>
            </w:tcBorders>
          </w:tcPr>
          <w:p w14:paraId="2F926E00">
            <w:pPr>
              <w:adjustRightInd w:val="0"/>
              <w:snapToGrid w:val="0"/>
              <w:spacing w:line="300" w:lineRule="exact"/>
              <w:jc w:val="center"/>
              <w:rPr>
                <w:rFonts w:hint="eastAsia" w:ascii="宋体" w:hAnsi="宋体" w:cs="宋体"/>
                <w:szCs w:val="21"/>
              </w:rPr>
            </w:pPr>
            <w:r>
              <w:rPr>
                <w:rFonts w:hint="eastAsia" w:ascii="宋体" w:hAnsi="宋体" w:cs="宋体"/>
                <w:szCs w:val="21"/>
              </w:rPr>
              <w:t>0.036</w:t>
            </w:r>
          </w:p>
        </w:tc>
        <w:tc>
          <w:tcPr>
            <w:tcW w:w="774" w:type="pct"/>
            <w:tcBorders>
              <w:left w:val="single" w:color="auto" w:sz="4" w:space="0"/>
              <w:right w:val="single" w:color="auto" w:sz="4" w:space="0"/>
            </w:tcBorders>
            <w:vAlign w:val="center"/>
          </w:tcPr>
          <w:p w14:paraId="1F92C37A">
            <w:pPr>
              <w:adjustRightInd w:val="0"/>
              <w:snapToGrid w:val="0"/>
              <w:spacing w:line="300" w:lineRule="exact"/>
              <w:jc w:val="center"/>
              <w:rPr>
                <w:rFonts w:hint="eastAsia" w:ascii="宋体" w:hAnsi="宋体" w:cs="宋体"/>
                <w:szCs w:val="21"/>
              </w:rPr>
            </w:pPr>
            <w:r>
              <w:rPr>
                <w:rFonts w:hint="eastAsia" w:ascii="宋体" w:hAnsi="宋体" w:cs="宋体"/>
                <w:szCs w:val="21"/>
              </w:rPr>
              <w:t>57</w:t>
            </w:r>
          </w:p>
        </w:tc>
        <w:tc>
          <w:tcPr>
            <w:tcW w:w="792" w:type="pct"/>
            <w:vMerge w:val="restart"/>
            <w:tcBorders>
              <w:left w:val="single" w:color="auto" w:sz="4" w:space="0"/>
            </w:tcBorders>
            <w:vAlign w:val="center"/>
          </w:tcPr>
          <w:p w14:paraId="5C61F21D">
            <w:pPr>
              <w:adjustRightInd w:val="0"/>
              <w:snapToGrid w:val="0"/>
              <w:spacing w:line="300" w:lineRule="exact"/>
              <w:jc w:val="center"/>
              <w:rPr>
                <w:rFonts w:hint="eastAsia" w:ascii="宋体" w:hAnsi="宋体" w:cs="宋体"/>
                <w:szCs w:val="21"/>
              </w:rPr>
            </w:pPr>
            <w:bookmarkStart w:id="538" w:name="OLE_LINK383"/>
            <w:r>
              <w:rPr>
                <w:rFonts w:hint="eastAsia" w:ascii="宋体" w:hAnsi="宋体" w:cs="宋体"/>
                <w:szCs w:val="21"/>
              </w:rPr>
              <w:t>≤0.05</w:t>
            </w:r>
            <w:bookmarkEnd w:id="538"/>
          </w:p>
        </w:tc>
      </w:tr>
      <w:tr w14:paraId="6B795A2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29" w:hRule="atLeast"/>
          <w:jc w:val="center"/>
        </w:trPr>
        <w:tc>
          <w:tcPr>
            <w:tcW w:w="406" w:type="pct"/>
            <w:vMerge w:val="continue"/>
            <w:tcBorders>
              <w:right w:val="single" w:color="auto" w:sz="4" w:space="0"/>
            </w:tcBorders>
            <w:vAlign w:val="center"/>
          </w:tcPr>
          <w:p w14:paraId="0D8CAD36">
            <w:pPr>
              <w:widowControl/>
              <w:adjustRightInd w:val="0"/>
              <w:snapToGrid w:val="0"/>
              <w:spacing w:line="300" w:lineRule="exact"/>
              <w:jc w:val="center"/>
              <w:rPr>
                <w:rFonts w:hint="eastAsia" w:ascii="宋体" w:hAnsi="宋体" w:cs="宋体"/>
                <w:szCs w:val="21"/>
              </w:rPr>
            </w:pPr>
          </w:p>
        </w:tc>
        <w:tc>
          <w:tcPr>
            <w:tcW w:w="352" w:type="pct"/>
            <w:vMerge w:val="continue"/>
            <w:tcBorders>
              <w:right w:val="single" w:color="auto" w:sz="4" w:space="0"/>
            </w:tcBorders>
            <w:vAlign w:val="center"/>
          </w:tcPr>
          <w:p w14:paraId="68DDB4E0">
            <w:pPr>
              <w:widowControl/>
              <w:adjustRightInd w:val="0"/>
              <w:snapToGrid w:val="0"/>
              <w:spacing w:line="300" w:lineRule="exact"/>
              <w:jc w:val="center"/>
              <w:rPr>
                <w:rFonts w:hint="eastAsia" w:ascii="宋体" w:hAnsi="宋体" w:cs="宋体"/>
                <w:szCs w:val="21"/>
              </w:rPr>
            </w:pPr>
          </w:p>
        </w:tc>
        <w:tc>
          <w:tcPr>
            <w:tcW w:w="549" w:type="pct"/>
            <w:vAlign w:val="center"/>
          </w:tcPr>
          <w:p w14:paraId="1C70E16D">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1000</w:t>
            </w:r>
          </w:p>
        </w:tc>
        <w:tc>
          <w:tcPr>
            <w:tcW w:w="571" w:type="pct"/>
            <w:tcBorders>
              <w:right w:val="single" w:color="auto" w:sz="4" w:space="0"/>
            </w:tcBorders>
            <w:vAlign w:val="center"/>
          </w:tcPr>
          <w:p w14:paraId="3184C33A">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583.33</w:t>
            </w:r>
          </w:p>
        </w:tc>
        <w:tc>
          <w:tcPr>
            <w:tcW w:w="782" w:type="pct"/>
            <w:tcBorders>
              <w:left w:val="single" w:color="auto" w:sz="4" w:space="0"/>
              <w:right w:val="single" w:color="auto" w:sz="4" w:space="0"/>
            </w:tcBorders>
            <w:vAlign w:val="center"/>
          </w:tcPr>
          <w:p w14:paraId="4D425D7D">
            <w:pPr>
              <w:adjustRightInd w:val="0"/>
              <w:snapToGrid w:val="0"/>
              <w:spacing w:line="300" w:lineRule="exact"/>
              <w:jc w:val="center"/>
              <w:rPr>
                <w:rFonts w:hint="eastAsia" w:ascii="宋体" w:hAnsi="宋体" w:cs="宋体"/>
                <w:szCs w:val="21"/>
              </w:rPr>
            </w:pPr>
            <w:r>
              <w:rPr>
                <w:rFonts w:hint="eastAsia" w:ascii="宋体" w:hAnsi="宋体" w:cs="宋体"/>
                <w:szCs w:val="21"/>
              </w:rPr>
              <w:t>330</w:t>
            </w:r>
          </w:p>
        </w:tc>
        <w:tc>
          <w:tcPr>
            <w:tcW w:w="774" w:type="pct"/>
            <w:tcBorders>
              <w:left w:val="single" w:color="auto" w:sz="4" w:space="0"/>
              <w:right w:val="single" w:color="auto" w:sz="4" w:space="0"/>
            </w:tcBorders>
          </w:tcPr>
          <w:p w14:paraId="060960F3">
            <w:pPr>
              <w:adjustRightInd w:val="0"/>
              <w:snapToGrid w:val="0"/>
              <w:spacing w:line="300" w:lineRule="exact"/>
              <w:jc w:val="center"/>
              <w:rPr>
                <w:rFonts w:hint="eastAsia" w:ascii="宋体" w:hAnsi="宋体" w:cs="宋体"/>
                <w:szCs w:val="21"/>
              </w:rPr>
            </w:pPr>
            <w:r>
              <w:rPr>
                <w:rFonts w:hint="eastAsia" w:ascii="宋体" w:hAnsi="宋体" w:cs="宋体"/>
                <w:szCs w:val="21"/>
              </w:rPr>
              <w:t>0.038</w:t>
            </w:r>
          </w:p>
        </w:tc>
        <w:tc>
          <w:tcPr>
            <w:tcW w:w="774" w:type="pct"/>
            <w:tcBorders>
              <w:left w:val="single" w:color="auto" w:sz="4" w:space="0"/>
              <w:right w:val="single" w:color="auto" w:sz="4" w:space="0"/>
            </w:tcBorders>
            <w:vAlign w:val="center"/>
          </w:tcPr>
          <w:p w14:paraId="30D90A44">
            <w:pPr>
              <w:adjustRightInd w:val="0"/>
              <w:snapToGrid w:val="0"/>
              <w:spacing w:line="300" w:lineRule="exact"/>
              <w:jc w:val="center"/>
              <w:rPr>
                <w:rFonts w:hint="eastAsia" w:ascii="宋体" w:hAnsi="宋体" w:cs="宋体"/>
                <w:szCs w:val="21"/>
              </w:rPr>
            </w:pPr>
            <w:r>
              <w:rPr>
                <w:rFonts w:hint="eastAsia" w:ascii="宋体" w:hAnsi="宋体" w:cs="宋体"/>
                <w:szCs w:val="21"/>
              </w:rPr>
              <w:t>395</w:t>
            </w:r>
          </w:p>
        </w:tc>
        <w:tc>
          <w:tcPr>
            <w:tcW w:w="792" w:type="pct"/>
            <w:vMerge w:val="continue"/>
            <w:tcBorders>
              <w:left w:val="single" w:color="auto" w:sz="4" w:space="0"/>
            </w:tcBorders>
            <w:vAlign w:val="center"/>
          </w:tcPr>
          <w:p w14:paraId="116BB131">
            <w:pPr>
              <w:adjustRightInd w:val="0"/>
              <w:snapToGrid w:val="0"/>
              <w:spacing w:line="300" w:lineRule="exact"/>
              <w:jc w:val="center"/>
              <w:rPr>
                <w:rFonts w:hint="eastAsia" w:ascii="宋体" w:hAnsi="宋体" w:cs="宋体"/>
                <w:szCs w:val="21"/>
              </w:rPr>
            </w:pPr>
          </w:p>
        </w:tc>
      </w:tr>
      <w:bookmarkEnd w:id="537"/>
      <w:tr w14:paraId="5972E19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29" w:hRule="atLeast"/>
          <w:jc w:val="center"/>
        </w:trPr>
        <w:tc>
          <w:tcPr>
            <w:tcW w:w="406" w:type="pct"/>
            <w:vMerge w:val="restart"/>
            <w:tcBorders>
              <w:right w:val="single" w:color="auto" w:sz="4" w:space="0"/>
            </w:tcBorders>
            <w:vAlign w:val="center"/>
          </w:tcPr>
          <w:p w14:paraId="3884EF29">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拉油方罐</w:t>
            </w:r>
          </w:p>
        </w:tc>
        <w:tc>
          <w:tcPr>
            <w:tcW w:w="352" w:type="pct"/>
            <w:vMerge w:val="restart"/>
            <w:tcBorders>
              <w:right w:val="single" w:color="auto" w:sz="4" w:space="0"/>
            </w:tcBorders>
            <w:vAlign w:val="center"/>
          </w:tcPr>
          <w:p w14:paraId="5ED7D913">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石油类</w:t>
            </w:r>
          </w:p>
        </w:tc>
        <w:tc>
          <w:tcPr>
            <w:tcW w:w="549" w:type="pct"/>
            <w:vAlign w:val="center"/>
          </w:tcPr>
          <w:p w14:paraId="19AF9E4C">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100</w:t>
            </w:r>
          </w:p>
        </w:tc>
        <w:tc>
          <w:tcPr>
            <w:tcW w:w="571" w:type="pct"/>
            <w:tcBorders>
              <w:right w:val="single" w:color="auto" w:sz="4" w:space="0"/>
            </w:tcBorders>
            <w:vAlign w:val="center"/>
          </w:tcPr>
          <w:p w14:paraId="01588EC6">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289.39</w:t>
            </w:r>
          </w:p>
        </w:tc>
        <w:tc>
          <w:tcPr>
            <w:tcW w:w="782" w:type="pct"/>
            <w:tcBorders>
              <w:left w:val="single" w:color="auto" w:sz="4" w:space="0"/>
              <w:right w:val="single" w:color="auto" w:sz="4" w:space="0"/>
            </w:tcBorders>
            <w:vAlign w:val="center"/>
          </w:tcPr>
          <w:p w14:paraId="3D69E825">
            <w:pPr>
              <w:adjustRightInd w:val="0"/>
              <w:snapToGrid w:val="0"/>
              <w:spacing w:line="300" w:lineRule="exact"/>
              <w:jc w:val="center"/>
              <w:rPr>
                <w:rFonts w:hint="eastAsia" w:ascii="宋体" w:hAnsi="宋体" w:cs="宋体"/>
                <w:szCs w:val="21"/>
              </w:rPr>
            </w:pPr>
            <w:r>
              <w:rPr>
                <w:rFonts w:hint="eastAsia" w:ascii="宋体" w:hAnsi="宋体" w:cs="宋体"/>
                <w:szCs w:val="21"/>
              </w:rPr>
              <w:t>33</w:t>
            </w:r>
          </w:p>
        </w:tc>
        <w:tc>
          <w:tcPr>
            <w:tcW w:w="774" w:type="pct"/>
            <w:tcBorders>
              <w:left w:val="single" w:color="auto" w:sz="4" w:space="0"/>
              <w:right w:val="single" w:color="auto" w:sz="4" w:space="0"/>
            </w:tcBorders>
          </w:tcPr>
          <w:p w14:paraId="22FB9F59">
            <w:pPr>
              <w:adjustRightInd w:val="0"/>
              <w:snapToGrid w:val="0"/>
              <w:spacing w:line="300" w:lineRule="exact"/>
              <w:jc w:val="center"/>
              <w:rPr>
                <w:rFonts w:hint="eastAsia" w:ascii="宋体" w:hAnsi="宋体" w:cs="宋体"/>
                <w:szCs w:val="21"/>
              </w:rPr>
            </w:pPr>
            <w:r>
              <w:rPr>
                <w:rFonts w:hint="eastAsia" w:ascii="宋体" w:hAnsi="宋体" w:cs="宋体"/>
                <w:szCs w:val="21"/>
              </w:rPr>
              <w:t>0.024</w:t>
            </w:r>
          </w:p>
        </w:tc>
        <w:tc>
          <w:tcPr>
            <w:tcW w:w="774" w:type="pct"/>
            <w:tcBorders>
              <w:left w:val="single" w:color="auto" w:sz="4" w:space="0"/>
              <w:right w:val="single" w:color="auto" w:sz="4" w:space="0"/>
            </w:tcBorders>
            <w:vAlign w:val="center"/>
          </w:tcPr>
          <w:p w14:paraId="2A1CD859">
            <w:pPr>
              <w:adjustRightInd w:val="0"/>
              <w:snapToGrid w:val="0"/>
              <w:spacing w:line="300" w:lineRule="exact"/>
              <w:jc w:val="center"/>
              <w:rPr>
                <w:rFonts w:hint="eastAsia" w:ascii="宋体" w:hAnsi="宋体" w:cs="宋体"/>
                <w:szCs w:val="21"/>
              </w:rPr>
            </w:pPr>
            <w:r>
              <w:rPr>
                <w:rFonts w:hint="eastAsia" w:ascii="宋体" w:hAnsi="宋体" w:cs="宋体"/>
                <w:szCs w:val="21"/>
              </w:rPr>
              <w:t>54</w:t>
            </w:r>
          </w:p>
        </w:tc>
        <w:tc>
          <w:tcPr>
            <w:tcW w:w="792" w:type="pct"/>
            <w:vMerge w:val="restart"/>
            <w:tcBorders>
              <w:left w:val="single" w:color="auto" w:sz="4" w:space="0"/>
            </w:tcBorders>
            <w:vAlign w:val="center"/>
          </w:tcPr>
          <w:p w14:paraId="2FA49EF5">
            <w:pPr>
              <w:adjustRightInd w:val="0"/>
              <w:snapToGrid w:val="0"/>
              <w:spacing w:line="300" w:lineRule="exact"/>
              <w:jc w:val="center"/>
              <w:rPr>
                <w:rFonts w:hint="eastAsia" w:ascii="宋体" w:hAnsi="宋体" w:cs="宋体"/>
                <w:szCs w:val="21"/>
              </w:rPr>
            </w:pPr>
            <w:r>
              <w:rPr>
                <w:rFonts w:hint="eastAsia" w:ascii="宋体" w:hAnsi="宋体" w:cs="宋体"/>
                <w:szCs w:val="21"/>
              </w:rPr>
              <w:t>≤0.05</w:t>
            </w:r>
          </w:p>
        </w:tc>
      </w:tr>
      <w:tr w14:paraId="41AD3CD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29" w:hRule="atLeast"/>
          <w:jc w:val="center"/>
        </w:trPr>
        <w:tc>
          <w:tcPr>
            <w:tcW w:w="406" w:type="pct"/>
            <w:vMerge w:val="continue"/>
            <w:tcBorders>
              <w:right w:val="single" w:color="auto" w:sz="4" w:space="0"/>
            </w:tcBorders>
            <w:vAlign w:val="center"/>
          </w:tcPr>
          <w:p w14:paraId="1B5B512F">
            <w:pPr>
              <w:widowControl/>
              <w:adjustRightInd w:val="0"/>
              <w:snapToGrid w:val="0"/>
              <w:spacing w:line="300" w:lineRule="exact"/>
              <w:jc w:val="center"/>
              <w:rPr>
                <w:rFonts w:hint="eastAsia" w:ascii="宋体" w:hAnsi="宋体" w:cs="宋体"/>
                <w:szCs w:val="21"/>
              </w:rPr>
            </w:pPr>
          </w:p>
        </w:tc>
        <w:tc>
          <w:tcPr>
            <w:tcW w:w="352" w:type="pct"/>
            <w:vMerge w:val="continue"/>
            <w:tcBorders>
              <w:right w:val="single" w:color="auto" w:sz="4" w:space="0"/>
            </w:tcBorders>
            <w:vAlign w:val="center"/>
          </w:tcPr>
          <w:p w14:paraId="19463F2F">
            <w:pPr>
              <w:widowControl/>
              <w:adjustRightInd w:val="0"/>
              <w:snapToGrid w:val="0"/>
              <w:spacing w:line="300" w:lineRule="exact"/>
              <w:jc w:val="center"/>
              <w:rPr>
                <w:rFonts w:hint="eastAsia" w:ascii="宋体" w:hAnsi="宋体" w:cs="宋体"/>
                <w:szCs w:val="21"/>
              </w:rPr>
            </w:pPr>
          </w:p>
        </w:tc>
        <w:tc>
          <w:tcPr>
            <w:tcW w:w="549" w:type="pct"/>
            <w:vAlign w:val="center"/>
          </w:tcPr>
          <w:p w14:paraId="36F2B003">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1000</w:t>
            </w:r>
          </w:p>
        </w:tc>
        <w:tc>
          <w:tcPr>
            <w:tcW w:w="571" w:type="pct"/>
            <w:tcBorders>
              <w:right w:val="single" w:color="auto" w:sz="4" w:space="0"/>
            </w:tcBorders>
            <w:vAlign w:val="center"/>
          </w:tcPr>
          <w:p w14:paraId="175736F0">
            <w:pPr>
              <w:widowControl/>
              <w:adjustRightInd w:val="0"/>
              <w:snapToGrid w:val="0"/>
              <w:spacing w:line="300" w:lineRule="exact"/>
              <w:jc w:val="center"/>
              <w:rPr>
                <w:rFonts w:hint="eastAsia" w:ascii="宋体" w:hAnsi="宋体" w:cs="宋体"/>
                <w:szCs w:val="21"/>
              </w:rPr>
            </w:pPr>
            <w:r>
              <w:rPr>
                <w:rFonts w:hint="eastAsia" w:ascii="宋体" w:hAnsi="宋体" w:cs="宋体"/>
                <w:szCs w:val="21"/>
              </w:rPr>
              <w:t>28.94</w:t>
            </w:r>
          </w:p>
        </w:tc>
        <w:tc>
          <w:tcPr>
            <w:tcW w:w="782" w:type="pct"/>
            <w:tcBorders>
              <w:left w:val="single" w:color="auto" w:sz="4" w:space="0"/>
              <w:right w:val="single" w:color="auto" w:sz="4" w:space="0"/>
            </w:tcBorders>
            <w:vAlign w:val="center"/>
          </w:tcPr>
          <w:p w14:paraId="07E3527C">
            <w:pPr>
              <w:adjustRightInd w:val="0"/>
              <w:snapToGrid w:val="0"/>
              <w:spacing w:line="300" w:lineRule="exact"/>
              <w:jc w:val="center"/>
              <w:rPr>
                <w:rFonts w:hint="eastAsia" w:ascii="宋体" w:hAnsi="宋体" w:cs="宋体"/>
                <w:szCs w:val="21"/>
              </w:rPr>
            </w:pPr>
            <w:r>
              <w:rPr>
                <w:rFonts w:hint="eastAsia" w:ascii="宋体" w:hAnsi="宋体" w:cs="宋体"/>
                <w:szCs w:val="21"/>
              </w:rPr>
              <w:t>330</w:t>
            </w:r>
          </w:p>
        </w:tc>
        <w:tc>
          <w:tcPr>
            <w:tcW w:w="774" w:type="pct"/>
            <w:tcBorders>
              <w:left w:val="single" w:color="auto" w:sz="4" w:space="0"/>
              <w:right w:val="single" w:color="auto" w:sz="4" w:space="0"/>
            </w:tcBorders>
          </w:tcPr>
          <w:p w14:paraId="36E0027D">
            <w:pPr>
              <w:adjustRightInd w:val="0"/>
              <w:snapToGrid w:val="0"/>
              <w:spacing w:line="300" w:lineRule="exact"/>
              <w:jc w:val="center"/>
              <w:rPr>
                <w:rFonts w:hint="eastAsia" w:ascii="宋体" w:hAnsi="宋体" w:cs="宋体"/>
                <w:szCs w:val="21"/>
              </w:rPr>
            </w:pPr>
            <w:r>
              <w:rPr>
                <w:rFonts w:hint="eastAsia" w:ascii="宋体" w:hAnsi="宋体" w:cs="宋体"/>
                <w:szCs w:val="21"/>
              </w:rPr>
              <w:t>0.042</w:t>
            </w:r>
          </w:p>
        </w:tc>
        <w:tc>
          <w:tcPr>
            <w:tcW w:w="774" w:type="pct"/>
            <w:tcBorders>
              <w:left w:val="single" w:color="auto" w:sz="4" w:space="0"/>
              <w:right w:val="single" w:color="auto" w:sz="4" w:space="0"/>
            </w:tcBorders>
            <w:vAlign w:val="center"/>
          </w:tcPr>
          <w:p w14:paraId="4ACC4C07">
            <w:pPr>
              <w:adjustRightInd w:val="0"/>
              <w:snapToGrid w:val="0"/>
              <w:spacing w:line="300" w:lineRule="exact"/>
              <w:jc w:val="center"/>
              <w:rPr>
                <w:rFonts w:hint="eastAsia" w:ascii="宋体" w:hAnsi="宋体" w:cs="宋体"/>
                <w:szCs w:val="21"/>
              </w:rPr>
            </w:pPr>
            <w:r>
              <w:rPr>
                <w:rFonts w:hint="eastAsia" w:ascii="宋体" w:hAnsi="宋体" w:cs="宋体"/>
                <w:szCs w:val="21"/>
              </w:rPr>
              <w:t>386</w:t>
            </w:r>
          </w:p>
        </w:tc>
        <w:tc>
          <w:tcPr>
            <w:tcW w:w="792" w:type="pct"/>
            <w:vMerge w:val="continue"/>
            <w:tcBorders>
              <w:left w:val="single" w:color="auto" w:sz="4" w:space="0"/>
            </w:tcBorders>
            <w:vAlign w:val="center"/>
          </w:tcPr>
          <w:p w14:paraId="1A8D817C">
            <w:pPr>
              <w:adjustRightInd w:val="0"/>
              <w:snapToGrid w:val="0"/>
              <w:spacing w:line="300" w:lineRule="exact"/>
              <w:jc w:val="center"/>
              <w:rPr>
                <w:rFonts w:hint="eastAsia" w:ascii="宋体" w:hAnsi="宋体" w:cs="宋体"/>
                <w:szCs w:val="21"/>
              </w:rPr>
            </w:pPr>
          </w:p>
        </w:tc>
      </w:tr>
    </w:tbl>
    <w:p w14:paraId="23BD358B">
      <w:pPr>
        <w:pStyle w:val="117"/>
        <w:ind w:firstLine="480"/>
        <w:rPr>
          <w:rFonts w:hint="eastAsia"/>
        </w:rPr>
      </w:pPr>
      <w:r>
        <w:rPr>
          <w:rFonts w:hint="eastAsia"/>
        </w:rPr>
        <w:t>从预测结果可知：随着时间的增加，污染范围有所增加，</w:t>
      </w:r>
      <w:bookmarkStart w:id="539" w:name="_Hlk148007850"/>
      <w:bookmarkStart w:id="540" w:name="OLE_LINK384"/>
      <w:r>
        <w:rPr>
          <w:rFonts w:hint="eastAsia"/>
        </w:rPr>
        <w:t>集油干线发生泄漏后100d和1000d下游石油类达标时对应的距离分别为57m和395m</w:t>
      </w:r>
      <w:bookmarkEnd w:id="539"/>
      <w:r>
        <w:rPr>
          <w:rFonts w:hint="eastAsia"/>
        </w:rPr>
        <w:t>；拉油罐发生泄漏后</w:t>
      </w:r>
      <w:r>
        <w:t>100d</w:t>
      </w:r>
      <w:r>
        <w:rPr>
          <w:rFonts w:hint="eastAsia"/>
        </w:rPr>
        <w:t>和</w:t>
      </w:r>
      <w:r>
        <w:t>1000d</w:t>
      </w:r>
      <w:r>
        <w:rPr>
          <w:rFonts w:hint="eastAsia"/>
        </w:rPr>
        <w:t>下游石油类达标时对应的距离分别为57</w:t>
      </w:r>
      <w:r>
        <w:t>m</w:t>
      </w:r>
      <w:r>
        <w:rPr>
          <w:rFonts w:hint="eastAsia"/>
        </w:rPr>
        <w:t>和386</w:t>
      </w:r>
      <w:r>
        <w:t>m</w:t>
      </w:r>
      <w:r>
        <w:rPr>
          <w:rFonts w:hint="eastAsia"/>
        </w:rPr>
        <w:t>。</w:t>
      </w:r>
      <w:bookmarkEnd w:id="540"/>
      <w:r>
        <w:rPr>
          <w:rFonts w:hint="eastAsia"/>
        </w:rPr>
        <w:t>项目区土壤在消除土体裂隙和根孔影响的试验条件下，石油类下渗下移的深度不会超过30cm，</w:t>
      </w:r>
      <w:r>
        <w:rPr>
          <w:kern w:val="0"/>
          <w:szCs w:val="26"/>
        </w:rPr>
        <w:t>承压水顶板埋深在50～100m</w:t>
      </w:r>
      <w:r>
        <w:rPr>
          <w:rFonts w:hint="eastAsia"/>
          <w:kern w:val="0"/>
          <w:szCs w:val="26"/>
        </w:rPr>
        <w:t>以下</w:t>
      </w:r>
      <w:r>
        <w:rPr>
          <w:rFonts w:hint="eastAsia"/>
        </w:rPr>
        <w:t>，泄漏的原油进入地下水的可能性很小，并定期对设备进行检修，将事故发生的概率降至最低，发生泄漏后做到及时发现、及时处理，彻底清除泄漏油品及被污染的土壤。因此，发生泄漏后采取相应的措施后不会对地下水环境产生大的影响。</w:t>
      </w:r>
    </w:p>
    <w:p w14:paraId="62C67E94">
      <w:pPr>
        <w:pStyle w:val="117"/>
        <w:ind w:firstLine="480"/>
        <w:rPr>
          <w:rFonts w:hint="eastAsia"/>
        </w:rPr>
      </w:pPr>
      <w:r>
        <w:rPr>
          <w:rFonts w:hint="eastAsia"/>
        </w:rPr>
        <w:t>②油井套管破损泄漏对地下水的影响分析</w:t>
      </w:r>
    </w:p>
    <w:p w14:paraId="73F2E44E">
      <w:pPr>
        <w:pStyle w:val="117"/>
        <w:ind w:firstLine="480"/>
        <w:rPr>
          <w:rFonts w:hint="eastAsia"/>
        </w:rPr>
      </w:pPr>
      <w:r>
        <w:rPr>
          <w:rFonts w:hint="eastAsia"/>
        </w:rPr>
        <w:t>若采油井固井质量不合格，油井套管破裂，发生井漏，石油类污染物有可能通过破裂的套管附近的孔隙、裂隙径流渗漏进入地下含水层，对地下水造成污染影响。</w:t>
      </w:r>
    </w:p>
    <w:p w14:paraId="482D7DCB">
      <w:pPr>
        <w:pStyle w:val="117"/>
        <w:ind w:firstLine="480"/>
        <w:rPr>
          <w:rFonts w:hint="eastAsia"/>
        </w:rPr>
      </w:pPr>
      <w:r>
        <w:rPr>
          <w:rFonts w:hint="eastAsia"/>
        </w:rPr>
        <w:t>油井套管发生泄漏后，采出液中的石油类在含水层中的迁移随着时间、距离增加，污染物污染范围也呈增加趋势。由于项目区地下水影响范围内无集中式饮用水源和分散式饮用水源地等地下水环境保护目标，流经的孔隙、裂隙对石油类的拦截作用，进入含水层的石油类量是有限的。为防止套管破损污染地下水，表层套管严格封闭含水层，定期维护，定期检查固井质量，保证其合格，若发现固井质量不合格以及套管破损的情况后，及时进行修复，尽量避免窜层污染到泄漏点周边区域内的地下水。</w:t>
      </w:r>
    </w:p>
    <w:bookmarkEnd w:id="529"/>
    <w:bookmarkEnd w:id="530"/>
    <w:bookmarkEnd w:id="531"/>
    <w:bookmarkEnd w:id="536"/>
    <w:p w14:paraId="2CBBE346">
      <w:pPr>
        <w:pStyle w:val="4"/>
        <w:rPr>
          <w:rFonts w:hint="eastAsia"/>
        </w:rPr>
      </w:pPr>
      <w:r>
        <w:rPr>
          <w:rFonts w:hint="eastAsia"/>
        </w:rPr>
        <w:t>运营期声</w:t>
      </w:r>
      <w:r>
        <w:t>环境影响</w:t>
      </w:r>
      <w:bookmarkEnd w:id="516"/>
      <w:bookmarkEnd w:id="517"/>
      <w:bookmarkEnd w:id="518"/>
      <w:bookmarkEnd w:id="519"/>
      <w:bookmarkEnd w:id="520"/>
      <w:bookmarkEnd w:id="521"/>
      <w:bookmarkEnd w:id="522"/>
      <w:bookmarkEnd w:id="523"/>
      <w:r>
        <w:rPr>
          <w:rFonts w:hint="eastAsia"/>
        </w:rPr>
        <w:t>分析</w:t>
      </w:r>
    </w:p>
    <w:p w14:paraId="3F0ABCBC">
      <w:pPr>
        <w:pStyle w:val="117"/>
        <w:ind w:firstLine="480"/>
        <w:rPr>
          <w:rFonts w:hint="eastAsia" w:cs="宋体"/>
        </w:rPr>
      </w:pPr>
      <w:bookmarkStart w:id="541" w:name="_Toc489734603"/>
      <w:bookmarkStart w:id="542" w:name="_Toc16549"/>
      <w:bookmarkStart w:id="543" w:name="_Toc1325"/>
      <w:bookmarkStart w:id="544" w:name="_Toc445842094"/>
      <w:bookmarkStart w:id="545" w:name="_Hlk78996296"/>
      <w:bookmarkStart w:id="546" w:name="_Toc445996416"/>
      <w:bookmarkStart w:id="547" w:name="_Toc445996419"/>
      <w:bookmarkStart w:id="548" w:name="_Toc445842097"/>
      <w:r>
        <w:rPr>
          <w:rFonts w:hint="eastAsia" w:cs="宋体"/>
        </w:rPr>
        <w:t>（1）预测模式</w:t>
      </w:r>
    </w:p>
    <w:p w14:paraId="19F75D01">
      <w:pPr>
        <w:pStyle w:val="45"/>
        <w:spacing w:line="520" w:lineRule="exact"/>
        <w:ind w:firstLine="480" w:firstLineChars="200"/>
        <w:jc w:val="both"/>
        <w:rPr>
          <w:rFonts w:hint="eastAsia" w:ascii="宋体" w:hAnsi="宋体"/>
          <w:lang w:bidi="ar"/>
        </w:rPr>
      </w:pPr>
      <w:r>
        <w:rPr>
          <w:rFonts w:hint="eastAsia"/>
        </w:rPr>
        <w:t>采油井场的产噪设备均位于室外，</w:t>
      </w:r>
      <w:r>
        <w:rPr>
          <w:rFonts w:hint="eastAsia" w:ascii="宋体" w:hAnsi="宋体"/>
          <w:lang w:bidi="ar"/>
        </w:rPr>
        <w:t>本次只考虑传播距离引起的衰减，鉴于声源到厂界预测点的传播距离远大于声源长度，各噪声源均按点源计。计算模式采用《环境影响评价技术导则—声环境》</w:t>
      </w:r>
      <w:r>
        <w:rPr>
          <w:rFonts w:hint="eastAsia" w:ascii="宋体" w:hAnsi="宋体"/>
        </w:rPr>
        <w:t>（HJ2.4-20</w:t>
      </w:r>
      <w:r>
        <w:rPr>
          <w:rFonts w:ascii="宋体" w:hAnsi="宋体"/>
        </w:rPr>
        <w:t>21</w:t>
      </w:r>
      <w:r>
        <w:rPr>
          <w:rFonts w:hint="eastAsia" w:ascii="宋体" w:hAnsi="宋体"/>
        </w:rPr>
        <w:t>）</w:t>
      </w:r>
      <w:r>
        <w:rPr>
          <w:rFonts w:hint="eastAsia" w:ascii="宋体" w:hAnsi="宋体"/>
          <w:lang w:bidi="ar"/>
        </w:rPr>
        <w:t>中所推荐的预测模式，计算式如下：</w:t>
      </w:r>
    </w:p>
    <w:p w14:paraId="41B7A7A2">
      <w:pPr>
        <w:adjustRightInd w:val="0"/>
        <w:snapToGrid w:val="0"/>
        <w:spacing w:line="500" w:lineRule="exact"/>
        <w:ind w:firstLine="480" w:firstLineChars="200"/>
        <w:jc w:val="center"/>
        <w:rPr>
          <w:rFonts w:hint="eastAsia" w:ascii="宋体" w:hAnsi="宋体" w:cs="宋体"/>
          <w:sz w:val="24"/>
        </w:rPr>
      </w:pPr>
      <w:r>
        <w:rPr>
          <w:rFonts w:hint="eastAsia" w:ascii="宋体" w:hAnsi="宋体" w:cs="宋体"/>
          <w:sz w:val="24"/>
          <w:lang w:bidi="ar"/>
        </w:rPr>
        <w:t>L</w:t>
      </w:r>
      <w:r>
        <w:rPr>
          <w:rFonts w:hint="eastAsia" w:ascii="宋体" w:hAnsi="宋体" w:cs="宋体"/>
          <w:sz w:val="24"/>
          <w:vertAlign w:val="subscript"/>
          <w:lang w:bidi="ar"/>
        </w:rPr>
        <w:t>A</w:t>
      </w:r>
      <w:r>
        <w:rPr>
          <w:rFonts w:hint="eastAsia" w:ascii="宋体" w:hAnsi="宋体" w:cs="宋体"/>
          <w:sz w:val="24"/>
          <w:lang w:bidi="ar"/>
        </w:rPr>
        <w:t>（r）=L</w:t>
      </w:r>
      <w:r>
        <w:rPr>
          <w:rFonts w:hint="eastAsia" w:ascii="宋体" w:hAnsi="宋体" w:cs="宋体"/>
          <w:sz w:val="24"/>
          <w:vertAlign w:val="subscript"/>
          <w:lang w:bidi="ar"/>
        </w:rPr>
        <w:t>A</w:t>
      </w:r>
      <w:r>
        <w:rPr>
          <w:rFonts w:hint="eastAsia" w:ascii="宋体" w:hAnsi="宋体" w:cs="宋体"/>
          <w:sz w:val="24"/>
          <w:lang w:bidi="ar"/>
        </w:rPr>
        <w:t>（r</w:t>
      </w:r>
      <w:r>
        <w:rPr>
          <w:rFonts w:hint="eastAsia" w:ascii="宋体" w:hAnsi="宋体" w:cs="宋体"/>
          <w:sz w:val="24"/>
          <w:vertAlign w:val="subscript"/>
          <w:lang w:bidi="ar"/>
        </w:rPr>
        <w:t>0</w:t>
      </w:r>
      <w:r>
        <w:rPr>
          <w:rFonts w:hint="eastAsia" w:ascii="宋体" w:hAnsi="宋体" w:cs="宋体"/>
          <w:sz w:val="24"/>
          <w:lang w:bidi="ar"/>
        </w:rPr>
        <w:t>）-20lg（r/r</w:t>
      </w:r>
      <w:r>
        <w:rPr>
          <w:rFonts w:hint="eastAsia" w:ascii="宋体" w:hAnsi="宋体" w:cs="宋体"/>
          <w:sz w:val="24"/>
          <w:vertAlign w:val="subscript"/>
          <w:lang w:bidi="ar"/>
        </w:rPr>
        <w:t>0</w:t>
      </w:r>
      <w:r>
        <w:rPr>
          <w:rFonts w:hint="eastAsia" w:ascii="宋体" w:hAnsi="宋体" w:cs="宋体"/>
          <w:sz w:val="24"/>
          <w:lang w:bidi="ar"/>
        </w:rPr>
        <w:t>）</w:t>
      </w:r>
    </w:p>
    <w:p w14:paraId="3DA6DB80">
      <w:pPr>
        <w:tabs>
          <w:tab w:val="left" w:pos="525"/>
        </w:tabs>
        <w:adjustRightInd w:val="0"/>
        <w:snapToGrid w:val="0"/>
        <w:spacing w:line="500" w:lineRule="exact"/>
        <w:ind w:firstLine="480" w:firstLineChars="200"/>
        <w:rPr>
          <w:rFonts w:hint="eastAsia" w:ascii="宋体" w:hAnsi="宋体" w:cs="宋体"/>
          <w:sz w:val="24"/>
        </w:rPr>
      </w:pPr>
      <w:r>
        <w:rPr>
          <w:rFonts w:hint="eastAsia" w:ascii="宋体" w:hAnsi="宋体" w:cs="宋体"/>
          <w:sz w:val="24"/>
          <w:lang w:bidi="ar"/>
        </w:rPr>
        <w:t xml:space="preserve">       式中：L</w:t>
      </w:r>
      <w:r>
        <w:rPr>
          <w:rFonts w:hint="eastAsia" w:ascii="宋体" w:hAnsi="宋体" w:cs="宋体"/>
          <w:sz w:val="24"/>
          <w:vertAlign w:val="subscript"/>
          <w:lang w:bidi="ar"/>
        </w:rPr>
        <w:t>A</w:t>
      </w:r>
      <w:r>
        <w:rPr>
          <w:rFonts w:hint="eastAsia" w:ascii="宋体" w:hAnsi="宋体" w:cs="宋体"/>
          <w:sz w:val="24"/>
          <w:lang w:bidi="ar"/>
        </w:rPr>
        <w:t>（r）—距声源r处的A声级；</w:t>
      </w:r>
    </w:p>
    <w:p w14:paraId="453F9BAF">
      <w:pPr>
        <w:adjustRightInd w:val="0"/>
        <w:snapToGrid w:val="0"/>
        <w:spacing w:line="500" w:lineRule="exact"/>
        <w:ind w:firstLine="480" w:firstLineChars="200"/>
        <w:rPr>
          <w:rFonts w:hint="eastAsia" w:ascii="宋体" w:hAnsi="宋体" w:cs="宋体"/>
          <w:sz w:val="24"/>
        </w:rPr>
      </w:pPr>
      <w:r>
        <w:rPr>
          <w:rFonts w:hint="eastAsia" w:ascii="宋体" w:hAnsi="宋体" w:cs="宋体"/>
          <w:sz w:val="24"/>
          <w:lang w:bidi="ar"/>
        </w:rPr>
        <w:t xml:space="preserve">             L</w:t>
      </w:r>
      <w:r>
        <w:rPr>
          <w:rFonts w:hint="eastAsia" w:ascii="宋体" w:hAnsi="宋体" w:cs="宋体"/>
          <w:sz w:val="24"/>
          <w:vertAlign w:val="subscript"/>
          <w:lang w:bidi="ar"/>
        </w:rPr>
        <w:t>A</w:t>
      </w:r>
      <w:r>
        <w:rPr>
          <w:rFonts w:hint="eastAsia" w:ascii="宋体" w:hAnsi="宋体" w:cs="宋体"/>
          <w:sz w:val="24"/>
          <w:lang w:bidi="ar"/>
        </w:rPr>
        <w:t>（r</w:t>
      </w:r>
      <w:r>
        <w:rPr>
          <w:rFonts w:hint="eastAsia" w:ascii="宋体" w:hAnsi="宋体" w:cs="宋体"/>
          <w:sz w:val="24"/>
          <w:vertAlign w:val="subscript"/>
          <w:lang w:bidi="ar"/>
        </w:rPr>
        <w:t>0</w:t>
      </w:r>
      <w:r>
        <w:rPr>
          <w:rFonts w:hint="eastAsia" w:ascii="宋体" w:hAnsi="宋体" w:cs="宋体"/>
          <w:sz w:val="24"/>
          <w:lang w:bidi="ar"/>
        </w:rPr>
        <w:t>）—参考位置r</w:t>
      </w:r>
      <w:r>
        <w:rPr>
          <w:rFonts w:hint="eastAsia" w:ascii="宋体" w:hAnsi="宋体" w:cs="宋体"/>
          <w:sz w:val="24"/>
          <w:vertAlign w:val="subscript"/>
          <w:lang w:bidi="ar"/>
        </w:rPr>
        <w:t>0</w:t>
      </w:r>
      <w:r>
        <w:rPr>
          <w:rFonts w:hint="eastAsia" w:ascii="宋体" w:hAnsi="宋体" w:cs="宋体"/>
          <w:sz w:val="24"/>
          <w:lang w:bidi="ar"/>
        </w:rPr>
        <w:t>处的A声级；</w:t>
      </w:r>
    </w:p>
    <w:p w14:paraId="34446EC7">
      <w:pPr>
        <w:adjustRightInd w:val="0"/>
        <w:snapToGrid w:val="0"/>
        <w:spacing w:line="500" w:lineRule="exact"/>
        <w:ind w:firstLine="480" w:firstLineChars="200"/>
        <w:rPr>
          <w:rFonts w:hint="eastAsia" w:ascii="宋体" w:hAnsi="宋体" w:cs="宋体"/>
          <w:sz w:val="24"/>
        </w:rPr>
      </w:pPr>
      <w:r>
        <w:rPr>
          <w:rFonts w:hint="eastAsia" w:ascii="宋体" w:hAnsi="宋体" w:cs="宋体"/>
          <w:sz w:val="24"/>
          <w:lang w:bidi="ar"/>
        </w:rPr>
        <w:t xml:space="preserve">             r—预测点距声源距离，m；</w:t>
      </w:r>
    </w:p>
    <w:p w14:paraId="405A98D7">
      <w:pPr>
        <w:adjustRightInd w:val="0"/>
        <w:snapToGrid w:val="0"/>
        <w:spacing w:line="500" w:lineRule="exact"/>
        <w:ind w:firstLine="480" w:firstLineChars="200"/>
        <w:rPr>
          <w:rFonts w:hint="eastAsia" w:ascii="宋体" w:hAnsi="宋体" w:cs="宋体"/>
          <w:sz w:val="24"/>
          <w:lang w:bidi="ar"/>
        </w:rPr>
      </w:pPr>
      <w:r>
        <w:rPr>
          <w:rFonts w:hint="eastAsia" w:ascii="宋体" w:hAnsi="宋体" w:cs="宋体"/>
          <w:sz w:val="24"/>
          <w:lang w:bidi="ar"/>
        </w:rPr>
        <w:t xml:space="preserve">             r</w:t>
      </w:r>
      <w:r>
        <w:rPr>
          <w:rFonts w:hint="eastAsia" w:ascii="宋体" w:hAnsi="宋体" w:cs="宋体"/>
          <w:sz w:val="24"/>
          <w:vertAlign w:val="subscript"/>
          <w:lang w:bidi="ar"/>
        </w:rPr>
        <w:t>0</w:t>
      </w:r>
      <w:r>
        <w:rPr>
          <w:rFonts w:hint="eastAsia" w:ascii="宋体" w:hAnsi="宋体" w:cs="宋体"/>
          <w:sz w:val="24"/>
          <w:lang w:bidi="ar"/>
        </w:rPr>
        <w:t>—参考位置距离声源距离，m。</w:t>
      </w:r>
    </w:p>
    <w:p w14:paraId="6EA6540F">
      <w:pPr>
        <w:pStyle w:val="340"/>
        <w:spacing w:line="500" w:lineRule="atLeast"/>
        <w:rPr>
          <w:rFonts w:hint="eastAsia" w:ascii="宋体" w:hAnsi="宋体"/>
        </w:rPr>
      </w:pPr>
      <w:r>
        <w:rPr>
          <w:rFonts w:ascii="宋体" w:hAnsi="宋体"/>
        </w:rPr>
        <w:t>设第i个室外声源在预测点产生的A声级为</w:t>
      </w:r>
      <w:r>
        <w:rPr>
          <w:rFonts w:ascii="宋体" w:hAnsi="宋体"/>
          <w:i/>
        </w:rPr>
        <w:t>L</w:t>
      </w:r>
      <w:r>
        <w:rPr>
          <w:rFonts w:ascii="宋体" w:hAnsi="宋体"/>
          <w:i/>
          <w:vertAlign w:val="subscript"/>
        </w:rPr>
        <w:t>Ain,i</w:t>
      </w:r>
      <w:r>
        <w:rPr>
          <w:rFonts w:ascii="宋体" w:hAnsi="宋体"/>
        </w:rPr>
        <w:t>，在T时间内该声源工作时间为</w:t>
      </w:r>
      <w:r>
        <w:rPr>
          <w:rFonts w:ascii="宋体" w:hAnsi="宋体"/>
          <w:i/>
        </w:rPr>
        <w:t>t</w:t>
      </w:r>
      <w:r>
        <w:rPr>
          <w:rFonts w:ascii="宋体" w:hAnsi="宋体"/>
          <w:i/>
          <w:vertAlign w:val="subscript"/>
        </w:rPr>
        <w:t>in,i</w:t>
      </w:r>
      <w:r>
        <w:rPr>
          <w:rFonts w:ascii="宋体" w:hAnsi="宋体"/>
        </w:rPr>
        <w:t>；第j个等效室外声源在预测点产生的A声级为</w:t>
      </w:r>
      <w:r>
        <w:rPr>
          <w:rFonts w:ascii="宋体" w:hAnsi="宋体"/>
          <w:i/>
        </w:rPr>
        <w:t>L</w:t>
      </w:r>
      <w:r>
        <w:rPr>
          <w:rFonts w:ascii="宋体" w:hAnsi="宋体"/>
          <w:i/>
          <w:vertAlign w:val="subscript"/>
        </w:rPr>
        <w:t>Aout,j</w:t>
      </w:r>
      <w:r>
        <w:rPr>
          <w:rFonts w:ascii="宋体" w:hAnsi="宋体"/>
        </w:rPr>
        <w:t>，在T时间内该声源工作时间为</w:t>
      </w:r>
      <w:r>
        <w:rPr>
          <w:rFonts w:ascii="宋体" w:hAnsi="宋体"/>
          <w:i/>
        </w:rPr>
        <w:t>t</w:t>
      </w:r>
      <w:r>
        <w:rPr>
          <w:rFonts w:ascii="宋体" w:hAnsi="宋体"/>
          <w:i/>
          <w:vertAlign w:val="subscript"/>
        </w:rPr>
        <w:t>out,j</w:t>
      </w:r>
      <w:r>
        <w:rPr>
          <w:rFonts w:ascii="宋体" w:hAnsi="宋体"/>
        </w:rPr>
        <w:t>，则预测点的总等效声级</w:t>
      </w:r>
      <w:r>
        <w:rPr>
          <w:rFonts w:hint="eastAsia" w:ascii="宋体" w:hAnsi="宋体"/>
        </w:rPr>
        <w:t>按照下列公式进行计算：</w:t>
      </w:r>
    </w:p>
    <w:p w14:paraId="7DF3A920">
      <w:pPr>
        <w:spacing w:before="156" w:beforeLines="50" w:after="156" w:afterLines="50" w:line="500" w:lineRule="atLeast"/>
        <w:jc w:val="center"/>
        <w:rPr>
          <w:rFonts w:hint="eastAsia" w:ascii="宋体" w:hAnsi="宋体"/>
        </w:rPr>
      </w:pPr>
      <w:r>
        <w:rPr>
          <w:rFonts w:ascii="宋体" w:hAnsi="宋体"/>
          <w:position w:val="-32"/>
        </w:rPr>
        <w:object>
          <v:shape id="_x0000_i1031" o:spt="75" type="#_x0000_t75" style="height:34.55pt;width:248.05pt;" o:ole="t" filled="f" o:preferrelative="t" stroked="f" coordsize="21600,21600">
            <v:path/>
            <v:fill on="f" focussize="0,0"/>
            <v:stroke on="f" joinstyle="miter"/>
            <v:imagedata r:id="rId75" o:title=""/>
            <o:lock v:ext="edit" aspectratio="t"/>
            <w10:wrap type="none"/>
            <w10:anchorlock/>
          </v:shape>
          <o:OLEObject Type="Embed" ProgID="Visio.Drawing.11" ShapeID="_x0000_i1031" DrawAspect="Content" ObjectID="_1468075731" r:id="rId74">
            <o:LockedField>false</o:LockedField>
          </o:OLEObject>
        </w:object>
      </w:r>
    </w:p>
    <w:p w14:paraId="07AC1D33">
      <w:pPr>
        <w:spacing w:line="500" w:lineRule="atLeast"/>
        <w:ind w:firstLine="480" w:firstLineChars="200"/>
        <w:rPr>
          <w:rFonts w:hint="eastAsia" w:ascii="宋体" w:hAnsi="宋体"/>
          <w:sz w:val="24"/>
          <w:szCs w:val="24"/>
        </w:rPr>
      </w:pPr>
      <w:r>
        <w:rPr>
          <w:rFonts w:ascii="宋体" w:hAnsi="宋体"/>
          <w:sz w:val="24"/>
          <w:szCs w:val="24"/>
        </w:rPr>
        <w:t>式中：</w:t>
      </w:r>
    </w:p>
    <w:p w14:paraId="70E8E8A5">
      <w:pPr>
        <w:spacing w:line="500" w:lineRule="atLeast"/>
        <w:ind w:firstLine="480" w:firstLineChars="200"/>
        <w:rPr>
          <w:rFonts w:hint="eastAsia" w:ascii="宋体" w:hAnsi="宋体"/>
          <w:sz w:val="24"/>
          <w:szCs w:val="24"/>
        </w:rPr>
      </w:pPr>
      <w:r>
        <w:rPr>
          <w:rFonts w:ascii="宋体" w:hAnsi="宋体"/>
          <w:sz w:val="24"/>
          <w:szCs w:val="24"/>
        </w:rPr>
        <w:t xml:space="preserve">      T</w:t>
      </w:r>
      <w:r>
        <w:rPr>
          <w:rFonts w:hint="eastAsia" w:ascii="宋体" w:hAnsi="宋体"/>
          <w:sz w:val="24"/>
          <w:szCs w:val="24"/>
        </w:rPr>
        <w:t>——</w:t>
      </w:r>
      <w:r>
        <w:rPr>
          <w:rFonts w:ascii="宋体" w:hAnsi="宋体"/>
          <w:sz w:val="24"/>
          <w:szCs w:val="24"/>
        </w:rPr>
        <w:t>计算等效声级的时间</w:t>
      </w:r>
      <w:r>
        <w:rPr>
          <w:rFonts w:hint="eastAsia" w:ascii="宋体" w:hAnsi="宋体"/>
          <w:sz w:val="24"/>
          <w:szCs w:val="24"/>
        </w:rPr>
        <w:t>；</w:t>
      </w:r>
    </w:p>
    <w:p w14:paraId="3231E7D8">
      <w:pPr>
        <w:spacing w:line="500" w:lineRule="atLeast"/>
        <w:ind w:firstLine="480" w:firstLineChars="200"/>
        <w:rPr>
          <w:rFonts w:hint="eastAsia" w:ascii="宋体" w:hAnsi="宋体"/>
          <w:sz w:val="24"/>
          <w:szCs w:val="24"/>
        </w:rPr>
      </w:pPr>
      <w:r>
        <w:rPr>
          <w:rFonts w:ascii="宋体" w:hAnsi="宋体"/>
          <w:sz w:val="24"/>
          <w:szCs w:val="24"/>
        </w:rPr>
        <w:t xml:space="preserve">      N</w:t>
      </w:r>
      <w:r>
        <w:rPr>
          <w:rFonts w:hint="eastAsia" w:ascii="宋体" w:hAnsi="宋体"/>
          <w:sz w:val="24"/>
          <w:szCs w:val="24"/>
        </w:rPr>
        <w:t>——</w:t>
      </w:r>
      <w:r>
        <w:rPr>
          <w:rFonts w:ascii="宋体" w:hAnsi="宋体"/>
          <w:sz w:val="24"/>
          <w:szCs w:val="24"/>
        </w:rPr>
        <w:t>为室外声源个数</w:t>
      </w:r>
      <w:r>
        <w:rPr>
          <w:rFonts w:hint="eastAsia" w:ascii="宋体" w:hAnsi="宋体"/>
          <w:sz w:val="24"/>
          <w:szCs w:val="24"/>
        </w:rPr>
        <w:t>；</w:t>
      </w:r>
    </w:p>
    <w:p w14:paraId="3F982482">
      <w:pPr>
        <w:spacing w:line="500" w:lineRule="atLeast"/>
        <w:ind w:firstLine="480" w:firstLineChars="200"/>
        <w:rPr>
          <w:rFonts w:hint="eastAsia" w:ascii="宋体" w:hAnsi="宋体"/>
          <w:sz w:val="24"/>
          <w:szCs w:val="24"/>
        </w:rPr>
      </w:pPr>
      <w:r>
        <w:rPr>
          <w:rFonts w:ascii="宋体" w:hAnsi="宋体"/>
          <w:sz w:val="24"/>
          <w:szCs w:val="24"/>
        </w:rPr>
        <w:t xml:space="preserve">      M</w:t>
      </w:r>
      <w:r>
        <w:rPr>
          <w:rFonts w:hint="eastAsia" w:ascii="宋体" w:hAnsi="宋体"/>
          <w:sz w:val="24"/>
          <w:szCs w:val="24"/>
        </w:rPr>
        <w:t>——</w:t>
      </w:r>
      <w:r>
        <w:rPr>
          <w:rFonts w:ascii="宋体" w:hAnsi="宋体"/>
          <w:sz w:val="24"/>
          <w:szCs w:val="24"/>
        </w:rPr>
        <w:t>为等效室外声源个数。</w:t>
      </w:r>
    </w:p>
    <w:bookmarkEnd w:id="541"/>
    <w:p w14:paraId="4ABD5D4D">
      <w:pPr>
        <w:pStyle w:val="45"/>
        <w:adjustRightInd w:val="0"/>
        <w:snapToGrid w:val="0"/>
        <w:spacing w:line="500" w:lineRule="exact"/>
        <w:ind w:firstLine="480" w:firstLineChars="200"/>
        <w:jc w:val="both"/>
        <w:rPr>
          <w:rFonts w:hint="eastAsia" w:ascii="宋体" w:hAnsi="宋体"/>
          <w:szCs w:val="22"/>
          <w:lang w:val="zh-CN" w:bidi="ar"/>
        </w:rPr>
      </w:pPr>
      <w:r>
        <w:rPr>
          <w:rFonts w:hint="eastAsia" w:ascii="宋体" w:hAnsi="宋体"/>
          <w:szCs w:val="22"/>
          <w:lang w:val="zh-CN" w:bidi="ar"/>
        </w:rPr>
        <w:t>（</w:t>
      </w:r>
      <w:r>
        <w:rPr>
          <w:rFonts w:hint="eastAsia" w:ascii="宋体" w:hAnsi="宋体"/>
          <w:szCs w:val="22"/>
          <w:lang w:bidi="ar"/>
        </w:rPr>
        <w:t>2</w:t>
      </w:r>
      <w:r>
        <w:rPr>
          <w:rFonts w:hint="eastAsia" w:ascii="宋体" w:hAnsi="宋体"/>
          <w:szCs w:val="22"/>
          <w:lang w:val="zh-CN" w:bidi="ar"/>
        </w:rPr>
        <w:t>）噪声源源强及分布</w:t>
      </w:r>
    </w:p>
    <w:p w14:paraId="5DB13726">
      <w:pPr>
        <w:pStyle w:val="162"/>
        <w:rPr>
          <w:rStyle w:val="233"/>
          <w:rFonts w:hint="eastAsia"/>
          <w:color w:val="auto"/>
        </w:rPr>
      </w:pPr>
      <w:r>
        <w:rPr>
          <w:rFonts w:hint="eastAsia" w:cs="宋体"/>
          <w:color w:val="auto"/>
          <w:lang w:bidi="ar"/>
        </w:rPr>
        <w:t>噪声源强主要为井场内的各类机泵，噪声源强在</w:t>
      </w:r>
      <w:r>
        <w:rPr>
          <w:rFonts w:cs="宋体"/>
          <w:color w:val="auto"/>
          <w:lang w:bidi="ar"/>
        </w:rPr>
        <w:t>85</w:t>
      </w:r>
      <w:r>
        <w:rPr>
          <w:rFonts w:hint="eastAsia" w:cs="宋体"/>
          <w:color w:val="auto"/>
          <w:lang w:bidi="ar"/>
        </w:rPr>
        <w:t>～</w:t>
      </w:r>
      <w:r>
        <w:rPr>
          <w:rFonts w:cs="宋体"/>
          <w:color w:val="auto"/>
          <w:lang w:bidi="ar"/>
        </w:rPr>
        <w:t>9</w:t>
      </w:r>
      <w:r>
        <w:rPr>
          <w:rFonts w:hint="eastAsia" w:cs="宋体"/>
          <w:color w:val="auto"/>
          <w:lang w:bidi="ar"/>
        </w:rPr>
        <w:t>0dB（A）之间，设备选用低噪设备，并采取基础减震等措施，衰减量按2</w:t>
      </w:r>
      <w:r>
        <w:rPr>
          <w:rFonts w:cs="宋体"/>
          <w:color w:val="auto"/>
          <w:lang w:bidi="ar"/>
        </w:rPr>
        <w:t>5</w:t>
      </w:r>
      <w:r>
        <w:rPr>
          <w:rFonts w:hint="eastAsia" w:cs="宋体"/>
          <w:color w:val="auto"/>
          <w:lang w:bidi="ar"/>
        </w:rPr>
        <w:t>dB（A）计，噪声不高于65dB（A），噪声源强见</w:t>
      </w:r>
      <w:r>
        <w:rPr>
          <w:rFonts w:hint="eastAsia"/>
          <w:color w:val="auto"/>
        </w:rPr>
        <w:t>表</w:t>
      </w:r>
      <w:r>
        <w:rPr>
          <w:color w:val="auto"/>
        </w:rPr>
        <w:t>3.3</w:t>
      </w:r>
      <w:r>
        <w:rPr>
          <w:rFonts w:hint="eastAsia"/>
          <w:color w:val="auto"/>
        </w:rPr>
        <w:t>-</w:t>
      </w:r>
      <w:r>
        <w:rPr>
          <w:color w:val="auto"/>
        </w:rPr>
        <w:t>16</w:t>
      </w:r>
      <w:r>
        <w:rPr>
          <w:rStyle w:val="233"/>
          <w:rFonts w:hint="eastAsia"/>
          <w:color w:val="auto"/>
        </w:rPr>
        <w:t>。</w:t>
      </w:r>
    </w:p>
    <w:p w14:paraId="729DA762">
      <w:pPr>
        <w:spacing w:line="520" w:lineRule="exact"/>
        <w:ind w:firstLine="480"/>
        <w:rPr>
          <w:rFonts w:hint="eastAsia" w:ascii="宋体" w:hAnsi="宋体" w:cs="宋体"/>
          <w:sz w:val="24"/>
          <w:szCs w:val="24"/>
          <w:lang w:bidi="ar"/>
        </w:rPr>
      </w:pPr>
      <w:r>
        <w:rPr>
          <w:rFonts w:hint="eastAsia" w:ascii="宋体" w:hAnsi="宋体" w:cs="宋体"/>
          <w:sz w:val="24"/>
          <w:szCs w:val="24"/>
          <w:lang w:bidi="ar"/>
        </w:rPr>
        <w:t>（3）预测结果</w:t>
      </w:r>
    </w:p>
    <w:p w14:paraId="252B611A">
      <w:pPr>
        <w:pStyle w:val="162"/>
        <w:rPr>
          <w:rFonts w:hint="eastAsia"/>
          <w:color w:val="auto"/>
        </w:rPr>
      </w:pPr>
      <w:r>
        <w:rPr>
          <w:rFonts w:hint="eastAsia"/>
          <w:color w:val="auto"/>
        </w:rPr>
        <w:t>根据以上公式，预测运营期一期工程厂界四周噪声贡献值，详见表</w:t>
      </w:r>
      <w:r>
        <w:rPr>
          <w:color w:val="auto"/>
        </w:rPr>
        <w:t>5.2</w:t>
      </w:r>
      <w:r>
        <w:rPr>
          <w:rFonts w:hint="eastAsia"/>
          <w:color w:val="auto"/>
        </w:rPr>
        <w:t>-11。</w:t>
      </w:r>
    </w:p>
    <w:p w14:paraId="0C38D7B9">
      <w:pPr>
        <w:pStyle w:val="109"/>
        <w:rPr>
          <w:rFonts w:hint="eastAsia"/>
        </w:rPr>
      </w:pPr>
      <w:r>
        <w:rPr>
          <w:rFonts w:hint="eastAsia"/>
        </w:rPr>
        <w:t>表</w:t>
      </w:r>
      <w:r>
        <w:t>5.2</w:t>
      </w:r>
      <w:r>
        <w:rPr>
          <w:rFonts w:hint="eastAsia"/>
        </w:rPr>
        <w:t xml:space="preserve">-11  厂界噪声贡献值预测结果   </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000"/>
        <w:gridCol w:w="873"/>
        <w:gridCol w:w="945"/>
        <w:gridCol w:w="1221"/>
        <w:gridCol w:w="1652"/>
        <w:gridCol w:w="1160"/>
        <w:gridCol w:w="880"/>
        <w:gridCol w:w="1055"/>
      </w:tblGrid>
      <w:tr w14:paraId="6B63F9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066" w:type="pct"/>
            <w:gridSpan w:val="2"/>
            <w:vMerge w:val="restart"/>
            <w:vAlign w:val="center"/>
          </w:tcPr>
          <w:p w14:paraId="7BB88D4D">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位置</w:t>
            </w:r>
          </w:p>
        </w:tc>
        <w:tc>
          <w:tcPr>
            <w:tcW w:w="2172" w:type="pct"/>
            <w:gridSpan w:val="3"/>
            <w:noWrap/>
            <w:vAlign w:val="center"/>
          </w:tcPr>
          <w:p w14:paraId="7211AC8B">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昼间</w:t>
            </w:r>
            <w:r>
              <w:rPr>
                <w:rFonts w:ascii="宋体" w:hAnsi="宋体"/>
                <w:kern w:val="0"/>
                <w:szCs w:val="21"/>
              </w:rPr>
              <w:t>[</w:t>
            </w:r>
            <w:r>
              <w:rPr>
                <w:rFonts w:hint="eastAsia" w:ascii="宋体" w:hAnsi="宋体"/>
                <w:kern w:val="0"/>
                <w:szCs w:val="21"/>
              </w:rPr>
              <w:t>dB（A）</w:t>
            </w:r>
            <w:r>
              <w:rPr>
                <w:rFonts w:ascii="宋体" w:hAnsi="宋体"/>
                <w:kern w:val="0"/>
                <w:szCs w:val="21"/>
              </w:rPr>
              <w:t>]</w:t>
            </w:r>
          </w:p>
        </w:tc>
        <w:tc>
          <w:tcPr>
            <w:tcW w:w="1761" w:type="pct"/>
            <w:gridSpan w:val="3"/>
            <w:noWrap/>
            <w:vAlign w:val="center"/>
          </w:tcPr>
          <w:p w14:paraId="2B154E27">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夜间</w:t>
            </w:r>
            <w:r>
              <w:rPr>
                <w:rFonts w:ascii="宋体" w:hAnsi="宋体"/>
                <w:kern w:val="0"/>
                <w:szCs w:val="21"/>
              </w:rPr>
              <w:t>[</w:t>
            </w:r>
            <w:r>
              <w:rPr>
                <w:rFonts w:hint="eastAsia" w:ascii="宋体" w:hAnsi="宋体"/>
                <w:kern w:val="0"/>
                <w:szCs w:val="21"/>
              </w:rPr>
              <w:t>dB（A）</w:t>
            </w:r>
            <w:r>
              <w:rPr>
                <w:rFonts w:ascii="宋体" w:hAnsi="宋体"/>
                <w:kern w:val="0"/>
                <w:szCs w:val="21"/>
              </w:rPr>
              <w:t>]</w:t>
            </w:r>
          </w:p>
        </w:tc>
      </w:tr>
      <w:tr w14:paraId="55F404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066" w:type="pct"/>
            <w:gridSpan w:val="2"/>
            <w:vMerge w:val="continue"/>
            <w:vAlign w:val="center"/>
          </w:tcPr>
          <w:p w14:paraId="755AE001">
            <w:pPr>
              <w:widowControl/>
              <w:adjustRightInd w:val="0"/>
              <w:snapToGrid w:val="0"/>
              <w:spacing w:line="300" w:lineRule="exact"/>
              <w:jc w:val="center"/>
              <w:rPr>
                <w:rFonts w:hint="eastAsia" w:ascii="宋体" w:hAnsi="宋体"/>
                <w:kern w:val="0"/>
                <w:szCs w:val="21"/>
              </w:rPr>
            </w:pPr>
          </w:p>
        </w:tc>
        <w:tc>
          <w:tcPr>
            <w:tcW w:w="538" w:type="pct"/>
            <w:noWrap/>
            <w:vAlign w:val="center"/>
          </w:tcPr>
          <w:p w14:paraId="3A506A18">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贡献值</w:t>
            </w:r>
          </w:p>
        </w:tc>
        <w:tc>
          <w:tcPr>
            <w:tcW w:w="695" w:type="pct"/>
            <w:vAlign w:val="center"/>
          </w:tcPr>
          <w:p w14:paraId="3A02EB91">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标准值</w:t>
            </w:r>
          </w:p>
        </w:tc>
        <w:tc>
          <w:tcPr>
            <w:tcW w:w="940" w:type="pct"/>
            <w:vAlign w:val="center"/>
          </w:tcPr>
          <w:p w14:paraId="1D13F325">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达标情况</w:t>
            </w:r>
          </w:p>
        </w:tc>
        <w:tc>
          <w:tcPr>
            <w:tcW w:w="660" w:type="pct"/>
            <w:noWrap/>
            <w:vAlign w:val="center"/>
          </w:tcPr>
          <w:p w14:paraId="21638146">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预测值</w:t>
            </w:r>
          </w:p>
        </w:tc>
        <w:tc>
          <w:tcPr>
            <w:tcW w:w="501" w:type="pct"/>
            <w:vAlign w:val="center"/>
          </w:tcPr>
          <w:p w14:paraId="01632211">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标准值</w:t>
            </w:r>
          </w:p>
        </w:tc>
        <w:tc>
          <w:tcPr>
            <w:tcW w:w="600" w:type="pct"/>
            <w:vAlign w:val="center"/>
          </w:tcPr>
          <w:p w14:paraId="531E8C2A">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达标情况</w:t>
            </w:r>
          </w:p>
        </w:tc>
      </w:tr>
      <w:tr w14:paraId="09E301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restart"/>
            <w:vAlign w:val="center"/>
          </w:tcPr>
          <w:p w14:paraId="0D621325">
            <w:pPr>
              <w:widowControl/>
              <w:adjustRightInd w:val="0"/>
              <w:snapToGrid w:val="0"/>
              <w:spacing w:line="300" w:lineRule="exact"/>
              <w:jc w:val="center"/>
              <w:rPr>
                <w:rFonts w:hint="eastAsia" w:ascii="宋体" w:hAnsi="宋体"/>
                <w:kern w:val="0"/>
                <w:szCs w:val="21"/>
              </w:rPr>
            </w:pPr>
            <w:r>
              <w:rPr>
                <w:rFonts w:hint="eastAsia" w:ascii="宋体" w:hAnsi="宋体" w:cs="宋体"/>
                <w:bCs/>
                <w:szCs w:val="21"/>
              </w:rPr>
              <w:t>17号采油平台和计量站拉油站</w:t>
            </w:r>
          </w:p>
        </w:tc>
        <w:tc>
          <w:tcPr>
            <w:tcW w:w="497" w:type="pct"/>
            <w:vAlign w:val="center"/>
          </w:tcPr>
          <w:p w14:paraId="06851B95">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北厂界</w:t>
            </w:r>
          </w:p>
        </w:tc>
        <w:tc>
          <w:tcPr>
            <w:tcW w:w="538" w:type="pct"/>
            <w:noWrap/>
            <w:vAlign w:val="center"/>
          </w:tcPr>
          <w:p w14:paraId="3B7FCBE4">
            <w:pPr>
              <w:adjustRightInd w:val="0"/>
              <w:snapToGrid w:val="0"/>
              <w:spacing w:line="300" w:lineRule="exact"/>
              <w:jc w:val="center"/>
              <w:rPr>
                <w:rFonts w:hint="eastAsia" w:ascii="宋体" w:hAnsi="宋体"/>
              </w:rPr>
            </w:pPr>
            <w:r>
              <w:rPr>
                <w:rFonts w:hint="eastAsia" w:ascii="宋体" w:hAnsi="宋体"/>
              </w:rPr>
              <w:t>43</w:t>
            </w:r>
          </w:p>
        </w:tc>
        <w:tc>
          <w:tcPr>
            <w:tcW w:w="695" w:type="pct"/>
            <w:vAlign w:val="center"/>
          </w:tcPr>
          <w:p w14:paraId="30BDBC7A">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79F45534">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2D75B7A2">
            <w:pPr>
              <w:adjustRightInd w:val="0"/>
              <w:snapToGrid w:val="0"/>
              <w:spacing w:line="300" w:lineRule="exact"/>
              <w:jc w:val="center"/>
              <w:rPr>
                <w:rFonts w:hint="eastAsia" w:ascii="宋体" w:hAnsi="宋体"/>
                <w:szCs w:val="21"/>
              </w:rPr>
            </w:pPr>
            <w:r>
              <w:rPr>
                <w:rFonts w:hint="eastAsia" w:ascii="宋体" w:hAnsi="宋体"/>
              </w:rPr>
              <w:t>43</w:t>
            </w:r>
          </w:p>
        </w:tc>
        <w:tc>
          <w:tcPr>
            <w:tcW w:w="501" w:type="pct"/>
            <w:vAlign w:val="center"/>
          </w:tcPr>
          <w:p w14:paraId="1812928D">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1B8CF6C1">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1BEE26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64B15551">
            <w:pPr>
              <w:widowControl/>
              <w:adjustRightInd w:val="0"/>
              <w:snapToGrid w:val="0"/>
              <w:spacing w:line="300" w:lineRule="exact"/>
              <w:jc w:val="center"/>
              <w:rPr>
                <w:rFonts w:hint="eastAsia" w:ascii="宋体" w:hAnsi="宋体"/>
                <w:kern w:val="0"/>
                <w:szCs w:val="21"/>
              </w:rPr>
            </w:pPr>
          </w:p>
        </w:tc>
        <w:tc>
          <w:tcPr>
            <w:tcW w:w="497" w:type="pct"/>
            <w:vAlign w:val="center"/>
          </w:tcPr>
          <w:p w14:paraId="0222FE30">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东厂界</w:t>
            </w:r>
          </w:p>
        </w:tc>
        <w:tc>
          <w:tcPr>
            <w:tcW w:w="538" w:type="pct"/>
            <w:noWrap/>
            <w:vAlign w:val="center"/>
          </w:tcPr>
          <w:p w14:paraId="137E3149">
            <w:pPr>
              <w:adjustRightInd w:val="0"/>
              <w:snapToGrid w:val="0"/>
              <w:spacing w:line="300" w:lineRule="exact"/>
              <w:jc w:val="center"/>
              <w:rPr>
                <w:rFonts w:hint="eastAsia" w:ascii="宋体" w:hAnsi="宋体"/>
              </w:rPr>
            </w:pPr>
            <w:r>
              <w:rPr>
                <w:rFonts w:hint="eastAsia" w:ascii="宋体" w:hAnsi="宋体"/>
              </w:rPr>
              <w:t>38</w:t>
            </w:r>
          </w:p>
        </w:tc>
        <w:tc>
          <w:tcPr>
            <w:tcW w:w="695" w:type="pct"/>
            <w:vAlign w:val="center"/>
          </w:tcPr>
          <w:p w14:paraId="6B3579B0">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7D8A404E">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3BD1FBC7">
            <w:pPr>
              <w:adjustRightInd w:val="0"/>
              <w:snapToGrid w:val="0"/>
              <w:spacing w:line="300" w:lineRule="exact"/>
              <w:jc w:val="center"/>
              <w:rPr>
                <w:rFonts w:hint="eastAsia" w:ascii="宋体" w:hAnsi="宋体"/>
                <w:szCs w:val="21"/>
              </w:rPr>
            </w:pPr>
            <w:r>
              <w:rPr>
                <w:rFonts w:hint="eastAsia" w:ascii="宋体" w:hAnsi="宋体"/>
              </w:rPr>
              <w:t>38</w:t>
            </w:r>
          </w:p>
        </w:tc>
        <w:tc>
          <w:tcPr>
            <w:tcW w:w="501" w:type="pct"/>
            <w:vAlign w:val="center"/>
          </w:tcPr>
          <w:p w14:paraId="01B4DC7C">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127B36B3">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05D290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1A4BCDEB">
            <w:pPr>
              <w:widowControl/>
              <w:adjustRightInd w:val="0"/>
              <w:snapToGrid w:val="0"/>
              <w:spacing w:line="300" w:lineRule="exact"/>
              <w:jc w:val="center"/>
              <w:rPr>
                <w:rFonts w:hint="eastAsia" w:ascii="宋体" w:hAnsi="宋体"/>
                <w:kern w:val="0"/>
                <w:szCs w:val="21"/>
              </w:rPr>
            </w:pPr>
          </w:p>
        </w:tc>
        <w:tc>
          <w:tcPr>
            <w:tcW w:w="497" w:type="pct"/>
            <w:vAlign w:val="center"/>
          </w:tcPr>
          <w:p w14:paraId="69278064">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南厂界</w:t>
            </w:r>
          </w:p>
        </w:tc>
        <w:tc>
          <w:tcPr>
            <w:tcW w:w="538" w:type="pct"/>
            <w:noWrap/>
            <w:vAlign w:val="center"/>
          </w:tcPr>
          <w:p w14:paraId="2B757C3B">
            <w:pPr>
              <w:adjustRightInd w:val="0"/>
              <w:snapToGrid w:val="0"/>
              <w:spacing w:line="300" w:lineRule="exact"/>
              <w:jc w:val="center"/>
              <w:rPr>
                <w:rFonts w:hint="eastAsia" w:ascii="宋体" w:hAnsi="宋体"/>
              </w:rPr>
            </w:pPr>
            <w:r>
              <w:rPr>
                <w:rFonts w:hint="eastAsia" w:ascii="宋体" w:hAnsi="宋体"/>
              </w:rPr>
              <w:t>42</w:t>
            </w:r>
          </w:p>
        </w:tc>
        <w:tc>
          <w:tcPr>
            <w:tcW w:w="695" w:type="pct"/>
            <w:vAlign w:val="center"/>
          </w:tcPr>
          <w:p w14:paraId="552BBF98">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0A621419">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6FA9A971">
            <w:pPr>
              <w:adjustRightInd w:val="0"/>
              <w:snapToGrid w:val="0"/>
              <w:spacing w:line="300" w:lineRule="exact"/>
              <w:jc w:val="center"/>
              <w:rPr>
                <w:rFonts w:hint="eastAsia" w:ascii="宋体" w:hAnsi="宋体"/>
                <w:szCs w:val="21"/>
              </w:rPr>
            </w:pPr>
            <w:r>
              <w:rPr>
                <w:rFonts w:hint="eastAsia" w:ascii="宋体" w:hAnsi="宋体"/>
              </w:rPr>
              <w:t>42</w:t>
            </w:r>
          </w:p>
        </w:tc>
        <w:tc>
          <w:tcPr>
            <w:tcW w:w="501" w:type="pct"/>
            <w:vAlign w:val="center"/>
          </w:tcPr>
          <w:p w14:paraId="5AD65440">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6B6B135C">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6CBD48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7A0912E8">
            <w:pPr>
              <w:widowControl/>
              <w:adjustRightInd w:val="0"/>
              <w:snapToGrid w:val="0"/>
              <w:spacing w:line="300" w:lineRule="exact"/>
              <w:jc w:val="center"/>
              <w:rPr>
                <w:rFonts w:hint="eastAsia" w:ascii="宋体" w:hAnsi="宋体"/>
                <w:kern w:val="0"/>
                <w:szCs w:val="21"/>
              </w:rPr>
            </w:pPr>
          </w:p>
        </w:tc>
        <w:tc>
          <w:tcPr>
            <w:tcW w:w="497" w:type="pct"/>
            <w:vAlign w:val="center"/>
          </w:tcPr>
          <w:p w14:paraId="49274EB5">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西厂界</w:t>
            </w:r>
          </w:p>
        </w:tc>
        <w:tc>
          <w:tcPr>
            <w:tcW w:w="538" w:type="pct"/>
            <w:noWrap/>
            <w:vAlign w:val="center"/>
          </w:tcPr>
          <w:p w14:paraId="04035C7C">
            <w:pPr>
              <w:adjustRightInd w:val="0"/>
              <w:snapToGrid w:val="0"/>
              <w:spacing w:line="300" w:lineRule="exact"/>
              <w:jc w:val="center"/>
              <w:rPr>
                <w:rFonts w:hint="eastAsia" w:ascii="宋体" w:hAnsi="宋体"/>
              </w:rPr>
            </w:pPr>
            <w:r>
              <w:rPr>
                <w:rFonts w:hint="eastAsia" w:ascii="宋体" w:hAnsi="宋体"/>
              </w:rPr>
              <w:t>42</w:t>
            </w:r>
          </w:p>
        </w:tc>
        <w:tc>
          <w:tcPr>
            <w:tcW w:w="695" w:type="pct"/>
            <w:vAlign w:val="center"/>
          </w:tcPr>
          <w:p w14:paraId="0FFFB5A6">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5FE86869">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71FA6C71">
            <w:pPr>
              <w:adjustRightInd w:val="0"/>
              <w:snapToGrid w:val="0"/>
              <w:spacing w:line="300" w:lineRule="exact"/>
              <w:jc w:val="center"/>
              <w:rPr>
                <w:rFonts w:hint="eastAsia" w:ascii="宋体" w:hAnsi="宋体"/>
                <w:szCs w:val="21"/>
              </w:rPr>
            </w:pPr>
            <w:r>
              <w:rPr>
                <w:rFonts w:hint="eastAsia" w:ascii="宋体" w:hAnsi="宋体"/>
              </w:rPr>
              <w:t>42</w:t>
            </w:r>
          </w:p>
        </w:tc>
        <w:tc>
          <w:tcPr>
            <w:tcW w:w="501" w:type="pct"/>
            <w:vAlign w:val="center"/>
          </w:tcPr>
          <w:p w14:paraId="2F1F2543">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58E538B4">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2126F2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restart"/>
            <w:vAlign w:val="center"/>
          </w:tcPr>
          <w:p w14:paraId="0EC34D9A">
            <w:pPr>
              <w:widowControl/>
              <w:adjustRightInd w:val="0"/>
              <w:snapToGrid w:val="0"/>
              <w:spacing w:line="300" w:lineRule="exact"/>
              <w:jc w:val="center"/>
              <w:rPr>
                <w:rFonts w:hint="eastAsia" w:ascii="宋体" w:hAnsi="宋体"/>
                <w:kern w:val="0"/>
                <w:szCs w:val="21"/>
              </w:rPr>
            </w:pPr>
            <w:r>
              <w:rPr>
                <w:rFonts w:hint="eastAsia" w:ascii="宋体" w:hAnsi="宋体" w:cs="宋体"/>
                <w:bCs/>
                <w:szCs w:val="21"/>
              </w:rPr>
              <w:t>计量站拉油站</w:t>
            </w:r>
          </w:p>
        </w:tc>
        <w:tc>
          <w:tcPr>
            <w:tcW w:w="497" w:type="pct"/>
            <w:vAlign w:val="center"/>
          </w:tcPr>
          <w:p w14:paraId="7584D566">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北厂界</w:t>
            </w:r>
          </w:p>
        </w:tc>
        <w:tc>
          <w:tcPr>
            <w:tcW w:w="538" w:type="pct"/>
            <w:noWrap/>
            <w:vAlign w:val="center"/>
          </w:tcPr>
          <w:p w14:paraId="03FB9CB3">
            <w:pPr>
              <w:adjustRightInd w:val="0"/>
              <w:snapToGrid w:val="0"/>
              <w:spacing w:line="300" w:lineRule="exact"/>
              <w:jc w:val="center"/>
              <w:rPr>
                <w:rFonts w:hint="eastAsia" w:ascii="宋体" w:hAnsi="宋体"/>
              </w:rPr>
            </w:pPr>
            <w:r>
              <w:rPr>
                <w:rFonts w:hint="eastAsia" w:ascii="宋体" w:hAnsi="宋体"/>
              </w:rPr>
              <w:t>37</w:t>
            </w:r>
          </w:p>
        </w:tc>
        <w:tc>
          <w:tcPr>
            <w:tcW w:w="695" w:type="pct"/>
            <w:vAlign w:val="center"/>
          </w:tcPr>
          <w:p w14:paraId="66B72F34">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1C9AD63A">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7B193DF7">
            <w:pPr>
              <w:adjustRightInd w:val="0"/>
              <w:snapToGrid w:val="0"/>
              <w:spacing w:line="300" w:lineRule="exact"/>
              <w:jc w:val="center"/>
              <w:rPr>
                <w:rFonts w:hint="eastAsia" w:ascii="宋体" w:hAnsi="宋体"/>
                <w:szCs w:val="21"/>
              </w:rPr>
            </w:pPr>
            <w:r>
              <w:rPr>
                <w:rFonts w:hint="eastAsia" w:ascii="宋体" w:hAnsi="宋体"/>
              </w:rPr>
              <w:t>37</w:t>
            </w:r>
          </w:p>
        </w:tc>
        <w:tc>
          <w:tcPr>
            <w:tcW w:w="501" w:type="pct"/>
            <w:vAlign w:val="center"/>
          </w:tcPr>
          <w:p w14:paraId="126B3733">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36316CC8">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153FE3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6E33C00B">
            <w:pPr>
              <w:widowControl/>
              <w:adjustRightInd w:val="0"/>
              <w:snapToGrid w:val="0"/>
              <w:spacing w:line="300" w:lineRule="exact"/>
              <w:jc w:val="center"/>
              <w:rPr>
                <w:rFonts w:hint="eastAsia" w:ascii="宋体" w:hAnsi="宋体"/>
                <w:kern w:val="0"/>
                <w:szCs w:val="21"/>
              </w:rPr>
            </w:pPr>
          </w:p>
        </w:tc>
        <w:tc>
          <w:tcPr>
            <w:tcW w:w="497" w:type="pct"/>
            <w:vAlign w:val="center"/>
          </w:tcPr>
          <w:p w14:paraId="525B685F">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东厂界</w:t>
            </w:r>
          </w:p>
        </w:tc>
        <w:tc>
          <w:tcPr>
            <w:tcW w:w="538" w:type="pct"/>
            <w:noWrap/>
            <w:vAlign w:val="center"/>
          </w:tcPr>
          <w:p w14:paraId="17BFE074">
            <w:pPr>
              <w:adjustRightInd w:val="0"/>
              <w:snapToGrid w:val="0"/>
              <w:spacing w:line="300" w:lineRule="exact"/>
              <w:jc w:val="center"/>
              <w:rPr>
                <w:rFonts w:hint="eastAsia" w:ascii="宋体" w:hAnsi="宋体"/>
              </w:rPr>
            </w:pPr>
            <w:r>
              <w:rPr>
                <w:rFonts w:hint="eastAsia" w:ascii="宋体" w:hAnsi="宋体"/>
              </w:rPr>
              <w:t>33</w:t>
            </w:r>
          </w:p>
        </w:tc>
        <w:tc>
          <w:tcPr>
            <w:tcW w:w="695" w:type="pct"/>
            <w:vAlign w:val="center"/>
          </w:tcPr>
          <w:p w14:paraId="371270BF">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597C287A">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0B29A90A">
            <w:pPr>
              <w:adjustRightInd w:val="0"/>
              <w:snapToGrid w:val="0"/>
              <w:spacing w:line="300" w:lineRule="exact"/>
              <w:jc w:val="center"/>
              <w:rPr>
                <w:rFonts w:hint="eastAsia" w:ascii="宋体" w:hAnsi="宋体"/>
                <w:szCs w:val="21"/>
              </w:rPr>
            </w:pPr>
            <w:r>
              <w:rPr>
                <w:rFonts w:hint="eastAsia" w:ascii="宋体" w:hAnsi="宋体"/>
              </w:rPr>
              <w:t>33</w:t>
            </w:r>
          </w:p>
        </w:tc>
        <w:tc>
          <w:tcPr>
            <w:tcW w:w="501" w:type="pct"/>
            <w:vAlign w:val="center"/>
          </w:tcPr>
          <w:p w14:paraId="58469A81">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27A237B5">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234225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4F021AA3">
            <w:pPr>
              <w:widowControl/>
              <w:adjustRightInd w:val="0"/>
              <w:snapToGrid w:val="0"/>
              <w:spacing w:line="300" w:lineRule="exact"/>
              <w:jc w:val="center"/>
              <w:rPr>
                <w:rFonts w:hint="eastAsia" w:ascii="宋体" w:hAnsi="宋体"/>
                <w:kern w:val="0"/>
                <w:szCs w:val="21"/>
              </w:rPr>
            </w:pPr>
          </w:p>
        </w:tc>
        <w:tc>
          <w:tcPr>
            <w:tcW w:w="497" w:type="pct"/>
            <w:vAlign w:val="center"/>
          </w:tcPr>
          <w:p w14:paraId="1EC4AD5E">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南厂界</w:t>
            </w:r>
          </w:p>
        </w:tc>
        <w:tc>
          <w:tcPr>
            <w:tcW w:w="538" w:type="pct"/>
            <w:noWrap/>
            <w:vAlign w:val="center"/>
          </w:tcPr>
          <w:p w14:paraId="7A3BB3EE">
            <w:pPr>
              <w:adjustRightInd w:val="0"/>
              <w:snapToGrid w:val="0"/>
              <w:spacing w:line="300" w:lineRule="exact"/>
              <w:jc w:val="center"/>
              <w:rPr>
                <w:rFonts w:hint="eastAsia" w:ascii="宋体" w:hAnsi="宋体"/>
              </w:rPr>
            </w:pPr>
            <w:r>
              <w:rPr>
                <w:rFonts w:hint="eastAsia" w:ascii="宋体" w:hAnsi="宋体"/>
              </w:rPr>
              <w:t>37</w:t>
            </w:r>
          </w:p>
        </w:tc>
        <w:tc>
          <w:tcPr>
            <w:tcW w:w="695" w:type="pct"/>
            <w:vAlign w:val="center"/>
          </w:tcPr>
          <w:p w14:paraId="5F72A7EC">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4CA0E951">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5423A76F">
            <w:pPr>
              <w:adjustRightInd w:val="0"/>
              <w:snapToGrid w:val="0"/>
              <w:spacing w:line="300" w:lineRule="exact"/>
              <w:jc w:val="center"/>
              <w:rPr>
                <w:rFonts w:hint="eastAsia" w:ascii="宋体" w:hAnsi="宋体"/>
                <w:szCs w:val="21"/>
              </w:rPr>
            </w:pPr>
            <w:r>
              <w:rPr>
                <w:rFonts w:hint="eastAsia" w:ascii="宋体" w:hAnsi="宋体"/>
              </w:rPr>
              <w:t>37</w:t>
            </w:r>
          </w:p>
        </w:tc>
        <w:tc>
          <w:tcPr>
            <w:tcW w:w="501" w:type="pct"/>
            <w:vAlign w:val="center"/>
          </w:tcPr>
          <w:p w14:paraId="76DB3373">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5251B2B8">
            <w:pPr>
              <w:adjustRightInd w:val="0"/>
              <w:snapToGrid w:val="0"/>
              <w:spacing w:line="300" w:lineRule="exact"/>
              <w:jc w:val="center"/>
              <w:rPr>
                <w:rFonts w:hint="eastAsia" w:ascii="宋体" w:hAnsi="宋体"/>
                <w:szCs w:val="21"/>
              </w:rPr>
            </w:pPr>
            <w:r>
              <w:rPr>
                <w:rFonts w:hint="eastAsia" w:ascii="宋体" w:hAnsi="宋体"/>
                <w:szCs w:val="21"/>
              </w:rPr>
              <w:t>达标</w:t>
            </w:r>
          </w:p>
        </w:tc>
      </w:tr>
      <w:tr w14:paraId="7B79AB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9" w:type="pct"/>
            <w:vMerge w:val="continue"/>
            <w:vAlign w:val="center"/>
          </w:tcPr>
          <w:p w14:paraId="3B94F06B">
            <w:pPr>
              <w:widowControl/>
              <w:adjustRightInd w:val="0"/>
              <w:snapToGrid w:val="0"/>
              <w:spacing w:line="300" w:lineRule="exact"/>
              <w:jc w:val="center"/>
              <w:rPr>
                <w:rFonts w:hint="eastAsia" w:ascii="宋体" w:hAnsi="宋体"/>
                <w:kern w:val="0"/>
                <w:szCs w:val="21"/>
              </w:rPr>
            </w:pPr>
          </w:p>
        </w:tc>
        <w:tc>
          <w:tcPr>
            <w:tcW w:w="497" w:type="pct"/>
            <w:vAlign w:val="center"/>
          </w:tcPr>
          <w:p w14:paraId="5BD7FA48">
            <w:pPr>
              <w:widowControl/>
              <w:adjustRightInd w:val="0"/>
              <w:snapToGrid w:val="0"/>
              <w:spacing w:line="300" w:lineRule="exact"/>
              <w:jc w:val="center"/>
              <w:rPr>
                <w:rFonts w:hint="eastAsia" w:ascii="宋体" w:hAnsi="宋体"/>
                <w:kern w:val="0"/>
                <w:szCs w:val="21"/>
              </w:rPr>
            </w:pPr>
            <w:r>
              <w:rPr>
                <w:rFonts w:hint="eastAsia" w:ascii="宋体" w:hAnsi="宋体"/>
                <w:kern w:val="0"/>
                <w:szCs w:val="21"/>
              </w:rPr>
              <w:t>西厂界</w:t>
            </w:r>
          </w:p>
        </w:tc>
        <w:tc>
          <w:tcPr>
            <w:tcW w:w="538" w:type="pct"/>
            <w:noWrap/>
            <w:vAlign w:val="center"/>
          </w:tcPr>
          <w:p w14:paraId="07A98BF4">
            <w:pPr>
              <w:adjustRightInd w:val="0"/>
              <w:snapToGrid w:val="0"/>
              <w:spacing w:line="300" w:lineRule="exact"/>
              <w:jc w:val="center"/>
              <w:rPr>
                <w:rFonts w:hint="eastAsia" w:ascii="宋体" w:hAnsi="宋体"/>
              </w:rPr>
            </w:pPr>
            <w:r>
              <w:rPr>
                <w:rFonts w:hint="eastAsia" w:ascii="宋体" w:hAnsi="宋体"/>
              </w:rPr>
              <w:t>42</w:t>
            </w:r>
          </w:p>
        </w:tc>
        <w:tc>
          <w:tcPr>
            <w:tcW w:w="695" w:type="pct"/>
            <w:vAlign w:val="center"/>
          </w:tcPr>
          <w:p w14:paraId="0E6AC36B">
            <w:pPr>
              <w:adjustRightInd w:val="0"/>
              <w:snapToGrid w:val="0"/>
              <w:spacing w:line="300" w:lineRule="exact"/>
              <w:jc w:val="center"/>
              <w:rPr>
                <w:rFonts w:hint="eastAsia" w:ascii="宋体" w:hAnsi="宋体"/>
              </w:rPr>
            </w:pPr>
            <w:r>
              <w:rPr>
                <w:rFonts w:ascii="宋体" w:hAnsi="宋体"/>
                <w:szCs w:val="21"/>
              </w:rPr>
              <w:t>60</w:t>
            </w:r>
          </w:p>
        </w:tc>
        <w:tc>
          <w:tcPr>
            <w:tcW w:w="940" w:type="pct"/>
            <w:vAlign w:val="center"/>
          </w:tcPr>
          <w:p w14:paraId="30D7A70E">
            <w:pPr>
              <w:adjustRightInd w:val="0"/>
              <w:snapToGrid w:val="0"/>
              <w:spacing w:line="300" w:lineRule="exact"/>
              <w:jc w:val="center"/>
              <w:rPr>
                <w:rFonts w:hint="eastAsia" w:ascii="宋体" w:hAnsi="宋体"/>
              </w:rPr>
            </w:pPr>
            <w:r>
              <w:rPr>
                <w:rFonts w:hint="eastAsia" w:ascii="宋体" w:hAnsi="宋体"/>
              </w:rPr>
              <w:t>达标</w:t>
            </w:r>
          </w:p>
        </w:tc>
        <w:tc>
          <w:tcPr>
            <w:tcW w:w="660" w:type="pct"/>
            <w:noWrap/>
            <w:vAlign w:val="center"/>
          </w:tcPr>
          <w:p w14:paraId="5C308CFD">
            <w:pPr>
              <w:adjustRightInd w:val="0"/>
              <w:snapToGrid w:val="0"/>
              <w:spacing w:line="300" w:lineRule="exact"/>
              <w:jc w:val="center"/>
              <w:rPr>
                <w:rFonts w:hint="eastAsia" w:ascii="宋体" w:hAnsi="宋体"/>
                <w:szCs w:val="21"/>
              </w:rPr>
            </w:pPr>
            <w:r>
              <w:rPr>
                <w:rFonts w:hint="eastAsia" w:ascii="宋体" w:hAnsi="宋体"/>
              </w:rPr>
              <w:t>42</w:t>
            </w:r>
          </w:p>
        </w:tc>
        <w:tc>
          <w:tcPr>
            <w:tcW w:w="501" w:type="pct"/>
            <w:vAlign w:val="center"/>
          </w:tcPr>
          <w:p w14:paraId="4D9DBBFF">
            <w:pPr>
              <w:adjustRightInd w:val="0"/>
              <w:snapToGrid w:val="0"/>
              <w:spacing w:line="300" w:lineRule="exact"/>
              <w:jc w:val="center"/>
              <w:rPr>
                <w:rFonts w:hint="eastAsia" w:ascii="宋体" w:hAnsi="宋体"/>
                <w:szCs w:val="21"/>
              </w:rPr>
            </w:pPr>
            <w:r>
              <w:rPr>
                <w:rFonts w:hint="eastAsia" w:ascii="宋体" w:hAnsi="宋体"/>
                <w:szCs w:val="21"/>
              </w:rPr>
              <w:t>5</w:t>
            </w:r>
            <w:r>
              <w:rPr>
                <w:rFonts w:ascii="宋体" w:hAnsi="宋体"/>
                <w:szCs w:val="21"/>
              </w:rPr>
              <w:t>0</w:t>
            </w:r>
          </w:p>
        </w:tc>
        <w:tc>
          <w:tcPr>
            <w:tcW w:w="600" w:type="pct"/>
            <w:vAlign w:val="center"/>
          </w:tcPr>
          <w:p w14:paraId="374209AB">
            <w:pPr>
              <w:adjustRightInd w:val="0"/>
              <w:snapToGrid w:val="0"/>
              <w:spacing w:line="300" w:lineRule="exact"/>
              <w:jc w:val="center"/>
              <w:rPr>
                <w:rFonts w:hint="eastAsia" w:ascii="宋体" w:hAnsi="宋体"/>
                <w:szCs w:val="21"/>
              </w:rPr>
            </w:pPr>
            <w:r>
              <w:rPr>
                <w:rFonts w:hint="eastAsia" w:ascii="宋体" w:hAnsi="宋体"/>
                <w:szCs w:val="21"/>
              </w:rPr>
              <w:t>达标</w:t>
            </w:r>
          </w:p>
        </w:tc>
      </w:tr>
    </w:tbl>
    <w:p w14:paraId="44144C28">
      <w:pPr>
        <w:pStyle w:val="117"/>
        <w:ind w:firstLine="480"/>
        <w:rPr>
          <w:rFonts w:hint="eastAsia" w:ascii="黑体" w:hAnsi="黑体" w:eastAsia="黑体" w:cs="宋体"/>
          <w:sz w:val="21"/>
          <w:szCs w:val="21"/>
        </w:rPr>
      </w:pPr>
      <w:r>
        <w:rPr>
          <w:rFonts w:hint="eastAsia"/>
          <w:lang w:bidi="ar"/>
        </w:rPr>
        <w:t>由预测结果可知：一期工程采油平台和计量拉油站厂界四周噪声值均满足《工业企业厂界环境噪声排放标准》（GB12348-2008）2类标准限值要求，二期工程实施后，采油平台不新增噪声源，计量站内的生产分离器等设备拆除，产噪设备减少，采油平台和计量拉油站厂界四周噪声值均满足《工业企业厂界环境噪声排放标准》（GB12348-2008）2类标准限值要求</w:t>
      </w:r>
      <w:r>
        <w:rPr>
          <w:rFonts w:hint="eastAsia" w:cs="宋体"/>
        </w:rPr>
        <w:t>。声环境评价范围内</w:t>
      </w:r>
      <w:r>
        <w:rPr>
          <w:rFonts w:hint="eastAsia"/>
          <w:lang w:bidi="ar"/>
        </w:rPr>
        <w:t>无声环境敏感点，不会出现扰民现象，</w:t>
      </w:r>
      <w:r>
        <w:rPr>
          <w:rFonts w:cs="宋体"/>
        </w:rPr>
        <w:t>不会对周围声环境产生明显的影响。</w:t>
      </w:r>
    </w:p>
    <w:bookmarkEnd w:id="542"/>
    <w:bookmarkEnd w:id="543"/>
    <w:bookmarkEnd w:id="544"/>
    <w:bookmarkEnd w:id="545"/>
    <w:bookmarkEnd w:id="546"/>
    <w:bookmarkEnd w:id="547"/>
    <w:bookmarkEnd w:id="548"/>
    <w:p w14:paraId="59BA769E">
      <w:pPr>
        <w:pStyle w:val="4"/>
        <w:rPr>
          <w:rFonts w:hint="eastAsia"/>
        </w:rPr>
      </w:pPr>
      <w:bookmarkStart w:id="549" w:name="_Toc445996422"/>
      <w:bookmarkStart w:id="550" w:name="_Toc13399"/>
      <w:bookmarkStart w:id="551" w:name="_Toc445842101"/>
      <w:r>
        <w:rPr>
          <w:rFonts w:hint="eastAsia"/>
        </w:rPr>
        <w:t>运营期固体废物</w:t>
      </w:r>
      <w:r>
        <w:t>环境影响</w:t>
      </w:r>
      <w:bookmarkEnd w:id="549"/>
      <w:bookmarkEnd w:id="550"/>
      <w:bookmarkEnd w:id="551"/>
      <w:r>
        <w:rPr>
          <w:rFonts w:hint="eastAsia"/>
        </w:rPr>
        <w:t>分析</w:t>
      </w:r>
    </w:p>
    <w:p w14:paraId="3FE655EC">
      <w:pPr>
        <w:pStyle w:val="117"/>
        <w:ind w:firstLine="480"/>
        <w:rPr>
          <w:rFonts w:hint="eastAsia" w:cs="宋体"/>
        </w:rPr>
      </w:pPr>
      <w:bookmarkStart w:id="552" w:name="_Hlk40434482"/>
      <w:bookmarkStart w:id="553" w:name="_Toc445842102"/>
      <w:bookmarkStart w:id="554" w:name="_Toc6279"/>
      <w:bookmarkStart w:id="555" w:name="_Toc445996423"/>
      <w:r>
        <w:rPr>
          <w:rFonts w:hint="eastAsia" w:cs="宋体"/>
        </w:rPr>
        <w:t>固体废物主要为清罐底泥、</w:t>
      </w:r>
      <w:r>
        <w:rPr>
          <w:rFonts w:hint="eastAsia" w:cs="宋体"/>
          <w:lang w:val="zh-CN"/>
        </w:rPr>
        <w:t>废脱硫剂包装物、废润滑油、废润滑油桶、沾油废防渗材料、废含油抹布和劳保用品。清罐底泥、废润滑油、废润滑油桶、沾油废防渗膜属于《国家危险废物名录》（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废矿物油和含矿物油废物，废含油抹布和劳保用品属于《国家危险废物名录》（</w:t>
      </w:r>
      <w:r>
        <w:rPr>
          <w:rFonts w:cs="宋体"/>
          <w:lang w:val="zh-CN"/>
        </w:rPr>
        <w:t>2021</w:t>
      </w:r>
      <w:r>
        <w:rPr>
          <w:rFonts w:hint="eastAsia" w:cs="宋体"/>
          <w:lang w:val="zh-CN"/>
        </w:rPr>
        <w:t>年版）HW49其他废物，清罐底泥不在站内暂存，直接交由有相应危险废物处理资质的单位回收处置，其余危险废物临时贮存在吉祥联合站危险废物临时贮存点，最终交由有相应危险废物处理资质的单位处理，废脱硫剂包装物由厂家回收处置。</w:t>
      </w:r>
      <w:r>
        <w:rPr>
          <w:rFonts w:hint="eastAsia" w:cs="宋体"/>
        </w:rPr>
        <w:t>吉庆油田作业区已与</w:t>
      </w:r>
      <w:r>
        <w:rPr>
          <w:rFonts w:hint="eastAsia"/>
        </w:rPr>
        <w:t>克拉玛依市博达生态环保科技有限责任公司签订了危险废物处置协议，产生的危险废物可</w:t>
      </w:r>
      <w:r>
        <w:rPr>
          <w:rFonts w:hint="eastAsia" w:cs="宋体"/>
        </w:rPr>
        <w:t>得到妥善处置。综上所述，固体废物均得到妥善处理，不会对周围环境造成不利影响。</w:t>
      </w:r>
    </w:p>
    <w:bookmarkEnd w:id="552"/>
    <w:p w14:paraId="0B457730">
      <w:pPr>
        <w:pStyle w:val="4"/>
        <w:rPr>
          <w:rFonts w:hint="eastAsia"/>
        </w:rPr>
      </w:pPr>
      <w:r>
        <w:rPr>
          <w:rFonts w:hint="eastAsia"/>
        </w:rPr>
        <w:t>运营期土壤</w:t>
      </w:r>
      <w:r>
        <w:t>环境影响</w:t>
      </w:r>
      <w:r>
        <w:rPr>
          <w:rFonts w:hint="eastAsia"/>
        </w:rPr>
        <w:t>分析</w:t>
      </w:r>
    </w:p>
    <w:p w14:paraId="57A7CFC4">
      <w:pPr>
        <w:pStyle w:val="117"/>
        <w:ind w:firstLine="480"/>
        <w:rPr>
          <w:rFonts w:hint="eastAsia"/>
        </w:rPr>
      </w:pPr>
      <w:r>
        <w:rPr>
          <w:rFonts w:hint="eastAsia"/>
        </w:rPr>
        <w:t>（1）污染影响型</w:t>
      </w:r>
    </w:p>
    <w:p w14:paraId="6C140120">
      <w:pPr>
        <w:pStyle w:val="117"/>
        <w:ind w:firstLine="480"/>
        <w:rPr>
          <w:rFonts w:hint="eastAsia"/>
        </w:rPr>
      </w:pPr>
      <w:r>
        <w:rPr>
          <w:rFonts w:hint="eastAsia"/>
        </w:rPr>
        <w:t>正常工况下无废水及固废等污染物外排，不会造成土壤环境污染。事故状态下可能对土壤环境产生一定的影响，根据《环境影响评价技术导则</w:t>
      </w:r>
      <w:r>
        <w:t xml:space="preserve"> 土壤环境（试行）》（HJ 964-2018）</w:t>
      </w:r>
      <w:r>
        <w:rPr>
          <w:rFonts w:hint="eastAsia"/>
        </w:rPr>
        <w:t>，事故状态下对土壤环境的影响主要为污染影响型，对土壤环境的影响主要为单井采油管线、集油干支线发生破裂泄漏的原油垂直入渗对土壤的影响，运营期土壤环境影响源及影响因子识别详见表</w:t>
      </w:r>
      <w:r>
        <w:t>5.2</w:t>
      </w:r>
      <w:r>
        <w:rPr>
          <w:rFonts w:hint="eastAsia"/>
        </w:rPr>
        <w:t>-</w:t>
      </w:r>
      <w:r>
        <w:t>1</w:t>
      </w:r>
      <w:r>
        <w:rPr>
          <w:rFonts w:hint="eastAsia"/>
        </w:rPr>
        <w:t>2。</w:t>
      </w:r>
    </w:p>
    <w:p w14:paraId="75EDC630">
      <w:pPr>
        <w:pStyle w:val="109"/>
        <w:ind w:left="420" w:leftChars="200"/>
        <w:rPr>
          <w:rFonts w:hint="eastAsia"/>
        </w:rPr>
      </w:pPr>
      <w:r>
        <w:rPr>
          <w:rFonts w:hint="eastAsia"/>
        </w:rPr>
        <w:t>表</w:t>
      </w:r>
      <w:r>
        <w:t>5.2</w:t>
      </w:r>
      <w:r>
        <w:rPr>
          <w:rFonts w:hint="eastAsia"/>
        </w:rPr>
        <w:t>-</w:t>
      </w:r>
      <w:r>
        <w:t>1</w:t>
      </w:r>
      <w:r>
        <w:rPr>
          <w:rFonts w:hint="eastAsia"/>
        </w:rPr>
        <w:t>2</w:t>
      </w:r>
      <w:r>
        <w:t xml:space="preserve"> </w:t>
      </w:r>
      <w:r>
        <w:rPr>
          <w:rFonts w:hint="eastAsia"/>
        </w:rPr>
        <w:t xml:space="preserve"> </w:t>
      </w:r>
      <w:bookmarkStart w:id="556" w:name="_Hlk117530406"/>
      <w:bookmarkStart w:id="557" w:name="_Hlk117430406"/>
      <w:r>
        <w:rPr>
          <w:rFonts w:hint="eastAsia"/>
        </w:rPr>
        <w:t>运营期</w:t>
      </w:r>
      <w:bookmarkStart w:id="558" w:name="_Hlk98508160"/>
      <w:r>
        <w:rPr>
          <w:rFonts w:hint="eastAsia"/>
        </w:rPr>
        <w:t>土壤环境影响源及影响因子识别表</w:t>
      </w:r>
      <w:bookmarkEnd w:id="556"/>
      <w:bookmarkEnd w:id="558"/>
    </w:p>
    <w:bookmarkEnd w:id="557"/>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89"/>
        <w:gridCol w:w="1907"/>
        <w:gridCol w:w="1574"/>
        <w:gridCol w:w="1789"/>
        <w:gridCol w:w="1787"/>
      </w:tblGrid>
      <w:tr w14:paraId="7A4122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shd w:val="clear" w:color="auto" w:fill="auto"/>
            <w:vAlign w:val="center"/>
          </w:tcPr>
          <w:p w14:paraId="3DD9068A">
            <w:pPr>
              <w:pStyle w:val="36"/>
              <w:rPr>
                <w:rFonts w:hint="eastAsia" w:ascii="宋体" w:hAnsi="宋体"/>
              </w:rPr>
            </w:pPr>
            <w:r>
              <w:rPr>
                <w:rFonts w:hint="eastAsia" w:ascii="宋体" w:hAnsi="宋体"/>
              </w:rPr>
              <w:t>污染源</w:t>
            </w:r>
          </w:p>
        </w:tc>
        <w:tc>
          <w:tcPr>
            <w:tcW w:w="1066" w:type="pct"/>
            <w:shd w:val="clear" w:color="auto" w:fill="auto"/>
            <w:vAlign w:val="center"/>
          </w:tcPr>
          <w:p w14:paraId="49DCB393">
            <w:pPr>
              <w:pStyle w:val="36"/>
              <w:rPr>
                <w:rFonts w:hint="eastAsia" w:ascii="宋体" w:hAnsi="宋体"/>
              </w:rPr>
            </w:pPr>
            <w:r>
              <w:rPr>
                <w:rFonts w:hint="eastAsia" w:ascii="宋体" w:hAnsi="宋体"/>
              </w:rPr>
              <w:t>工艺流程/节点</w:t>
            </w:r>
          </w:p>
        </w:tc>
        <w:tc>
          <w:tcPr>
            <w:tcW w:w="880" w:type="pct"/>
            <w:shd w:val="clear" w:color="auto" w:fill="auto"/>
            <w:vAlign w:val="center"/>
          </w:tcPr>
          <w:p w14:paraId="32E1E745">
            <w:pPr>
              <w:pStyle w:val="36"/>
              <w:rPr>
                <w:rFonts w:hint="eastAsia" w:ascii="宋体" w:hAnsi="宋体"/>
              </w:rPr>
            </w:pPr>
            <w:r>
              <w:rPr>
                <w:rFonts w:hint="eastAsia" w:ascii="宋体" w:hAnsi="宋体"/>
              </w:rPr>
              <w:t>污染途径</w:t>
            </w:r>
          </w:p>
        </w:tc>
        <w:tc>
          <w:tcPr>
            <w:tcW w:w="1000" w:type="pct"/>
            <w:shd w:val="clear" w:color="auto" w:fill="auto"/>
            <w:vAlign w:val="center"/>
          </w:tcPr>
          <w:p w14:paraId="1F7205E1">
            <w:pPr>
              <w:pStyle w:val="36"/>
              <w:rPr>
                <w:rFonts w:hint="eastAsia" w:ascii="宋体" w:hAnsi="宋体"/>
              </w:rPr>
            </w:pPr>
            <w:r>
              <w:rPr>
                <w:rFonts w:hint="eastAsia" w:ascii="宋体" w:hAnsi="宋体"/>
              </w:rPr>
              <w:t>全部污染物指标</w:t>
            </w:r>
          </w:p>
        </w:tc>
        <w:tc>
          <w:tcPr>
            <w:tcW w:w="998" w:type="pct"/>
            <w:shd w:val="clear" w:color="auto" w:fill="auto"/>
            <w:vAlign w:val="center"/>
          </w:tcPr>
          <w:p w14:paraId="74584AF9">
            <w:pPr>
              <w:pStyle w:val="36"/>
              <w:rPr>
                <w:rFonts w:hint="eastAsia" w:ascii="宋体" w:hAnsi="宋体"/>
              </w:rPr>
            </w:pPr>
            <w:r>
              <w:rPr>
                <w:rFonts w:hint="eastAsia" w:ascii="宋体" w:hAnsi="宋体"/>
              </w:rPr>
              <w:t>特征因子</w:t>
            </w:r>
          </w:p>
        </w:tc>
      </w:tr>
      <w:tr w14:paraId="7AAB3A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56" w:type="pct"/>
            <w:shd w:val="clear" w:color="auto" w:fill="auto"/>
            <w:vAlign w:val="center"/>
          </w:tcPr>
          <w:p w14:paraId="4A7E3B67">
            <w:pPr>
              <w:pStyle w:val="36"/>
              <w:rPr>
                <w:rFonts w:hint="eastAsia" w:ascii="宋体" w:hAnsi="宋体"/>
              </w:rPr>
            </w:pPr>
            <w:r>
              <w:rPr>
                <w:rFonts w:hint="eastAsia" w:ascii="宋体" w:hAnsi="宋体"/>
              </w:rPr>
              <w:t>单井采油管线、集油干支线</w:t>
            </w:r>
          </w:p>
        </w:tc>
        <w:tc>
          <w:tcPr>
            <w:tcW w:w="1066" w:type="pct"/>
            <w:shd w:val="clear" w:color="auto" w:fill="auto"/>
            <w:vAlign w:val="center"/>
          </w:tcPr>
          <w:p w14:paraId="67B9C2AC">
            <w:pPr>
              <w:pStyle w:val="36"/>
              <w:rPr>
                <w:rFonts w:hint="eastAsia" w:ascii="宋体" w:hAnsi="宋体"/>
              </w:rPr>
            </w:pPr>
            <w:r>
              <w:rPr>
                <w:rFonts w:hint="eastAsia" w:ascii="宋体" w:hAnsi="宋体"/>
              </w:rPr>
              <w:t>管道破损发生泄漏</w:t>
            </w:r>
          </w:p>
        </w:tc>
        <w:tc>
          <w:tcPr>
            <w:tcW w:w="880" w:type="pct"/>
            <w:shd w:val="clear" w:color="auto" w:fill="auto"/>
            <w:vAlign w:val="center"/>
          </w:tcPr>
          <w:p w14:paraId="5C6E1BAC">
            <w:pPr>
              <w:pStyle w:val="36"/>
              <w:rPr>
                <w:rFonts w:hint="eastAsia" w:ascii="宋体" w:hAnsi="宋体"/>
              </w:rPr>
            </w:pPr>
            <w:r>
              <w:rPr>
                <w:rFonts w:hint="eastAsia" w:ascii="宋体" w:hAnsi="宋体"/>
              </w:rPr>
              <w:t>垂直入渗</w:t>
            </w:r>
          </w:p>
        </w:tc>
        <w:tc>
          <w:tcPr>
            <w:tcW w:w="1000" w:type="pct"/>
            <w:shd w:val="clear" w:color="auto" w:fill="auto"/>
            <w:vAlign w:val="center"/>
          </w:tcPr>
          <w:p w14:paraId="07287180">
            <w:pPr>
              <w:pStyle w:val="36"/>
              <w:rPr>
                <w:rFonts w:hint="eastAsia" w:ascii="宋体" w:hAnsi="宋体"/>
              </w:rPr>
            </w:pPr>
            <w:r>
              <w:rPr>
                <w:rFonts w:hint="eastAsia" w:ascii="宋体" w:hAnsi="宋体"/>
              </w:rPr>
              <w:t>石油烃</w:t>
            </w:r>
          </w:p>
        </w:tc>
        <w:tc>
          <w:tcPr>
            <w:tcW w:w="998" w:type="pct"/>
            <w:shd w:val="clear" w:color="auto" w:fill="auto"/>
            <w:vAlign w:val="center"/>
          </w:tcPr>
          <w:p w14:paraId="3596F113">
            <w:pPr>
              <w:pStyle w:val="36"/>
              <w:rPr>
                <w:rFonts w:hint="eastAsia" w:ascii="宋体" w:hAnsi="宋体"/>
              </w:rPr>
            </w:pPr>
            <w:r>
              <w:rPr>
                <w:rFonts w:hint="eastAsia" w:ascii="宋体" w:hAnsi="宋体"/>
              </w:rPr>
              <w:t>石油烃</w:t>
            </w:r>
          </w:p>
        </w:tc>
      </w:tr>
    </w:tbl>
    <w:p w14:paraId="4CE0A703">
      <w:pPr>
        <w:pStyle w:val="117"/>
        <w:ind w:firstLine="480"/>
        <w:rPr>
          <w:rFonts w:hint="eastAsia"/>
        </w:rPr>
      </w:pPr>
      <w:bookmarkStart w:id="559" w:name="OLE_LINK368"/>
      <w:r>
        <w:rPr>
          <w:rFonts w:hint="eastAsia"/>
        </w:rPr>
        <w:t>根据《环境影响评价技术导则</w:t>
      </w:r>
      <w:r>
        <w:t xml:space="preserve">  土壤环境（试行）》（HJ964-02018）8.7.3污染影响型</w:t>
      </w:r>
      <w:r>
        <w:rPr>
          <w:rFonts w:hint="eastAsia"/>
        </w:rPr>
        <w:t>——</w:t>
      </w:r>
      <w:r>
        <w:t>评价工作等级为</w:t>
      </w:r>
      <w:r>
        <w:rPr>
          <w:rFonts w:hint="eastAsia"/>
        </w:rPr>
        <w:t>一</w:t>
      </w:r>
      <w:r>
        <w:t>级的建设项目，预测方法可参见附录E或类比分析进行预测。本次评价采用类比分析法预测项目实施对土壤环境的影响。</w:t>
      </w:r>
    </w:p>
    <w:p w14:paraId="632ED32F">
      <w:pPr>
        <w:pStyle w:val="117"/>
        <w:ind w:firstLine="480"/>
        <w:rPr>
          <w:rFonts w:hint="eastAsia"/>
        </w:rPr>
      </w:pPr>
      <w:bookmarkStart w:id="560" w:name="_Hlk115193801"/>
      <w:r>
        <w:rPr>
          <w:rFonts w:hint="eastAsia"/>
        </w:rPr>
        <w:t>管线发生泄漏后，泄漏的采出液通过垂直入渗的方式进入管线、新增设备污染下方及周边土壤，使受浸染的土壤理化性状发生变化，对土壤产生一定的影响。</w:t>
      </w:r>
    </w:p>
    <w:p w14:paraId="491364E5">
      <w:pPr>
        <w:pStyle w:val="117"/>
        <w:ind w:firstLine="480"/>
        <w:rPr>
          <w:rFonts w:hint="eastAsia"/>
        </w:rPr>
      </w:pPr>
      <w:r>
        <w:t>本次评价</w:t>
      </w:r>
      <w:bookmarkStart w:id="561" w:name="_Hlk115191896"/>
      <w:bookmarkStart w:id="562" w:name="_Hlk109730584"/>
      <w:r>
        <w:rPr>
          <w:rFonts w:hint="eastAsia"/>
        </w:rPr>
        <w:t>引用的《</w:t>
      </w:r>
      <w:bookmarkStart w:id="563" w:name="_Hlk115191207"/>
      <w:r>
        <w:rPr>
          <w:rFonts w:hint="eastAsia"/>
        </w:rPr>
        <w:t>石西油田作业区石南</w:t>
      </w:r>
      <w:r>
        <w:t>4原油转输管线</w:t>
      </w:r>
      <w:bookmarkEnd w:id="563"/>
      <w:r>
        <w:t>安全隐患治理工程</w:t>
      </w:r>
      <w:r>
        <w:rPr>
          <w:rFonts w:hint="eastAsia"/>
        </w:rPr>
        <w:t>》</w:t>
      </w:r>
      <w:bookmarkEnd w:id="561"/>
      <w:r>
        <w:rPr>
          <w:rFonts w:hint="eastAsia"/>
        </w:rPr>
        <w:t>中发生过原油泄漏并进行过应急处置的管段土壤环境质量现状监测数据来进行类比分析说明本项目单井采油管线事故状态下原油泄漏对土壤环境的影响，监测数据详见表</w:t>
      </w:r>
      <w:r>
        <w:t>5.2</w:t>
      </w:r>
      <w:r>
        <w:rPr>
          <w:rFonts w:hint="eastAsia"/>
        </w:rPr>
        <w:t>-</w:t>
      </w:r>
      <w:r>
        <w:t>1</w:t>
      </w:r>
      <w:r>
        <w:rPr>
          <w:rFonts w:hint="eastAsia"/>
        </w:rPr>
        <w:t>3。</w:t>
      </w:r>
    </w:p>
    <w:bookmarkEnd w:id="559"/>
    <w:p w14:paraId="08129237">
      <w:pPr>
        <w:pStyle w:val="117"/>
        <w:ind w:left="420" w:leftChars="200" w:firstLine="0" w:firstLineChars="0"/>
        <w:jc w:val="center"/>
        <w:rPr>
          <w:rFonts w:hint="eastAsia" w:ascii="黑体" w:hAnsi="黑体" w:eastAsia="黑体"/>
          <w:sz w:val="21"/>
          <w:szCs w:val="21"/>
        </w:rPr>
      </w:pPr>
      <w:r>
        <w:rPr>
          <w:rFonts w:ascii="黑体" w:hAnsi="黑体" w:eastAsia="黑体"/>
          <w:sz w:val="21"/>
          <w:szCs w:val="21"/>
        </w:rPr>
        <w:t>表5.2</w:t>
      </w:r>
      <w:r>
        <w:rPr>
          <w:rFonts w:hint="eastAsia" w:ascii="黑体" w:hAnsi="黑体" w:eastAsia="黑体"/>
          <w:sz w:val="21"/>
          <w:szCs w:val="21"/>
        </w:rPr>
        <w:t>-</w:t>
      </w:r>
      <w:r>
        <w:rPr>
          <w:rFonts w:ascii="黑体" w:hAnsi="黑体" w:eastAsia="黑体"/>
          <w:sz w:val="21"/>
          <w:szCs w:val="21"/>
        </w:rPr>
        <w:t>1</w:t>
      </w:r>
      <w:r>
        <w:rPr>
          <w:rFonts w:hint="eastAsia" w:ascii="黑体" w:hAnsi="黑体" w:eastAsia="黑体"/>
          <w:sz w:val="21"/>
          <w:szCs w:val="21"/>
        </w:rPr>
        <w:t>3《石西油田作业区石南</w:t>
      </w:r>
      <w:r>
        <w:rPr>
          <w:rFonts w:ascii="黑体" w:hAnsi="黑体" w:eastAsia="黑体"/>
          <w:sz w:val="21"/>
          <w:szCs w:val="21"/>
        </w:rPr>
        <w:t>4原油转输管线安全隐患治理工程</w:t>
      </w:r>
      <w:r>
        <w:rPr>
          <w:rFonts w:hint="eastAsia" w:ascii="黑体" w:hAnsi="黑体" w:eastAsia="黑体"/>
          <w:sz w:val="21"/>
          <w:szCs w:val="21"/>
        </w:rPr>
        <w:t>》土壤监测结果一览表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76"/>
        <w:gridCol w:w="1134"/>
        <w:gridCol w:w="846"/>
        <w:gridCol w:w="1140"/>
        <w:gridCol w:w="1134"/>
        <w:gridCol w:w="1136"/>
        <w:gridCol w:w="991"/>
        <w:gridCol w:w="1137"/>
        <w:gridCol w:w="752"/>
      </w:tblGrid>
      <w:tr w14:paraId="3178577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restart"/>
            <w:shd w:val="clear" w:color="auto" w:fill="auto"/>
            <w:vAlign w:val="center"/>
          </w:tcPr>
          <w:p w14:paraId="4B800678">
            <w:pPr>
              <w:pStyle w:val="208"/>
              <w:adjustRightInd w:val="0"/>
              <w:snapToGrid w:val="0"/>
              <w:rPr>
                <w:rFonts w:hint="eastAsia"/>
                <w:szCs w:val="21"/>
                <w:lang w:val="zh-CN"/>
              </w:rPr>
            </w:pPr>
            <w:bookmarkStart w:id="564" w:name="_Hlk110354415"/>
            <w:r>
              <w:rPr>
                <w:rFonts w:hint="eastAsia"/>
                <w:szCs w:val="21"/>
                <w:lang w:val="zh-CN"/>
              </w:rPr>
              <w:t>点位</w:t>
            </w:r>
            <w:r>
              <w:rPr>
                <w:szCs w:val="21"/>
                <w:lang w:val="zh-CN"/>
              </w:rPr>
              <w:t>编号</w:t>
            </w:r>
          </w:p>
        </w:tc>
        <w:tc>
          <w:tcPr>
            <w:tcW w:w="634" w:type="pct"/>
            <w:vMerge w:val="restart"/>
            <w:shd w:val="clear" w:color="auto" w:fill="auto"/>
            <w:vAlign w:val="center"/>
          </w:tcPr>
          <w:p w14:paraId="0985162B">
            <w:pPr>
              <w:pStyle w:val="208"/>
              <w:adjustRightInd w:val="0"/>
              <w:snapToGrid w:val="0"/>
              <w:rPr>
                <w:rFonts w:hint="eastAsia"/>
                <w:szCs w:val="21"/>
                <w:lang w:val="zh-CN"/>
              </w:rPr>
            </w:pPr>
            <w:r>
              <w:rPr>
                <w:rFonts w:hint="eastAsia"/>
                <w:szCs w:val="21"/>
                <w:lang w:val="zh-CN"/>
              </w:rPr>
              <w:t>监测因子</w:t>
            </w:r>
          </w:p>
        </w:tc>
        <w:tc>
          <w:tcPr>
            <w:tcW w:w="3568" w:type="pct"/>
            <w:gridSpan w:val="6"/>
            <w:shd w:val="clear" w:color="auto" w:fill="auto"/>
            <w:vAlign w:val="center"/>
          </w:tcPr>
          <w:p w14:paraId="51B02AAA">
            <w:pPr>
              <w:pStyle w:val="208"/>
              <w:adjustRightInd w:val="0"/>
              <w:snapToGrid w:val="0"/>
              <w:rPr>
                <w:rFonts w:hint="eastAsia"/>
                <w:szCs w:val="21"/>
                <w:lang w:val="zh-CN"/>
              </w:rPr>
            </w:pPr>
            <w:r>
              <w:rPr>
                <w:rFonts w:hint="eastAsia"/>
              </w:rPr>
              <w:t>（柱状样）</w:t>
            </w:r>
            <w:r>
              <w:rPr>
                <w:rFonts w:hint="eastAsia"/>
                <w:szCs w:val="21"/>
              </w:rPr>
              <w:t>检测值</w:t>
            </w:r>
            <w:r>
              <w:rPr>
                <w:szCs w:val="21"/>
              </w:rPr>
              <w:t>（</w:t>
            </w:r>
            <w:r>
              <w:rPr>
                <w:rFonts w:hint="eastAsia"/>
                <w:szCs w:val="21"/>
              </w:rPr>
              <w:t>m</w:t>
            </w:r>
            <w:r>
              <w:rPr>
                <w:szCs w:val="21"/>
              </w:rPr>
              <w:t>g/</w:t>
            </w:r>
            <w:r>
              <w:rPr>
                <w:rFonts w:hint="eastAsia"/>
                <w:szCs w:val="21"/>
              </w:rPr>
              <w:t>kg</w:t>
            </w:r>
            <w:r>
              <w:rPr>
                <w:szCs w:val="21"/>
              </w:rPr>
              <w:t>）</w:t>
            </w:r>
          </w:p>
        </w:tc>
        <w:tc>
          <w:tcPr>
            <w:tcW w:w="420" w:type="pct"/>
            <w:vMerge w:val="restart"/>
            <w:shd w:val="clear" w:color="auto" w:fill="auto"/>
            <w:vAlign w:val="center"/>
          </w:tcPr>
          <w:p w14:paraId="6E619AB0">
            <w:pPr>
              <w:pStyle w:val="208"/>
              <w:adjustRightInd w:val="0"/>
              <w:snapToGrid w:val="0"/>
              <w:rPr>
                <w:rFonts w:hint="eastAsia"/>
                <w:szCs w:val="21"/>
                <w:lang w:val="zh-CN"/>
              </w:rPr>
            </w:pPr>
            <w:r>
              <w:rPr>
                <w:rFonts w:hint="eastAsia"/>
                <w:szCs w:val="21"/>
                <w:lang w:val="zh-CN"/>
              </w:rPr>
              <w:t>达标情况</w:t>
            </w:r>
          </w:p>
        </w:tc>
      </w:tr>
      <w:tr w14:paraId="11790D1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70C017B7">
            <w:pPr>
              <w:pStyle w:val="208"/>
              <w:adjustRightInd w:val="0"/>
              <w:snapToGrid w:val="0"/>
              <w:rPr>
                <w:rFonts w:hint="eastAsia"/>
                <w:szCs w:val="21"/>
                <w:lang w:val="zh-CN"/>
              </w:rPr>
            </w:pPr>
          </w:p>
        </w:tc>
        <w:tc>
          <w:tcPr>
            <w:tcW w:w="634" w:type="pct"/>
            <w:vMerge w:val="continue"/>
            <w:shd w:val="clear" w:color="auto" w:fill="auto"/>
            <w:vAlign w:val="center"/>
          </w:tcPr>
          <w:p w14:paraId="145ABD1F">
            <w:pPr>
              <w:pStyle w:val="208"/>
              <w:adjustRightInd w:val="0"/>
              <w:snapToGrid w:val="0"/>
              <w:rPr>
                <w:rFonts w:hint="eastAsia"/>
                <w:szCs w:val="21"/>
                <w:lang w:val="zh-CN"/>
              </w:rPr>
            </w:pPr>
          </w:p>
        </w:tc>
        <w:tc>
          <w:tcPr>
            <w:tcW w:w="1110" w:type="pct"/>
            <w:gridSpan w:val="2"/>
            <w:tcBorders>
              <w:bottom w:val="single" w:color="auto" w:sz="4" w:space="0"/>
            </w:tcBorders>
            <w:shd w:val="clear" w:color="auto" w:fill="auto"/>
            <w:vAlign w:val="center"/>
          </w:tcPr>
          <w:p w14:paraId="781608A1">
            <w:pPr>
              <w:pStyle w:val="208"/>
              <w:adjustRightInd w:val="0"/>
              <w:snapToGrid w:val="0"/>
              <w:rPr>
                <w:rFonts w:hint="eastAsia"/>
                <w:szCs w:val="21"/>
              </w:rPr>
            </w:pPr>
            <w:r>
              <w:rPr>
                <w:rFonts w:hint="eastAsia"/>
                <w:szCs w:val="21"/>
              </w:rPr>
              <w:t>0～</w:t>
            </w:r>
            <w:r>
              <w:rPr>
                <w:szCs w:val="21"/>
              </w:rPr>
              <w:t>0.5</w:t>
            </w:r>
            <w:r>
              <w:rPr>
                <w:rFonts w:hint="eastAsia"/>
                <w:szCs w:val="21"/>
              </w:rPr>
              <w:t>m</w:t>
            </w:r>
          </w:p>
        </w:tc>
        <w:tc>
          <w:tcPr>
            <w:tcW w:w="1269" w:type="pct"/>
            <w:gridSpan w:val="2"/>
            <w:tcBorders>
              <w:bottom w:val="single" w:color="auto" w:sz="4" w:space="0"/>
            </w:tcBorders>
            <w:shd w:val="clear" w:color="auto" w:fill="auto"/>
            <w:vAlign w:val="center"/>
          </w:tcPr>
          <w:p w14:paraId="0055F570">
            <w:pPr>
              <w:pStyle w:val="208"/>
              <w:adjustRightInd w:val="0"/>
              <w:snapToGrid w:val="0"/>
              <w:rPr>
                <w:rFonts w:hint="eastAsia"/>
                <w:szCs w:val="21"/>
              </w:rPr>
            </w:pPr>
            <w:r>
              <w:rPr>
                <w:szCs w:val="21"/>
              </w:rPr>
              <w:t>0.5</w:t>
            </w:r>
            <w:r>
              <w:rPr>
                <w:rFonts w:hint="eastAsia"/>
                <w:szCs w:val="21"/>
              </w:rPr>
              <w:t>～1</w:t>
            </w:r>
            <w:r>
              <w:rPr>
                <w:szCs w:val="21"/>
              </w:rPr>
              <w:t>.5</w:t>
            </w:r>
            <w:r>
              <w:rPr>
                <w:rFonts w:hint="eastAsia"/>
                <w:szCs w:val="21"/>
              </w:rPr>
              <w:t>m</w:t>
            </w:r>
          </w:p>
        </w:tc>
        <w:tc>
          <w:tcPr>
            <w:tcW w:w="1189" w:type="pct"/>
            <w:gridSpan w:val="2"/>
            <w:tcBorders>
              <w:bottom w:val="single" w:color="auto" w:sz="4" w:space="0"/>
            </w:tcBorders>
            <w:shd w:val="clear" w:color="auto" w:fill="auto"/>
            <w:vAlign w:val="center"/>
          </w:tcPr>
          <w:p w14:paraId="7CB5815B">
            <w:pPr>
              <w:pStyle w:val="208"/>
              <w:adjustRightInd w:val="0"/>
              <w:snapToGrid w:val="0"/>
              <w:rPr>
                <w:rFonts w:hint="eastAsia"/>
                <w:szCs w:val="21"/>
              </w:rPr>
            </w:pPr>
            <w:r>
              <w:rPr>
                <w:rFonts w:hint="eastAsia"/>
                <w:szCs w:val="21"/>
              </w:rPr>
              <w:t>1</w:t>
            </w:r>
            <w:r>
              <w:rPr>
                <w:szCs w:val="21"/>
              </w:rPr>
              <w:t>.5</w:t>
            </w:r>
            <w:r>
              <w:rPr>
                <w:rFonts w:hint="eastAsia"/>
                <w:szCs w:val="21"/>
              </w:rPr>
              <w:t>～3m</w:t>
            </w:r>
          </w:p>
        </w:tc>
        <w:tc>
          <w:tcPr>
            <w:tcW w:w="420" w:type="pct"/>
            <w:vMerge w:val="continue"/>
            <w:shd w:val="clear" w:color="auto" w:fill="auto"/>
            <w:vAlign w:val="center"/>
          </w:tcPr>
          <w:p w14:paraId="5A307EB0">
            <w:pPr>
              <w:pStyle w:val="208"/>
              <w:adjustRightInd w:val="0"/>
              <w:snapToGrid w:val="0"/>
              <w:rPr>
                <w:rFonts w:hint="eastAsia"/>
                <w:szCs w:val="21"/>
                <w:lang w:val="zh-CN"/>
              </w:rPr>
            </w:pPr>
          </w:p>
        </w:tc>
      </w:tr>
      <w:tr w14:paraId="0DF9A87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6BF8EFF1">
            <w:pPr>
              <w:pStyle w:val="208"/>
              <w:adjustRightInd w:val="0"/>
              <w:snapToGrid w:val="0"/>
              <w:rPr>
                <w:rFonts w:hint="eastAsia"/>
                <w:szCs w:val="21"/>
                <w:lang w:val="zh-CN"/>
              </w:rPr>
            </w:pPr>
          </w:p>
        </w:tc>
        <w:tc>
          <w:tcPr>
            <w:tcW w:w="634" w:type="pct"/>
            <w:vMerge w:val="continue"/>
            <w:shd w:val="clear" w:color="auto" w:fill="auto"/>
            <w:vAlign w:val="center"/>
          </w:tcPr>
          <w:p w14:paraId="4819EBA8">
            <w:pPr>
              <w:pStyle w:val="208"/>
              <w:adjustRightInd w:val="0"/>
              <w:snapToGrid w:val="0"/>
              <w:rPr>
                <w:rFonts w:hint="eastAsia"/>
                <w:szCs w:val="21"/>
                <w:lang w:val="zh-CN"/>
              </w:rPr>
            </w:pPr>
          </w:p>
        </w:tc>
        <w:tc>
          <w:tcPr>
            <w:tcW w:w="473" w:type="pct"/>
            <w:tcBorders>
              <w:top w:val="single" w:color="auto" w:sz="4" w:space="0"/>
              <w:right w:val="single" w:color="auto" w:sz="4" w:space="0"/>
            </w:tcBorders>
            <w:shd w:val="clear" w:color="auto" w:fill="auto"/>
            <w:vAlign w:val="center"/>
          </w:tcPr>
          <w:p w14:paraId="257276A8">
            <w:pPr>
              <w:pStyle w:val="208"/>
              <w:adjustRightInd w:val="0"/>
              <w:snapToGrid w:val="0"/>
              <w:rPr>
                <w:rFonts w:hint="eastAsia"/>
                <w:szCs w:val="21"/>
              </w:rPr>
            </w:pPr>
            <w:r>
              <w:rPr>
                <w:rFonts w:hint="eastAsia"/>
                <w:szCs w:val="21"/>
              </w:rPr>
              <w:t>监测值</w:t>
            </w:r>
          </w:p>
        </w:tc>
        <w:tc>
          <w:tcPr>
            <w:tcW w:w="637" w:type="pct"/>
            <w:tcBorders>
              <w:top w:val="single" w:color="auto" w:sz="4" w:space="0"/>
              <w:left w:val="single" w:color="auto" w:sz="4" w:space="0"/>
            </w:tcBorders>
            <w:shd w:val="clear" w:color="auto" w:fill="auto"/>
            <w:vAlign w:val="center"/>
          </w:tcPr>
          <w:p w14:paraId="333ED0B7">
            <w:pPr>
              <w:pStyle w:val="208"/>
              <w:adjustRightInd w:val="0"/>
              <w:snapToGrid w:val="0"/>
              <w:rPr>
                <w:rFonts w:hint="eastAsia"/>
                <w:szCs w:val="21"/>
              </w:rPr>
            </w:pPr>
            <w:r>
              <w:rPr>
                <w:rFonts w:hint="eastAsia"/>
                <w:szCs w:val="21"/>
              </w:rPr>
              <w:t>标准指数</w:t>
            </w:r>
          </w:p>
        </w:tc>
        <w:tc>
          <w:tcPr>
            <w:tcW w:w="634" w:type="pct"/>
            <w:tcBorders>
              <w:top w:val="single" w:color="auto" w:sz="4" w:space="0"/>
              <w:right w:val="single" w:color="auto" w:sz="4" w:space="0"/>
            </w:tcBorders>
            <w:shd w:val="clear" w:color="auto" w:fill="auto"/>
            <w:vAlign w:val="center"/>
          </w:tcPr>
          <w:p w14:paraId="0BD9D37A">
            <w:pPr>
              <w:pStyle w:val="208"/>
              <w:adjustRightInd w:val="0"/>
              <w:snapToGrid w:val="0"/>
              <w:rPr>
                <w:rFonts w:hint="eastAsia"/>
                <w:szCs w:val="21"/>
              </w:rPr>
            </w:pPr>
            <w:r>
              <w:rPr>
                <w:rFonts w:hint="eastAsia"/>
                <w:szCs w:val="21"/>
              </w:rPr>
              <w:t>监测值</w:t>
            </w:r>
          </w:p>
        </w:tc>
        <w:tc>
          <w:tcPr>
            <w:tcW w:w="635" w:type="pct"/>
            <w:tcBorders>
              <w:top w:val="single" w:color="auto" w:sz="4" w:space="0"/>
              <w:left w:val="single" w:color="auto" w:sz="4" w:space="0"/>
            </w:tcBorders>
            <w:shd w:val="clear" w:color="auto" w:fill="auto"/>
            <w:vAlign w:val="center"/>
          </w:tcPr>
          <w:p w14:paraId="3E929E60">
            <w:pPr>
              <w:pStyle w:val="208"/>
              <w:adjustRightInd w:val="0"/>
              <w:snapToGrid w:val="0"/>
              <w:rPr>
                <w:rFonts w:hint="eastAsia"/>
                <w:szCs w:val="21"/>
              </w:rPr>
            </w:pPr>
            <w:r>
              <w:rPr>
                <w:rFonts w:hint="eastAsia"/>
                <w:szCs w:val="21"/>
              </w:rPr>
              <w:t>标准指数</w:t>
            </w:r>
          </w:p>
        </w:tc>
        <w:tc>
          <w:tcPr>
            <w:tcW w:w="554" w:type="pct"/>
            <w:tcBorders>
              <w:top w:val="single" w:color="auto" w:sz="4" w:space="0"/>
              <w:right w:val="single" w:color="auto" w:sz="4" w:space="0"/>
            </w:tcBorders>
            <w:shd w:val="clear" w:color="auto" w:fill="auto"/>
            <w:vAlign w:val="center"/>
          </w:tcPr>
          <w:p w14:paraId="19D2A56A">
            <w:pPr>
              <w:pStyle w:val="208"/>
              <w:adjustRightInd w:val="0"/>
              <w:snapToGrid w:val="0"/>
              <w:rPr>
                <w:rFonts w:hint="eastAsia"/>
                <w:szCs w:val="21"/>
              </w:rPr>
            </w:pPr>
            <w:r>
              <w:rPr>
                <w:rFonts w:hint="eastAsia"/>
                <w:szCs w:val="21"/>
              </w:rPr>
              <w:t>监测值</w:t>
            </w:r>
          </w:p>
        </w:tc>
        <w:tc>
          <w:tcPr>
            <w:tcW w:w="635" w:type="pct"/>
            <w:tcBorders>
              <w:top w:val="single" w:color="auto" w:sz="4" w:space="0"/>
              <w:left w:val="single" w:color="auto" w:sz="4" w:space="0"/>
            </w:tcBorders>
            <w:shd w:val="clear" w:color="auto" w:fill="auto"/>
            <w:vAlign w:val="center"/>
          </w:tcPr>
          <w:p w14:paraId="4120937F">
            <w:pPr>
              <w:pStyle w:val="208"/>
              <w:adjustRightInd w:val="0"/>
              <w:snapToGrid w:val="0"/>
              <w:rPr>
                <w:rFonts w:hint="eastAsia"/>
                <w:szCs w:val="21"/>
              </w:rPr>
            </w:pPr>
            <w:r>
              <w:rPr>
                <w:rFonts w:hint="eastAsia"/>
                <w:szCs w:val="21"/>
              </w:rPr>
              <w:t>标准指数</w:t>
            </w:r>
          </w:p>
        </w:tc>
        <w:tc>
          <w:tcPr>
            <w:tcW w:w="420" w:type="pct"/>
            <w:vMerge w:val="continue"/>
            <w:shd w:val="clear" w:color="auto" w:fill="auto"/>
            <w:vAlign w:val="center"/>
          </w:tcPr>
          <w:p w14:paraId="19C74DA0">
            <w:pPr>
              <w:pStyle w:val="208"/>
              <w:adjustRightInd w:val="0"/>
              <w:snapToGrid w:val="0"/>
              <w:rPr>
                <w:rFonts w:hint="eastAsia"/>
                <w:szCs w:val="21"/>
                <w:lang w:val="zh-CN"/>
              </w:rPr>
            </w:pPr>
          </w:p>
        </w:tc>
      </w:tr>
      <w:tr w14:paraId="601032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restart"/>
            <w:shd w:val="clear" w:color="auto" w:fill="auto"/>
            <w:vAlign w:val="center"/>
          </w:tcPr>
          <w:p w14:paraId="3DC11062">
            <w:pPr>
              <w:pStyle w:val="208"/>
              <w:adjustRightInd w:val="0"/>
              <w:snapToGrid w:val="0"/>
              <w:rPr>
                <w:rFonts w:hint="eastAsia"/>
                <w:szCs w:val="21"/>
                <w:lang w:val="zh-CN"/>
              </w:rPr>
            </w:pPr>
            <w:r>
              <w:rPr>
                <w:szCs w:val="21"/>
                <w:lang w:val="zh-CN"/>
              </w:rPr>
              <w:t>S1</w:t>
            </w:r>
          </w:p>
        </w:tc>
        <w:tc>
          <w:tcPr>
            <w:tcW w:w="634" w:type="pct"/>
            <w:shd w:val="clear" w:color="auto" w:fill="auto"/>
            <w:vAlign w:val="center"/>
          </w:tcPr>
          <w:p w14:paraId="329E650E">
            <w:pPr>
              <w:pStyle w:val="208"/>
              <w:adjustRightInd w:val="0"/>
              <w:snapToGrid w:val="0"/>
              <w:rPr>
                <w:rFonts w:hint="eastAsia"/>
                <w:szCs w:val="21"/>
              </w:rPr>
            </w:pPr>
            <w:r>
              <w:rPr>
                <w:szCs w:val="21"/>
              </w:rPr>
              <w:t>pH</w:t>
            </w:r>
          </w:p>
        </w:tc>
        <w:tc>
          <w:tcPr>
            <w:tcW w:w="473" w:type="pct"/>
            <w:tcBorders>
              <w:right w:val="single" w:color="auto" w:sz="4" w:space="0"/>
            </w:tcBorders>
            <w:shd w:val="clear" w:color="auto" w:fill="auto"/>
            <w:vAlign w:val="center"/>
          </w:tcPr>
          <w:p w14:paraId="0197A1AE">
            <w:pPr>
              <w:pStyle w:val="208"/>
              <w:adjustRightInd w:val="0"/>
              <w:snapToGrid w:val="0"/>
              <w:rPr>
                <w:rFonts w:hint="eastAsia"/>
                <w:szCs w:val="21"/>
              </w:rPr>
            </w:pPr>
            <w:r>
              <w:rPr>
                <w:rFonts w:hint="eastAsia"/>
                <w:szCs w:val="21"/>
              </w:rPr>
              <w:t>8</w:t>
            </w:r>
            <w:r>
              <w:rPr>
                <w:szCs w:val="21"/>
              </w:rPr>
              <w:t>.37</w:t>
            </w:r>
          </w:p>
        </w:tc>
        <w:tc>
          <w:tcPr>
            <w:tcW w:w="637" w:type="pct"/>
            <w:tcBorders>
              <w:left w:val="single" w:color="auto" w:sz="4" w:space="0"/>
            </w:tcBorders>
            <w:shd w:val="clear" w:color="auto" w:fill="auto"/>
            <w:vAlign w:val="center"/>
          </w:tcPr>
          <w:p w14:paraId="312250A7">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0C7CD23E">
            <w:pPr>
              <w:pStyle w:val="208"/>
              <w:adjustRightInd w:val="0"/>
              <w:snapToGrid w:val="0"/>
              <w:rPr>
                <w:rFonts w:hint="eastAsia"/>
                <w:szCs w:val="21"/>
              </w:rPr>
            </w:pPr>
            <w:r>
              <w:rPr>
                <w:rFonts w:hint="eastAsia"/>
                <w:szCs w:val="21"/>
              </w:rPr>
              <w:t>8</w:t>
            </w:r>
            <w:r>
              <w:rPr>
                <w:szCs w:val="21"/>
              </w:rPr>
              <w:t>.39</w:t>
            </w:r>
          </w:p>
        </w:tc>
        <w:tc>
          <w:tcPr>
            <w:tcW w:w="635" w:type="pct"/>
            <w:tcBorders>
              <w:left w:val="single" w:color="auto" w:sz="4" w:space="0"/>
            </w:tcBorders>
            <w:shd w:val="clear" w:color="auto" w:fill="auto"/>
            <w:vAlign w:val="center"/>
          </w:tcPr>
          <w:p w14:paraId="2B9A3CA6">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57157D43">
            <w:pPr>
              <w:pStyle w:val="208"/>
              <w:adjustRightInd w:val="0"/>
              <w:snapToGrid w:val="0"/>
              <w:rPr>
                <w:rFonts w:hint="eastAsia"/>
                <w:szCs w:val="21"/>
              </w:rPr>
            </w:pPr>
            <w:r>
              <w:rPr>
                <w:rFonts w:hint="eastAsia"/>
                <w:szCs w:val="21"/>
              </w:rPr>
              <w:t>8</w:t>
            </w:r>
            <w:r>
              <w:rPr>
                <w:szCs w:val="21"/>
              </w:rPr>
              <w:t>.45</w:t>
            </w:r>
          </w:p>
        </w:tc>
        <w:tc>
          <w:tcPr>
            <w:tcW w:w="635" w:type="pct"/>
            <w:tcBorders>
              <w:left w:val="single" w:color="auto" w:sz="4" w:space="0"/>
            </w:tcBorders>
            <w:shd w:val="clear" w:color="auto" w:fill="auto"/>
            <w:vAlign w:val="center"/>
          </w:tcPr>
          <w:p w14:paraId="6E736A70">
            <w:pPr>
              <w:pStyle w:val="208"/>
              <w:adjustRightInd w:val="0"/>
              <w:snapToGrid w:val="0"/>
              <w:rPr>
                <w:rFonts w:hint="eastAsia"/>
                <w:szCs w:val="21"/>
              </w:rPr>
            </w:pPr>
            <w:r>
              <w:rPr>
                <w:rFonts w:hint="eastAsia"/>
                <w:szCs w:val="21"/>
              </w:rPr>
              <w:t>/</w:t>
            </w:r>
          </w:p>
        </w:tc>
        <w:tc>
          <w:tcPr>
            <w:tcW w:w="420" w:type="pct"/>
            <w:shd w:val="clear" w:color="auto" w:fill="auto"/>
            <w:vAlign w:val="center"/>
          </w:tcPr>
          <w:p w14:paraId="5CC72CD8">
            <w:pPr>
              <w:pStyle w:val="208"/>
              <w:adjustRightInd w:val="0"/>
              <w:snapToGrid w:val="0"/>
              <w:rPr>
                <w:rFonts w:hint="eastAsia"/>
                <w:szCs w:val="21"/>
              </w:rPr>
            </w:pPr>
            <w:r>
              <w:rPr>
                <w:rFonts w:hint="eastAsia"/>
                <w:szCs w:val="21"/>
              </w:rPr>
              <w:t>达标</w:t>
            </w:r>
          </w:p>
        </w:tc>
      </w:tr>
      <w:tr w14:paraId="00076FA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686E8F79">
            <w:pPr>
              <w:pStyle w:val="208"/>
              <w:adjustRightInd w:val="0"/>
              <w:snapToGrid w:val="0"/>
              <w:rPr>
                <w:rFonts w:hint="eastAsia"/>
                <w:szCs w:val="21"/>
                <w:lang w:val="zh-CN"/>
              </w:rPr>
            </w:pPr>
          </w:p>
        </w:tc>
        <w:tc>
          <w:tcPr>
            <w:tcW w:w="634" w:type="pct"/>
            <w:shd w:val="clear" w:color="auto" w:fill="auto"/>
            <w:vAlign w:val="center"/>
          </w:tcPr>
          <w:p w14:paraId="74830486">
            <w:pPr>
              <w:pStyle w:val="208"/>
              <w:adjustRightInd w:val="0"/>
              <w:snapToGrid w:val="0"/>
              <w:rPr>
                <w:rFonts w:hint="eastAsia"/>
                <w:szCs w:val="21"/>
              </w:rPr>
            </w:pPr>
            <w:r>
              <w:rPr>
                <w:rFonts w:hint="eastAsia"/>
              </w:rPr>
              <w:t>石油烃</w:t>
            </w:r>
            <w:r>
              <w:t>(C</w:t>
            </w:r>
            <w:r>
              <w:rPr>
                <w:vertAlign w:val="subscript"/>
              </w:rPr>
              <w:t>10</w:t>
            </w:r>
            <w:r>
              <w:t>～C</w:t>
            </w:r>
            <w:r>
              <w:rPr>
                <w:vertAlign w:val="subscript"/>
              </w:rPr>
              <w:t>40</w:t>
            </w:r>
            <w:r>
              <w:t>)</w:t>
            </w:r>
          </w:p>
        </w:tc>
        <w:tc>
          <w:tcPr>
            <w:tcW w:w="473" w:type="pct"/>
            <w:tcBorders>
              <w:right w:val="single" w:color="auto" w:sz="4" w:space="0"/>
            </w:tcBorders>
            <w:shd w:val="clear" w:color="auto" w:fill="auto"/>
            <w:vAlign w:val="center"/>
          </w:tcPr>
          <w:p w14:paraId="61517446">
            <w:pPr>
              <w:pStyle w:val="208"/>
              <w:adjustRightInd w:val="0"/>
              <w:snapToGrid w:val="0"/>
              <w:rPr>
                <w:rFonts w:hint="eastAsia"/>
                <w:szCs w:val="21"/>
              </w:rPr>
            </w:pPr>
            <w:r>
              <w:rPr>
                <w:rFonts w:hint="eastAsia"/>
                <w:szCs w:val="21"/>
              </w:rPr>
              <w:t>6</w:t>
            </w:r>
            <w:r>
              <w:rPr>
                <w:szCs w:val="21"/>
              </w:rPr>
              <w:t>3</w:t>
            </w:r>
          </w:p>
        </w:tc>
        <w:tc>
          <w:tcPr>
            <w:tcW w:w="637" w:type="pct"/>
            <w:tcBorders>
              <w:left w:val="single" w:color="auto" w:sz="4" w:space="0"/>
            </w:tcBorders>
            <w:shd w:val="clear" w:color="auto" w:fill="auto"/>
            <w:vAlign w:val="center"/>
          </w:tcPr>
          <w:p w14:paraId="0CE69B57">
            <w:pPr>
              <w:pStyle w:val="208"/>
              <w:adjustRightInd w:val="0"/>
              <w:snapToGrid w:val="0"/>
              <w:rPr>
                <w:rFonts w:hint="eastAsia"/>
                <w:szCs w:val="21"/>
              </w:rPr>
            </w:pPr>
            <w:r>
              <w:rPr>
                <w:szCs w:val="21"/>
              </w:rPr>
              <w:t>0.0140</w:t>
            </w:r>
          </w:p>
        </w:tc>
        <w:tc>
          <w:tcPr>
            <w:tcW w:w="634" w:type="pct"/>
            <w:tcBorders>
              <w:right w:val="single" w:color="auto" w:sz="4" w:space="0"/>
            </w:tcBorders>
            <w:shd w:val="clear" w:color="auto" w:fill="auto"/>
            <w:vAlign w:val="center"/>
          </w:tcPr>
          <w:p w14:paraId="05E22064">
            <w:pPr>
              <w:pStyle w:val="208"/>
              <w:adjustRightInd w:val="0"/>
              <w:snapToGrid w:val="0"/>
              <w:rPr>
                <w:rFonts w:hint="eastAsia"/>
                <w:szCs w:val="21"/>
              </w:rPr>
            </w:pPr>
            <w:r>
              <w:rPr>
                <w:rFonts w:hint="eastAsia"/>
                <w:szCs w:val="21"/>
              </w:rPr>
              <w:t>3</w:t>
            </w:r>
            <w:r>
              <w:rPr>
                <w:szCs w:val="21"/>
              </w:rPr>
              <w:t>5</w:t>
            </w:r>
          </w:p>
        </w:tc>
        <w:tc>
          <w:tcPr>
            <w:tcW w:w="635" w:type="pct"/>
            <w:tcBorders>
              <w:left w:val="single" w:color="auto" w:sz="4" w:space="0"/>
            </w:tcBorders>
            <w:shd w:val="clear" w:color="auto" w:fill="auto"/>
            <w:vAlign w:val="center"/>
          </w:tcPr>
          <w:p w14:paraId="4F015041">
            <w:pPr>
              <w:pStyle w:val="208"/>
              <w:adjustRightInd w:val="0"/>
              <w:snapToGrid w:val="0"/>
              <w:rPr>
                <w:rFonts w:hint="eastAsia"/>
                <w:szCs w:val="21"/>
              </w:rPr>
            </w:pPr>
            <w:r>
              <w:rPr>
                <w:szCs w:val="21"/>
              </w:rPr>
              <w:t>0.0078</w:t>
            </w:r>
          </w:p>
        </w:tc>
        <w:tc>
          <w:tcPr>
            <w:tcW w:w="554" w:type="pct"/>
            <w:tcBorders>
              <w:right w:val="single" w:color="auto" w:sz="4" w:space="0"/>
            </w:tcBorders>
            <w:shd w:val="clear" w:color="auto" w:fill="auto"/>
            <w:vAlign w:val="center"/>
          </w:tcPr>
          <w:p w14:paraId="0070A2BC">
            <w:pPr>
              <w:pStyle w:val="208"/>
              <w:adjustRightInd w:val="0"/>
              <w:snapToGrid w:val="0"/>
              <w:rPr>
                <w:rFonts w:hint="eastAsia"/>
                <w:szCs w:val="21"/>
              </w:rPr>
            </w:pPr>
            <w:r>
              <w:rPr>
                <w:rFonts w:hint="eastAsia"/>
                <w:szCs w:val="21"/>
              </w:rPr>
              <w:t>1</w:t>
            </w:r>
            <w:r>
              <w:rPr>
                <w:szCs w:val="21"/>
              </w:rPr>
              <w:t>0</w:t>
            </w:r>
          </w:p>
        </w:tc>
        <w:tc>
          <w:tcPr>
            <w:tcW w:w="635" w:type="pct"/>
            <w:tcBorders>
              <w:left w:val="single" w:color="auto" w:sz="4" w:space="0"/>
            </w:tcBorders>
            <w:shd w:val="clear" w:color="auto" w:fill="auto"/>
            <w:vAlign w:val="center"/>
          </w:tcPr>
          <w:p w14:paraId="7C1FC6F5">
            <w:pPr>
              <w:pStyle w:val="208"/>
              <w:adjustRightInd w:val="0"/>
              <w:snapToGrid w:val="0"/>
              <w:rPr>
                <w:rFonts w:hint="eastAsia"/>
                <w:szCs w:val="21"/>
              </w:rPr>
            </w:pPr>
            <w:r>
              <w:rPr>
                <w:rFonts w:hint="eastAsia"/>
                <w:szCs w:val="21"/>
              </w:rPr>
              <w:t>0.0022</w:t>
            </w:r>
          </w:p>
        </w:tc>
        <w:tc>
          <w:tcPr>
            <w:tcW w:w="420" w:type="pct"/>
            <w:shd w:val="clear" w:color="auto" w:fill="auto"/>
            <w:vAlign w:val="center"/>
          </w:tcPr>
          <w:p w14:paraId="6A209BD7">
            <w:pPr>
              <w:pStyle w:val="208"/>
              <w:adjustRightInd w:val="0"/>
              <w:snapToGrid w:val="0"/>
              <w:rPr>
                <w:rFonts w:hint="eastAsia"/>
                <w:szCs w:val="21"/>
              </w:rPr>
            </w:pPr>
            <w:r>
              <w:rPr>
                <w:rFonts w:hint="eastAsia"/>
                <w:szCs w:val="21"/>
              </w:rPr>
              <w:t>达标</w:t>
            </w:r>
          </w:p>
        </w:tc>
      </w:tr>
      <w:tr w14:paraId="4067936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38525C3D">
            <w:pPr>
              <w:pStyle w:val="208"/>
              <w:adjustRightInd w:val="0"/>
              <w:snapToGrid w:val="0"/>
              <w:rPr>
                <w:rFonts w:hint="eastAsia"/>
                <w:szCs w:val="21"/>
                <w:lang w:val="zh-CN"/>
              </w:rPr>
            </w:pPr>
          </w:p>
        </w:tc>
        <w:tc>
          <w:tcPr>
            <w:tcW w:w="634" w:type="pct"/>
            <w:shd w:val="clear" w:color="auto" w:fill="auto"/>
            <w:vAlign w:val="center"/>
          </w:tcPr>
          <w:p w14:paraId="4AA96774">
            <w:pPr>
              <w:pStyle w:val="208"/>
              <w:adjustRightInd w:val="0"/>
              <w:snapToGrid w:val="0"/>
              <w:rPr>
                <w:rFonts w:hint="eastAsia"/>
                <w:szCs w:val="21"/>
              </w:rPr>
            </w:pPr>
            <w:r>
              <w:rPr>
                <w:rFonts w:hint="eastAsia"/>
                <w:szCs w:val="21"/>
              </w:rPr>
              <w:t>镉</w:t>
            </w:r>
          </w:p>
        </w:tc>
        <w:tc>
          <w:tcPr>
            <w:tcW w:w="473" w:type="pct"/>
            <w:tcBorders>
              <w:right w:val="single" w:color="auto" w:sz="4" w:space="0"/>
            </w:tcBorders>
            <w:shd w:val="clear" w:color="auto" w:fill="auto"/>
            <w:vAlign w:val="center"/>
          </w:tcPr>
          <w:p w14:paraId="5FF2A5B4">
            <w:pPr>
              <w:pStyle w:val="208"/>
              <w:adjustRightInd w:val="0"/>
              <w:snapToGrid w:val="0"/>
              <w:rPr>
                <w:rFonts w:hint="eastAsia"/>
                <w:szCs w:val="21"/>
              </w:rPr>
            </w:pPr>
            <w:r>
              <w:rPr>
                <w:rFonts w:hint="eastAsia"/>
                <w:szCs w:val="21"/>
              </w:rPr>
              <w:t>0</w:t>
            </w:r>
            <w:r>
              <w:rPr>
                <w:szCs w:val="21"/>
              </w:rPr>
              <w:t>.07</w:t>
            </w:r>
          </w:p>
        </w:tc>
        <w:tc>
          <w:tcPr>
            <w:tcW w:w="637" w:type="pct"/>
            <w:tcBorders>
              <w:left w:val="single" w:color="auto" w:sz="4" w:space="0"/>
            </w:tcBorders>
            <w:shd w:val="clear" w:color="auto" w:fill="auto"/>
            <w:vAlign w:val="center"/>
          </w:tcPr>
          <w:p w14:paraId="7ACBDF0D">
            <w:pPr>
              <w:pStyle w:val="208"/>
              <w:adjustRightInd w:val="0"/>
              <w:snapToGrid w:val="0"/>
              <w:rPr>
                <w:rFonts w:hint="eastAsia"/>
                <w:szCs w:val="21"/>
              </w:rPr>
            </w:pPr>
            <w:r>
              <w:rPr>
                <w:szCs w:val="21"/>
              </w:rPr>
              <w:t>0.0011</w:t>
            </w:r>
          </w:p>
        </w:tc>
        <w:tc>
          <w:tcPr>
            <w:tcW w:w="634" w:type="pct"/>
            <w:tcBorders>
              <w:right w:val="single" w:color="auto" w:sz="4" w:space="0"/>
            </w:tcBorders>
            <w:shd w:val="clear" w:color="auto" w:fill="auto"/>
            <w:vAlign w:val="center"/>
          </w:tcPr>
          <w:p w14:paraId="7A38EECE">
            <w:pPr>
              <w:pStyle w:val="208"/>
              <w:adjustRightInd w:val="0"/>
              <w:snapToGrid w:val="0"/>
              <w:rPr>
                <w:rFonts w:hint="eastAsia"/>
                <w:szCs w:val="21"/>
              </w:rPr>
            </w:pPr>
            <w:r>
              <w:rPr>
                <w:rFonts w:hint="eastAsia"/>
                <w:szCs w:val="21"/>
              </w:rPr>
              <w:t>0</w:t>
            </w:r>
            <w:r>
              <w:rPr>
                <w:szCs w:val="21"/>
              </w:rPr>
              <w:t>.05</w:t>
            </w:r>
          </w:p>
        </w:tc>
        <w:tc>
          <w:tcPr>
            <w:tcW w:w="635" w:type="pct"/>
            <w:tcBorders>
              <w:left w:val="single" w:color="auto" w:sz="4" w:space="0"/>
            </w:tcBorders>
            <w:shd w:val="clear" w:color="auto" w:fill="auto"/>
            <w:vAlign w:val="center"/>
          </w:tcPr>
          <w:p w14:paraId="752E430D">
            <w:pPr>
              <w:pStyle w:val="208"/>
              <w:adjustRightInd w:val="0"/>
              <w:snapToGrid w:val="0"/>
              <w:rPr>
                <w:rFonts w:hint="eastAsia"/>
                <w:szCs w:val="21"/>
              </w:rPr>
            </w:pPr>
            <w:r>
              <w:rPr>
                <w:szCs w:val="21"/>
              </w:rPr>
              <w:t>0.0008</w:t>
            </w:r>
          </w:p>
        </w:tc>
        <w:tc>
          <w:tcPr>
            <w:tcW w:w="554" w:type="pct"/>
            <w:tcBorders>
              <w:right w:val="single" w:color="auto" w:sz="4" w:space="0"/>
            </w:tcBorders>
            <w:shd w:val="clear" w:color="auto" w:fill="auto"/>
            <w:vAlign w:val="center"/>
          </w:tcPr>
          <w:p w14:paraId="0ACF516C">
            <w:pPr>
              <w:pStyle w:val="208"/>
              <w:adjustRightInd w:val="0"/>
              <w:snapToGrid w:val="0"/>
              <w:rPr>
                <w:rFonts w:hint="eastAsia"/>
                <w:szCs w:val="21"/>
              </w:rPr>
            </w:pPr>
            <w:r>
              <w:rPr>
                <w:rFonts w:hint="eastAsia"/>
                <w:szCs w:val="21"/>
              </w:rPr>
              <w:t>0</w:t>
            </w:r>
            <w:r>
              <w:rPr>
                <w:szCs w:val="21"/>
              </w:rPr>
              <w:t>.05</w:t>
            </w:r>
          </w:p>
        </w:tc>
        <w:tc>
          <w:tcPr>
            <w:tcW w:w="635" w:type="pct"/>
            <w:tcBorders>
              <w:left w:val="single" w:color="auto" w:sz="4" w:space="0"/>
            </w:tcBorders>
            <w:shd w:val="clear" w:color="auto" w:fill="auto"/>
            <w:vAlign w:val="center"/>
          </w:tcPr>
          <w:p w14:paraId="4E734DE9">
            <w:pPr>
              <w:pStyle w:val="208"/>
              <w:adjustRightInd w:val="0"/>
              <w:snapToGrid w:val="0"/>
              <w:rPr>
                <w:rFonts w:hint="eastAsia"/>
                <w:szCs w:val="21"/>
              </w:rPr>
            </w:pPr>
            <w:r>
              <w:rPr>
                <w:rFonts w:hint="eastAsia"/>
                <w:szCs w:val="21"/>
              </w:rPr>
              <w:t>0.0008</w:t>
            </w:r>
          </w:p>
        </w:tc>
        <w:tc>
          <w:tcPr>
            <w:tcW w:w="420" w:type="pct"/>
            <w:shd w:val="clear" w:color="auto" w:fill="auto"/>
            <w:vAlign w:val="center"/>
          </w:tcPr>
          <w:p w14:paraId="3880CDE5">
            <w:pPr>
              <w:pStyle w:val="208"/>
              <w:adjustRightInd w:val="0"/>
              <w:snapToGrid w:val="0"/>
              <w:rPr>
                <w:rFonts w:hint="eastAsia"/>
                <w:szCs w:val="21"/>
              </w:rPr>
            </w:pPr>
            <w:r>
              <w:rPr>
                <w:rFonts w:hint="eastAsia"/>
                <w:szCs w:val="21"/>
              </w:rPr>
              <w:t>达标</w:t>
            </w:r>
          </w:p>
        </w:tc>
      </w:tr>
      <w:tr w14:paraId="4611FAC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608E7549">
            <w:pPr>
              <w:pStyle w:val="208"/>
              <w:adjustRightInd w:val="0"/>
              <w:snapToGrid w:val="0"/>
              <w:rPr>
                <w:rFonts w:hint="eastAsia"/>
                <w:szCs w:val="21"/>
                <w:lang w:val="zh-CN"/>
              </w:rPr>
            </w:pPr>
          </w:p>
        </w:tc>
        <w:tc>
          <w:tcPr>
            <w:tcW w:w="634" w:type="pct"/>
            <w:shd w:val="clear" w:color="auto" w:fill="auto"/>
            <w:vAlign w:val="center"/>
          </w:tcPr>
          <w:p w14:paraId="54366B6D">
            <w:pPr>
              <w:pStyle w:val="208"/>
              <w:adjustRightInd w:val="0"/>
              <w:snapToGrid w:val="0"/>
              <w:rPr>
                <w:rFonts w:hint="eastAsia"/>
                <w:szCs w:val="21"/>
              </w:rPr>
            </w:pPr>
            <w:r>
              <w:rPr>
                <w:rFonts w:hint="eastAsia"/>
                <w:szCs w:val="21"/>
              </w:rPr>
              <w:t>镍</w:t>
            </w:r>
          </w:p>
        </w:tc>
        <w:tc>
          <w:tcPr>
            <w:tcW w:w="473" w:type="pct"/>
            <w:tcBorders>
              <w:right w:val="single" w:color="auto" w:sz="4" w:space="0"/>
            </w:tcBorders>
            <w:shd w:val="clear" w:color="auto" w:fill="auto"/>
            <w:vAlign w:val="center"/>
          </w:tcPr>
          <w:p w14:paraId="46C422BE">
            <w:pPr>
              <w:pStyle w:val="208"/>
              <w:adjustRightInd w:val="0"/>
              <w:snapToGrid w:val="0"/>
              <w:rPr>
                <w:rFonts w:hint="eastAsia"/>
                <w:szCs w:val="21"/>
              </w:rPr>
            </w:pPr>
            <w:r>
              <w:rPr>
                <w:rFonts w:hint="eastAsia"/>
                <w:szCs w:val="21"/>
              </w:rPr>
              <w:t>1</w:t>
            </w:r>
            <w:r>
              <w:rPr>
                <w:szCs w:val="21"/>
              </w:rPr>
              <w:t>3</w:t>
            </w:r>
          </w:p>
        </w:tc>
        <w:tc>
          <w:tcPr>
            <w:tcW w:w="637" w:type="pct"/>
            <w:tcBorders>
              <w:left w:val="single" w:color="auto" w:sz="4" w:space="0"/>
            </w:tcBorders>
            <w:shd w:val="clear" w:color="auto" w:fill="auto"/>
            <w:vAlign w:val="center"/>
          </w:tcPr>
          <w:p w14:paraId="6D75AD4F">
            <w:pPr>
              <w:pStyle w:val="208"/>
              <w:adjustRightInd w:val="0"/>
              <w:snapToGrid w:val="0"/>
              <w:rPr>
                <w:rFonts w:hint="eastAsia"/>
                <w:szCs w:val="21"/>
              </w:rPr>
            </w:pPr>
            <w:r>
              <w:rPr>
                <w:szCs w:val="21"/>
              </w:rPr>
              <w:t>0.0144</w:t>
            </w:r>
          </w:p>
        </w:tc>
        <w:tc>
          <w:tcPr>
            <w:tcW w:w="634" w:type="pct"/>
            <w:tcBorders>
              <w:right w:val="single" w:color="auto" w:sz="4" w:space="0"/>
            </w:tcBorders>
            <w:shd w:val="clear" w:color="auto" w:fill="auto"/>
            <w:vAlign w:val="center"/>
          </w:tcPr>
          <w:p w14:paraId="5686AB2E">
            <w:pPr>
              <w:pStyle w:val="208"/>
              <w:adjustRightInd w:val="0"/>
              <w:snapToGrid w:val="0"/>
              <w:rPr>
                <w:rFonts w:hint="eastAsia"/>
                <w:szCs w:val="21"/>
              </w:rPr>
            </w:pPr>
            <w:r>
              <w:rPr>
                <w:rFonts w:hint="eastAsia"/>
                <w:szCs w:val="21"/>
              </w:rPr>
              <w:t>1</w:t>
            </w:r>
            <w:r>
              <w:rPr>
                <w:szCs w:val="21"/>
              </w:rPr>
              <w:t>5</w:t>
            </w:r>
          </w:p>
        </w:tc>
        <w:tc>
          <w:tcPr>
            <w:tcW w:w="635" w:type="pct"/>
            <w:tcBorders>
              <w:left w:val="single" w:color="auto" w:sz="4" w:space="0"/>
            </w:tcBorders>
            <w:shd w:val="clear" w:color="auto" w:fill="auto"/>
            <w:vAlign w:val="center"/>
          </w:tcPr>
          <w:p w14:paraId="0761EABE">
            <w:pPr>
              <w:pStyle w:val="208"/>
              <w:adjustRightInd w:val="0"/>
              <w:snapToGrid w:val="0"/>
              <w:rPr>
                <w:rFonts w:hint="eastAsia"/>
                <w:szCs w:val="21"/>
              </w:rPr>
            </w:pPr>
            <w:r>
              <w:rPr>
                <w:szCs w:val="21"/>
              </w:rPr>
              <w:t>0.0167</w:t>
            </w:r>
          </w:p>
        </w:tc>
        <w:tc>
          <w:tcPr>
            <w:tcW w:w="554" w:type="pct"/>
            <w:tcBorders>
              <w:right w:val="single" w:color="auto" w:sz="4" w:space="0"/>
            </w:tcBorders>
            <w:shd w:val="clear" w:color="auto" w:fill="auto"/>
            <w:vAlign w:val="center"/>
          </w:tcPr>
          <w:p w14:paraId="52772522">
            <w:pPr>
              <w:pStyle w:val="208"/>
              <w:adjustRightInd w:val="0"/>
              <w:snapToGrid w:val="0"/>
              <w:rPr>
                <w:rFonts w:hint="eastAsia"/>
                <w:szCs w:val="21"/>
              </w:rPr>
            </w:pPr>
            <w:r>
              <w:rPr>
                <w:rFonts w:hint="eastAsia"/>
                <w:szCs w:val="21"/>
              </w:rPr>
              <w:t>1</w:t>
            </w:r>
            <w:r>
              <w:rPr>
                <w:szCs w:val="21"/>
              </w:rPr>
              <w:t>3</w:t>
            </w:r>
          </w:p>
        </w:tc>
        <w:tc>
          <w:tcPr>
            <w:tcW w:w="635" w:type="pct"/>
            <w:tcBorders>
              <w:left w:val="single" w:color="auto" w:sz="4" w:space="0"/>
            </w:tcBorders>
            <w:shd w:val="clear" w:color="auto" w:fill="auto"/>
            <w:vAlign w:val="center"/>
          </w:tcPr>
          <w:p w14:paraId="3FD86657">
            <w:pPr>
              <w:pStyle w:val="208"/>
              <w:adjustRightInd w:val="0"/>
              <w:snapToGrid w:val="0"/>
              <w:rPr>
                <w:rFonts w:hint="eastAsia"/>
                <w:szCs w:val="21"/>
              </w:rPr>
            </w:pPr>
            <w:r>
              <w:rPr>
                <w:rFonts w:hint="eastAsia"/>
                <w:szCs w:val="21"/>
              </w:rPr>
              <w:t>0.0144</w:t>
            </w:r>
          </w:p>
        </w:tc>
        <w:tc>
          <w:tcPr>
            <w:tcW w:w="420" w:type="pct"/>
            <w:shd w:val="clear" w:color="auto" w:fill="auto"/>
            <w:vAlign w:val="center"/>
          </w:tcPr>
          <w:p w14:paraId="6BDADB0A">
            <w:pPr>
              <w:pStyle w:val="208"/>
              <w:adjustRightInd w:val="0"/>
              <w:snapToGrid w:val="0"/>
              <w:rPr>
                <w:rFonts w:hint="eastAsia"/>
                <w:szCs w:val="21"/>
              </w:rPr>
            </w:pPr>
            <w:r>
              <w:rPr>
                <w:rFonts w:hint="eastAsia"/>
                <w:szCs w:val="21"/>
              </w:rPr>
              <w:t>达标</w:t>
            </w:r>
          </w:p>
        </w:tc>
      </w:tr>
      <w:tr w14:paraId="10E40FD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3ACD9C26">
            <w:pPr>
              <w:pStyle w:val="208"/>
              <w:adjustRightInd w:val="0"/>
              <w:snapToGrid w:val="0"/>
              <w:rPr>
                <w:rFonts w:hint="eastAsia"/>
                <w:szCs w:val="21"/>
                <w:lang w:val="zh-CN"/>
              </w:rPr>
            </w:pPr>
          </w:p>
        </w:tc>
        <w:tc>
          <w:tcPr>
            <w:tcW w:w="634" w:type="pct"/>
            <w:shd w:val="clear" w:color="auto" w:fill="auto"/>
            <w:vAlign w:val="center"/>
          </w:tcPr>
          <w:p w14:paraId="7CEC3611">
            <w:pPr>
              <w:pStyle w:val="208"/>
              <w:adjustRightInd w:val="0"/>
              <w:snapToGrid w:val="0"/>
              <w:rPr>
                <w:rFonts w:hint="eastAsia"/>
                <w:szCs w:val="21"/>
              </w:rPr>
            </w:pPr>
            <w:r>
              <w:rPr>
                <w:rFonts w:hint="eastAsia"/>
                <w:szCs w:val="21"/>
              </w:rPr>
              <w:t>铬</w:t>
            </w:r>
          </w:p>
        </w:tc>
        <w:tc>
          <w:tcPr>
            <w:tcW w:w="473" w:type="pct"/>
            <w:tcBorders>
              <w:right w:val="single" w:color="auto" w:sz="4" w:space="0"/>
            </w:tcBorders>
            <w:shd w:val="clear" w:color="auto" w:fill="auto"/>
            <w:vAlign w:val="center"/>
          </w:tcPr>
          <w:p w14:paraId="0CE32955">
            <w:pPr>
              <w:pStyle w:val="208"/>
              <w:adjustRightInd w:val="0"/>
              <w:snapToGrid w:val="0"/>
              <w:rPr>
                <w:rFonts w:hint="eastAsia"/>
                <w:szCs w:val="21"/>
              </w:rPr>
            </w:pPr>
            <w:r>
              <w:rPr>
                <w:rFonts w:hint="eastAsia"/>
                <w:szCs w:val="21"/>
              </w:rPr>
              <w:t>0</w:t>
            </w:r>
            <w:r>
              <w:rPr>
                <w:szCs w:val="21"/>
              </w:rPr>
              <w:t>.5L</w:t>
            </w:r>
          </w:p>
        </w:tc>
        <w:tc>
          <w:tcPr>
            <w:tcW w:w="637" w:type="pct"/>
            <w:tcBorders>
              <w:left w:val="single" w:color="auto" w:sz="4" w:space="0"/>
            </w:tcBorders>
            <w:shd w:val="clear" w:color="auto" w:fill="auto"/>
            <w:vAlign w:val="center"/>
          </w:tcPr>
          <w:p w14:paraId="01B55ECD">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26028570">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49C5DE8C">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46F78EEE">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223313C9">
            <w:pPr>
              <w:pStyle w:val="208"/>
              <w:adjustRightInd w:val="0"/>
              <w:snapToGrid w:val="0"/>
              <w:rPr>
                <w:rFonts w:hint="eastAsia"/>
                <w:szCs w:val="21"/>
              </w:rPr>
            </w:pPr>
            <w:r>
              <w:rPr>
                <w:rFonts w:hint="eastAsia"/>
                <w:szCs w:val="21"/>
              </w:rPr>
              <w:t>/</w:t>
            </w:r>
          </w:p>
        </w:tc>
        <w:tc>
          <w:tcPr>
            <w:tcW w:w="420" w:type="pct"/>
            <w:shd w:val="clear" w:color="auto" w:fill="auto"/>
            <w:vAlign w:val="center"/>
          </w:tcPr>
          <w:p w14:paraId="1C8AB8E6">
            <w:pPr>
              <w:pStyle w:val="208"/>
              <w:adjustRightInd w:val="0"/>
              <w:snapToGrid w:val="0"/>
              <w:rPr>
                <w:rFonts w:hint="eastAsia"/>
                <w:szCs w:val="21"/>
              </w:rPr>
            </w:pPr>
            <w:r>
              <w:rPr>
                <w:rFonts w:hint="eastAsia"/>
                <w:szCs w:val="21"/>
              </w:rPr>
              <w:t>达标</w:t>
            </w:r>
          </w:p>
        </w:tc>
      </w:tr>
      <w:tr w14:paraId="3FB7D17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840A577">
            <w:pPr>
              <w:pStyle w:val="208"/>
              <w:adjustRightInd w:val="0"/>
              <w:snapToGrid w:val="0"/>
              <w:rPr>
                <w:rFonts w:hint="eastAsia"/>
                <w:szCs w:val="21"/>
                <w:lang w:val="zh-CN"/>
              </w:rPr>
            </w:pPr>
          </w:p>
        </w:tc>
        <w:tc>
          <w:tcPr>
            <w:tcW w:w="634" w:type="pct"/>
            <w:shd w:val="clear" w:color="auto" w:fill="auto"/>
            <w:vAlign w:val="center"/>
          </w:tcPr>
          <w:p w14:paraId="03189176">
            <w:pPr>
              <w:pStyle w:val="208"/>
              <w:adjustRightInd w:val="0"/>
              <w:snapToGrid w:val="0"/>
              <w:rPr>
                <w:rFonts w:hint="eastAsia"/>
                <w:szCs w:val="21"/>
              </w:rPr>
            </w:pPr>
            <w:r>
              <w:rPr>
                <w:rFonts w:hint="eastAsia"/>
                <w:szCs w:val="21"/>
              </w:rPr>
              <w:t>铜</w:t>
            </w:r>
          </w:p>
        </w:tc>
        <w:tc>
          <w:tcPr>
            <w:tcW w:w="473" w:type="pct"/>
            <w:tcBorders>
              <w:right w:val="single" w:color="auto" w:sz="4" w:space="0"/>
            </w:tcBorders>
            <w:shd w:val="clear" w:color="auto" w:fill="auto"/>
            <w:vAlign w:val="center"/>
          </w:tcPr>
          <w:p w14:paraId="60911D6E">
            <w:pPr>
              <w:pStyle w:val="208"/>
              <w:adjustRightInd w:val="0"/>
              <w:snapToGrid w:val="0"/>
              <w:rPr>
                <w:rFonts w:hint="eastAsia"/>
                <w:szCs w:val="21"/>
              </w:rPr>
            </w:pPr>
            <w:r>
              <w:rPr>
                <w:rFonts w:hint="eastAsia"/>
                <w:szCs w:val="21"/>
              </w:rPr>
              <w:t>2</w:t>
            </w:r>
            <w:r>
              <w:rPr>
                <w:szCs w:val="21"/>
              </w:rPr>
              <w:t>4</w:t>
            </w:r>
          </w:p>
        </w:tc>
        <w:tc>
          <w:tcPr>
            <w:tcW w:w="637" w:type="pct"/>
            <w:tcBorders>
              <w:left w:val="single" w:color="auto" w:sz="4" w:space="0"/>
            </w:tcBorders>
            <w:shd w:val="clear" w:color="auto" w:fill="auto"/>
            <w:vAlign w:val="center"/>
          </w:tcPr>
          <w:p w14:paraId="3A22DC55">
            <w:pPr>
              <w:pStyle w:val="208"/>
              <w:adjustRightInd w:val="0"/>
              <w:snapToGrid w:val="0"/>
              <w:rPr>
                <w:rFonts w:hint="eastAsia"/>
                <w:szCs w:val="21"/>
              </w:rPr>
            </w:pPr>
            <w:r>
              <w:rPr>
                <w:szCs w:val="21"/>
              </w:rPr>
              <w:t>0.0013</w:t>
            </w:r>
          </w:p>
        </w:tc>
        <w:tc>
          <w:tcPr>
            <w:tcW w:w="634" w:type="pct"/>
            <w:tcBorders>
              <w:right w:val="single" w:color="auto" w:sz="4" w:space="0"/>
            </w:tcBorders>
            <w:shd w:val="clear" w:color="auto" w:fill="auto"/>
            <w:vAlign w:val="center"/>
          </w:tcPr>
          <w:p w14:paraId="666B6B6A">
            <w:pPr>
              <w:pStyle w:val="208"/>
              <w:adjustRightInd w:val="0"/>
              <w:snapToGrid w:val="0"/>
              <w:rPr>
                <w:rFonts w:hint="eastAsia"/>
                <w:szCs w:val="21"/>
              </w:rPr>
            </w:pPr>
            <w:r>
              <w:rPr>
                <w:rFonts w:hint="eastAsia"/>
                <w:szCs w:val="21"/>
              </w:rPr>
              <w:t>2</w:t>
            </w:r>
            <w:r>
              <w:rPr>
                <w:szCs w:val="21"/>
              </w:rPr>
              <w:t>5</w:t>
            </w:r>
          </w:p>
        </w:tc>
        <w:tc>
          <w:tcPr>
            <w:tcW w:w="635" w:type="pct"/>
            <w:tcBorders>
              <w:left w:val="single" w:color="auto" w:sz="4" w:space="0"/>
            </w:tcBorders>
            <w:shd w:val="clear" w:color="auto" w:fill="auto"/>
            <w:vAlign w:val="center"/>
          </w:tcPr>
          <w:p w14:paraId="4204A6BC">
            <w:pPr>
              <w:pStyle w:val="208"/>
              <w:adjustRightInd w:val="0"/>
              <w:snapToGrid w:val="0"/>
              <w:rPr>
                <w:rFonts w:hint="eastAsia"/>
                <w:szCs w:val="21"/>
              </w:rPr>
            </w:pPr>
            <w:r>
              <w:rPr>
                <w:szCs w:val="21"/>
              </w:rPr>
              <w:t>0.0014</w:t>
            </w:r>
          </w:p>
        </w:tc>
        <w:tc>
          <w:tcPr>
            <w:tcW w:w="554" w:type="pct"/>
            <w:tcBorders>
              <w:right w:val="single" w:color="auto" w:sz="4" w:space="0"/>
            </w:tcBorders>
            <w:shd w:val="clear" w:color="auto" w:fill="auto"/>
            <w:vAlign w:val="center"/>
          </w:tcPr>
          <w:p w14:paraId="477D6359">
            <w:pPr>
              <w:pStyle w:val="208"/>
              <w:adjustRightInd w:val="0"/>
              <w:snapToGrid w:val="0"/>
              <w:rPr>
                <w:rFonts w:hint="eastAsia"/>
                <w:szCs w:val="21"/>
              </w:rPr>
            </w:pPr>
            <w:r>
              <w:rPr>
                <w:rFonts w:hint="eastAsia"/>
                <w:szCs w:val="21"/>
              </w:rPr>
              <w:t>2</w:t>
            </w:r>
            <w:r>
              <w:rPr>
                <w:szCs w:val="21"/>
              </w:rPr>
              <w:t>5</w:t>
            </w:r>
          </w:p>
        </w:tc>
        <w:tc>
          <w:tcPr>
            <w:tcW w:w="635" w:type="pct"/>
            <w:tcBorders>
              <w:left w:val="single" w:color="auto" w:sz="4" w:space="0"/>
            </w:tcBorders>
            <w:shd w:val="clear" w:color="auto" w:fill="auto"/>
            <w:vAlign w:val="center"/>
          </w:tcPr>
          <w:p w14:paraId="30591A23">
            <w:pPr>
              <w:pStyle w:val="208"/>
              <w:adjustRightInd w:val="0"/>
              <w:snapToGrid w:val="0"/>
              <w:rPr>
                <w:rFonts w:hint="eastAsia"/>
                <w:szCs w:val="21"/>
              </w:rPr>
            </w:pPr>
            <w:r>
              <w:rPr>
                <w:rFonts w:hint="eastAsia"/>
                <w:szCs w:val="21"/>
              </w:rPr>
              <w:t>0.0014</w:t>
            </w:r>
          </w:p>
        </w:tc>
        <w:tc>
          <w:tcPr>
            <w:tcW w:w="420" w:type="pct"/>
            <w:shd w:val="clear" w:color="auto" w:fill="auto"/>
            <w:vAlign w:val="center"/>
          </w:tcPr>
          <w:p w14:paraId="654C6B28">
            <w:pPr>
              <w:pStyle w:val="208"/>
              <w:adjustRightInd w:val="0"/>
              <w:snapToGrid w:val="0"/>
              <w:rPr>
                <w:rFonts w:hint="eastAsia"/>
                <w:szCs w:val="21"/>
              </w:rPr>
            </w:pPr>
            <w:r>
              <w:rPr>
                <w:rFonts w:hint="eastAsia"/>
                <w:szCs w:val="21"/>
              </w:rPr>
              <w:t>达标</w:t>
            </w:r>
          </w:p>
        </w:tc>
      </w:tr>
      <w:tr w14:paraId="66D466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09EADC2F">
            <w:pPr>
              <w:pStyle w:val="208"/>
              <w:adjustRightInd w:val="0"/>
              <w:snapToGrid w:val="0"/>
              <w:rPr>
                <w:rFonts w:hint="eastAsia"/>
                <w:szCs w:val="21"/>
                <w:lang w:val="zh-CN"/>
              </w:rPr>
            </w:pPr>
          </w:p>
        </w:tc>
        <w:tc>
          <w:tcPr>
            <w:tcW w:w="634" w:type="pct"/>
            <w:shd w:val="clear" w:color="auto" w:fill="auto"/>
            <w:vAlign w:val="center"/>
          </w:tcPr>
          <w:p w14:paraId="120D9B6B">
            <w:pPr>
              <w:pStyle w:val="208"/>
              <w:adjustRightInd w:val="0"/>
              <w:snapToGrid w:val="0"/>
              <w:rPr>
                <w:rFonts w:hint="eastAsia"/>
                <w:szCs w:val="21"/>
              </w:rPr>
            </w:pPr>
            <w:r>
              <w:rPr>
                <w:rFonts w:hint="eastAsia"/>
                <w:szCs w:val="21"/>
              </w:rPr>
              <w:t>铅</w:t>
            </w:r>
          </w:p>
        </w:tc>
        <w:tc>
          <w:tcPr>
            <w:tcW w:w="473" w:type="pct"/>
            <w:tcBorders>
              <w:right w:val="single" w:color="auto" w:sz="4" w:space="0"/>
            </w:tcBorders>
            <w:shd w:val="clear" w:color="auto" w:fill="auto"/>
            <w:vAlign w:val="center"/>
          </w:tcPr>
          <w:p w14:paraId="2F100F05">
            <w:pPr>
              <w:pStyle w:val="208"/>
              <w:adjustRightInd w:val="0"/>
              <w:snapToGrid w:val="0"/>
              <w:rPr>
                <w:rFonts w:hint="eastAsia"/>
                <w:szCs w:val="21"/>
              </w:rPr>
            </w:pPr>
            <w:r>
              <w:rPr>
                <w:rFonts w:hint="eastAsia"/>
                <w:szCs w:val="21"/>
              </w:rPr>
              <w:t>3</w:t>
            </w:r>
            <w:r>
              <w:rPr>
                <w:szCs w:val="21"/>
              </w:rPr>
              <w:t>3</w:t>
            </w:r>
          </w:p>
        </w:tc>
        <w:tc>
          <w:tcPr>
            <w:tcW w:w="637" w:type="pct"/>
            <w:tcBorders>
              <w:left w:val="single" w:color="auto" w:sz="4" w:space="0"/>
            </w:tcBorders>
            <w:shd w:val="clear" w:color="auto" w:fill="auto"/>
            <w:vAlign w:val="center"/>
          </w:tcPr>
          <w:p w14:paraId="161D00AB">
            <w:pPr>
              <w:pStyle w:val="208"/>
              <w:adjustRightInd w:val="0"/>
              <w:snapToGrid w:val="0"/>
              <w:rPr>
                <w:rFonts w:hint="eastAsia"/>
                <w:szCs w:val="21"/>
              </w:rPr>
            </w:pPr>
            <w:r>
              <w:rPr>
                <w:szCs w:val="21"/>
              </w:rPr>
              <w:t>0.0413</w:t>
            </w:r>
          </w:p>
        </w:tc>
        <w:tc>
          <w:tcPr>
            <w:tcW w:w="634" w:type="pct"/>
            <w:tcBorders>
              <w:right w:val="single" w:color="auto" w:sz="4" w:space="0"/>
            </w:tcBorders>
            <w:shd w:val="clear" w:color="auto" w:fill="auto"/>
            <w:vAlign w:val="center"/>
          </w:tcPr>
          <w:p w14:paraId="71AF6F64">
            <w:pPr>
              <w:pStyle w:val="208"/>
              <w:adjustRightInd w:val="0"/>
              <w:snapToGrid w:val="0"/>
              <w:rPr>
                <w:rFonts w:hint="eastAsia"/>
                <w:szCs w:val="21"/>
              </w:rPr>
            </w:pPr>
            <w:r>
              <w:rPr>
                <w:rFonts w:hint="eastAsia"/>
                <w:szCs w:val="21"/>
              </w:rPr>
              <w:t>3</w:t>
            </w:r>
            <w:r>
              <w:rPr>
                <w:szCs w:val="21"/>
              </w:rPr>
              <w:t>4</w:t>
            </w:r>
          </w:p>
        </w:tc>
        <w:tc>
          <w:tcPr>
            <w:tcW w:w="635" w:type="pct"/>
            <w:tcBorders>
              <w:left w:val="single" w:color="auto" w:sz="4" w:space="0"/>
            </w:tcBorders>
            <w:shd w:val="clear" w:color="auto" w:fill="auto"/>
            <w:vAlign w:val="center"/>
          </w:tcPr>
          <w:p w14:paraId="72515645">
            <w:pPr>
              <w:pStyle w:val="208"/>
              <w:adjustRightInd w:val="0"/>
              <w:snapToGrid w:val="0"/>
              <w:rPr>
                <w:rFonts w:hint="eastAsia"/>
                <w:szCs w:val="21"/>
              </w:rPr>
            </w:pPr>
            <w:r>
              <w:rPr>
                <w:szCs w:val="21"/>
              </w:rPr>
              <w:t>0.0425</w:t>
            </w:r>
          </w:p>
        </w:tc>
        <w:tc>
          <w:tcPr>
            <w:tcW w:w="554" w:type="pct"/>
            <w:tcBorders>
              <w:right w:val="single" w:color="auto" w:sz="4" w:space="0"/>
            </w:tcBorders>
            <w:shd w:val="clear" w:color="auto" w:fill="auto"/>
            <w:vAlign w:val="center"/>
          </w:tcPr>
          <w:p w14:paraId="35679A84">
            <w:pPr>
              <w:pStyle w:val="208"/>
              <w:adjustRightInd w:val="0"/>
              <w:snapToGrid w:val="0"/>
              <w:rPr>
                <w:rFonts w:hint="eastAsia"/>
                <w:szCs w:val="21"/>
              </w:rPr>
            </w:pPr>
            <w:r>
              <w:rPr>
                <w:rFonts w:hint="eastAsia"/>
                <w:szCs w:val="21"/>
              </w:rPr>
              <w:t>2</w:t>
            </w:r>
            <w:r>
              <w:rPr>
                <w:szCs w:val="21"/>
              </w:rPr>
              <w:t>6</w:t>
            </w:r>
          </w:p>
        </w:tc>
        <w:tc>
          <w:tcPr>
            <w:tcW w:w="635" w:type="pct"/>
            <w:tcBorders>
              <w:left w:val="single" w:color="auto" w:sz="4" w:space="0"/>
            </w:tcBorders>
            <w:shd w:val="clear" w:color="auto" w:fill="auto"/>
            <w:vAlign w:val="center"/>
          </w:tcPr>
          <w:p w14:paraId="629F80C2">
            <w:pPr>
              <w:pStyle w:val="208"/>
              <w:adjustRightInd w:val="0"/>
              <w:snapToGrid w:val="0"/>
              <w:rPr>
                <w:rFonts w:hint="eastAsia"/>
                <w:szCs w:val="21"/>
              </w:rPr>
            </w:pPr>
            <w:r>
              <w:rPr>
                <w:rFonts w:hint="eastAsia"/>
                <w:szCs w:val="21"/>
              </w:rPr>
              <w:t>0.0325</w:t>
            </w:r>
          </w:p>
        </w:tc>
        <w:tc>
          <w:tcPr>
            <w:tcW w:w="420" w:type="pct"/>
            <w:shd w:val="clear" w:color="auto" w:fill="auto"/>
            <w:vAlign w:val="center"/>
          </w:tcPr>
          <w:p w14:paraId="1C1B8545">
            <w:pPr>
              <w:pStyle w:val="208"/>
              <w:adjustRightInd w:val="0"/>
              <w:snapToGrid w:val="0"/>
              <w:rPr>
                <w:rFonts w:hint="eastAsia"/>
                <w:szCs w:val="21"/>
              </w:rPr>
            </w:pPr>
            <w:r>
              <w:rPr>
                <w:rFonts w:hint="eastAsia"/>
                <w:szCs w:val="21"/>
              </w:rPr>
              <w:t>达标</w:t>
            </w:r>
          </w:p>
        </w:tc>
      </w:tr>
      <w:tr w14:paraId="0F4E21A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7D5B230F">
            <w:pPr>
              <w:pStyle w:val="208"/>
              <w:adjustRightInd w:val="0"/>
              <w:snapToGrid w:val="0"/>
              <w:rPr>
                <w:rFonts w:hint="eastAsia"/>
                <w:szCs w:val="21"/>
                <w:lang w:val="zh-CN"/>
              </w:rPr>
            </w:pPr>
          </w:p>
        </w:tc>
        <w:tc>
          <w:tcPr>
            <w:tcW w:w="634" w:type="pct"/>
            <w:shd w:val="clear" w:color="auto" w:fill="auto"/>
            <w:vAlign w:val="center"/>
          </w:tcPr>
          <w:p w14:paraId="2C5CF4B4">
            <w:pPr>
              <w:pStyle w:val="208"/>
              <w:adjustRightInd w:val="0"/>
              <w:snapToGrid w:val="0"/>
              <w:rPr>
                <w:rFonts w:hint="eastAsia"/>
                <w:szCs w:val="21"/>
              </w:rPr>
            </w:pPr>
            <w:r>
              <w:rPr>
                <w:rFonts w:hint="eastAsia"/>
                <w:szCs w:val="21"/>
              </w:rPr>
              <w:t>汞</w:t>
            </w:r>
          </w:p>
        </w:tc>
        <w:tc>
          <w:tcPr>
            <w:tcW w:w="473" w:type="pct"/>
            <w:tcBorders>
              <w:right w:val="single" w:color="auto" w:sz="4" w:space="0"/>
            </w:tcBorders>
            <w:shd w:val="clear" w:color="auto" w:fill="auto"/>
            <w:vAlign w:val="center"/>
          </w:tcPr>
          <w:p w14:paraId="052479C8">
            <w:pPr>
              <w:pStyle w:val="208"/>
              <w:adjustRightInd w:val="0"/>
              <w:snapToGrid w:val="0"/>
              <w:rPr>
                <w:rFonts w:hint="eastAsia"/>
                <w:szCs w:val="21"/>
              </w:rPr>
            </w:pPr>
            <w:r>
              <w:rPr>
                <w:rFonts w:hint="eastAsia"/>
                <w:szCs w:val="21"/>
              </w:rPr>
              <w:t>0</w:t>
            </w:r>
            <w:r>
              <w:rPr>
                <w:szCs w:val="21"/>
              </w:rPr>
              <w:t>.062</w:t>
            </w:r>
          </w:p>
        </w:tc>
        <w:tc>
          <w:tcPr>
            <w:tcW w:w="637" w:type="pct"/>
            <w:tcBorders>
              <w:left w:val="single" w:color="auto" w:sz="4" w:space="0"/>
            </w:tcBorders>
            <w:shd w:val="clear" w:color="auto" w:fill="auto"/>
            <w:vAlign w:val="center"/>
          </w:tcPr>
          <w:p w14:paraId="63609FB5">
            <w:pPr>
              <w:pStyle w:val="208"/>
              <w:adjustRightInd w:val="0"/>
              <w:snapToGrid w:val="0"/>
              <w:rPr>
                <w:rFonts w:hint="eastAsia"/>
                <w:szCs w:val="21"/>
              </w:rPr>
            </w:pPr>
            <w:r>
              <w:rPr>
                <w:szCs w:val="21"/>
              </w:rPr>
              <w:t>0.0016</w:t>
            </w:r>
          </w:p>
        </w:tc>
        <w:tc>
          <w:tcPr>
            <w:tcW w:w="634" w:type="pct"/>
            <w:tcBorders>
              <w:right w:val="single" w:color="auto" w:sz="4" w:space="0"/>
            </w:tcBorders>
            <w:shd w:val="clear" w:color="auto" w:fill="auto"/>
            <w:vAlign w:val="center"/>
          </w:tcPr>
          <w:p w14:paraId="0CDBC97C">
            <w:pPr>
              <w:pStyle w:val="208"/>
              <w:adjustRightInd w:val="0"/>
              <w:snapToGrid w:val="0"/>
              <w:rPr>
                <w:rFonts w:hint="eastAsia"/>
                <w:szCs w:val="21"/>
              </w:rPr>
            </w:pPr>
            <w:r>
              <w:rPr>
                <w:rFonts w:hint="eastAsia"/>
                <w:szCs w:val="21"/>
              </w:rPr>
              <w:t>0</w:t>
            </w:r>
            <w:r>
              <w:rPr>
                <w:szCs w:val="21"/>
              </w:rPr>
              <w:t>.062</w:t>
            </w:r>
          </w:p>
        </w:tc>
        <w:tc>
          <w:tcPr>
            <w:tcW w:w="635" w:type="pct"/>
            <w:tcBorders>
              <w:left w:val="single" w:color="auto" w:sz="4" w:space="0"/>
            </w:tcBorders>
            <w:shd w:val="clear" w:color="auto" w:fill="auto"/>
            <w:vAlign w:val="center"/>
          </w:tcPr>
          <w:p w14:paraId="66CD4EA5">
            <w:pPr>
              <w:pStyle w:val="208"/>
              <w:adjustRightInd w:val="0"/>
              <w:snapToGrid w:val="0"/>
              <w:rPr>
                <w:rFonts w:hint="eastAsia"/>
                <w:szCs w:val="21"/>
              </w:rPr>
            </w:pPr>
            <w:r>
              <w:rPr>
                <w:szCs w:val="21"/>
              </w:rPr>
              <w:t>0.0016</w:t>
            </w:r>
          </w:p>
        </w:tc>
        <w:tc>
          <w:tcPr>
            <w:tcW w:w="554" w:type="pct"/>
            <w:tcBorders>
              <w:right w:val="single" w:color="auto" w:sz="4" w:space="0"/>
            </w:tcBorders>
            <w:shd w:val="clear" w:color="auto" w:fill="auto"/>
            <w:vAlign w:val="center"/>
          </w:tcPr>
          <w:p w14:paraId="6D4EFD69">
            <w:pPr>
              <w:pStyle w:val="208"/>
              <w:adjustRightInd w:val="0"/>
              <w:snapToGrid w:val="0"/>
              <w:rPr>
                <w:rFonts w:hint="eastAsia"/>
                <w:szCs w:val="21"/>
              </w:rPr>
            </w:pPr>
            <w:r>
              <w:rPr>
                <w:rFonts w:hint="eastAsia"/>
                <w:szCs w:val="21"/>
              </w:rPr>
              <w:t>0</w:t>
            </w:r>
            <w:r>
              <w:rPr>
                <w:szCs w:val="21"/>
              </w:rPr>
              <w:t>.058</w:t>
            </w:r>
          </w:p>
        </w:tc>
        <w:tc>
          <w:tcPr>
            <w:tcW w:w="635" w:type="pct"/>
            <w:tcBorders>
              <w:left w:val="single" w:color="auto" w:sz="4" w:space="0"/>
            </w:tcBorders>
            <w:shd w:val="clear" w:color="auto" w:fill="auto"/>
            <w:vAlign w:val="center"/>
          </w:tcPr>
          <w:p w14:paraId="0A5C8D73">
            <w:pPr>
              <w:pStyle w:val="208"/>
              <w:adjustRightInd w:val="0"/>
              <w:snapToGrid w:val="0"/>
              <w:rPr>
                <w:rFonts w:hint="eastAsia"/>
                <w:szCs w:val="21"/>
              </w:rPr>
            </w:pPr>
            <w:r>
              <w:rPr>
                <w:rFonts w:hint="eastAsia"/>
                <w:szCs w:val="21"/>
              </w:rPr>
              <w:t>0.0015</w:t>
            </w:r>
          </w:p>
        </w:tc>
        <w:tc>
          <w:tcPr>
            <w:tcW w:w="420" w:type="pct"/>
            <w:shd w:val="clear" w:color="auto" w:fill="auto"/>
            <w:vAlign w:val="center"/>
          </w:tcPr>
          <w:p w14:paraId="1BAB2243">
            <w:pPr>
              <w:pStyle w:val="208"/>
              <w:adjustRightInd w:val="0"/>
              <w:snapToGrid w:val="0"/>
              <w:rPr>
                <w:rFonts w:hint="eastAsia"/>
                <w:szCs w:val="21"/>
              </w:rPr>
            </w:pPr>
            <w:r>
              <w:rPr>
                <w:rFonts w:hint="eastAsia"/>
                <w:szCs w:val="21"/>
              </w:rPr>
              <w:t>达标</w:t>
            </w:r>
          </w:p>
        </w:tc>
      </w:tr>
      <w:tr w14:paraId="5EAABE1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436D0DA8">
            <w:pPr>
              <w:pStyle w:val="208"/>
              <w:adjustRightInd w:val="0"/>
              <w:snapToGrid w:val="0"/>
              <w:rPr>
                <w:rFonts w:hint="eastAsia"/>
                <w:szCs w:val="21"/>
                <w:lang w:val="zh-CN"/>
              </w:rPr>
            </w:pPr>
          </w:p>
        </w:tc>
        <w:tc>
          <w:tcPr>
            <w:tcW w:w="634" w:type="pct"/>
            <w:shd w:val="clear" w:color="auto" w:fill="auto"/>
            <w:vAlign w:val="center"/>
          </w:tcPr>
          <w:p w14:paraId="49B1BCA6">
            <w:pPr>
              <w:pStyle w:val="208"/>
              <w:adjustRightInd w:val="0"/>
              <w:snapToGrid w:val="0"/>
              <w:rPr>
                <w:rFonts w:hint="eastAsia"/>
                <w:szCs w:val="21"/>
              </w:rPr>
            </w:pPr>
            <w:r>
              <w:rPr>
                <w:rFonts w:hint="eastAsia"/>
                <w:szCs w:val="21"/>
              </w:rPr>
              <w:t>砷</w:t>
            </w:r>
          </w:p>
        </w:tc>
        <w:tc>
          <w:tcPr>
            <w:tcW w:w="473" w:type="pct"/>
            <w:tcBorders>
              <w:right w:val="single" w:color="auto" w:sz="4" w:space="0"/>
            </w:tcBorders>
            <w:shd w:val="clear" w:color="auto" w:fill="auto"/>
            <w:vAlign w:val="center"/>
          </w:tcPr>
          <w:p w14:paraId="429F053F">
            <w:pPr>
              <w:pStyle w:val="208"/>
              <w:adjustRightInd w:val="0"/>
              <w:snapToGrid w:val="0"/>
              <w:rPr>
                <w:rFonts w:hint="eastAsia"/>
                <w:szCs w:val="21"/>
              </w:rPr>
            </w:pPr>
            <w:r>
              <w:rPr>
                <w:rFonts w:hint="eastAsia"/>
                <w:szCs w:val="21"/>
              </w:rPr>
              <w:t>6</w:t>
            </w:r>
            <w:r>
              <w:rPr>
                <w:szCs w:val="21"/>
              </w:rPr>
              <w:t>.13</w:t>
            </w:r>
          </w:p>
        </w:tc>
        <w:tc>
          <w:tcPr>
            <w:tcW w:w="637" w:type="pct"/>
            <w:tcBorders>
              <w:left w:val="single" w:color="auto" w:sz="4" w:space="0"/>
            </w:tcBorders>
            <w:shd w:val="clear" w:color="auto" w:fill="auto"/>
            <w:vAlign w:val="center"/>
          </w:tcPr>
          <w:p w14:paraId="69990CAA">
            <w:pPr>
              <w:pStyle w:val="208"/>
              <w:adjustRightInd w:val="0"/>
              <w:snapToGrid w:val="0"/>
              <w:rPr>
                <w:rFonts w:hint="eastAsia"/>
                <w:szCs w:val="21"/>
              </w:rPr>
            </w:pPr>
            <w:r>
              <w:rPr>
                <w:szCs w:val="21"/>
              </w:rPr>
              <w:t>0.1022</w:t>
            </w:r>
          </w:p>
        </w:tc>
        <w:tc>
          <w:tcPr>
            <w:tcW w:w="634" w:type="pct"/>
            <w:tcBorders>
              <w:right w:val="single" w:color="auto" w:sz="4" w:space="0"/>
            </w:tcBorders>
            <w:shd w:val="clear" w:color="auto" w:fill="auto"/>
            <w:vAlign w:val="center"/>
          </w:tcPr>
          <w:p w14:paraId="2F87BA3D">
            <w:pPr>
              <w:pStyle w:val="208"/>
              <w:adjustRightInd w:val="0"/>
              <w:snapToGrid w:val="0"/>
              <w:rPr>
                <w:rFonts w:hint="eastAsia"/>
                <w:szCs w:val="21"/>
              </w:rPr>
            </w:pPr>
            <w:r>
              <w:rPr>
                <w:rFonts w:hint="eastAsia"/>
                <w:szCs w:val="21"/>
              </w:rPr>
              <w:t>6</w:t>
            </w:r>
            <w:r>
              <w:rPr>
                <w:szCs w:val="21"/>
              </w:rPr>
              <w:t>.22</w:t>
            </w:r>
          </w:p>
        </w:tc>
        <w:tc>
          <w:tcPr>
            <w:tcW w:w="635" w:type="pct"/>
            <w:tcBorders>
              <w:left w:val="single" w:color="auto" w:sz="4" w:space="0"/>
            </w:tcBorders>
            <w:shd w:val="clear" w:color="auto" w:fill="auto"/>
            <w:vAlign w:val="center"/>
          </w:tcPr>
          <w:p w14:paraId="05007FE5">
            <w:pPr>
              <w:pStyle w:val="208"/>
              <w:adjustRightInd w:val="0"/>
              <w:snapToGrid w:val="0"/>
              <w:rPr>
                <w:rFonts w:hint="eastAsia"/>
                <w:szCs w:val="21"/>
              </w:rPr>
            </w:pPr>
            <w:r>
              <w:rPr>
                <w:szCs w:val="21"/>
              </w:rPr>
              <w:t>0.1037</w:t>
            </w:r>
          </w:p>
        </w:tc>
        <w:tc>
          <w:tcPr>
            <w:tcW w:w="554" w:type="pct"/>
            <w:tcBorders>
              <w:right w:val="single" w:color="auto" w:sz="4" w:space="0"/>
            </w:tcBorders>
            <w:shd w:val="clear" w:color="auto" w:fill="auto"/>
            <w:vAlign w:val="center"/>
          </w:tcPr>
          <w:p w14:paraId="7F371D79">
            <w:pPr>
              <w:pStyle w:val="208"/>
              <w:adjustRightInd w:val="0"/>
              <w:snapToGrid w:val="0"/>
              <w:rPr>
                <w:rFonts w:hint="eastAsia"/>
                <w:szCs w:val="21"/>
              </w:rPr>
            </w:pPr>
            <w:r>
              <w:rPr>
                <w:rFonts w:hint="eastAsia"/>
                <w:szCs w:val="21"/>
              </w:rPr>
              <w:t>6</w:t>
            </w:r>
            <w:r>
              <w:rPr>
                <w:szCs w:val="21"/>
              </w:rPr>
              <w:t>.22</w:t>
            </w:r>
          </w:p>
        </w:tc>
        <w:tc>
          <w:tcPr>
            <w:tcW w:w="635" w:type="pct"/>
            <w:tcBorders>
              <w:left w:val="single" w:color="auto" w:sz="4" w:space="0"/>
            </w:tcBorders>
            <w:shd w:val="clear" w:color="auto" w:fill="auto"/>
            <w:vAlign w:val="center"/>
          </w:tcPr>
          <w:p w14:paraId="0072AE63">
            <w:pPr>
              <w:pStyle w:val="208"/>
              <w:adjustRightInd w:val="0"/>
              <w:snapToGrid w:val="0"/>
              <w:rPr>
                <w:rFonts w:hint="eastAsia"/>
                <w:szCs w:val="21"/>
              </w:rPr>
            </w:pPr>
            <w:r>
              <w:rPr>
                <w:rFonts w:hint="eastAsia"/>
                <w:szCs w:val="21"/>
              </w:rPr>
              <w:t>0.1037</w:t>
            </w:r>
          </w:p>
        </w:tc>
        <w:tc>
          <w:tcPr>
            <w:tcW w:w="420" w:type="pct"/>
            <w:shd w:val="clear" w:color="auto" w:fill="auto"/>
            <w:vAlign w:val="center"/>
          </w:tcPr>
          <w:p w14:paraId="4A98B028">
            <w:pPr>
              <w:pStyle w:val="208"/>
              <w:adjustRightInd w:val="0"/>
              <w:snapToGrid w:val="0"/>
              <w:rPr>
                <w:rFonts w:hint="eastAsia"/>
                <w:szCs w:val="21"/>
              </w:rPr>
            </w:pPr>
            <w:r>
              <w:rPr>
                <w:rFonts w:hint="eastAsia"/>
                <w:szCs w:val="21"/>
              </w:rPr>
              <w:t>达标</w:t>
            </w:r>
          </w:p>
        </w:tc>
      </w:tr>
      <w:tr w14:paraId="257889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restart"/>
            <w:shd w:val="clear" w:color="auto" w:fill="auto"/>
            <w:vAlign w:val="center"/>
          </w:tcPr>
          <w:p w14:paraId="574BF35D">
            <w:pPr>
              <w:pStyle w:val="208"/>
              <w:adjustRightInd w:val="0"/>
              <w:snapToGrid w:val="0"/>
              <w:rPr>
                <w:rFonts w:hint="eastAsia"/>
                <w:szCs w:val="21"/>
                <w:lang w:val="zh-CN"/>
              </w:rPr>
            </w:pPr>
            <w:r>
              <w:rPr>
                <w:rFonts w:hint="eastAsia"/>
                <w:szCs w:val="21"/>
                <w:lang w:val="zh-CN"/>
              </w:rPr>
              <w:t>S</w:t>
            </w:r>
            <w:r>
              <w:rPr>
                <w:szCs w:val="21"/>
                <w:lang w:val="zh-CN"/>
              </w:rPr>
              <w:t>2</w:t>
            </w:r>
          </w:p>
        </w:tc>
        <w:tc>
          <w:tcPr>
            <w:tcW w:w="634" w:type="pct"/>
            <w:shd w:val="clear" w:color="auto" w:fill="auto"/>
            <w:vAlign w:val="center"/>
          </w:tcPr>
          <w:p w14:paraId="17C423A9">
            <w:pPr>
              <w:pStyle w:val="208"/>
              <w:adjustRightInd w:val="0"/>
              <w:snapToGrid w:val="0"/>
              <w:rPr>
                <w:rFonts w:hint="eastAsia"/>
                <w:szCs w:val="21"/>
              </w:rPr>
            </w:pPr>
            <w:r>
              <w:rPr>
                <w:szCs w:val="21"/>
              </w:rPr>
              <w:t>pH</w:t>
            </w:r>
          </w:p>
        </w:tc>
        <w:tc>
          <w:tcPr>
            <w:tcW w:w="473" w:type="pct"/>
            <w:tcBorders>
              <w:right w:val="single" w:color="auto" w:sz="4" w:space="0"/>
            </w:tcBorders>
            <w:shd w:val="clear" w:color="auto" w:fill="auto"/>
            <w:vAlign w:val="center"/>
          </w:tcPr>
          <w:p w14:paraId="5A98BAF2">
            <w:pPr>
              <w:pStyle w:val="208"/>
              <w:adjustRightInd w:val="0"/>
              <w:snapToGrid w:val="0"/>
              <w:rPr>
                <w:rFonts w:hint="eastAsia"/>
                <w:szCs w:val="21"/>
              </w:rPr>
            </w:pPr>
            <w:r>
              <w:rPr>
                <w:rFonts w:hint="eastAsia"/>
                <w:szCs w:val="21"/>
              </w:rPr>
              <w:t>8</w:t>
            </w:r>
            <w:r>
              <w:rPr>
                <w:szCs w:val="21"/>
              </w:rPr>
              <w:t>.</w:t>
            </w:r>
            <w:r>
              <w:rPr>
                <w:rFonts w:hint="eastAsia"/>
                <w:szCs w:val="21"/>
              </w:rPr>
              <w:t>4</w:t>
            </w:r>
            <w:r>
              <w:rPr>
                <w:szCs w:val="21"/>
              </w:rPr>
              <w:t>9</w:t>
            </w:r>
          </w:p>
        </w:tc>
        <w:tc>
          <w:tcPr>
            <w:tcW w:w="637" w:type="pct"/>
            <w:tcBorders>
              <w:left w:val="single" w:color="auto" w:sz="4" w:space="0"/>
            </w:tcBorders>
            <w:shd w:val="clear" w:color="auto" w:fill="auto"/>
            <w:vAlign w:val="center"/>
          </w:tcPr>
          <w:p w14:paraId="3048CABB">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7396223A">
            <w:pPr>
              <w:pStyle w:val="208"/>
              <w:adjustRightInd w:val="0"/>
              <w:snapToGrid w:val="0"/>
              <w:rPr>
                <w:rFonts w:hint="eastAsia"/>
                <w:szCs w:val="21"/>
              </w:rPr>
            </w:pPr>
            <w:r>
              <w:rPr>
                <w:rFonts w:hint="eastAsia"/>
                <w:szCs w:val="21"/>
              </w:rPr>
              <w:t>8</w:t>
            </w:r>
            <w:r>
              <w:rPr>
                <w:szCs w:val="21"/>
              </w:rPr>
              <w:t>.54</w:t>
            </w:r>
          </w:p>
        </w:tc>
        <w:tc>
          <w:tcPr>
            <w:tcW w:w="635" w:type="pct"/>
            <w:tcBorders>
              <w:left w:val="single" w:color="auto" w:sz="4" w:space="0"/>
            </w:tcBorders>
            <w:shd w:val="clear" w:color="auto" w:fill="auto"/>
            <w:vAlign w:val="center"/>
          </w:tcPr>
          <w:p w14:paraId="61ABF10C">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1C4B3B71">
            <w:pPr>
              <w:pStyle w:val="208"/>
              <w:adjustRightInd w:val="0"/>
              <w:snapToGrid w:val="0"/>
              <w:rPr>
                <w:rFonts w:hint="eastAsia"/>
                <w:szCs w:val="21"/>
              </w:rPr>
            </w:pPr>
            <w:r>
              <w:rPr>
                <w:rFonts w:hint="eastAsia"/>
                <w:szCs w:val="21"/>
              </w:rPr>
              <w:t>8</w:t>
            </w:r>
            <w:r>
              <w:rPr>
                <w:szCs w:val="21"/>
              </w:rPr>
              <w:t>.62</w:t>
            </w:r>
          </w:p>
        </w:tc>
        <w:tc>
          <w:tcPr>
            <w:tcW w:w="635" w:type="pct"/>
            <w:tcBorders>
              <w:left w:val="single" w:color="auto" w:sz="4" w:space="0"/>
            </w:tcBorders>
            <w:shd w:val="clear" w:color="auto" w:fill="auto"/>
            <w:vAlign w:val="center"/>
          </w:tcPr>
          <w:p w14:paraId="0D342EFA">
            <w:pPr>
              <w:pStyle w:val="208"/>
              <w:adjustRightInd w:val="0"/>
              <w:snapToGrid w:val="0"/>
              <w:rPr>
                <w:rFonts w:hint="eastAsia"/>
                <w:szCs w:val="21"/>
              </w:rPr>
            </w:pPr>
            <w:r>
              <w:rPr>
                <w:rFonts w:hint="eastAsia"/>
                <w:szCs w:val="21"/>
              </w:rPr>
              <w:t>/</w:t>
            </w:r>
          </w:p>
        </w:tc>
        <w:tc>
          <w:tcPr>
            <w:tcW w:w="420" w:type="pct"/>
            <w:shd w:val="clear" w:color="auto" w:fill="auto"/>
            <w:vAlign w:val="center"/>
          </w:tcPr>
          <w:p w14:paraId="25FAE6E4">
            <w:pPr>
              <w:pStyle w:val="208"/>
              <w:adjustRightInd w:val="0"/>
              <w:snapToGrid w:val="0"/>
              <w:rPr>
                <w:rFonts w:hint="eastAsia"/>
                <w:szCs w:val="21"/>
              </w:rPr>
            </w:pPr>
            <w:r>
              <w:rPr>
                <w:rFonts w:hint="eastAsia"/>
                <w:szCs w:val="21"/>
              </w:rPr>
              <w:t>达标</w:t>
            </w:r>
          </w:p>
        </w:tc>
      </w:tr>
      <w:tr w14:paraId="19D2328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C4F2AED">
            <w:pPr>
              <w:pStyle w:val="208"/>
              <w:adjustRightInd w:val="0"/>
              <w:snapToGrid w:val="0"/>
              <w:rPr>
                <w:rFonts w:hint="eastAsia"/>
                <w:szCs w:val="21"/>
                <w:lang w:val="zh-CN"/>
              </w:rPr>
            </w:pPr>
          </w:p>
        </w:tc>
        <w:tc>
          <w:tcPr>
            <w:tcW w:w="634" w:type="pct"/>
            <w:shd w:val="clear" w:color="auto" w:fill="auto"/>
            <w:vAlign w:val="center"/>
          </w:tcPr>
          <w:p w14:paraId="242E8EEE">
            <w:pPr>
              <w:pStyle w:val="208"/>
              <w:adjustRightInd w:val="0"/>
              <w:snapToGrid w:val="0"/>
              <w:rPr>
                <w:rFonts w:hint="eastAsia"/>
                <w:szCs w:val="21"/>
              </w:rPr>
            </w:pPr>
            <w:r>
              <w:rPr>
                <w:rFonts w:hint="eastAsia"/>
              </w:rPr>
              <w:t>石油烃</w:t>
            </w:r>
            <w:r>
              <w:t>(C</w:t>
            </w:r>
            <w:r>
              <w:rPr>
                <w:vertAlign w:val="subscript"/>
              </w:rPr>
              <w:t>10</w:t>
            </w:r>
            <w:r>
              <w:t>～C</w:t>
            </w:r>
            <w:r>
              <w:rPr>
                <w:vertAlign w:val="subscript"/>
              </w:rPr>
              <w:t>40</w:t>
            </w:r>
            <w:r>
              <w:t>)</w:t>
            </w:r>
          </w:p>
        </w:tc>
        <w:tc>
          <w:tcPr>
            <w:tcW w:w="473" w:type="pct"/>
            <w:tcBorders>
              <w:right w:val="single" w:color="auto" w:sz="4" w:space="0"/>
            </w:tcBorders>
            <w:shd w:val="clear" w:color="auto" w:fill="auto"/>
            <w:vAlign w:val="center"/>
          </w:tcPr>
          <w:p w14:paraId="292E0938">
            <w:pPr>
              <w:pStyle w:val="208"/>
              <w:adjustRightInd w:val="0"/>
              <w:snapToGrid w:val="0"/>
              <w:rPr>
                <w:rFonts w:hint="eastAsia"/>
                <w:szCs w:val="21"/>
              </w:rPr>
            </w:pPr>
            <w:r>
              <w:rPr>
                <w:rFonts w:hint="eastAsia"/>
                <w:szCs w:val="21"/>
              </w:rPr>
              <w:t>4</w:t>
            </w:r>
            <w:r>
              <w:rPr>
                <w:szCs w:val="21"/>
              </w:rPr>
              <w:t>4</w:t>
            </w:r>
          </w:p>
        </w:tc>
        <w:tc>
          <w:tcPr>
            <w:tcW w:w="637" w:type="pct"/>
            <w:tcBorders>
              <w:left w:val="single" w:color="auto" w:sz="4" w:space="0"/>
            </w:tcBorders>
            <w:shd w:val="clear" w:color="auto" w:fill="auto"/>
            <w:vAlign w:val="center"/>
          </w:tcPr>
          <w:p w14:paraId="66246B21">
            <w:pPr>
              <w:pStyle w:val="208"/>
              <w:adjustRightInd w:val="0"/>
              <w:snapToGrid w:val="0"/>
              <w:rPr>
                <w:rFonts w:hint="eastAsia"/>
                <w:szCs w:val="21"/>
              </w:rPr>
            </w:pPr>
            <w:r>
              <w:rPr>
                <w:szCs w:val="21"/>
              </w:rPr>
              <w:t>0.0098</w:t>
            </w:r>
          </w:p>
        </w:tc>
        <w:tc>
          <w:tcPr>
            <w:tcW w:w="634" w:type="pct"/>
            <w:tcBorders>
              <w:right w:val="single" w:color="auto" w:sz="4" w:space="0"/>
            </w:tcBorders>
            <w:shd w:val="clear" w:color="auto" w:fill="auto"/>
            <w:vAlign w:val="center"/>
          </w:tcPr>
          <w:p w14:paraId="1E2EBD43">
            <w:pPr>
              <w:pStyle w:val="208"/>
              <w:adjustRightInd w:val="0"/>
              <w:snapToGrid w:val="0"/>
              <w:rPr>
                <w:rFonts w:hint="eastAsia"/>
                <w:szCs w:val="21"/>
              </w:rPr>
            </w:pPr>
            <w:r>
              <w:rPr>
                <w:rFonts w:hint="eastAsia"/>
                <w:szCs w:val="21"/>
              </w:rPr>
              <w:t>1</w:t>
            </w:r>
            <w:r>
              <w:rPr>
                <w:szCs w:val="21"/>
              </w:rPr>
              <w:t>5</w:t>
            </w:r>
          </w:p>
        </w:tc>
        <w:tc>
          <w:tcPr>
            <w:tcW w:w="635" w:type="pct"/>
            <w:tcBorders>
              <w:left w:val="single" w:color="auto" w:sz="4" w:space="0"/>
            </w:tcBorders>
            <w:shd w:val="clear" w:color="auto" w:fill="auto"/>
            <w:vAlign w:val="center"/>
          </w:tcPr>
          <w:p w14:paraId="021F78E1">
            <w:pPr>
              <w:pStyle w:val="208"/>
              <w:adjustRightInd w:val="0"/>
              <w:snapToGrid w:val="0"/>
              <w:rPr>
                <w:rFonts w:hint="eastAsia"/>
                <w:szCs w:val="21"/>
              </w:rPr>
            </w:pPr>
            <w:r>
              <w:rPr>
                <w:szCs w:val="21"/>
              </w:rPr>
              <w:t>0.0033</w:t>
            </w:r>
          </w:p>
        </w:tc>
        <w:tc>
          <w:tcPr>
            <w:tcW w:w="554" w:type="pct"/>
            <w:tcBorders>
              <w:right w:val="single" w:color="auto" w:sz="4" w:space="0"/>
            </w:tcBorders>
            <w:shd w:val="clear" w:color="auto" w:fill="auto"/>
            <w:vAlign w:val="center"/>
          </w:tcPr>
          <w:p w14:paraId="0C6CF26F">
            <w:pPr>
              <w:pStyle w:val="208"/>
              <w:adjustRightInd w:val="0"/>
              <w:snapToGrid w:val="0"/>
              <w:rPr>
                <w:rFonts w:hint="eastAsia"/>
                <w:szCs w:val="21"/>
              </w:rPr>
            </w:pPr>
            <w:r>
              <w:rPr>
                <w:rFonts w:hint="eastAsia"/>
                <w:szCs w:val="21"/>
              </w:rPr>
              <w:t>1</w:t>
            </w:r>
            <w:r>
              <w:rPr>
                <w:szCs w:val="21"/>
              </w:rPr>
              <w:t>0</w:t>
            </w:r>
          </w:p>
        </w:tc>
        <w:tc>
          <w:tcPr>
            <w:tcW w:w="635" w:type="pct"/>
            <w:tcBorders>
              <w:left w:val="single" w:color="auto" w:sz="4" w:space="0"/>
            </w:tcBorders>
            <w:shd w:val="clear" w:color="auto" w:fill="auto"/>
            <w:vAlign w:val="center"/>
          </w:tcPr>
          <w:p w14:paraId="4A9D43A0">
            <w:pPr>
              <w:pStyle w:val="208"/>
              <w:adjustRightInd w:val="0"/>
              <w:snapToGrid w:val="0"/>
              <w:rPr>
                <w:rFonts w:hint="eastAsia"/>
                <w:szCs w:val="21"/>
              </w:rPr>
            </w:pPr>
            <w:r>
              <w:rPr>
                <w:rFonts w:hint="eastAsia"/>
                <w:szCs w:val="21"/>
              </w:rPr>
              <w:t>0.0022</w:t>
            </w:r>
          </w:p>
        </w:tc>
        <w:tc>
          <w:tcPr>
            <w:tcW w:w="420" w:type="pct"/>
            <w:shd w:val="clear" w:color="auto" w:fill="auto"/>
            <w:vAlign w:val="center"/>
          </w:tcPr>
          <w:p w14:paraId="0E381D8C">
            <w:pPr>
              <w:pStyle w:val="208"/>
              <w:adjustRightInd w:val="0"/>
              <w:snapToGrid w:val="0"/>
              <w:rPr>
                <w:rFonts w:hint="eastAsia"/>
                <w:szCs w:val="21"/>
              </w:rPr>
            </w:pPr>
            <w:r>
              <w:rPr>
                <w:rFonts w:hint="eastAsia"/>
                <w:szCs w:val="21"/>
              </w:rPr>
              <w:t>达标</w:t>
            </w:r>
          </w:p>
        </w:tc>
      </w:tr>
      <w:tr w14:paraId="0BA1BD1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2FE9B831">
            <w:pPr>
              <w:pStyle w:val="208"/>
              <w:adjustRightInd w:val="0"/>
              <w:snapToGrid w:val="0"/>
              <w:rPr>
                <w:rFonts w:hint="eastAsia"/>
                <w:szCs w:val="21"/>
                <w:lang w:val="zh-CN"/>
              </w:rPr>
            </w:pPr>
          </w:p>
        </w:tc>
        <w:tc>
          <w:tcPr>
            <w:tcW w:w="634" w:type="pct"/>
            <w:shd w:val="clear" w:color="auto" w:fill="auto"/>
            <w:vAlign w:val="center"/>
          </w:tcPr>
          <w:p w14:paraId="344C0465">
            <w:pPr>
              <w:pStyle w:val="208"/>
              <w:adjustRightInd w:val="0"/>
              <w:snapToGrid w:val="0"/>
              <w:rPr>
                <w:rFonts w:hint="eastAsia"/>
                <w:szCs w:val="21"/>
              </w:rPr>
            </w:pPr>
            <w:r>
              <w:rPr>
                <w:rFonts w:hint="eastAsia"/>
                <w:szCs w:val="21"/>
              </w:rPr>
              <w:t>镉</w:t>
            </w:r>
          </w:p>
        </w:tc>
        <w:tc>
          <w:tcPr>
            <w:tcW w:w="473" w:type="pct"/>
            <w:tcBorders>
              <w:right w:val="single" w:color="auto" w:sz="4" w:space="0"/>
            </w:tcBorders>
            <w:shd w:val="clear" w:color="auto" w:fill="auto"/>
            <w:vAlign w:val="center"/>
          </w:tcPr>
          <w:p w14:paraId="6351734D">
            <w:pPr>
              <w:pStyle w:val="208"/>
              <w:adjustRightInd w:val="0"/>
              <w:snapToGrid w:val="0"/>
              <w:rPr>
                <w:rFonts w:hint="eastAsia"/>
                <w:szCs w:val="21"/>
              </w:rPr>
            </w:pPr>
            <w:r>
              <w:rPr>
                <w:rFonts w:hint="eastAsia"/>
                <w:szCs w:val="21"/>
              </w:rPr>
              <w:t>0</w:t>
            </w:r>
            <w:r>
              <w:rPr>
                <w:szCs w:val="21"/>
              </w:rPr>
              <w:t>.06</w:t>
            </w:r>
          </w:p>
        </w:tc>
        <w:tc>
          <w:tcPr>
            <w:tcW w:w="637" w:type="pct"/>
            <w:tcBorders>
              <w:left w:val="single" w:color="auto" w:sz="4" w:space="0"/>
            </w:tcBorders>
            <w:shd w:val="clear" w:color="auto" w:fill="auto"/>
            <w:vAlign w:val="center"/>
          </w:tcPr>
          <w:p w14:paraId="46C13E4B">
            <w:pPr>
              <w:pStyle w:val="208"/>
              <w:adjustRightInd w:val="0"/>
              <w:snapToGrid w:val="0"/>
              <w:rPr>
                <w:rFonts w:hint="eastAsia"/>
                <w:szCs w:val="21"/>
              </w:rPr>
            </w:pPr>
            <w:r>
              <w:rPr>
                <w:szCs w:val="21"/>
              </w:rPr>
              <w:t>0.0009</w:t>
            </w:r>
          </w:p>
        </w:tc>
        <w:tc>
          <w:tcPr>
            <w:tcW w:w="634" w:type="pct"/>
            <w:tcBorders>
              <w:right w:val="single" w:color="auto" w:sz="4" w:space="0"/>
            </w:tcBorders>
            <w:shd w:val="clear" w:color="auto" w:fill="auto"/>
            <w:vAlign w:val="center"/>
          </w:tcPr>
          <w:p w14:paraId="7E7F9D9B">
            <w:pPr>
              <w:pStyle w:val="208"/>
              <w:adjustRightInd w:val="0"/>
              <w:snapToGrid w:val="0"/>
              <w:rPr>
                <w:rFonts w:hint="eastAsia"/>
                <w:szCs w:val="21"/>
              </w:rPr>
            </w:pPr>
            <w:r>
              <w:rPr>
                <w:rFonts w:hint="eastAsia"/>
                <w:szCs w:val="21"/>
              </w:rPr>
              <w:t>0</w:t>
            </w:r>
            <w:r>
              <w:rPr>
                <w:szCs w:val="21"/>
              </w:rPr>
              <w:t>.05</w:t>
            </w:r>
          </w:p>
        </w:tc>
        <w:tc>
          <w:tcPr>
            <w:tcW w:w="635" w:type="pct"/>
            <w:tcBorders>
              <w:left w:val="single" w:color="auto" w:sz="4" w:space="0"/>
            </w:tcBorders>
            <w:shd w:val="clear" w:color="auto" w:fill="auto"/>
            <w:vAlign w:val="center"/>
          </w:tcPr>
          <w:p w14:paraId="00CE45C3">
            <w:pPr>
              <w:pStyle w:val="208"/>
              <w:adjustRightInd w:val="0"/>
              <w:snapToGrid w:val="0"/>
              <w:rPr>
                <w:rFonts w:hint="eastAsia"/>
                <w:szCs w:val="21"/>
              </w:rPr>
            </w:pPr>
            <w:r>
              <w:rPr>
                <w:szCs w:val="21"/>
              </w:rPr>
              <w:t>0.0008</w:t>
            </w:r>
          </w:p>
        </w:tc>
        <w:tc>
          <w:tcPr>
            <w:tcW w:w="554" w:type="pct"/>
            <w:tcBorders>
              <w:right w:val="single" w:color="auto" w:sz="4" w:space="0"/>
            </w:tcBorders>
            <w:shd w:val="clear" w:color="auto" w:fill="auto"/>
            <w:vAlign w:val="center"/>
          </w:tcPr>
          <w:p w14:paraId="04570676">
            <w:pPr>
              <w:pStyle w:val="208"/>
              <w:adjustRightInd w:val="0"/>
              <w:snapToGrid w:val="0"/>
              <w:rPr>
                <w:rFonts w:hint="eastAsia"/>
                <w:szCs w:val="21"/>
              </w:rPr>
            </w:pPr>
            <w:r>
              <w:rPr>
                <w:rFonts w:hint="eastAsia"/>
                <w:szCs w:val="21"/>
              </w:rPr>
              <w:t>0</w:t>
            </w:r>
            <w:r>
              <w:rPr>
                <w:szCs w:val="21"/>
              </w:rPr>
              <w:t>.05</w:t>
            </w:r>
          </w:p>
        </w:tc>
        <w:tc>
          <w:tcPr>
            <w:tcW w:w="635" w:type="pct"/>
            <w:tcBorders>
              <w:left w:val="single" w:color="auto" w:sz="4" w:space="0"/>
            </w:tcBorders>
            <w:shd w:val="clear" w:color="auto" w:fill="auto"/>
            <w:vAlign w:val="center"/>
          </w:tcPr>
          <w:p w14:paraId="199F8E53">
            <w:pPr>
              <w:pStyle w:val="208"/>
              <w:adjustRightInd w:val="0"/>
              <w:snapToGrid w:val="0"/>
              <w:rPr>
                <w:rFonts w:hint="eastAsia"/>
                <w:szCs w:val="21"/>
              </w:rPr>
            </w:pPr>
            <w:r>
              <w:rPr>
                <w:rFonts w:hint="eastAsia"/>
                <w:szCs w:val="21"/>
              </w:rPr>
              <w:t>0.0008</w:t>
            </w:r>
          </w:p>
        </w:tc>
        <w:tc>
          <w:tcPr>
            <w:tcW w:w="420" w:type="pct"/>
            <w:shd w:val="clear" w:color="auto" w:fill="auto"/>
            <w:vAlign w:val="center"/>
          </w:tcPr>
          <w:p w14:paraId="1923C0A2">
            <w:pPr>
              <w:pStyle w:val="208"/>
              <w:adjustRightInd w:val="0"/>
              <w:snapToGrid w:val="0"/>
              <w:rPr>
                <w:rFonts w:hint="eastAsia"/>
                <w:szCs w:val="21"/>
              </w:rPr>
            </w:pPr>
            <w:r>
              <w:rPr>
                <w:rFonts w:hint="eastAsia"/>
                <w:szCs w:val="21"/>
              </w:rPr>
              <w:t>达标</w:t>
            </w:r>
          </w:p>
        </w:tc>
      </w:tr>
      <w:tr w14:paraId="271C45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56DF9D6F">
            <w:pPr>
              <w:pStyle w:val="208"/>
              <w:adjustRightInd w:val="0"/>
              <w:snapToGrid w:val="0"/>
              <w:rPr>
                <w:rFonts w:hint="eastAsia"/>
                <w:szCs w:val="21"/>
                <w:lang w:val="zh-CN"/>
              </w:rPr>
            </w:pPr>
          </w:p>
        </w:tc>
        <w:tc>
          <w:tcPr>
            <w:tcW w:w="634" w:type="pct"/>
            <w:shd w:val="clear" w:color="auto" w:fill="auto"/>
            <w:vAlign w:val="center"/>
          </w:tcPr>
          <w:p w14:paraId="5BA7904F">
            <w:pPr>
              <w:pStyle w:val="208"/>
              <w:adjustRightInd w:val="0"/>
              <w:snapToGrid w:val="0"/>
              <w:rPr>
                <w:rFonts w:hint="eastAsia"/>
                <w:szCs w:val="21"/>
              </w:rPr>
            </w:pPr>
            <w:r>
              <w:rPr>
                <w:rFonts w:hint="eastAsia"/>
                <w:szCs w:val="21"/>
              </w:rPr>
              <w:t>镍</w:t>
            </w:r>
          </w:p>
        </w:tc>
        <w:tc>
          <w:tcPr>
            <w:tcW w:w="473" w:type="pct"/>
            <w:tcBorders>
              <w:right w:val="single" w:color="auto" w:sz="4" w:space="0"/>
            </w:tcBorders>
            <w:shd w:val="clear" w:color="auto" w:fill="auto"/>
            <w:vAlign w:val="center"/>
          </w:tcPr>
          <w:p w14:paraId="465802B6">
            <w:pPr>
              <w:pStyle w:val="208"/>
              <w:adjustRightInd w:val="0"/>
              <w:snapToGrid w:val="0"/>
              <w:rPr>
                <w:rFonts w:hint="eastAsia"/>
                <w:szCs w:val="21"/>
              </w:rPr>
            </w:pPr>
            <w:r>
              <w:rPr>
                <w:rFonts w:hint="eastAsia"/>
                <w:szCs w:val="21"/>
              </w:rPr>
              <w:t>1</w:t>
            </w:r>
            <w:r>
              <w:rPr>
                <w:szCs w:val="21"/>
              </w:rPr>
              <w:t>4</w:t>
            </w:r>
          </w:p>
        </w:tc>
        <w:tc>
          <w:tcPr>
            <w:tcW w:w="637" w:type="pct"/>
            <w:tcBorders>
              <w:left w:val="single" w:color="auto" w:sz="4" w:space="0"/>
            </w:tcBorders>
            <w:shd w:val="clear" w:color="auto" w:fill="auto"/>
            <w:vAlign w:val="center"/>
          </w:tcPr>
          <w:p w14:paraId="396CDC0E">
            <w:pPr>
              <w:pStyle w:val="208"/>
              <w:adjustRightInd w:val="0"/>
              <w:snapToGrid w:val="0"/>
              <w:rPr>
                <w:rFonts w:hint="eastAsia"/>
                <w:szCs w:val="21"/>
              </w:rPr>
            </w:pPr>
            <w:r>
              <w:rPr>
                <w:szCs w:val="21"/>
              </w:rPr>
              <w:t>0.0156</w:t>
            </w:r>
          </w:p>
        </w:tc>
        <w:tc>
          <w:tcPr>
            <w:tcW w:w="634" w:type="pct"/>
            <w:tcBorders>
              <w:right w:val="single" w:color="auto" w:sz="4" w:space="0"/>
            </w:tcBorders>
            <w:shd w:val="clear" w:color="auto" w:fill="auto"/>
            <w:vAlign w:val="center"/>
          </w:tcPr>
          <w:p w14:paraId="2042DA0F">
            <w:pPr>
              <w:pStyle w:val="208"/>
              <w:adjustRightInd w:val="0"/>
              <w:snapToGrid w:val="0"/>
              <w:rPr>
                <w:rFonts w:hint="eastAsia"/>
                <w:szCs w:val="21"/>
              </w:rPr>
            </w:pPr>
            <w:r>
              <w:rPr>
                <w:rFonts w:hint="eastAsia"/>
                <w:szCs w:val="21"/>
              </w:rPr>
              <w:t>1</w:t>
            </w:r>
            <w:r>
              <w:rPr>
                <w:szCs w:val="21"/>
              </w:rPr>
              <w:t>2</w:t>
            </w:r>
          </w:p>
        </w:tc>
        <w:tc>
          <w:tcPr>
            <w:tcW w:w="635" w:type="pct"/>
            <w:tcBorders>
              <w:left w:val="single" w:color="auto" w:sz="4" w:space="0"/>
            </w:tcBorders>
            <w:shd w:val="clear" w:color="auto" w:fill="auto"/>
            <w:vAlign w:val="center"/>
          </w:tcPr>
          <w:p w14:paraId="3FB4242D">
            <w:pPr>
              <w:pStyle w:val="208"/>
              <w:adjustRightInd w:val="0"/>
              <w:snapToGrid w:val="0"/>
              <w:rPr>
                <w:rFonts w:hint="eastAsia"/>
                <w:szCs w:val="21"/>
              </w:rPr>
            </w:pPr>
            <w:r>
              <w:rPr>
                <w:szCs w:val="21"/>
              </w:rPr>
              <w:t>0.0133</w:t>
            </w:r>
          </w:p>
        </w:tc>
        <w:tc>
          <w:tcPr>
            <w:tcW w:w="554" w:type="pct"/>
            <w:tcBorders>
              <w:right w:val="single" w:color="auto" w:sz="4" w:space="0"/>
            </w:tcBorders>
            <w:shd w:val="clear" w:color="auto" w:fill="auto"/>
            <w:vAlign w:val="center"/>
          </w:tcPr>
          <w:p w14:paraId="7CDCAB0F">
            <w:pPr>
              <w:pStyle w:val="208"/>
              <w:adjustRightInd w:val="0"/>
              <w:snapToGrid w:val="0"/>
              <w:rPr>
                <w:rFonts w:hint="eastAsia"/>
                <w:szCs w:val="21"/>
              </w:rPr>
            </w:pPr>
            <w:r>
              <w:rPr>
                <w:rFonts w:hint="eastAsia"/>
                <w:szCs w:val="21"/>
              </w:rPr>
              <w:t>1</w:t>
            </w:r>
            <w:r>
              <w:rPr>
                <w:szCs w:val="21"/>
              </w:rPr>
              <w:t>3</w:t>
            </w:r>
          </w:p>
        </w:tc>
        <w:tc>
          <w:tcPr>
            <w:tcW w:w="635" w:type="pct"/>
            <w:tcBorders>
              <w:left w:val="single" w:color="auto" w:sz="4" w:space="0"/>
            </w:tcBorders>
            <w:shd w:val="clear" w:color="auto" w:fill="auto"/>
            <w:vAlign w:val="center"/>
          </w:tcPr>
          <w:p w14:paraId="389B610D">
            <w:pPr>
              <w:pStyle w:val="208"/>
              <w:adjustRightInd w:val="0"/>
              <w:snapToGrid w:val="0"/>
              <w:rPr>
                <w:rFonts w:hint="eastAsia"/>
                <w:szCs w:val="21"/>
              </w:rPr>
            </w:pPr>
            <w:r>
              <w:rPr>
                <w:rFonts w:hint="eastAsia"/>
                <w:szCs w:val="21"/>
              </w:rPr>
              <w:t>0.0144</w:t>
            </w:r>
          </w:p>
        </w:tc>
        <w:tc>
          <w:tcPr>
            <w:tcW w:w="420" w:type="pct"/>
            <w:shd w:val="clear" w:color="auto" w:fill="auto"/>
            <w:vAlign w:val="center"/>
          </w:tcPr>
          <w:p w14:paraId="3BE6FA47">
            <w:pPr>
              <w:pStyle w:val="208"/>
              <w:adjustRightInd w:val="0"/>
              <w:snapToGrid w:val="0"/>
              <w:rPr>
                <w:rFonts w:hint="eastAsia"/>
                <w:szCs w:val="21"/>
              </w:rPr>
            </w:pPr>
            <w:r>
              <w:rPr>
                <w:rFonts w:hint="eastAsia"/>
                <w:szCs w:val="21"/>
              </w:rPr>
              <w:t>达标</w:t>
            </w:r>
          </w:p>
        </w:tc>
      </w:tr>
      <w:tr w14:paraId="572A0F4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029DFD3F">
            <w:pPr>
              <w:pStyle w:val="208"/>
              <w:adjustRightInd w:val="0"/>
              <w:snapToGrid w:val="0"/>
              <w:rPr>
                <w:rFonts w:hint="eastAsia"/>
                <w:szCs w:val="21"/>
                <w:lang w:val="zh-CN"/>
              </w:rPr>
            </w:pPr>
          </w:p>
        </w:tc>
        <w:tc>
          <w:tcPr>
            <w:tcW w:w="634" w:type="pct"/>
            <w:shd w:val="clear" w:color="auto" w:fill="auto"/>
            <w:vAlign w:val="center"/>
          </w:tcPr>
          <w:p w14:paraId="0209020D">
            <w:pPr>
              <w:pStyle w:val="208"/>
              <w:adjustRightInd w:val="0"/>
              <w:snapToGrid w:val="0"/>
              <w:rPr>
                <w:rFonts w:hint="eastAsia"/>
                <w:szCs w:val="21"/>
              </w:rPr>
            </w:pPr>
            <w:r>
              <w:rPr>
                <w:rFonts w:hint="eastAsia"/>
                <w:szCs w:val="21"/>
              </w:rPr>
              <w:t>铬</w:t>
            </w:r>
          </w:p>
        </w:tc>
        <w:tc>
          <w:tcPr>
            <w:tcW w:w="473" w:type="pct"/>
            <w:tcBorders>
              <w:right w:val="single" w:color="auto" w:sz="4" w:space="0"/>
            </w:tcBorders>
            <w:shd w:val="clear" w:color="auto" w:fill="auto"/>
            <w:vAlign w:val="center"/>
          </w:tcPr>
          <w:p w14:paraId="2EA06DFD">
            <w:pPr>
              <w:pStyle w:val="208"/>
              <w:adjustRightInd w:val="0"/>
              <w:snapToGrid w:val="0"/>
              <w:rPr>
                <w:rFonts w:hint="eastAsia"/>
                <w:szCs w:val="21"/>
              </w:rPr>
            </w:pPr>
            <w:r>
              <w:rPr>
                <w:rFonts w:hint="eastAsia"/>
                <w:szCs w:val="21"/>
              </w:rPr>
              <w:t>0</w:t>
            </w:r>
            <w:r>
              <w:rPr>
                <w:szCs w:val="21"/>
              </w:rPr>
              <w:t>.5L</w:t>
            </w:r>
          </w:p>
        </w:tc>
        <w:tc>
          <w:tcPr>
            <w:tcW w:w="637" w:type="pct"/>
            <w:tcBorders>
              <w:left w:val="single" w:color="auto" w:sz="4" w:space="0"/>
            </w:tcBorders>
            <w:shd w:val="clear" w:color="auto" w:fill="auto"/>
            <w:vAlign w:val="center"/>
          </w:tcPr>
          <w:p w14:paraId="5BA85566">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63E12217">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4EE5A5BF">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5B145E9C">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377E78CA">
            <w:pPr>
              <w:pStyle w:val="208"/>
              <w:adjustRightInd w:val="0"/>
              <w:snapToGrid w:val="0"/>
              <w:rPr>
                <w:rFonts w:hint="eastAsia"/>
                <w:szCs w:val="21"/>
              </w:rPr>
            </w:pPr>
            <w:r>
              <w:rPr>
                <w:rFonts w:hint="eastAsia"/>
                <w:szCs w:val="21"/>
              </w:rPr>
              <w:t>/</w:t>
            </w:r>
          </w:p>
        </w:tc>
        <w:tc>
          <w:tcPr>
            <w:tcW w:w="420" w:type="pct"/>
            <w:shd w:val="clear" w:color="auto" w:fill="auto"/>
            <w:vAlign w:val="center"/>
          </w:tcPr>
          <w:p w14:paraId="09ECA95D">
            <w:pPr>
              <w:pStyle w:val="208"/>
              <w:adjustRightInd w:val="0"/>
              <w:snapToGrid w:val="0"/>
              <w:rPr>
                <w:rFonts w:hint="eastAsia"/>
                <w:szCs w:val="21"/>
              </w:rPr>
            </w:pPr>
            <w:r>
              <w:rPr>
                <w:rFonts w:hint="eastAsia"/>
                <w:szCs w:val="21"/>
              </w:rPr>
              <w:t>达标</w:t>
            </w:r>
          </w:p>
        </w:tc>
      </w:tr>
      <w:tr w14:paraId="345AF5E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0399F7DC">
            <w:pPr>
              <w:pStyle w:val="208"/>
              <w:adjustRightInd w:val="0"/>
              <w:snapToGrid w:val="0"/>
              <w:rPr>
                <w:rFonts w:hint="eastAsia"/>
                <w:szCs w:val="21"/>
                <w:lang w:val="zh-CN"/>
              </w:rPr>
            </w:pPr>
          </w:p>
        </w:tc>
        <w:tc>
          <w:tcPr>
            <w:tcW w:w="634" w:type="pct"/>
            <w:shd w:val="clear" w:color="auto" w:fill="auto"/>
            <w:vAlign w:val="center"/>
          </w:tcPr>
          <w:p w14:paraId="44C66234">
            <w:pPr>
              <w:pStyle w:val="208"/>
              <w:adjustRightInd w:val="0"/>
              <w:snapToGrid w:val="0"/>
              <w:rPr>
                <w:rFonts w:hint="eastAsia"/>
                <w:szCs w:val="21"/>
              </w:rPr>
            </w:pPr>
            <w:r>
              <w:rPr>
                <w:rFonts w:hint="eastAsia"/>
                <w:szCs w:val="21"/>
              </w:rPr>
              <w:t>铜</w:t>
            </w:r>
          </w:p>
        </w:tc>
        <w:tc>
          <w:tcPr>
            <w:tcW w:w="473" w:type="pct"/>
            <w:tcBorders>
              <w:right w:val="single" w:color="auto" w:sz="4" w:space="0"/>
            </w:tcBorders>
            <w:shd w:val="clear" w:color="auto" w:fill="auto"/>
            <w:vAlign w:val="center"/>
          </w:tcPr>
          <w:p w14:paraId="09B22FF9">
            <w:pPr>
              <w:pStyle w:val="208"/>
              <w:adjustRightInd w:val="0"/>
              <w:snapToGrid w:val="0"/>
              <w:rPr>
                <w:rFonts w:hint="eastAsia"/>
                <w:szCs w:val="21"/>
              </w:rPr>
            </w:pPr>
            <w:r>
              <w:rPr>
                <w:rFonts w:hint="eastAsia"/>
                <w:szCs w:val="21"/>
              </w:rPr>
              <w:t>2</w:t>
            </w:r>
            <w:r>
              <w:rPr>
                <w:szCs w:val="21"/>
              </w:rPr>
              <w:t>5</w:t>
            </w:r>
          </w:p>
        </w:tc>
        <w:tc>
          <w:tcPr>
            <w:tcW w:w="637" w:type="pct"/>
            <w:tcBorders>
              <w:left w:val="single" w:color="auto" w:sz="4" w:space="0"/>
            </w:tcBorders>
            <w:shd w:val="clear" w:color="auto" w:fill="auto"/>
            <w:vAlign w:val="center"/>
          </w:tcPr>
          <w:p w14:paraId="13E71716">
            <w:pPr>
              <w:pStyle w:val="208"/>
              <w:adjustRightInd w:val="0"/>
              <w:snapToGrid w:val="0"/>
              <w:rPr>
                <w:rFonts w:hint="eastAsia"/>
                <w:szCs w:val="21"/>
              </w:rPr>
            </w:pPr>
            <w:r>
              <w:rPr>
                <w:szCs w:val="21"/>
              </w:rPr>
              <w:t>0.0014</w:t>
            </w:r>
          </w:p>
        </w:tc>
        <w:tc>
          <w:tcPr>
            <w:tcW w:w="634" w:type="pct"/>
            <w:tcBorders>
              <w:right w:val="single" w:color="auto" w:sz="4" w:space="0"/>
            </w:tcBorders>
            <w:shd w:val="clear" w:color="auto" w:fill="auto"/>
            <w:vAlign w:val="center"/>
          </w:tcPr>
          <w:p w14:paraId="236D603D">
            <w:pPr>
              <w:pStyle w:val="208"/>
              <w:adjustRightInd w:val="0"/>
              <w:snapToGrid w:val="0"/>
              <w:rPr>
                <w:rFonts w:hint="eastAsia"/>
                <w:szCs w:val="21"/>
              </w:rPr>
            </w:pPr>
            <w:r>
              <w:rPr>
                <w:rFonts w:hint="eastAsia"/>
                <w:szCs w:val="21"/>
              </w:rPr>
              <w:t>2</w:t>
            </w:r>
            <w:r>
              <w:rPr>
                <w:szCs w:val="21"/>
              </w:rPr>
              <w:t>3</w:t>
            </w:r>
          </w:p>
        </w:tc>
        <w:tc>
          <w:tcPr>
            <w:tcW w:w="635" w:type="pct"/>
            <w:tcBorders>
              <w:left w:val="single" w:color="auto" w:sz="4" w:space="0"/>
            </w:tcBorders>
            <w:shd w:val="clear" w:color="auto" w:fill="auto"/>
            <w:vAlign w:val="center"/>
          </w:tcPr>
          <w:p w14:paraId="3611D54F">
            <w:pPr>
              <w:pStyle w:val="208"/>
              <w:adjustRightInd w:val="0"/>
              <w:snapToGrid w:val="0"/>
              <w:rPr>
                <w:rFonts w:hint="eastAsia"/>
                <w:szCs w:val="21"/>
              </w:rPr>
            </w:pPr>
            <w:r>
              <w:rPr>
                <w:szCs w:val="21"/>
              </w:rPr>
              <w:t>0.0013</w:t>
            </w:r>
          </w:p>
        </w:tc>
        <w:tc>
          <w:tcPr>
            <w:tcW w:w="554" w:type="pct"/>
            <w:tcBorders>
              <w:right w:val="single" w:color="auto" w:sz="4" w:space="0"/>
            </w:tcBorders>
            <w:shd w:val="clear" w:color="auto" w:fill="auto"/>
            <w:vAlign w:val="center"/>
          </w:tcPr>
          <w:p w14:paraId="653106AC">
            <w:pPr>
              <w:pStyle w:val="208"/>
              <w:adjustRightInd w:val="0"/>
              <w:snapToGrid w:val="0"/>
              <w:rPr>
                <w:rFonts w:hint="eastAsia"/>
                <w:szCs w:val="21"/>
              </w:rPr>
            </w:pPr>
            <w:r>
              <w:rPr>
                <w:rFonts w:hint="eastAsia"/>
                <w:szCs w:val="21"/>
              </w:rPr>
              <w:t>2</w:t>
            </w:r>
            <w:r>
              <w:rPr>
                <w:szCs w:val="21"/>
              </w:rPr>
              <w:t>5</w:t>
            </w:r>
          </w:p>
        </w:tc>
        <w:tc>
          <w:tcPr>
            <w:tcW w:w="635" w:type="pct"/>
            <w:tcBorders>
              <w:left w:val="single" w:color="auto" w:sz="4" w:space="0"/>
            </w:tcBorders>
            <w:shd w:val="clear" w:color="auto" w:fill="auto"/>
            <w:vAlign w:val="center"/>
          </w:tcPr>
          <w:p w14:paraId="24D9DF8F">
            <w:pPr>
              <w:pStyle w:val="208"/>
              <w:adjustRightInd w:val="0"/>
              <w:snapToGrid w:val="0"/>
              <w:rPr>
                <w:rFonts w:hint="eastAsia"/>
                <w:szCs w:val="21"/>
              </w:rPr>
            </w:pPr>
            <w:r>
              <w:rPr>
                <w:rFonts w:hint="eastAsia"/>
                <w:szCs w:val="21"/>
              </w:rPr>
              <w:t>0.0014</w:t>
            </w:r>
          </w:p>
        </w:tc>
        <w:tc>
          <w:tcPr>
            <w:tcW w:w="420" w:type="pct"/>
            <w:shd w:val="clear" w:color="auto" w:fill="auto"/>
            <w:vAlign w:val="center"/>
          </w:tcPr>
          <w:p w14:paraId="55623A14">
            <w:pPr>
              <w:pStyle w:val="208"/>
              <w:adjustRightInd w:val="0"/>
              <w:snapToGrid w:val="0"/>
              <w:rPr>
                <w:rFonts w:hint="eastAsia"/>
                <w:szCs w:val="21"/>
              </w:rPr>
            </w:pPr>
            <w:r>
              <w:rPr>
                <w:rFonts w:hint="eastAsia"/>
                <w:szCs w:val="21"/>
              </w:rPr>
              <w:t>达标</w:t>
            </w:r>
          </w:p>
        </w:tc>
      </w:tr>
      <w:tr w14:paraId="184EBB0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209829DC">
            <w:pPr>
              <w:pStyle w:val="208"/>
              <w:adjustRightInd w:val="0"/>
              <w:snapToGrid w:val="0"/>
              <w:rPr>
                <w:rFonts w:hint="eastAsia"/>
                <w:szCs w:val="21"/>
                <w:lang w:val="zh-CN"/>
              </w:rPr>
            </w:pPr>
          </w:p>
        </w:tc>
        <w:tc>
          <w:tcPr>
            <w:tcW w:w="634" w:type="pct"/>
            <w:shd w:val="clear" w:color="auto" w:fill="auto"/>
            <w:vAlign w:val="center"/>
          </w:tcPr>
          <w:p w14:paraId="088AA455">
            <w:pPr>
              <w:pStyle w:val="208"/>
              <w:adjustRightInd w:val="0"/>
              <w:snapToGrid w:val="0"/>
              <w:rPr>
                <w:rFonts w:hint="eastAsia"/>
                <w:szCs w:val="21"/>
              </w:rPr>
            </w:pPr>
            <w:r>
              <w:rPr>
                <w:rFonts w:hint="eastAsia"/>
                <w:szCs w:val="21"/>
              </w:rPr>
              <w:t>铅</w:t>
            </w:r>
          </w:p>
        </w:tc>
        <w:tc>
          <w:tcPr>
            <w:tcW w:w="473" w:type="pct"/>
            <w:tcBorders>
              <w:right w:val="single" w:color="auto" w:sz="4" w:space="0"/>
            </w:tcBorders>
            <w:shd w:val="clear" w:color="auto" w:fill="auto"/>
            <w:vAlign w:val="center"/>
          </w:tcPr>
          <w:p w14:paraId="49CF0853">
            <w:pPr>
              <w:pStyle w:val="208"/>
              <w:adjustRightInd w:val="0"/>
              <w:snapToGrid w:val="0"/>
              <w:rPr>
                <w:rFonts w:hint="eastAsia"/>
                <w:szCs w:val="21"/>
              </w:rPr>
            </w:pPr>
            <w:r>
              <w:rPr>
                <w:rFonts w:hint="eastAsia"/>
                <w:szCs w:val="21"/>
              </w:rPr>
              <w:t>3</w:t>
            </w:r>
            <w:r>
              <w:rPr>
                <w:szCs w:val="21"/>
              </w:rPr>
              <w:t>6</w:t>
            </w:r>
          </w:p>
        </w:tc>
        <w:tc>
          <w:tcPr>
            <w:tcW w:w="637" w:type="pct"/>
            <w:tcBorders>
              <w:left w:val="single" w:color="auto" w:sz="4" w:space="0"/>
            </w:tcBorders>
            <w:shd w:val="clear" w:color="auto" w:fill="auto"/>
            <w:vAlign w:val="center"/>
          </w:tcPr>
          <w:p w14:paraId="267F41E1">
            <w:pPr>
              <w:pStyle w:val="208"/>
              <w:adjustRightInd w:val="0"/>
              <w:snapToGrid w:val="0"/>
              <w:rPr>
                <w:rFonts w:hint="eastAsia"/>
                <w:szCs w:val="21"/>
              </w:rPr>
            </w:pPr>
            <w:r>
              <w:rPr>
                <w:szCs w:val="21"/>
              </w:rPr>
              <w:t>0.0450</w:t>
            </w:r>
          </w:p>
        </w:tc>
        <w:tc>
          <w:tcPr>
            <w:tcW w:w="634" w:type="pct"/>
            <w:tcBorders>
              <w:right w:val="single" w:color="auto" w:sz="4" w:space="0"/>
            </w:tcBorders>
            <w:shd w:val="clear" w:color="auto" w:fill="auto"/>
            <w:vAlign w:val="center"/>
          </w:tcPr>
          <w:p w14:paraId="7B0F1386">
            <w:pPr>
              <w:pStyle w:val="208"/>
              <w:adjustRightInd w:val="0"/>
              <w:snapToGrid w:val="0"/>
              <w:rPr>
                <w:rFonts w:hint="eastAsia"/>
                <w:szCs w:val="21"/>
              </w:rPr>
            </w:pPr>
            <w:r>
              <w:rPr>
                <w:rFonts w:hint="eastAsia"/>
                <w:szCs w:val="21"/>
              </w:rPr>
              <w:t>3</w:t>
            </w:r>
            <w:r>
              <w:rPr>
                <w:szCs w:val="21"/>
              </w:rPr>
              <w:t>4</w:t>
            </w:r>
          </w:p>
        </w:tc>
        <w:tc>
          <w:tcPr>
            <w:tcW w:w="635" w:type="pct"/>
            <w:tcBorders>
              <w:left w:val="single" w:color="auto" w:sz="4" w:space="0"/>
            </w:tcBorders>
            <w:shd w:val="clear" w:color="auto" w:fill="auto"/>
            <w:vAlign w:val="center"/>
          </w:tcPr>
          <w:p w14:paraId="0C6D0421">
            <w:pPr>
              <w:pStyle w:val="208"/>
              <w:adjustRightInd w:val="0"/>
              <w:snapToGrid w:val="0"/>
              <w:rPr>
                <w:rFonts w:hint="eastAsia"/>
                <w:szCs w:val="21"/>
              </w:rPr>
            </w:pPr>
            <w:r>
              <w:rPr>
                <w:szCs w:val="21"/>
              </w:rPr>
              <w:t>0.0425</w:t>
            </w:r>
          </w:p>
        </w:tc>
        <w:tc>
          <w:tcPr>
            <w:tcW w:w="554" w:type="pct"/>
            <w:tcBorders>
              <w:right w:val="single" w:color="auto" w:sz="4" w:space="0"/>
            </w:tcBorders>
            <w:shd w:val="clear" w:color="auto" w:fill="auto"/>
            <w:vAlign w:val="center"/>
          </w:tcPr>
          <w:p w14:paraId="4D44109F">
            <w:pPr>
              <w:pStyle w:val="208"/>
              <w:adjustRightInd w:val="0"/>
              <w:snapToGrid w:val="0"/>
              <w:rPr>
                <w:rFonts w:hint="eastAsia"/>
                <w:szCs w:val="21"/>
              </w:rPr>
            </w:pPr>
            <w:r>
              <w:rPr>
                <w:rFonts w:hint="eastAsia"/>
                <w:szCs w:val="21"/>
              </w:rPr>
              <w:t>4</w:t>
            </w:r>
            <w:r>
              <w:rPr>
                <w:szCs w:val="21"/>
              </w:rPr>
              <w:t>1</w:t>
            </w:r>
          </w:p>
        </w:tc>
        <w:tc>
          <w:tcPr>
            <w:tcW w:w="635" w:type="pct"/>
            <w:tcBorders>
              <w:left w:val="single" w:color="auto" w:sz="4" w:space="0"/>
            </w:tcBorders>
            <w:shd w:val="clear" w:color="auto" w:fill="auto"/>
            <w:vAlign w:val="center"/>
          </w:tcPr>
          <w:p w14:paraId="473E8B2A">
            <w:pPr>
              <w:pStyle w:val="208"/>
              <w:adjustRightInd w:val="0"/>
              <w:snapToGrid w:val="0"/>
              <w:rPr>
                <w:rFonts w:hint="eastAsia"/>
                <w:szCs w:val="21"/>
              </w:rPr>
            </w:pPr>
            <w:r>
              <w:rPr>
                <w:rFonts w:hint="eastAsia"/>
                <w:szCs w:val="21"/>
              </w:rPr>
              <w:t>0.0513</w:t>
            </w:r>
          </w:p>
        </w:tc>
        <w:tc>
          <w:tcPr>
            <w:tcW w:w="420" w:type="pct"/>
            <w:shd w:val="clear" w:color="auto" w:fill="auto"/>
            <w:vAlign w:val="center"/>
          </w:tcPr>
          <w:p w14:paraId="456D9736">
            <w:pPr>
              <w:pStyle w:val="208"/>
              <w:adjustRightInd w:val="0"/>
              <w:snapToGrid w:val="0"/>
              <w:rPr>
                <w:rFonts w:hint="eastAsia"/>
                <w:szCs w:val="21"/>
              </w:rPr>
            </w:pPr>
            <w:r>
              <w:rPr>
                <w:rFonts w:hint="eastAsia"/>
                <w:szCs w:val="21"/>
              </w:rPr>
              <w:t>达标</w:t>
            </w:r>
          </w:p>
        </w:tc>
      </w:tr>
      <w:tr w14:paraId="7D7BFF9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F68B450">
            <w:pPr>
              <w:pStyle w:val="208"/>
              <w:adjustRightInd w:val="0"/>
              <w:snapToGrid w:val="0"/>
              <w:rPr>
                <w:rFonts w:hint="eastAsia"/>
                <w:szCs w:val="21"/>
                <w:lang w:val="zh-CN"/>
              </w:rPr>
            </w:pPr>
          </w:p>
        </w:tc>
        <w:tc>
          <w:tcPr>
            <w:tcW w:w="634" w:type="pct"/>
            <w:shd w:val="clear" w:color="auto" w:fill="auto"/>
            <w:vAlign w:val="center"/>
          </w:tcPr>
          <w:p w14:paraId="0EDA1537">
            <w:pPr>
              <w:pStyle w:val="208"/>
              <w:adjustRightInd w:val="0"/>
              <w:snapToGrid w:val="0"/>
              <w:rPr>
                <w:rFonts w:hint="eastAsia"/>
                <w:szCs w:val="21"/>
              </w:rPr>
            </w:pPr>
            <w:r>
              <w:rPr>
                <w:rFonts w:hint="eastAsia"/>
                <w:szCs w:val="21"/>
              </w:rPr>
              <w:t>汞</w:t>
            </w:r>
          </w:p>
        </w:tc>
        <w:tc>
          <w:tcPr>
            <w:tcW w:w="473" w:type="pct"/>
            <w:tcBorders>
              <w:right w:val="single" w:color="auto" w:sz="4" w:space="0"/>
            </w:tcBorders>
            <w:shd w:val="clear" w:color="auto" w:fill="auto"/>
            <w:vAlign w:val="center"/>
          </w:tcPr>
          <w:p w14:paraId="5F6CA2A4">
            <w:pPr>
              <w:pStyle w:val="208"/>
              <w:adjustRightInd w:val="0"/>
              <w:snapToGrid w:val="0"/>
              <w:rPr>
                <w:rFonts w:hint="eastAsia"/>
                <w:szCs w:val="21"/>
              </w:rPr>
            </w:pPr>
            <w:r>
              <w:rPr>
                <w:rFonts w:hint="eastAsia"/>
                <w:szCs w:val="21"/>
              </w:rPr>
              <w:t>0</w:t>
            </w:r>
            <w:r>
              <w:rPr>
                <w:szCs w:val="21"/>
              </w:rPr>
              <w:t>.055</w:t>
            </w:r>
          </w:p>
        </w:tc>
        <w:tc>
          <w:tcPr>
            <w:tcW w:w="637" w:type="pct"/>
            <w:tcBorders>
              <w:left w:val="single" w:color="auto" w:sz="4" w:space="0"/>
            </w:tcBorders>
            <w:shd w:val="clear" w:color="auto" w:fill="auto"/>
            <w:vAlign w:val="center"/>
          </w:tcPr>
          <w:p w14:paraId="65A8483D">
            <w:pPr>
              <w:pStyle w:val="208"/>
              <w:adjustRightInd w:val="0"/>
              <w:snapToGrid w:val="0"/>
              <w:rPr>
                <w:rFonts w:hint="eastAsia"/>
                <w:szCs w:val="21"/>
              </w:rPr>
            </w:pPr>
            <w:r>
              <w:rPr>
                <w:szCs w:val="21"/>
              </w:rPr>
              <w:t>0.0014</w:t>
            </w:r>
          </w:p>
        </w:tc>
        <w:tc>
          <w:tcPr>
            <w:tcW w:w="634" w:type="pct"/>
            <w:tcBorders>
              <w:right w:val="single" w:color="auto" w:sz="4" w:space="0"/>
            </w:tcBorders>
            <w:shd w:val="clear" w:color="auto" w:fill="auto"/>
            <w:vAlign w:val="center"/>
          </w:tcPr>
          <w:p w14:paraId="03E84420">
            <w:pPr>
              <w:pStyle w:val="208"/>
              <w:adjustRightInd w:val="0"/>
              <w:snapToGrid w:val="0"/>
              <w:rPr>
                <w:rFonts w:hint="eastAsia"/>
                <w:szCs w:val="21"/>
              </w:rPr>
            </w:pPr>
            <w:r>
              <w:rPr>
                <w:rFonts w:hint="eastAsia"/>
                <w:szCs w:val="21"/>
              </w:rPr>
              <w:t>0</w:t>
            </w:r>
            <w:r>
              <w:rPr>
                <w:szCs w:val="21"/>
              </w:rPr>
              <w:t>.06</w:t>
            </w:r>
          </w:p>
        </w:tc>
        <w:tc>
          <w:tcPr>
            <w:tcW w:w="635" w:type="pct"/>
            <w:tcBorders>
              <w:left w:val="single" w:color="auto" w:sz="4" w:space="0"/>
            </w:tcBorders>
            <w:shd w:val="clear" w:color="auto" w:fill="auto"/>
            <w:vAlign w:val="center"/>
          </w:tcPr>
          <w:p w14:paraId="008A2BB0">
            <w:pPr>
              <w:pStyle w:val="208"/>
              <w:adjustRightInd w:val="0"/>
              <w:snapToGrid w:val="0"/>
              <w:rPr>
                <w:rFonts w:hint="eastAsia"/>
                <w:szCs w:val="21"/>
              </w:rPr>
            </w:pPr>
            <w:r>
              <w:rPr>
                <w:szCs w:val="21"/>
              </w:rPr>
              <w:t>0.0016</w:t>
            </w:r>
          </w:p>
        </w:tc>
        <w:tc>
          <w:tcPr>
            <w:tcW w:w="554" w:type="pct"/>
            <w:tcBorders>
              <w:right w:val="single" w:color="auto" w:sz="4" w:space="0"/>
            </w:tcBorders>
            <w:shd w:val="clear" w:color="auto" w:fill="auto"/>
            <w:vAlign w:val="center"/>
          </w:tcPr>
          <w:p w14:paraId="4FBAAAEB">
            <w:pPr>
              <w:pStyle w:val="208"/>
              <w:adjustRightInd w:val="0"/>
              <w:snapToGrid w:val="0"/>
              <w:rPr>
                <w:rFonts w:hint="eastAsia"/>
                <w:szCs w:val="21"/>
              </w:rPr>
            </w:pPr>
            <w:r>
              <w:rPr>
                <w:rFonts w:hint="eastAsia"/>
                <w:szCs w:val="21"/>
              </w:rPr>
              <w:t>0</w:t>
            </w:r>
            <w:r>
              <w:rPr>
                <w:szCs w:val="21"/>
              </w:rPr>
              <w:t>.083</w:t>
            </w:r>
          </w:p>
        </w:tc>
        <w:tc>
          <w:tcPr>
            <w:tcW w:w="635" w:type="pct"/>
            <w:tcBorders>
              <w:left w:val="single" w:color="auto" w:sz="4" w:space="0"/>
            </w:tcBorders>
            <w:shd w:val="clear" w:color="auto" w:fill="auto"/>
            <w:vAlign w:val="center"/>
          </w:tcPr>
          <w:p w14:paraId="473BEB1D">
            <w:pPr>
              <w:pStyle w:val="208"/>
              <w:adjustRightInd w:val="0"/>
              <w:snapToGrid w:val="0"/>
              <w:rPr>
                <w:rFonts w:hint="eastAsia"/>
                <w:szCs w:val="21"/>
              </w:rPr>
            </w:pPr>
            <w:r>
              <w:rPr>
                <w:rFonts w:hint="eastAsia"/>
                <w:szCs w:val="21"/>
              </w:rPr>
              <w:t>0.0022</w:t>
            </w:r>
          </w:p>
        </w:tc>
        <w:tc>
          <w:tcPr>
            <w:tcW w:w="420" w:type="pct"/>
            <w:shd w:val="clear" w:color="auto" w:fill="auto"/>
            <w:vAlign w:val="center"/>
          </w:tcPr>
          <w:p w14:paraId="60B7927F">
            <w:pPr>
              <w:pStyle w:val="208"/>
              <w:adjustRightInd w:val="0"/>
              <w:snapToGrid w:val="0"/>
              <w:rPr>
                <w:rFonts w:hint="eastAsia"/>
                <w:szCs w:val="21"/>
              </w:rPr>
            </w:pPr>
            <w:r>
              <w:rPr>
                <w:rFonts w:hint="eastAsia"/>
                <w:szCs w:val="21"/>
              </w:rPr>
              <w:t>达标</w:t>
            </w:r>
          </w:p>
        </w:tc>
      </w:tr>
      <w:tr w14:paraId="4E87C3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909C59D">
            <w:pPr>
              <w:pStyle w:val="208"/>
              <w:adjustRightInd w:val="0"/>
              <w:snapToGrid w:val="0"/>
              <w:rPr>
                <w:rFonts w:hint="eastAsia"/>
                <w:szCs w:val="21"/>
                <w:lang w:val="zh-CN"/>
              </w:rPr>
            </w:pPr>
          </w:p>
        </w:tc>
        <w:tc>
          <w:tcPr>
            <w:tcW w:w="634" w:type="pct"/>
            <w:shd w:val="clear" w:color="auto" w:fill="auto"/>
            <w:vAlign w:val="center"/>
          </w:tcPr>
          <w:p w14:paraId="26EEC585">
            <w:pPr>
              <w:pStyle w:val="208"/>
              <w:adjustRightInd w:val="0"/>
              <w:snapToGrid w:val="0"/>
              <w:rPr>
                <w:rFonts w:hint="eastAsia"/>
                <w:szCs w:val="21"/>
              </w:rPr>
            </w:pPr>
            <w:r>
              <w:rPr>
                <w:rFonts w:hint="eastAsia"/>
                <w:szCs w:val="21"/>
              </w:rPr>
              <w:t>砷</w:t>
            </w:r>
          </w:p>
        </w:tc>
        <w:tc>
          <w:tcPr>
            <w:tcW w:w="473" w:type="pct"/>
            <w:tcBorders>
              <w:right w:val="single" w:color="auto" w:sz="4" w:space="0"/>
            </w:tcBorders>
            <w:shd w:val="clear" w:color="auto" w:fill="auto"/>
            <w:vAlign w:val="center"/>
          </w:tcPr>
          <w:p w14:paraId="311C3C9C">
            <w:pPr>
              <w:pStyle w:val="208"/>
              <w:adjustRightInd w:val="0"/>
              <w:snapToGrid w:val="0"/>
              <w:rPr>
                <w:rFonts w:hint="eastAsia"/>
                <w:szCs w:val="21"/>
              </w:rPr>
            </w:pPr>
            <w:r>
              <w:rPr>
                <w:rFonts w:hint="eastAsia"/>
                <w:szCs w:val="21"/>
              </w:rPr>
              <w:t>6</w:t>
            </w:r>
            <w:r>
              <w:rPr>
                <w:szCs w:val="21"/>
              </w:rPr>
              <w:t>.45</w:t>
            </w:r>
          </w:p>
        </w:tc>
        <w:tc>
          <w:tcPr>
            <w:tcW w:w="637" w:type="pct"/>
            <w:tcBorders>
              <w:left w:val="single" w:color="auto" w:sz="4" w:space="0"/>
            </w:tcBorders>
            <w:shd w:val="clear" w:color="auto" w:fill="auto"/>
            <w:vAlign w:val="center"/>
          </w:tcPr>
          <w:p w14:paraId="234DF67A">
            <w:pPr>
              <w:pStyle w:val="208"/>
              <w:adjustRightInd w:val="0"/>
              <w:snapToGrid w:val="0"/>
              <w:rPr>
                <w:rFonts w:hint="eastAsia"/>
                <w:szCs w:val="21"/>
              </w:rPr>
            </w:pPr>
            <w:r>
              <w:rPr>
                <w:szCs w:val="21"/>
              </w:rPr>
              <w:t>0.1075</w:t>
            </w:r>
          </w:p>
        </w:tc>
        <w:tc>
          <w:tcPr>
            <w:tcW w:w="634" w:type="pct"/>
            <w:tcBorders>
              <w:right w:val="single" w:color="auto" w:sz="4" w:space="0"/>
            </w:tcBorders>
            <w:shd w:val="clear" w:color="auto" w:fill="auto"/>
            <w:vAlign w:val="center"/>
          </w:tcPr>
          <w:p w14:paraId="00F57CF1">
            <w:pPr>
              <w:pStyle w:val="208"/>
              <w:adjustRightInd w:val="0"/>
              <w:snapToGrid w:val="0"/>
              <w:rPr>
                <w:rFonts w:hint="eastAsia"/>
                <w:szCs w:val="21"/>
              </w:rPr>
            </w:pPr>
            <w:r>
              <w:rPr>
                <w:rFonts w:hint="eastAsia"/>
                <w:szCs w:val="21"/>
              </w:rPr>
              <w:t>6</w:t>
            </w:r>
            <w:r>
              <w:rPr>
                <w:szCs w:val="21"/>
              </w:rPr>
              <w:t>.42</w:t>
            </w:r>
          </w:p>
        </w:tc>
        <w:tc>
          <w:tcPr>
            <w:tcW w:w="635" w:type="pct"/>
            <w:tcBorders>
              <w:left w:val="single" w:color="auto" w:sz="4" w:space="0"/>
            </w:tcBorders>
            <w:shd w:val="clear" w:color="auto" w:fill="auto"/>
            <w:vAlign w:val="center"/>
          </w:tcPr>
          <w:p w14:paraId="64C6DC20">
            <w:pPr>
              <w:pStyle w:val="208"/>
              <w:adjustRightInd w:val="0"/>
              <w:snapToGrid w:val="0"/>
              <w:rPr>
                <w:rFonts w:hint="eastAsia"/>
                <w:szCs w:val="21"/>
              </w:rPr>
            </w:pPr>
            <w:r>
              <w:rPr>
                <w:szCs w:val="21"/>
              </w:rPr>
              <w:t>0.1070</w:t>
            </w:r>
          </w:p>
        </w:tc>
        <w:tc>
          <w:tcPr>
            <w:tcW w:w="554" w:type="pct"/>
            <w:tcBorders>
              <w:right w:val="single" w:color="auto" w:sz="4" w:space="0"/>
            </w:tcBorders>
            <w:shd w:val="clear" w:color="auto" w:fill="auto"/>
            <w:vAlign w:val="center"/>
          </w:tcPr>
          <w:p w14:paraId="3BF7A8C5">
            <w:pPr>
              <w:pStyle w:val="208"/>
              <w:adjustRightInd w:val="0"/>
              <w:snapToGrid w:val="0"/>
              <w:rPr>
                <w:rFonts w:hint="eastAsia"/>
                <w:szCs w:val="21"/>
              </w:rPr>
            </w:pPr>
            <w:r>
              <w:rPr>
                <w:rFonts w:hint="eastAsia"/>
                <w:szCs w:val="21"/>
              </w:rPr>
              <w:t>6</w:t>
            </w:r>
            <w:r>
              <w:rPr>
                <w:szCs w:val="21"/>
              </w:rPr>
              <w:t>.43</w:t>
            </w:r>
          </w:p>
        </w:tc>
        <w:tc>
          <w:tcPr>
            <w:tcW w:w="635" w:type="pct"/>
            <w:tcBorders>
              <w:left w:val="single" w:color="auto" w:sz="4" w:space="0"/>
            </w:tcBorders>
            <w:shd w:val="clear" w:color="auto" w:fill="auto"/>
            <w:vAlign w:val="center"/>
          </w:tcPr>
          <w:p w14:paraId="27125726">
            <w:pPr>
              <w:pStyle w:val="208"/>
              <w:adjustRightInd w:val="0"/>
              <w:snapToGrid w:val="0"/>
              <w:rPr>
                <w:rFonts w:hint="eastAsia"/>
                <w:szCs w:val="21"/>
              </w:rPr>
            </w:pPr>
            <w:r>
              <w:rPr>
                <w:rFonts w:hint="eastAsia"/>
                <w:szCs w:val="21"/>
              </w:rPr>
              <w:t>0.1072</w:t>
            </w:r>
          </w:p>
        </w:tc>
        <w:tc>
          <w:tcPr>
            <w:tcW w:w="420" w:type="pct"/>
            <w:shd w:val="clear" w:color="auto" w:fill="auto"/>
            <w:vAlign w:val="center"/>
          </w:tcPr>
          <w:p w14:paraId="05A60E85">
            <w:pPr>
              <w:pStyle w:val="208"/>
              <w:adjustRightInd w:val="0"/>
              <w:snapToGrid w:val="0"/>
              <w:rPr>
                <w:rFonts w:hint="eastAsia"/>
                <w:szCs w:val="21"/>
              </w:rPr>
            </w:pPr>
            <w:r>
              <w:rPr>
                <w:rFonts w:hint="eastAsia"/>
                <w:szCs w:val="21"/>
              </w:rPr>
              <w:t>达标</w:t>
            </w:r>
          </w:p>
        </w:tc>
      </w:tr>
      <w:bookmarkEnd w:id="564"/>
      <w:tr w14:paraId="05DD7A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restart"/>
            <w:shd w:val="clear" w:color="auto" w:fill="auto"/>
            <w:vAlign w:val="center"/>
          </w:tcPr>
          <w:p w14:paraId="495A84A1">
            <w:pPr>
              <w:pStyle w:val="208"/>
              <w:adjustRightInd w:val="0"/>
              <w:snapToGrid w:val="0"/>
              <w:rPr>
                <w:rFonts w:hint="eastAsia"/>
                <w:szCs w:val="21"/>
                <w:lang w:val="zh-CN"/>
              </w:rPr>
            </w:pPr>
            <w:r>
              <w:rPr>
                <w:szCs w:val="21"/>
                <w:lang w:val="zh-CN"/>
              </w:rPr>
              <w:t>S3</w:t>
            </w:r>
          </w:p>
        </w:tc>
        <w:tc>
          <w:tcPr>
            <w:tcW w:w="634" w:type="pct"/>
            <w:shd w:val="clear" w:color="auto" w:fill="auto"/>
            <w:vAlign w:val="center"/>
          </w:tcPr>
          <w:p w14:paraId="309F0389">
            <w:pPr>
              <w:pStyle w:val="208"/>
              <w:adjustRightInd w:val="0"/>
              <w:snapToGrid w:val="0"/>
              <w:rPr>
                <w:rFonts w:hint="eastAsia"/>
                <w:szCs w:val="21"/>
              </w:rPr>
            </w:pPr>
            <w:r>
              <w:rPr>
                <w:szCs w:val="21"/>
              </w:rPr>
              <w:t>pH</w:t>
            </w:r>
          </w:p>
        </w:tc>
        <w:tc>
          <w:tcPr>
            <w:tcW w:w="473" w:type="pct"/>
            <w:tcBorders>
              <w:right w:val="single" w:color="auto" w:sz="4" w:space="0"/>
            </w:tcBorders>
            <w:shd w:val="clear" w:color="auto" w:fill="auto"/>
            <w:vAlign w:val="center"/>
          </w:tcPr>
          <w:p w14:paraId="5F575996">
            <w:pPr>
              <w:pStyle w:val="208"/>
              <w:adjustRightInd w:val="0"/>
              <w:snapToGrid w:val="0"/>
              <w:rPr>
                <w:rFonts w:hint="eastAsia"/>
                <w:szCs w:val="21"/>
              </w:rPr>
            </w:pPr>
            <w:r>
              <w:rPr>
                <w:szCs w:val="21"/>
              </w:rPr>
              <w:t>8.65</w:t>
            </w:r>
          </w:p>
        </w:tc>
        <w:tc>
          <w:tcPr>
            <w:tcW w:w="637" w:type="pct"/>
            <w:tcBorders>
              <w:left w:val="single" w:color="auto" w:sz="4" w:space="0"/>
            </w:tcBorders>
            <w:shd w:val="clear" w:color="auto" w:fill="auto"/>
            <w:vAlign w:val="center"/>
          </w:tcPr>
          <w:p w14:paraId="3514BFE3">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78122C9F">
            <w:pPr>
              <w:pStyle w:val="208"/>
              <w:adjustRightInd w:val="0"/>
              <w:snapToGrid w:val="0"/>
              <w:rPr>
                <w:rFonts w:hint="eastAsia"/>
                <w:szCs w:val="21"/>
              </w:rPr>
            </w:pPr>
            <w:r>
              <w:rPr>
                <w:szCs w:val="21"/>
              </w:rPr>
              <w:t>8.92</w:t>
            </w:r>
          </w:p>
        </w:tc>
        <w:tc>
          <w:tcPr>
            <w:tcW w:w="635" w:type="pct"/>
            <w:tcBorders>
              <w:left w:val="single" w:color="auto" w:sz="4" w:space="0"/>
            </w:tcBorders>
            <w:shd w:val="clear" w:color="auto" w:fill="auto"/>
            <w:vAlign w:val="center"/>
          </w:tcPr>
          <w:p w14:paraId="6C46C2B3">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71A83F71">
            <w:pPr>
              <w:pStyle w:val="208"/>
              <w:adjustRightInd w:val="0"/>
              <w:snapToGrid w:val="0"/>
              <w:rPr>
                <w:rFonts w:hint="eastAsia"/>
                <w:szCs w:val="21"/>
              </w:rPr>
            </w:pPr>
            <w:r>
              <w:rPr>
                <w:szCs w:val="21"/>
              </w:rPr>
              <w:t>8.95</w:t>
            </w:r>
          </w:p>
        </w:tc>
        <w:tc>
          <w:tcPr>
            <w:tcW w:w="635" w:type="pct"/>
            <w:tcBorders>
              <w:left w:val="single" w:color="auto" w:sz="4" w:space="0"/>
            </w:tcBorders>
            <w:shd w:val="clear" w:color="auto" w:fill="auto"/>
            <w:vAlign w:val="center"/>
          </w:tcPr>
          <w:p w14:paraId="5E96B9FA">
            <w:pPr>
              <w:pStyle w:val="208"/>
              <w:adjustRightInd w:val="0"/>
              <w:snapToGrid w:val="0"/>
              <w:rPr>
                <w:rFonts w:hint="eastAsia"/>
                <w:szCs w:val="21"/>
              </w:rPr>
            </w:pPr>
            <w:r>
              <w:rPr>
                <w:rFonts w:hint="eastAsia"/>
                <w:szCs w:val="21"/>
              </w:rPr>
              <w:t>/</w:t>
            </w:r>
          </w:p>
        </w:tc>
        <w:tc>
          <w:tcPr>
            <w:tcW w:w="420" w:type="pct"/>
            <w:shd w:val="clear" w:color="auto" w:fill="auto"/>
            <w:vAlign w:val="center"/>
          </w:tcPr>
          <w:p w14:paraId="57698343">
            <w:pPr>
              <w:pStyle w:val="208"/>
              <w:adjustRightInd w:val="0"/>
              <w:snapToGrid w:val="0"/>
              <w:rPr>
                <w:rFonts w:hint="eastAsia"/>
                <w:szCs w:val="21"/>
              </w:rPr>
            </w:pPr>
            <w:r>
              <w:rPr>
                <w:rFonts w:hint="eastAsia"/>
                <w:szCs w:val="21"/>
              </w:rPr>
              <w:t>达标</w:t>
            </w:r>
          </w:p>
        </w:tc>
      </w:tr>
      <w:tr w14:paraId="1F8952C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CA60711">
            <w:pPr>
              <w:pStyle w:val="208"/>
              <w:adjustRightInd w:val="0"/>
              <w:snapToGrid w:val="0"/>
              <w:spacing w:line="300" w:lineRule="exact"/>
              <w:rPr>
                <w:rFonts w:hint="eastAsia"/>
                <w:szCs w:val="21"/>
                <w:lang w:val="zh-CN"/>
              </w:rPr>
            </w:pPr>
          </w:p>
        </w:tc>
        <w:tc>
          <w:tcPr>
            <w:tcW w:w="634" w:type="pct"/>
            <w:shd w:val="clear" w:color="auto" w:fill="auto"/>
            <w:vAlign w:val="center"/>
          </w:tcPr>
          <w:p w14:paraId="2869D96A">
            <w:pPr>
              <w:pStyle w:val="208"/>
              <w:adjustRightInd w:val="0"/>
              <w:snapToGrid w:val="0"/>
              <w:rPr>
                <w:rFonts w:hint="eastAsia"/>
                <w:szCs w:val="21"/>
              </w:rPr>
            </w:pPr>
            <w:r>
              <w:rPr>
                <w:rFonts w:hint="eastAsia"/>
              </w:rPr>
              <w:t>石油烃</w:t>
            </w:r>
            <w:r>
              <w:t>(C</w:t>
            </w:r>
            <w:r>
              <w:rPr>
                <w:vertAlign w:val="subscript"/>
              </w:rPr>
              <w:t>10</w:t>
            </w:r>
            <w:r>
              <w:t>～C</w:t>
            </w:r>
            <w:r>
              <w:rPr>
                <w:vertAlign w:val="subscript"/>
              </w:rPr>
              <w:t>40</w:t>
            </w:r>
            <w:r>
              <w:t>)</w:t>
            </w:r>
          </w:p>
        </w:tc>
        <w:tc>
          <w:tcPr>
            <w:tcW w:w="473" w:type="pct"/>
            <w:tcBorders>
              <w:right w:val="single" w:color="auto" w:sz="4" w:space="0"/>
            </w:tcBorders>
            <w:shd w:val="clear" w:color="auto" w:fill="auto"/>
            <w:vAlign w:val="center"/>
          </w:tcPr>
          <w:p w14:paraId="7FC680DC">
            <w:pPr>
              <w:pStyle w:val="208"/>
              <w:adjustRightInd w:val="0"/>
              <w:snapToGrid w:val="0"/>
              <w:rPr>
                <w:rFonts w:hint="eastAsia"/>
                <w:szCs w:val="21"/>
              </w:rPr>
            </w:pPr>
            <w:r>
              <w:rPr>
                <w:rFonts w:hint="eastAsia"/>
                <w:szCs w:val="21"/>
              </w:rPr>
              <w:t>3</w:t>
            </w:r>
            <w:r>
              <w:rPr>
                <w:szCs w:val="21"/>
              </w:rPr>
              <w:t>1</w:t>
            </w:r>
          </w:p>
        </w:tc>
        <w:tc>
          <w:tcPr>
            <w:tcW w:w="637" w:type="pct"/>
            <w:tcBorders>
              <w:left w:val="single" w:color="auto" w:sz="4" w:space="0"/>
            </w:tcBorders>
            <w:shd w:val="clear" w:color="auto" w:fill="auto"/>
            <w:vAlign w:val="center"/>
          </w:tcPr>
          <w:p w14:paraId="7D4A7174">
            <w:pPr>
              <w:pStyle w:val="208"/>
              <w:adjustRightInd w:val="0"/>
              <w:snapToGrid w:val="0"/>
              <w:rPr>
                <w:rFonts w:hint="eastAsia"/>
                <w:szCs w:val="21"/>
              </w:rPr>
            </w:pPr>
            <w:r>
              <w:rPr>
                <w:szCs w:val="21"/>
              </w:rPr>
              <w:t>0.0069</w:t>
            </w:r>
          </w:p>
        </w:tc>
        <w:tc>
          <w:tcPr>
            <w:tcW w:w="634" w:type="pct"/>
            <w:tcBorders>
              <w:right w:val="single" w:color="auto" w:sz="4" w:space="0"/>
            </w:tcBorders>
            <w:shd w:val="clear" w:color="auto" w:fill="auto"/>
            <w:vAlign w:val="center"/>
          </w:tcPr>
          <w:p w14:paraId="2BEF60F5">
            <w:pPr>
              <w:pStyle w:val="208"/>
              <w:adjustRightInd w:val="0"/>
              <w:snapToGrid w:val="0"/>
              <w:rPr>
                <w:rFonts w:hint="eastAsia"/>
                <w:szCs w:val="21"/>
              </w:rPr>
            </w:pPr>
            <w:r>
              <w:rPr>
                <w:rFonts w:hint="eastAsia"/>
                <w:szCs w:val="21"/>
              </w:rPr>
              <w:t>1</w:t>
            </w:r>
            <w:r>
              <w:rPr>
                <w:szCs w:val="21"/>
              </w:rPr>
              <w:t>8</w:t>
            </w:r>
          </w:p>
        </w:tc>
        <w:tc>
          <w:tcPr>
            <w:tcW w:w="635" w:type="pct"/>
            <w:tcBorders>
              <w:left w:val="single" w:color="auto" w:sz="4" w:space="0"/>
            </w:tcBorders>
            <w:shd w:val="clear" w:color="auto" w:fill="auto"/>
            <w:vAlign w:val="center"/>
          </w:tcPr>
          <w:p w14:paraId="19676D8C">
            <w:pPr>
              <w:pStyle w:val="208"/>
              <w:adjustRightInd w:val="0"/>
              <w:snapToGrid w:val="0"/>
              <w:rPr>
                <w:rFonts w:hint="eastAsia"/>
                <w:szCs w:val="21"/>
              </w:rPr>
            </w:pPr>
            <w:r>
              <w:rPr>
                <w:szCs w:val="21"/>
              </w:rPr>
              <w:t>0.0040</w:t>
            </w:r>
          </w:p>
        </w:tc>
        <w:tc>
          <w:tcPr>
            <w:tcW w:w="554" w:type="pct"/>
            <w:tcBorders>
              <w:right w:val="single" w:color="auto" w:sz="4" w:space="0"/>
            </w:tcBorders>
            <w:shd w:val="clear" w:color="auto" w:fill="auto"/>
            <w:vAlign w:val="center"/>
          </w:tcPr>
          <w:p w14:paraId="2FE265D5">
            <w:pPr>
              <w:pStyle w:val="208"/>
              <w:adjustRightInd w:val="0"/>
              <w:snapToGrid w:val="0"/>
              <w:rPr>
                <w:rFonts w:hint="eastAsia"/>
                <w:szCs w:val="21"/>
              </w:rPr>
            </w:pPr>
            <w:r>
              <w:rPr>
                <w:rFonts w:hint="eastAsia"/>
                <w:szCs w:val="21"/>
              </w:rPr>
              <w:t>9</w:t>
            </w:r>
          </w:p>
        </w:tc>
        <w:tc>
          <w:tcPr>
            <w:tcW w:w="635" w:type="pct"/>
            <w:tcBorders>
              <w:left w:val="single" w:color="auto" w:sz="4" w:space="0"/>
            </w:tcBorders>
            <w:shd w:val="clear" w:color="auto" w:fill="auto"/>
            <w:vAlign w:val="center"/>
          </w:tcPr>
          <w:p w14:paraId="1B696B48">
            <w:pPr>
              <w:pStyle w:val="208"/>
              <w:adjustRightInd w:val="0"/>
              <w:snapToGrid w:val="0"/>
              <w:rPr>
                <w:rFonts w:hint="eastAsia"/>
                <w:szCs w:val="21"/>
              </w:rPr>
            </w:pPr>
            <w:r>
              <w:rPr>
                <w:rFonts w:hint="eastAsia"/>
                <w:szCs w:val="21"/>
              </w:rPr>
              <w:t>0.0020</w:t>
            </w:r>
          </w:p>
        </w:tc>
        <w:tc>
          <w:tcPr>
            <w:tcW w:w="420" w:type="pct"/>
            <w:shd w:val="clear" w:color="auto" w:fill="auto"/>
            <w:vAlign w:val="center"/>
          </w:tcPr>
          <w:p w14:paraId="364566E6">
            <w:pPr>
              <w:pStyle w:val="208"/>
              <w:adjustRightInd w:val="0"/>
              <w:snapToGrid w:val="0"/>
              <w:rPr>
                <w:rFonts w:hint="eastAsia"/>
                <w:szCs w:val="21"/>
              </w:rPr>
            </w:pPr>
            <w:r>
              <w:rPr>
                <w:rFonts w:hint="eastAsia"/>
                <w:szCs w:val="21"/>
              </w:rPr>
              <w:t>达标</w:t>
            </w:r>
          </w:p>
        </w:tc>
      </w:tr>
      <w:tr w14:paraId="19DD8E2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723A8D16">
            <w:pPr>
              <w:pStyle w:val="208"/>
              <w:adjustRightInd w:val="0"/>
              <w:snapToGrid w:val="0"/>
              <w:spacing w:line="300" w:lineRule="exact"/>
              <w:rPr>
                <w:rFonts w:hint="eastAsia"/>
                <w:szCs w:val="21"/>
                <w:lang w:val="zh-CN"/>
              </w:rPr>
            </w:pPr>
          </w:p>
        </w:tc>
        <w:tc>
          <w:tcPr>
            <w:tcW w:w="634" w:type="pct"/>
            <w:shd w:val="clear" w:color="auto" w:fill="auto"/>
            <w:vAlign w:val="center"/>
          </w:tcPr>
          <w:p w14:paraId="4B43868B">
            <w:pPr>
              <w:pStyle w:val="208"/>
              <w:adjustRightInd w:val="0"/>
              <w:snapToGrid w:val="0"/>
              <w:rPr>
                <w:rFonts w:hint="eastAsia"/>
                <w:szCs w:val="21"/>
              </w:rPr>
            </w:pPr>
            <w:r>
              <w:rPr>
                <w:rFonts w:hint="eastAsia"/>
                <w:szCs w:val="21"/>
              </w:rPr>
              <w:t>镉</w:t>
            </w:r>
          </w:p>
        </w:tc>
        <w:tc>
          <w:tcPr>
            <w:tcW w:w="473" w:type="pct"/>
            <w:tcBorders>
              <w:right w:val="single" w:color="auto" w:sz="4" w:space="0"/>
            </w:tcBorders>
            <w:shd w:val="clear" w:color="auto" w:fill="auto"/>
            <w:vAlign w:val="center"/>
          </w:tcPr>
          <w:p w14:paraId="788D5E94">
            <w:pPr>
              <w:pStyle w:val="208"/>
              <w:adjustRightInd w:val="0"/>
              <w:snapToGrid w:val="0"/>
              <w:rPr>
                <w:rFonts w:hint="eastAsia"/>
                <w:szCs w:val="21"/>
              </w:rPr>
            </w:pPr>
            <w:r>
              <w:rPr>
                <w:rFonts w:hint="eastAsia"/>
                <w:szCs w:val="21"/>
              </w:rPr>
              <w:t>0</w:t>
            </w:r>
            <w:r>
              <w:rPr>
                <w:szCs w:val="21"/>
              </w:rPr>
              <w:t>.04</w:t>
            </w:r>
          </w:p>
        </w:tc>
        <w:tc>
          <w:tcPr>
            <w:tcW w:w="637" w:type="pct"/>
            <w:tcBorders>
              <w:left w:val="single" w:color="auto" w:sz="4" w:space="0"/>
            </w:tcBorders>
            <w:shd w:val="clear" w:color="auto" w:fill="auto"/>
            <w:vAlign w:val="center"/>
          </w:tcPr>
          <w:p w14:paraId="62725D08">
            <w:pPr>
              <w:pStyle w:val="208"/>
              <w:adjustRightInd w:val="0"/>
              <w:snapToGrid w:val="0"/>
              <w:rPr>
                <w:rFonts w:hint="eastAsia"/>
                <w:szCs w:val="21"/>
              </w:rPr>
            </w:pPr>
            <w:r>
              <w:rPr>
                <w:szCs w:val="21"/>
              </w:rPr>
              <w:t>0.0006</w:t>
            </w:r>
          </w:p>
        </w:tc>
        <w:tc>
          <w:tcPr>
            <w:tcW w:w="634" w:type="pct"/>
            <w:tcBorders>
              <w:right w:val="single" w:color="auto" w:sz="4" w:space="0"/>
            </w:tcBorders>
            <w:shd w:val="clear" w:color="auto" w:fill="auto"/>
            <w:vAlign w:val="center"/>
          </w:tcPr>
          <w:p w14:paraId="5867F31E">
            <w:pPr>
              <w:pStyle w:val="208"/>
              <w:adjustRightInd w:val="0"/>
              <w:snapToGrid w:val="0"/>
              <w:rPr>
                <w:rFonts w:hint="eastAsia"/>
                <w:szCs w:val="21"/>
              </w:rPr>
            </w:pPr>
            <w:r>
              <w:rPr>
                <w:rFonts w:hint="eastAsia"/>
                <w:szCs w:val="21"/>
              </w:rPr>
              <w:t>0</w:t>
            </w:r>
            <w:r>
              <w:rPr>
                <w:szCs w:val="21"/>
              </w:rPr>
              <w:t>.04</w:t>
            </w:r>
          </w:p>
        </w:tc>
        <w:tc>
          <w:tcPr>
            <w:tcW w:w="635" w:type="pct"/>
            <w:tcBorders>
              <w:left w:val="single" w:color="auto" w:sz="4" w:space="0"/>
            </w:tcBorders>
            <w:shd w:val="clear" w:color="auto" w:fill="auto"/>
            <w:vAlign w:val="center"/>
          </w:tcPr>
          <w:p w14:paraId="26E69F5D">
            <w:pPr>
              <w:pStyle w:val="208"/>
              <w:adjustRightInd w:val="0"/>
              <w:snapToGrid w:val="0"/>
              <w:rPr>
                <w:rFonts w:hint="eastAsia"/>
                <w:szCs w:val="21"/>
              </w:rPr>
            </w:pPr>
            <w:r>
              <w:rPr>
                <w:szCs w:val="21"/>
              </w:rPr>
              <w:t>0.0006</w:t>
            </w:r>
          </w:p>
        </w:tc>
        <w:tc>
          <w:tcPr>
            <w:tcW w:w="554" w:type="pct"/>
            <w:tcBorders>
              <w:right w:val="single" w:color="auto" w:sz="4" w:space="0"/>
            </w:tcBorders>
            <w:shd w:val="clear" w:color="auto" w:fill="auto"/>
            <w:vAlign w:val="center"/>
          </w:tcPr>
          <w:p w14:paraId="787C87FA">
            <w:pPr>
              <w:pStyle w:val="208"/>
              <w:adjustRightInd w:val="0"/>
              <w:snapToGrid w:val="0"/>
              <w:rPr>
                <w:rFonts w:hint="eastAsia"/>
                <w:szCs w:val="21"/>
              </w:rPr>
            </w:pPr>
            <w:r>
              <w:rPr>
                <w:rFonts w:hint="eastAsia"/>
                <w:szCs w:val="21"/>
              </w:rPr>
              <w:t>0</w:t>
            </w:r>
            <w:r>
              <w:rPr>
                <w:szCs w:val="21"/>
              </w:rPr>
              <w:t>.05</w:t>
            </w:r>
          </w:p>
        </w:tc>
        <w:tc>
          <w:tcPr>
            <w:tcW w:w="635" w:type="pct"/>
            <w:tcBorders>
              <w:left w:val="single" w:color="auto" w:sz="4" w:space="0"/>
            </w:tcBorders>
            <w:shd w:val="clear" w:color="auto" w:fill="auto"/>
            <w:vAlign w:val="center"/>
          </w:tcPr>
          <w:p w14:paraId="5C796FD0">
            <w:pPr>
              <w:pStyle w:val="208"/>
              <w:adjustRightInd w:val="0"/>
              <w:snapToGrid w:val="0"/>
              <w:rPr>
                <w:rFonts w:hint="eastAsia"/>
                <w:szCs w:val="21"/>
              </w:rPr>
            </w:pPr>
            <w:r>
              <w:rPr>
                <w:rFonts w:hint="eastAsia"/>
                <w:szCs w:val="21"/>
              </w:rPr>
              <w:t>0.0008</w:t>
            </w:r>
          </w:p>
        </w:tc>
        <w:tc>
          <w:tcPr>
            <w:tcW w:w="420" w:type="pct"/>
            <w:shd w:val="clear" w:color="auto" w:fill="auto"/>
            <w:vAlign w:val="center"/>
          </w:tcPr>
          <w:p w14:paraId="39C37147">
            <w:pPr>
              <w:pStyle w:val="208"/>
              <w:adjustRightInd w:val="0"/>
              <w:snapToGrid w:val="0"/>
              <w:rPr>
                <w:rFonts w:hint="eastAsia"/>
                <w:szCs w:val="21"/>
              </w:rPr>
            </w:pPr>
            <w:r>
              <w:rPr>
                <w:rFonts w:hint="eastAsia"/>
                <w:szCs w:val="21"/>
              </w:rPr>
              <w:t>达标</w:t>
            </w:r>
          </w:p>
        </w:tc>
      </w:tr>
      <w:tr w14:paraId="1A571BF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63A35471">
            <w:pPr>
              <w:pStyle w:val="208"/>
              <w:adjustRightInd w:val="0"/>
              <w:snapToGrid w:val="0"/>
              <w:spacing w:line="300" w:lineRule="exact"/>
              <w:rPr>
                <w:rFonts w:hint="eastAsia"/>
                <w:szCs w:val="21"/>
                <w:lang w:val="zh-CN"/>
              </w:rPr>
            </w:pPr>
          </w:p>
        </w:tc>
        <w:tc>
          <w:tcPr>
            <w:tcW w:w="634" w:type="pct"/>
            <w:shd w:val="clear" w:color="auto" w:fill="auto"/>
            <w:vAlign w:val="center"/>
          </w:tcPr>
          <w:p w14:paraId="0BEB70EF">
            <w:pPr>
              <w:pStyle w:val="208"/>
              <w:adjustRightInd w:val="0"/>
              <w:snapToGrid w:val="0"/>
              <w:rPr>
                <w:rFonts w:hint="eastAsia"/>
                <w:szCs w:val="21"/>
              </w:rPr>
            </w:pPr>
            <w:r>
              <w:rPr>
                <w:rFonts w:hint="eastAsia"/>
                <w:szCs w:val="21"/>
              </w:rPr>
              <w:t>镍</w:t>
            </w:r>
          </w:p>
        </w:tc>
        <w:tc>
          <w:tcPr>
            <w:tcW w:w="473" w:type="pct"/>
            <w:tcBorders>
              <w:right w:val="single" w:color="auto" w:sz="4" w:space="0"/>
            </w:tcBorders>
            <w:shd w:val="clear" w:color="auto" w:fill="auto"/>
            <w:vAlign w:val="center"/>
          </w:tcPr>
          <w:p w14:paraId="62583A4B">
            <w:pPr>
              <w:pStyle w:val="208"/>
              <w:adjustRightInd w:val="0"/>
              <w:snapToGrid w:val="0"/>
              <w:rPr>
                <w:rFonts w:hint="eastAsia"/>
                <w:szCs w:val="21"/>
              </w:rPr>
            </w:pPr>
            <w:r>
              <w:rPr>
                <w:rFonts w:hint="eastAsia"/>
                <w:szCs w:val="21"/>
              </w:rPr>
              <w:t>1</w:t>
            </w:r>
            <w:r>
              <w:rPr>
                <w:szCs w:val="21"/>
              </w:rPr>
              <w:t>4</w:t>
            </w:r>
          </w:p>
        </w:tc>
        <w:tc>
          <w:tcPr>
            <w:tcW w:w="637" w:type="pct"/>
            <w:tcBorders>
              <w:left w:val="single" w:color="auto" w:sz="4" w:space="0"/>
            </w:tcBorders>
            <w:shd w:val="clear" w:color="auto" w:fill="auto"/>
            <w:vAlign w:val="center"/>
          </w:tcPr>
          <w:p w14:paraId="6DC1354C">
            <w:pPr>
              <w:pStyle w:val="208"/>
              <w:adjustRightInd w:val="0"/>
              <w:snapToGrid w:val="0"/>
              <w:rPr>
                <w:rFonts w:hint="eastAsia"/>
                <w:szCs w:val="21"/>
              </w:rPr>
            </w:pPr>
            <w:r>
              <w:rPr>
                <w:szCs w:val="21"/>
              </w:rPr>
              <w:t>0.0156</w:t>
            </w:r>
          </w:p>
        </w:tc>
        <w:tc>
          <w:tcPr>
            <w:tcW w:w="634" w:type="pct"/>
            <w:tcBorders>
              <w:right w:val="single" w:color="auto" w:sz="4" w:space="0"/>
            </w:tcBorders>
            <w:shd w:val="clear" w:color="auto" w:fill="auto"/>
            <w:vAlign w:val="center"/>
          </w:tcPr>
          <w:p w14:paraId="28268D96">
            <w:pPr>
              <w:pStyle w:val="208"/>
              <w:adjustRightInd w:val="0"/>
              <w:snapToGrid w:val="0"/>
              <w:rPr>
                <w:rFonts w:hint="eastAsia"/>
                <w:szCs w:val="21"/>
              </w:rPr>
            </w:pPr>
            <w:r>
              <w:rPr>
                <w:rFonts w:hint="eastAsia"/>
                <w:szCs w:val="21"/>
              </w:rPr>
              <w:t>1</w:t>
            </w:r>
            <w:r>
              <w:rPr>
                <w:szCs w:val="21"/>
              </w:rPr>
              <w:t>5</w:t>
            </w:r>
          </w:p>
        </w:tc>
        <w:tc>
          <w:tcPr>
            <w:tcW w:w="635" w:type="pct"/>
            <w:tcBorders>
              <w:left w:val="single" w:color="auto" w:sz="4" w:space="0"/>
            </w:tcBorders>
            <w:shd w:val="clear" w:color="auto" w:fill="auto"/>
            <w:vAlign w:val="center"/>
          </w:tcPr>
          <w:p w14:paraId="6A127966">
            <w:pPr>
              <w:pStyle w:val="208"/>
              <w:adjustRightInd w:val="0"/>
              <w:snapToGrid w:val="0"/>
              <w:rPr>
                <w:rFonts w:hint="eastAsia"/>
                <w:szCs w:val="21"/>
              </w:rPr>
            </w:pPr>
            <w:r>
              <w:rPr>
                <w:szCs w:val="21"/>
              </w:rPr>
              <w:t>0.0167</w:t>
            </w:r>
          </w:p>
        </w:tc>
        <w:tc>
          <w:tcPr>
            <w:tcW w:w="554" w:type="pct"/>
            <w:tcBorders>
              <w:right w:val="single" w:color="auto" w:sz="4" w:space="0"/>
            </w:tcBorders>
            <w:shd w:val="clear" w:color="auto" w:fill="auto"/>
            <w:vAlign w:val="center"/>
          </w:tcPr>
          <w:p w14:paraId="61C829F3">
            <w:pPr>
              <w:pStyle w:val="208"/>
              <w:adjustRightInd w:val="0"/>
              <w:snapToGrid w:val="0"/>
              <w:rPr>
                <w:rFonts w:hint="eastAsia"/>
                <w:szCs w:val="21"/>
              </w:rPr>
            </w:pPr>
            <w:r>
              <w:rPr>
                <w:rFonts w:hint="eastAsia"/>
                <w:szCs w:val="21"/>
              </w:rPr>
              <w:t>1</w:t>
            </w:r>
            <w:r>
              <w:rPr>
                <w:szCs w:val="21"/>
              </w:rPr>
              <w:t>4</w:t>
            </w:r>
          </w:p>
        </w:tc>
        <w:tc>
          <w:tcPr>
            <w:tcW w:w="635" w:type="pct"/>
            <w:tcBorders>
              <w:left w:val="single" w:color="auto" w:sz="4" w:space="0"/>
            </w:tcBorders>
            <w:shd w:val="clear" w:color="auto" w:fill="auto"/>
            <w:vAlign w:val="center"/>
          </w:tcPr>
          <w:p w14:paraId="56FE3EB2">
            <w:pPr>
              <w:pStyle w:val="208"/>
              <w:adjustRightInd w:val="0"/>
              <w:snapToGrid w:val="0"/>
              <w:rPr>
                <w:rFonts w:hint="eastAsia"/>
                <w:szCs w:val="21"/>
              </w:rPr>
            </w:pPr>
            <w:r>
              <w:rPr>
                <w:rFonts w:hint="eastAsia"/>
                <w:szCs w:val="21"/>
              </w:rPr>
              <w:t>0.0156</w:t>
            </w:r>
          </w:p>
        </w:tc>
        <w:tc>
          <w:tcPr>
            <w:tcW w:w="420" w:type="pct"/>
            <w:shd w:val="clear" w:color="auto" w:fill="auto"/>
            <w:vAlign w:val="center"/>
          </w:tcPr>
          <w:p w14:paraId="72B81052">
            <w:pPr>
              <w:pStyle w:val="208"/>
              <w:adjustRightInd w:val="0"/>
              <w:snapToGrid w:val="0"/>
              <w:rPr>
                <w:rFonts w:hint="eastAsia"/>
                <w:szCs w:val="21"/>
              </w:rPr>
            </w:pPr>
            <w:r>
              <w:rPr>
                <w:rFonts w:hint="eastAsia"/>
                <w:szCs w:val="21"/>
              </w:rPr>
              <w:t>达标</w:t>
            </w:r>
          </w:p>
        </w:tc>
      </w:tr>
      <w:tr w14:paraId="0F5941D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AD7B3A9">
            <w:pPr>
              <w:pStyle w:val="208"/>
              <w:adjustRightInd w:val="0"/>
              <w:snapToGrid w:val="0"/>
              <w:spacing w:line="300" w:lineRule="exact"/>
              <w:rPr>
                <w:rFonts w:hint="eastAsia"/>
                <w:szCs w:val="21"/>
                <w:lang w:val="zh-CN"/>
              </w:rPr>
            </w:pPr>
          </w:p>
        </w:tc>
        <w:tc>
          <w:tcPr>
            <w:tcW w:w="634" w:type="pct"/>
            <w:shd w:val="clear" w:color="auto" w:fill="auto"/>
            <w:vAlign w:val="center"/>
          </w:tcPr>
          <w:p w14:paraId="60141C54">
            <w:pPr>
              <w:pStyle w:val="208"/>
              <w:adjustRightInd w:val="0"/>
              <w:snapToGrid w:val="0"/>
              <w:rPr>
                <w:rFonts w:hint="eastAsia"/>
                <w:szCs w:val="21"/>
              </w:rPr>
            </w:pPr>
            <w:r>
              <w:rPr>
                <w:rFonts w:hint="eastAsia"/>
                <w:szCs w:val="21"/>
              </w:rPr>
              <w:t>铬</w:t>
            </w:r>
          </w:p>
        </w:tc>
        <w:tc>
          <w:tcPr>
            <w:tcW w:w="473" w:type="pct"/>
            <w:tcBorders>
              <w:right w:val="single" w:color="auto" w:sz="4" w:space="0"/>
            </w:tcBorders>
            <w:shd w:val="clear" w:color="auto" w:fill="auto"/>
            <w:vAlign w:val="center"/>
          </w:tcPr>
          <w:p w14:paraId="7E8FBCB8">
            <w:pPr>
              <w:pStyle w:val="208"/>
              <w:adjustRightInd w:val="0"/>
              <w:snapToGrid w:val="0"/>
              <w:rPr>
                <w:rFonts w:hint="eastAsia"/>
                <w:szCs w:val="21"/>
              </w:rPr>
            </w:pPr>
            <w:r>
              <w:rPr>
                <w:rFonts w:hint="eastAsia"/>
                <w:szCs w:val="21"/>
              </w:rPr>
              <w:t>0</w:t>
            </w:r>
            <w:r>
              <w:rPr>
                <w:szCs w:val="21"/>
              </w:rPr>
              <w:t>.5L</w:t>
            </w:r>
          </w:p>
        </w:tc>
        <w:tc>
          <w:tcPr>
            <w:tcW w:w="637" w:type="pct"/>
            <w:tcBorders>
              <w:left w:val="single" w:color="auto" w:sz="4" w:space="0"/>
            </w:tcBorders>
            <w:shd w:val="clear" w:color="auto" w:fill="auto"/>
            <w:vAlign w:val="center"/>
          </w:tcPr>
          <w:p w14:paraId="6B47E8DC">
            <w:pPr>
              <w:pStyle w:val="208"/>
              <w:adjustRightInd w:val="0"/>
              <w:snapToGrid w:val="0"/>
              <w:rPr>
                <w:rFonts w:hint="eastAsia"/>
                <w:szCs w:val="21"/>
              </w:rPr>
            </w:pPr>
            <w:r>
              <w:rPr>
                <w:rFonts w:hint="eastAsia"/>
                <w:szCs w:val="21"/>
              </w:rPr>
              <w:t>/</w:t>
            </w:r>
          </w:p>
        </w:tc>
        <w:tc>
          <w:tcPr>
            <w:tcW w:w="634" w:type="pct"/>
            <w:tcBorders>
              <w:right w:val="single" w:color="auto" w:sz="4" w:space="0"/>
            </w:tcBorders>
            <w:shd w:val="clear" w:color="auto" w:fill="auto"/>
            <w:vAlign w:val="center"/>
          </w:tcPr>
          <w:p w14:paraId="40BD303D">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34F078CA">
            <w:pPr>
              <w:pStyle w:val="208"/>
              <w:adjustRightInd w:val="0"/>
              <w:snapToGrid w:val="0"/>
              <w:rPr>
                <w:rFonts w:hint="eastAsia"/>
                <w:szCs w:val="21"/>
              </w:rPr>
            </w:pPr>
            <w:r>
              <w:rPr>
                <w:rFonts w:hint="eastAsia"/>
                <w:szCs w:val="21"/>
              </w:rPr>
              <w:t>/</w:t>
            </w:r>
          </w:p>
        </w:tc>
        <w:tc>
          <w:tcPr>
            <w:tcW w:w="554" w:type="pct"/>
            <w:tcBorders>
              <w:right w:val="single" w:color="auto" w:sz="4" w:space="0"/>
            </w:tcBorders>
            <w:shd w:val="clear" w:color="auto" w:fill="auto"/>
            <w:vAlign w:val="center"/>
          </w:tcPr>
          <w:p w14:paraId="0856B50D">
            <w:pPr>
              <w:pStyle w:val="208"/>
              <w:adjustRightInd w:val="0"/>
              <w:snapToGrid w:val="0"/>
              <w:rPr>
                <w:rFonts w:hint="eastAsia"/>
                <w:szCs w:val="21"/>
              </w:rPr>
            </w:pPr>
            <w:r>
              <w:rPr>
                <w:rFonts w:hint="eastAsia"/>
                <w:szCs w:val="21"/>
              </w:rPr>
              <w:t>0</w:t>
            </w:r>
            <w:r>
              <w:rPr>
                <w:szCs w:val="21"/>
              </w:rPr>
              <w:t>.5L</w:t>
            </w:r>
          </w:p>
        </w:tc>
        <w:tc>
          <w:tcPr>
            <w:tcW w:w="635" w:type="pct"/>
            <w:tcBorders>
              <w:left w:val="single" w:color="auto" w:sz="4" w:space="0"/>
            </w:tcBorders>
            <w:shd w:val="clear" w:color="auto" w:fill="auto"/>
            <w:vAlign w:val="center"/>
          </w:tcPr>
          <w:p w14:paraId="016C7B22">
            <w:pPr>
              <w:pStyle w:val="208"/>
              <w:adjustRightInd w:val="0"/>
              <w:snapToGrid w:val="0"/>
              <w:rPr>
                <w:rFonts w:hint="eastAsia"/>
                <w:szCs w:val="21"/>
              </w:rPr>
            </w:pPr>
            <w:r>
              <w:rPr>
                <w:rFonts w:hint="eastAsia"/>
                <w:szCs w:val="21"/>
              </w:rPr>
              <w:t>/</w:t>
            </w:r>
          </w:p>
        </w:tc>
        <w:tc>
          <w:tcPr>
            <w:tcW w:w="420" w:type="pct"/>
            <w:shd w:val="clear" w:color="auto" w:fill="auto"/>
            <w:vAlign w:val="center"/>
          </w:tcPr>
          <w:p w14:paraId="39BC7ECD">
            <w:pPr>
              <w:pStyle w:val="208"/>
              <w:adjustRightInd w:val="0"/>
              <w:snapToGrid w:val="0"/>
              <w:rPr>
                <w:rFonts w:hint="eastAsia"/>
                <w:szCs w:val="21"/>
              </w:rPr>
            </w:pPr>
            <w:r>
              <w:rPr>
                <w:rFonts w:hint="eastAsia"/>
                <w:szCs w:val="21"/>
              </w:rPr>
              <w:t>达标</w:t>
            </w:r>
          </w:p>
        </w:tc>
      </w:tr>
      <w:tr w14:paraId="5DE1040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6E3F78FE">
            <w:pPr>
              <w:pStyle w:val="208"/>
              <w:adjustRightInd w:val="0"/>
              <w:snapToGrid w:val="0"/>
              <w:spacing w:line="300" w:lineRule="exact"/>
              <w:rPr>
                <w:rFonts w:hint="eastAsia"/>
                <w:szCs w:val="21"/>
                <w:lang w:val="zh-CN"/>
              </w:rPr>
            </w:pPr>
          </w:p>
        </w:tc>
        <w:tc>
          <w:tcPr>
            <w:tcW w:w="634" w:type="pct"/>
            <w:shd w:val="clear" w:color="auto" w:fill="auto"/>
            <w:vAlign w:val="center"/>
          </w:tcPr>
          <w:p w14:paraId="1411A8B4">
            <w:pPr>
              <w:pStyle w:val="208"/>
              <w:adjustRightInd w:val="0"/>
              <w:snapToGrid w:val="0"/>
              <w:spacing w:line="300" w:lineRule="exact"/>
              <w:rPr>
                <w:rFonts w:hint="eastAsia"/>
                <w:szCs w:val="21"/>
              </w:rPr>
            </w:pPr>
            <w:r>
              <w:rPr>
                <w:rFonts w:hint="eastAsia"/>
                <w:szCs w:val="21"/>
              </w:rPr>
              <w:t>铜</w:t>
            </w:r>
          </w:p>
        </w:tc>
        <w:tc>
          <w:tcPr>
            <w:tcW w:w="473" w:type="pct"/>
            <w:tcBorders>
              <w:right w:val="single" w:color="auto" w:sz="4" w:space="0"/>
            </w:tcBorders>
            <w:shd w:val="clear" w:color="auto" w:fill="auto"/>
            <w:vAlign w:val="center"/>
          </w:tcPr>
          <w:p w14:paraId="0481C1C2">
            <w:pPr>
              <w:pStyle w:val="208"/>
              <w:adjustRightInd w:val="0"/>
              <w:snapToGrid w:val="0"/>
              <w:spacing w:line="300" w:lineRule="exact"/>
              <w:rPr>
                <w:rFonts w:hint="eastAsia"/>
                <w:szCs w:val="21"/>
              </w:rPr>
            </w:pPr>
            <w:r>
              <w:rPr>
                <w:rFonts w:hint="eastAsia"/>
                <w:szCs w:val="21"/>
              </w:rPr>
              <w:t>2</w:t>
            </w:r>
            <w:r>
              <w:rPr>
                <w:szCs w:val="21"/>
              </w:rPr>
              <w:t>5</w:t>
            </w:r>
          </w:p>
        </w:tc>
        <w:tc>
          <w:tcPr>
            <w:tcW w:w="637" w:type="pct"/>
            <w:tcBorders>
              <w:left w:val="single" w:color="auto" w:sz="4" w:space="0"/>
            </w:tcBorders>
            <w:shd w:val="clear" w:color="auto" w:fill="auto"/>
            <w:vAlign w:val="center"/>
          </w:tcPr>
          <w:p w14:paraId="00F2E415">
            <w:pPr>
              <w:pStyle w:val="208"/>
              <w:adjustRightInd w:val="0"/>
              <w:snapToGrid w:val="0"/>
              <w:spacing w:line="300" w:lineRule="exact"/>
              <w:rPr>
                <w:rFonts w:hint="eastAsia"/>
                <w:szCs w:val="21"/>
              </w:rPr>
            </w:pPr>
            <w:r>
              <w:rPr>
                <w:szCs w:val="21"/>
              </w:rPr>
              <w:t>0.0014</w:t>
            </w:r>
          </w:p>
        </w:tc>
        <w:tc>
          <w:tcPr>
            <w:tcW w:w="634" w:type="pct"/>
            <w:tcBorders>
              <w:right w:val="single" w:color="auto" w:sz="4" w:space="0"/>
            </w:tcBorders>
            <w:shd w:val="clear" w:color="auto" w:fill="auto"/>
            <w:vAlign w:val="center"/>
          </w:tcPr>
          <w:p w14:paraId="01249A60">
            <w:pPr>
              <w:pStyle w:val="208"/>
              <w:adjustRightInd w:val="0"/>
              <w:snapToGrid w:val="0"/>
              <w:spacing w:line="300" w:lineRule="exact"/>
              <w:rPr>
                <w:rFonts w:hint="eastAsia"/>
                <w:szCs w:val="21"/>
              </w:rPr>
            </w:pPr>
            <w:r>
              <w:rPr>
                <w:rFonts w:hint="eastAsia"/>
                <w:szCs w:val="21"/>
              </w:rPr>
              <w:t>2</w:t>
            </w:r>
            <w:r>
              <w:rPr>
                <w:szCs w:val="21"/>
              </w:rPr>
              <w:t>5</w:t>
            </w:r>
          </w:p>
        </w:tc>
        <w:tc>
          <w:tcPr>
            <w:tcW w:w="635" w:type="pct"/>
            <w:tcBorders>
              <w:left w:val="single" w:color="auto" w:sz="4" w:space="0"/>
            </w:tcBorders>
            <w:shd w:val="clear" w:color="auto" w:fill="auto"/>
            <w:vAlign w:val="center"/>
          </w:tcPr>
          <w:p w14:paraId="744316CF">
            <w:pPr>
              <w:pStyle w:val="208"/>
              <w:adjustRightInd w:val="0"/>
              <w:snapToGrid w:val="0"/>
              <w:spacing w:line="300" w:lineRule="exact"/>
              <w:rPr>
                <w:rFonts w:hint="eastAsia"/>
                <w:szCs w:val="21"/>
              </w:rPr>
            </w:pPr>
            <w:r>
              <w:rPr>
                <w:szCs w:val="21"/>
              </w:rPr>
              <w:t>0.0014</w:t>
            </w:r>
          </w:p>
        </w:tc>
        <w:tc>
          <w:tcPr>
            <w:tcW w:w="554" w:type="pct"/>
            <w:tcBorders>
              <w:right w:val="single" w:color="auto" w:sz="4" w:space="0"/>
            </w:tcBorders>
            <w:shd w:val="clear" w:color="auto" w:fill="auto"/>
            <w:vAlign w:val="center"/>
          </w:tcPr>
          <w:p w14:paraId="4CCF08E8">
            <w:pPr>
              <w:pStyle w:val="208"/>
              <w:adjustRightInd w:val="0"/>
              <w:snapToGrid w:val="0"/>
              <w:spacing w:line="300" w:lineRule="exact"/>
              <w:rPr>
                <w:rFonts w:hint="eastAsia"/>
                <w:szCs w:val="21"/>
              </w:rPr>
            </w:pPr>
            <w:r>
              <w:rPr>
                <w:rFonts w:hint="eastAsia"/>
                <w:szCs w:val="21"/>
              </w:rPr>
              <w:t>2</w:t>
            </w:r>
            <w:r>
              <w:rPr>
                <w:szCs w:val="21"/>
              </w:rPr>
              <w:t>5</w:t>
            </w:r>
          </w:p>
        </w:tc>
        <w:tc>
          <w:tcPr>
            <w:tcW w:w="635" w:type="pct"/>
            <w:tcBorders>
              <w:left w:val="single" w:color="auto" w:sz="4" w:space="0"/>
            </w:tcBorders>
            <w:shd w:val="clear" w:color="auto" w:fill="auto"/>
            <w:vAlign w:val="center"/>
          </w:tcPr>
          <w:p w14:paraId="3D95879F">
            <w:pPr>
              <w:pStyle w:val="208"/>
              <w:adjustRightInd w:val="0"/>
              <w:snapToGrid w:val="0"/>
              <w:spacing w:line="300" w:lineRule="exact"/>
              <w:rPr>
                <w:rFonts w:hint="eastAsia"/>
                <w:szCs w:val="21"/>
              </w:rPr>
            </w:pPr>
            <w:r>
              <w:rPr>
                <w:rFonts w:hint="eastAsia"/>
                <w:szCs w:val="21"/>
              </w:rPr>
              <w:t>0.0014</w:t>
            </w:r>
          </w:p>
        </w:tc>
        <w:tc>
          <w:tcPr>
            <w:tcW w:w="420" w:type="pct"/>
            <w:shd w:val="clear" w:color="auto" w:fill="auto"/>
            <w:vAlign w:val="center"/>
          </w:tcPr>
          <w:p w14:paraId="2C80A259">
            <w:pPr>
              <w:pStyle w:val="208"/>
              <w:adjustRightInd w:val="0"/>
              <w:snapToGrid w:val="0"/>
              <w:spacing w:line="300" w:lineRule="exact"/>
              <w:rPr>
                <w:rFonts w:hint="eastAsia"/>
                <w:szCs w:val="21"/>
              </w:rPr>
            </w:pPr>
            <w:r>
              <w:rPr>
                <w:rFonts w:hint="eastAsia"/>
                <w:szCs w:val="21"/>
              </w:rPr>
              <w:t>达标</w:t>
            </w:r>
          </w:p>
        </w:tc>
      </w:tr>
      <w:tr w14:paraId="6D9208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C645643">
            <w:pPr>
              <w:pStyle w:val="208"/>
              <w:adjustRightInd w:val="0"/>
              <w:snapToGrid w:val="0"/>
              <w:spacing w:line="300" w:lineRule="exact"/>
              <w:rPr>
                <w:rFonts w:hint="eastAsia"/>
                <w:szCs w:val="21"/>
                <w:lang w:val="zh-CN"/>
              </w:rPr>
            </w:pPr>
          </w:p>
        </w:tc>
        <w:tc>
          <w:tcPr>
            <w:tcW w:w="634" w:type="pct"/>
            <w:shd w:val="clear" w:color="auto" w:fill="auto"/>
            <w:vAlign w:val="center"/>
          </w:tcPr>
          <w:p w14:paraId="504E1A63">
            <w:pPr>
              <w:pStyle w:val="208"/>
              <w:adjustRightInd w:val="0"/>
              <w:snapToGrid w:val="0"/>
              <w:spacing w:line="300" w:lineRule="exact"/>
              <w:rPr>
                <w:rFonts w:hint="eastAsia"/>
                <w:szCs w:val="21"/>
              </w:rPr>
            </w:pPr>
            <w:r>
              <w:rPr>
                <w:rFonts w:hint="eastAsia"/>
                <w:szCs w:val="21"/>
              </w:rPr>
              <w:t>铅</w:t>
            </w:r>
          </w:p>
        </w:tc>
        <w:tc>
          <w:tcPr>
            <w:tcW w:w="473" w:type="pct"/>
            <w:tcBorders>
              <w:right w:val="single" w:color="auto" w:sz="4" w:space="0"/>
            </w:tcBorders>
            <w:shd w:val="clear" w:color="auto" w:fill="auto"/>
            <w:vAlign w:val="center"/>
          </w:tcPr>
          <w:p w14:paraId="5F571DD5">
            <w:pPr>
              <w:pStyle w:val="208"/>
              <w:adjustRightInd w:val="0"/>
              <w:snapToGrid w:val="0"/>
              <w:spacing w:line="300" w:lineRule="exact"/>
              <w:rPr>
                <w:rFonts w:hint="eastAsia"/>
                <w:szCs w:val="21"/>
              </w:rPr>
            </w:pPr>
            <w:r>
              <w:rPr>
                <w:rFonts w:hint="eastAsia"/>
                <w:szCs w:val="21"/>
              </w:rPr>
              <w:t>3</w:t>
            </w:r>
            <w:r>
              <w:rPr>
                <w:szCs w:val="21"/>
              </w:rPr>
              <w:t>7</w:t>
            </w:r>
          </w:p>
        </w:tc>
        <w:tc>
          <w:tcPr>
            <w:tcW w:w="637" w:type="pct"/>
            <w:tcBorders>
              <w:left w:val="single" w:color="auto" w:sz="4" w:space="0"/>
            </w:tcBorders>
            <w:shd w:val="clear" w:color="auto" w:fill="auto"/>
            <w:vAlign w:val="center"/>
          </w:tcPr>
          <w:p w14:paraId="2C20545D">
            <w:pPr>
              <w:pStyle w:val="208"/>
              <w:adjustRightInd w:val="0"/>
              <w:snapToGrid w:val="0"/>
              <w:spacing w:line="300" w:lineRule="exact"/>
              <w:rPr>
                <w:rFonts w:hint="eastAsia"/>
                <w:szCs w:val="21"/>
              </w:rPr>
            </w:pPr>
            <w:r>
              <w:rPr>
                <w:szCs w:val="21"/>
              </w:rPr>
              <w:t>0.0463</w:t>
            </w:r>
          </w:p>
        </w:tc>
        <w:tc>
          <w:tcPr>
            <w:tcW w:w="634" w:type="pct"/>
            <w:tcBorders>
              <w:right w:val="single" w:color="auto" w:sz="4" w:space="0"/>
            </w:tcBorders>
            <w:shd w:val="clear" w:color="auto" w:fill="auto"/>
            <w:vAlign w:val="center"/>
          </w:tcPr>
          <w:p w14:paraId="6F514169">
            <w:pPr>
              <w:pStyle w:val="208"/>
              <w:adjustRightInd w:val="0"/>
              <w:snapToGrid w:val="0"/>
              <w:spacing w:line="300" w:lineRule="exact"/>
              <w:rPr>
                <w:rFonts w:hint="eastAsia"/>
                <w:szCs w:val="21"/>
              </w:rPr>
            </w:pPr>
            <w:r>
              <w:rPr>
                <w:rFonts w:hint="eastAsia"/>
                <w:szCs w:val="21"/>
              </w:rPr>
              <w:t>3</w:t>
            </w:r>
            <w:r>
              <w:rPr>
                <w:szCs w:val="21"/>
              </w:rPr>
              <w:t>4</w:t>
            </w:r>
          </w:p>
        </w:tc>
        <w:tc>
          <w:tcPr>
            <w:tcW w:w="635" w:type="pct"/>
            <w:tcBorders>
              <w:left w:val="single" w:color="auto" w:sz="4" w:space="0"/>
            </w:tcBorders>
            <w:shd w:val="clear" w:color="auto" w:fill="auto"/>
            <w:vAlign w:val="center"/>
          </w:tcPr>
          <w:p w14:paraId="1B4739E1">
            <w:pPr>
              <w:pStyle w:val="208"/>
              <w:adjustRightInd w:val="0"/>
              <w:snapToGrid w:val="0"/>
              <w:spacing w:line="300" w:lineRule="exact"/>
              <w:rPr>
                <w:rFonts w:hint="eastAsia"/>
                <w:szCs w:val="21"/>
              </w:rPr>
            </w:pPr>
            <w:r>
              <w:rPr>
                <w:szCs w:val="21"/>
              </w:rPr>
              <w:t>0.0425</w:t>
            </w:r>
          </w:p>
        </w:tc>
        <w:tc>
          <w:tcPr>
            <w:tcW w:w="554" w:type="pct"/>
            <w:tcBorders>
              <w:right w:val="single" w:color="auto" w:sz="4" w:space="0"/>
            </w:tcBorders>
            <w:shd w:val="clear" w:color="auto" w:fill="auto"/>
            <w:vAlign w:val="center"/>
          </w:tcPr>
          <w:p w14:paraId="16843366">
            <w:pPr>
              <w:pStyle w:val="208"/>
              <w:adjustRightInd w:val="0"/>
              <w:snapToGrid w:val="0"/>
              <w:spacing w:line="300" w:lineRule="exact"/>
              <w:rPr>
                <w:rFonts w:hint="eastAsia"/>
                <w:szCs w:val="21"/>
              </w:rPr>
            </w:pPr>
            <w:r>
              <w:rPr>
                <w:rFonts w:hint="eastAsia"/>
                <w:szCs w:val="21"/>
              </w:rPr>
              <w:t>3</w:t>
            </w:r>
            <w:r>
              <w:rPr>
                <w:szCs w:val="21"/>
              </w:rPr>
              <w:t>7</w:t>
            </w:r>
          </w:p>
        </w:tc>
        <w:tc>
          <w:tcPr>
            <w:tcW w:w="635" w:type="pct"/>
            <w:tcBorders>
              <w:left w:val="single" w:color="auto" w:sz="4" w:space="0"/>
            </w:tcBorders>
            <w:shd w:val="clear" w:color="auto" w:fill="auto"/>
            <w:vAlign w:val="center"/>
          </w:tcPr>
          <w:p w14:paraId="68B48E8B">
            <w:pPr>
              <w:pStyle w:val="208"/>
              <w:adjustRightInd w:val="0"/>
              <w:snapToGrid w:val="0"/>
              <w:spacing w:line="300" w:lineRule="exact"/>
              <w:rPr>
                <w:rFonts w:hint="eastAsia"/>
                <w:szCs w:val="21"/>
              </w:rPr>
            </w:pPr>
            <w:r>
              <w:rPr>
                <w:rFonts w:hint="eastAsia"/>
                <w:szCs w:val="21"/>
              </w:rPr>
              <w:t>0.0463</w:t>
            </w:r>
          </w:p>
        </w:tc>
        <w:tc>
          <w:tcPr>
            <w:tcW w:w="420" w:type="pct"/>
            <w:shd w:val="clear" w:color="auto" w:fill="auto"/>
            <w:vAlign w:val="center"/>
          </w:tcPr>
          <w:p w14:paraId="71CD5711">
            <w:pPr>
              <w:pStyle w:val="208"/>
              <w:adjustRightInd w:val="0"/>
              <w:snapToGrid w:val="0"/>
              <w:spacing w:line="300" w:lineRule="exact"/>
              <w:rPr>
                <w:rFonts w:hint="eastAsia"/>
                <w:szCs w:val="21"/>
              </w:rPr>
            </w:pPr>
            <w:r>
              <w:rPr>
                <w:rFonts w:hint="eastAsia"/>
                <w:szCs w:val="21"/>
              </w:rPr>
              <w:t>达标</w:t>
            </w:r>
          </w:p>
        </w:tc>
      </w:tr>
      <w:tr w14:paraId="60A7E51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16601B11">
            <w:pPr>
              <w:pStyle w:val="208"/>
              <w:adjustRightInd w:val="0"/>
              <w:snapToGrid w:val="0"/>
              <w:spacing w:line="300" w:lineRule="exact"/>
              <w:rPr>
                <w:rFonts w:hint="eastAsia"/>
                <w:szCs w:val="21"/>
                <w:lang w:val="zh-CN"/>
              </w:rPr>
            </w:pPr>
          </w:p>
        </w:tc>
        <w:tc>
          <w:tcPr>
            <w:tcW w:w="634" w:type="pct"/>
            <w:shd w:val="clear" w:color="auto" w:fill="auto"/>
            <w:vAlign w:val="center"/>
          </w:tcPr>
          <w:p w14:paraId="7FFB140B">
            <w:pPr>
              <w:pStyle w:val="208"/>
              <w:adjustRightInd w:val="0"/>
              <w:snapToGrid w:val="0"/>
              <w:spacing w:line="300" w:lineRule="exact"/>
              <w:rPr>
                <w:rFonts w:hint="eastAsia"/>
                <w:szCs w:val="21"/>
              </w:rPr>
            </w:pPr>
            <w:r>
              <w:rPr>
                <w:rFonts w:hint="eastAsia"/>
                <w:szCs w:val="21"/>
              </w:rPr>
              <w:t>汞</w:t>
            </w:r>
          </w:p>
        </w:tc>
        <w:tc>
          <w:tcPr>
            <w:tcW w:w="473" w:type="pct"/>
            <w:tcBorders>
              <w:right w:val="single" w:color="auto" w:sz="4" w:space="0"/>
            </w:tcBorders>
            <w:shd w:val="clear" w:color="auto" w:fill="auto"/>
            <w:vAlign w:val="center"/>
          </w:tcPr>
          <w:p w14:paraId="5E3CE507">
            <w:pPr>
              <w:pStyle w:val="208"/>
              <w:adjustRightInd w:val="0"/>
              <w:snapToGrid w:val="0"/>
              <w:spacing w:line="300" w:lineRule="exact"/>
              <w:rPr>
                <w:rFonts w:hint="eastAsia"/>
                <w:szCs w:val="21"/>
              </w:rPr>
            </w:pPr>
            <w:r>
              <w:rPr>
                <w:rFonts w:hint="eastAsia"/>
                <w:szCs w:val="21"/>
              </w:rPr>
              <w:t>0</w:t>
            </w:r>
            <w:r>
              <w:rPr>
                <w:szCs w:val="21"/>
              </w:rPr>
              <w:t>.121</w:t>
            </w:r>
          </w:p>
        </w:tc>
        <w:tc>
          <w:tcPr>
            <w:tcW w:w="637" w:type="pct"/>
            <w:tcBorders>
              <w:left w:val="single" w:color="auto" w:sz="4" w:space="0"/>
            </w:tcBorders>
            <w:shd w:val="clear" w:color="auto" w:fill="auto"/>
            <w:vAlign w:val="center"/>
          </w:tcPr>
          <w:p w14:paraId="612B2145">
            <w:pPr>
              <w:pStyle w:val="208"/>
              <w:adjustRightInd w:val="0"/>
              <w:snapToGrid w:val="0"/>
              <w:spacing w:line="300" w:lineRule="exact"/>
              <w:rPr>
                <w:rFonts w:hint="eastAsia"/>
                <w:szCs w:val="21"/>
              </w:rPr>
            </w:pPr>
            <w:r>
              <w:rPr>
                <w:szCs w:val="21"/>
              </w:rPr>
              <w:t>0.0032</w:t>
            </w:r>
          </w:p>
        </w:tc>
        <w:tc>
          <w:tcPr>
            <w:tcW w:w="634" w:type="pct"/>
            <w:tcBorders>
              <w:right w:val="single" w:color="auto" w:sz="4" w:space="0"/>
            </w:tcBorders>
            <w:shd w:val="clear" w:color="auto" w:fill="auto"/>
            <w:vAlign w:val="center"/>
          </w:tcPr>
          <w:p w14:paraId="4EA84B34">
            <w:pPr>
              <w:pStyle w:val="208"/>
              <w:adjustRightInd w:val="0"/>
              <w:snapToGrid w:val="0"/>
              <w:spacing w:line="300" w:lineRule="exact"/>
              <w:rPr>
                <w:rFonts w:hint="eastAsia"/>
                <w:szCs w:val="21"/>
              </w:rPr>
            </w:pPr>
            <w:r>
              <w:rPr>
                <w:rFonts w:hint="eastAsia"/>
                <w:szCs w:val="21"/>
              </w:rPr>
              <w:t>0</w:t>
            </w:r>
            <w:r>
              <w:rPr>
                <w:szCs w:val="21"/>
              </w:rPr>
              <w:t>.121</w:t>
            </w:r>
          </w:p>
        </w:tc>
        <w:tc>
          <w:tcPr>
            <w:tcW w:w="635" w:type="pct"/>
            <w:tcBorders>
              <w:left w:val="single" w:color="auto" w:sz="4" w:space="0"/>
            </w:tcBorders>
            <w:shd w:val="clear" w:color="auto" w:fill="auto"/>
            <w:vAlign w:val="center"/>
          </w:tcPr>
          <w:p w14:paraId="2959DC63">
            <w:pPr>
              <w:pStyle w:val="208"/>
              <w:adjustRightInd w:val="0"/>
              <w:snapToGrid w:val="0"/>
              <w:spacing w:line="300" w:lineRule="exact"/>
              <w:rPr>
                <w:rFonts w:hint="eastAsia"/>
                <w:szCs w:val="21"/>
              </w:rPr>
            </w:pPr>
            <w:r>
              <w:rPr>
                <w:szCs w:val="21"/>
              </w:rPr>
              <w:t>0.0032</w:t>
            </w:r>
          </w:p>
        </w:tc>
        <w:tc>
          <w:tcPr>
            <w:tcW w:w="554" w:type="pct"/>
            <w:tcBorders>
              <w:right w:val="single" w:color="auto" w:sz="4" w:space="0"/>
            </w:tcBorders>
            <w:shd w:val="clear" w:color="auto" w:fill="auto"/>
            <w:vAlign w:val="center"/>
          </w:tcPr>
          <w:p w14:paraId="77689B47">
            <w:pPr>
              <w:pStyle w:val="208"/>
              <w:adjustRightInd w:val="0"/>
              <w:snapToGrid w:val="0"/>
              <w:spacing w:line="300" w:lineRule="exact"/>
              <w:rPr>
                <w:rFonts w:hint="eastAsia"/>
                <w:szCs w:val="21"/>
              </w:rPr>
            </w:pPr>
            <w:r>
              <w:rPr>
                <w:rFonts w:hint="eastAsia"/>
                <w:szCs w:val="21"/>
              </w:rPr>
              <w:t>0</w:t>
            </w:r>
            <w:r>
              <w:rPr>
                <w:szCs w:val="21"/>
              </w:rPr>
              <w:t>.129</w:t>
            </w:r>
          </w:p>
        </w:tc>
        <w:tc>
          <w:tcPr>
            <w:tcW w:w="635" w:type="pct"/>
            <w:tcBorders>
              <w:left w:val="single" w:color="auto" w:sz="4" w:space="0"/>
            </w:tcBorders>
            <w:shd w:val="clear" w:color="auto" w:fill="auto"/>
            <w:vAlign w:val="center"/>
          </w:tcPr>
          <w:p w14:paraId="0319E06B">
            <w:pPr>
              <w:pStyle w:val="208"/>
              <w:adjustRightInd w:val="0"/>
              <w:snapToGrid w:val="0"/>
              <w:spacing w:line="300" w:lineRule="exact"/>
              <w:rPr>
                <w:rFonts w:hint="eastAsia"/>
                <w:szCs w:val="21"/>
              </w:rPr>
            </w:pPr>
            <w:r>
              <w:rPr>
                <w:rFonts w:hint="eastAsia"/>
                <w:szCs w:val="21"/>
              </w:rPr>
              <w:t>0.0034</w:t>
            </w:r>
          </w:p>
        </w:tc>
        <w:tc>
          <w:tcPr>
            <w:tcW w:w="420" w:type="pct"/>
            <w:shd w:val="clear" w:color="auto" w:fill="auto"/>
            <w:vAlign w:val="center"/>
          </w:tcPr>
          <w:p w14:paraId="12C31276">
            <w:pPr>
              <w:pStyle w:val="208"/>
              <w:adjustRightInd w:val="0"/>
              <w:snapToGrid w:val="0"/>
              <w:spacing w:line="300" w:lineRule="exact"/>
              <w:rPr>
                <w:rFonts w:hint="eastAsia"/>
                <w:szCs w:val="21"/>
              </w:rPr>
            </w:pPr>
            <w:r>
              <w:rPr>
                <w:rFonts w:hint="eastAsia"/>
                <w:szCs w:val="21"/>
              </w:rPr>
              <w:t>达标</w:t>
            </w:r>
          </w:p>
        </w:tc>
      </w:tr>
      <w:tr w14:paraId="375C0A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378" w:type="pct"/>
            <w:vMerge w:val="continue"/>
            <w:shd w:val="clear" w:color="auto" w:fill="auto"/>
            <w:vAlign w:val="center"/>
          </w:tcPr>
          <w:p w14:paraId="240C0131">
            <w:pPr>
              <w:pStyle w:val="208"/>
              <w:adjustRightInd w:val="0"/>
              <w:snapToGrid w:val="0"/>
              <w:spacing w:line="300" w:lineRule="exact"/>
              <w:rPr>
                <w:rFonts w:hint="eastAsia"/>
                <w:szCs w:val="21"/>
                <w:lang w:val="zh-CN"/>
              </w:rPr>
            </w:pPr>
          </w:p>
        </w:tc>
        <w:tc>
          <w:tcPr>
            <w:tcW w:w="634" w:type="pct"/>
            <w:shd w:val="clear" w:color="auto" w:fill="auto"/>
            <w:vAlign w:val="center"/>
          </w:tcPr>
          <w:p w14:paraId="7B966EDE">
            <w:pPr>
              <w:pStyle w:val="208"/>
              <w:adjustRightInd w:val="0"/>
              <w:snapToGrid w:val="0"/>
              <w:spacing w:line="300" w:lineRule="exact"/>
              <w:rPr>
                <w:rFonts w:hint="eastAsia"/>
                <w:szCs w:val="21"/>
              </w:rPr>
            </w:pPr>
            <w:r>
              <w:rPr>
                <w:rFonts w:hint="eastAsia"/>
                <w:szCs w:val="21"/>
              </w:rPr>
              <w:t>砷</w:t>
            </w:r>
          </w:p>
        </w:tc>
        <w:tc>
          <w:tcPr>
            <w:tcW w:w="473" w:type="pct"/>
            <w:tcBorders>
              <w:right w:val="single" w:color="auto" w:sz="4" w:space="0"/>
            </w:tcBorders>
            <w:shd w:val="clear" w:color="auto" w:fill="auto"/>
            <w:vAlign w:val="center"/>
          </w:tcPr>
          <w:p w14:paraId="55283215">
            <w:pPr>
              <w:pStyle w:val="208"/>
              <w:adjustRightInd w:val="0"/>
              <w:snapToGrid w:val="0"/>
              <w:spacing w:line="300" w:lineRule="exact"/>
              <w:rPr>
                <w:rFonts w:hint="eastAsia"/>
                <w:szCs w:val="21"/>
              </w:rPr>
            </w:pPr>
            <w:r>
              <w:rPr>
                <w:rFonts w:hint="eastAsia"/>
                <w:szCs w:val="21"/>
              </w:rPr>
              <w:t>5</w:t>
            </w:r>
            <w:r>
              <w:rPr>
                <w:szCs w:val="21"/>
              </w:rPr>
              <w:t>.97</w:t>
            </w:r>
          </w:p>
        </w:tc>
        <w:tc>
          <w:tcPr>
            <w:tcW w:w="637" w:type="pct"/>
            <w:tcBorders>
              <w:left w:val="single" w:color="auto" w:sz="4" w:space="0"/>
            </w:tcBorders>
            <w:shd w:val="clear" w:color="auto" w:fill="auto"/>
            <w:vAlign w:val="center"/>
          </w:tcPr>
          <w:p w14:paraId="02163E27">
            <w:pPr>
              <w:pStyle w:val="208"/>
              <w:adjustRightInd w:val="0"/>
              <w:snapToGrid w:val="0"/>
              <w:spacing w:line="300" w:lineRule="exact"/>
              <w:rPr>
                <w:rFonts w:hint="eastAsia"/>
                <w:szCs w:val="21"/>
              </w:rPr>
            </w:pPr>
            <w:r>
              <w:rPr>
                <w:szCs w:val="21"/>
              </w:rPr>
              <w:t>0.0995</w:t>
            </w:r>
          </w:p>
        </w:tc>
        <w:tc>
          <w:tcPr>
            <w:tcW w:w="634" w:type="pct"/>
            <w:tcBorders>
              <w:right w:val="single" w:color="auto" w:sz="4" w:space="0"/>
            </w:tcBorders>
            <w:shd w:val="clear" w:color="auto" w:fill="auto"/>
            <w:vAlign w:val="center"/>
          </w:tcPr>
          <w:p w14:paraId="2A5B0E93">
            <w:pPr>
              <w:pStyle w:val="208"/>
              <w:adjustRightInd w:val="0"/>
              <w:snapToGrid w:val="0"/>
              <w:spacing w:line="300" w:lineRule="exact"/>
              <w:rPr>
                <w:rFonts w:hint="eastAsia"/>
                <w:szCs w:val="21"/>
              </w:rPr>
            </w:pPr>
            <w:r>
              <w:rPr>
                <w:rFonts w:hint="eastAsia"/>
                <w:szCs w:val="21"/>
              </w:rPr>
              <w:t>5</w:t>
            </w:r>
            <w:r>
              <w:rPr>
                <w:szCs w:val="21"/>
              </w:rPr>
              <w:t>.86</w:t>
            </w:r>
          </w:p>
        </w:tc>
        <w:tc>
          <w:tcPr>
            <w:tcW w:w="635" w:type="pct"/>
            <w:tcBorders>
              <w:left w:val="single" w:color="auto" w:sz="4" w:space="0"/>
            </w:tcBorders>
            <w:shd w:val="clear" w:color="auto" w:fill="auto"/>
            <w:vAlign w:val="center"/>
          </w:tcPr>
          <w:p w14:paraId="024ADDEC">
            <w:pPr>
              <w:pStyle w:val="208"/>
              <w:adjustRightInd w:val="0"/>
              <w:snapToGrid w:val="0"/>
              <w:spacing w:line="300" w:lineRule="exact"/>
              <w:rPr>
                <w:rFonts w:hint="eastAsia"/>
                <w:szCs w:val="21"/>
              </w:rPr>
            </w:pPr>
            <w:r>
              <w:rPr>
                <w:szCs w:val="21"/>
              </w:rPr>
              <w:t>0.0977</w:t>
            </w:r>
          </w:p>
        </w:tc>
        <w:tc>
          <w:tcPr>
            <w:tcW w:w="554" w:type="pct"/>
            <w:tcBorders>
              <w:right w:val="single" w:color="auto" w:sz="4" w:space="0"/>
            </w:tcBorders>
            <w:shd w:val="clear" w:color="auto" w:fill="auto"/>
            <w:vAlign w:val="center"/>
          </w:tcPr>
          <w:p w14:paraId="0D3059EA">
            <w:pPr>
              <w:pStyle w:val="208"/>
              <w:adjustRightInd w:val="0"/>
              <w:snapToGrid w:val="0"/>
              <w:spacing w:line="300" w:lineRule="exact"/>
              <w:rPr>
                <w:rFonts w:hint="eastAsia"/>
                <w:szCs w:val="21"/>
              </w:rPr>
            </w:pPr>
            <w:r>
              <w:rPr>
                <w:rFonts w:hint="eastAsia"/>
                <w:szCs w:val="21"/>
              </w:rPr>
              <w:t>5</w:t>
            </w:r>
            <w:r>
              <w:rPr>
                <w:szCs w:val="21"/>
              </w:rPr>
              <w:t>.97</w:t>
            </w:r>
          </w:p>
        </w:tc>
        <w:tc>
          <w:tcPr>
            <w:tcW w:w="635" w:type="pct"/>
            <w:tcBorders>
              <w:left w:val="single" w:color="auto" w:sz="4" w:space="0"/>
            </w:tcBorders>
            <w:shd w:val="clear" w:color="auto" w:fill="auto"/>
            <w:vAlign w:val="center"/>
          </w:tcPr>
          <w:p w14:paraId="12F61BD0">
            <w:pPr>
              <w:pStyle w:val="208"/>
              <w:adjustRightInd w:val="0"/>
              <w:snapToGrid w:val="0"/>
              <w:spacing w:line="300" w:lineRule="exact"/>
              <w:rPr>
                <w:rFonts w:hint="eastAsia"/>
                <w:szCs w:val="21"/>
              </w:rPr>
            </w:pPr>
            <w:r>
              <w:rPr>
                <w:rFonts w:hint="eastAsia"/>
                <w:szCs w:val="21"/>
              </w:rPr>
              <w:t>0.0995</w:t>
            </w:r>
          </w:p>
        </w:tc>
        <w:tc>
          <w:tcPr>
            <w:tcW w:w="420" w:type="pct"/>
            <w:shd w:val="clear" w:color="auto" w:fill="auto"/>
            <w:vAlign w:val="center"/>
          </w:tcPr>
          <w:p w14:paraId="0695AEB5">
            <w:pPr>
              <w:pStyle w:val="208"/>
              <w:adjustRightInd w:val="0"/>
              <w:snapToGrid w:val="0"/>
              <w:spacing w:line="300" w:lineRule="exact"/>
              <w:rPr>
                <w:rFonts w:hint="eastAsia"/>
                <w:szCs w:val="21"/>
              </w:rPr>
            </w:pPr>
            <w:r>
              <w:rPr>
                <w:rFonts w:hint="eastAsia"/>
                <w:szCs w:val="21"/>
              </w:rPr>
              <w:t>达标</w:t>
            </w:r>
          </w:p>
        </w:tc>
      </w:tr>
      <w:bookmarkEnd w:id="562"/>
    </w:tbl>
    <w:p w14:paraId="60FEDC7D">
      <w:pPr>
        <w:pStyle w:val="117"/>
        <w:adjustRightInd w:val="0"/>
        <w:snapToGrid w:val="0"/>
        <w:ind w:firstLine="480"/>
        <w:rPr>
          <w:rFonts w:hint="eastAsia"/>
        </w:rPr>
      </w:pPr>
      <w:r>
        <w:rPr>
          <w:rFonts w:hint="eastAsia"/>
        </w:rPr>
        <w:t>本次类比的石西油田作业区石南</w:t>
      </w:r>
      <w:r>
        <w:t>4原油转输管线</w:t>
      </w:r>
      <w:r>
        <w:rPr>
          <w:rFonts w:hint="eastAsia"/>
        </w:rPr>
        <w:t>已发生过数</w:t>
      </w:r>
      <w:r>
        <w:t>次泄漏事故，</w:t>
      </w:r>
      <w:r>
        <w:rPr>
          <w:rFonts w:hint="eastAsia"/>
        </w:rPr>
        <w:t>表</w:t>
      </w:r>
      <w:r>
        <w:t>5.2</w:t>
      </w:r>
      <w:r>
        <w:rPr>
          <w:rFonts w:hint="eastAsia"/>
        </w:rPr>
        <w:t>-</w:t>
      </w:r>
      <w:r>
        <w:t>1</w:t>
      </w:r>
      <w:r>
        <w:rPr>
          <w:rFonts w:hint="eastAsia"/>
        </w:rPr>
        <w:t>2中3个监测点均为位于发生过原油泄漏并进行过应急处置的管段沿线的柱状样监测点，表5.2-12</w:t>
      </w:r>
      <w:r>
        <w:t>监测数据表明，发生过泄漏事件的管段土壤环境质量</w:t>
      </w:r>
      <w:r>
        <w:rPr>
          <w:rFonts w:hint="eastAsia"/>
        </w:rPr>
        <w:t>监测的柱状样点石油烃</w:t>
      </w:r>
      <w:r>
        <w:t>(C</w:t>
      </w:r>
      <w:r>
        <w:rPr>
          <w:vertAlign w:val="subscript"/>
        </w:rPr>
        <w:t>10</w:t>
      </w:r>
      <w:r>
        <w:t>～C</w:t>
      </w:r>
      <w:r>
        <w:rPr>
          <w:vertAlign w:val="subscript"/>
        </w:rPr>
        <w:t>40</w:t>
      </w:r>
      <w:r>
        <w:t>)均满足《土壤环境质量  建设用地土壤污染风险管控标准（试行）》（GB36600-2018）中第二类用地筛选值要求，说明</w:t>
      </w:r>
      <w:r>
        <w:rPr>
          <w:rFonts w:hint="eastAsia"/>
        </w:rPr>
        <w:t>输油管线泄漏应急处置措施有效，应急处置措施具体如下：当发生管线泄漏后，快速做出响应，</w:t>
      </w:r>
      <w:r>
        <w:t>关闭单井采油管线物料来源</w:t>
      </w:r>
      <w:r>
        <w:rPr>
          <w:rFonts w:hint="eastAsia"/>
        </w:rPr>
        <w:t>，挖出管线破点，可回收原油</w:t>
      </w:r>
      <w:r>
        <w:t>回收至</w:t>
      </w:r>
      <w:r>
        <w:rPr>
          <w:rFonts w:hint="eastAsia"/>
        </w:rPr>
        <w:t>处理站</w:t>
      </w:r>
      <w:r>
        <w:t>原油处理系统；采用管卡对</w:t>
      </w:r>
      <w:r>
        <w:rPr>
          <w:rFonts w:hint="eastAsia"/>
        </w:rPr>
        <w:t>管线</w:t>
      </w:r>
      <w:r>
        <w:t>破点进行修复，挖出的含油污泥</w:t>
      </w:r>
      <w:r>
        <w:rPr>
          <w:rFonts w:hint="eastAsia"/>
        </w:rPr>
        <w:t>全部清理，交由具有相应危废处置资质的单位负责接收、转运和处置。应急处理完后，用外购砂土回填管沟。</w:t>
      </w:r>
    </w:p>
    <w:p w14:paraId="697753D7">
      <w:pPr>
        <w:pStyle w:val="117"/>
        <w:adjustRightInd w:val="0"/>
        <w:snapToGrid w:val="0"/>
        <w:ind w:firstLine="480"/>
        <w:rPr>
          <w:rFonts w:hint="eastAsia"/>
        </w:rPr>
      </w:pPr>
      <w:r>
        <w:rPr>
          <w:rFonts w:hint="eastAsia"/>
        </w:rPr>
        <w:t>本项目管线输送的介质与石南</w:t>
      </w:r>
      <w:r>
        <w:t>4井区已经完成原油泄漏事故治理的管段类似，均为</w:t>
      </w:r>
      <w:r>
        <w:rPr>
          <w:rFonts w:hint="eastAsia"/>
        </w:rPr>
        <w:t>含水原油</w:t>
      </w:r>
      <w:r>
        <w:t>，对土壤的污染途径均为垂直入渗，</w:t>
      </w:r>
      <w:bookmarkStart w:id="565" w:name="_Hlk115195018"/>
      <w:r>
        <w:rPr>
          <w:rFonts w:hint="eastAsia"/>
        </w:rPr>
        <w:t>石南4井区土壤类型为沙地，项目区的土壤类型为盐土（主要为黄色壤土），根据《环境影响评价技术导则 地下水环境》（HJ610-2016）附录B可知，沙地的渗透性比盐土和草甸土的渗透性好，石南4原油转输管线发生泄漏后，发生过泄漏事件的管段土壤环境质量中石油烃(C</w:t>
      </w:r>
      <w:r>
        <w:rPr>
          <w:rFonts w:hint="eastAsia"/>
          <w:vertAlign w:val="subscript"/>
        </w:rPr>
        <w:t>10</w:t>
      </w:r>
      <w:r>
        <w:rPr>
          <w:rFonts w:hint="eastAsia"/>
        </w:rPr>
        <w:t>～C</w:t>
      </w:r>
      <w:r>
        <w:rPr>
          <w:rFonts w:hint="eastAsia"/>
          <w:vertAlign w:val="subscript"/>
        </w:rPr>
        <w:t>40</w:t>
      </w:r>
      <w:r>
        <w:rPr>
          <w:rFonts w:hint="eastAsia"/>
        </w:rPr>
        <w:t>)均满足《土壤环境质量  建设用地土壤污染风险管控标准（试行）》（GB36600-2018）中第二类用地筛选值要求，通过类比分析可知，即使本项目运营期发生了管线等泄漏事故，在继续落实吉庆油田作业区现有应急管理要求，建设单位及时响应，采取应急处置措施封堵泄漏点，并将泄漏污油和含油污泥全部清理的情况下，不会对项目区土壤环境产生不良影响。</w:t>
      </w:r>
    </w:p>
    <w:p w14:paraId="21D846F5">
      <w:pPr>
        <w:pStyle w:val="117"/>
        <w:adjustRightInd w:val="0"/>
        <w:snapToGrid w:val="0"/>
        <w:ind w:firstLine="480"/>
        <w:rPr>
          <w:rFonts w:hint="eastAsia"/>
        </w:rPr>
      </w:pPr>
      <w:r>
        <w:rPr>
          <w:rFonts w:hint="eastAsia"/>
        </w:rPr>
        <w:t>②套管破损泄漏对土壤环境的影响分析</w:t>
      </w:r>
    </w:p>
    <w:p w14:paraId="0126F568">
      <w:pPr>
        <w:pStyle w:val="117"/>
        <w:adjustRightInd w:val="0"/>
        <w:snapToGrid w:val="0"/>
        <w:ind w:firstLine="480"/>
        <w:rPr>
          <w:rFonts w:hint="eastAsia"/>
        </w:rPr>
      </w:pPr>
      <w:r>
        <w:rPr>
          <w:rFonts w:hint="eastAsia"/>
        </w:rPr>
        <w:t>若采油井固井质量不合格，油井套管破裂，发生井漏，石油类污染物有可能通过破裂的套管附近的孔隙、裂隙径流渗漏对周围土壤环境产生一定的影响。为防止套管破损污染周围土壤，对采油井的套管进行定期维护，定期检查固井质量，保证其合格，若发现固井质量不合格以及套管破损的情况后，及时进行修复，尽量避免套管破损对周围土壤环境产生影响。</w:t>
      </w:r>
    </w:p>
    <w:bookmarkEnd w:id="565"/>
    <w:p w14:paraId="4D681D13">
      <w:pPr>
        <w:pStyle w:val="191"/>
        <w:adjustRightInd w:val="0"/>
        <w:snapToGrid w:val="0"/>
        <w:ind w:firstLine="480"/>
        <w:rPr>
          <w:rFonts w:hint="eastAsia"/>
        </w:rPr>
      </w:pPr>
      <w:r>
        <w:rPr>
          <w:rFonts w:hint="eastAsia"/>
        </w:rPr>
        <w:t>（2）生态影响型</w:t>
      </w:r>
    </w:p>
    <w:p w14:paraId="7B2A0228">
      <w:pPr>
        <w:pStyle w:val="191"/>
        <w:adjustRightInd w:val="0"/>
        <w:snapToGrid w:val="0"/>
        <w:ind w:firstLine="480"/>
        <w:rPr>
          <w:rFonts w:hint="eastAsia" w:cs="宋体"/>
        </w:rPr>
      </w:pPr>
      <w:r>
        <w:rPr>
          <w:rFonts w:hint="eastAsia"/>
        </w:rPr>
        <w:t>正常工况下采出液通过管线转输至页岩油联合站，运营期无废水及固废等污染物外排，不会造成土壤环境污染。事故状态下集油干支线破裂后，泄漏的采出液中的采出水进入土壤中，单井采油管线、集油干支线沿线设有压力和远传信号，</w:t>
      </w:r>
      <w:r>
        <w:rPr>
          <w:rFonts w:hint="eastAsia" w:cs="宋体"/>
        </w:rPr>
        <w:t>当发生管道破裂时，可在30分钟内切断最近阀门，并在</w:t>
      </w:r>
      <w:r>
        <w:rPr>
          <w:rFonts w:cs="宋体"/>
        </w:rPr>
        <w:t>2</w:t>
      </w:r>
      <w:r>
        <w:rPr>
          <w:rFonts w:hint="eastAsia" w:cs="宋体"/>
        </w:rPr>
        <w:t>h内排查到泄漏点并进行紧急封堵。初步估算，发生泄漏到封堵，预计从集油干线中泄漏的采出液量为17</w:t>
      </w:r>
      <w:r>
        <w:rPr>
          <w:rFonts w:cs="宋体"/>
        </w:rPr>
        <w:t>m</w:t>
      </w:r>
      <w:r>
        <w:rPr>
          <w:rFonts w:cs="宋体"/>
          <w:vertAlign w:val="superscript"/>
        </w:rPr>
        <w:t>3</w:t>
      </w:r>
      <w:r>
        <w:rPr>
          <w:rFonts w:hint="eastAsia" w:cs="宋体"/>
        </w:rPr>
        <w:t>，采出液中含水量为33%，则采出液中氯根为</w:t>
      </w:r>
      <w:r>
        <w:rPr>
          <w:rFonts w:cs="宋体"/>
        </w:rPr>
        <w:t>5151.59</w:t>
      </w:r>
      <w:r>
        <w:rPr>
          <w:rFonts w:hint="eastAsia" w:cs="宋体"/>
        </w:rPr>
        <w:t>mg/L则估算进入土壤中的盐分含量为=17×33%×5151.59×5</w:t>
      </w:r>
      <w:r>
        <w:rPr>
          <w:rFonts w:cs="宋体"/>
        </w:rPr>
        <w:t>8.5</w:t>
      </w:r>
      <w:r>
        <w:rPr>
          <w:rFonts w:hint="eastAsia" w:cs="宋体"/>
        </w:rPr>
        <w:t>÷35.5=47625g。</w:t>
      </w:r>
    </w:p>
    <w:p w14:paraId="0DD4FE27">
      <w:pPr>
        <w:pStyle w:val="191"/>
        <w:ind w:firstLine="480"/>
        <w:rPr>
          <w:rFonts w:hint="eastAsia" w:cs="宋体"/>
        </w:rPr>
      </w:pPr>
      <w:r>
        <w:rPr>
          <w:rFonts w:hint="eastAsia" w:cs="宋体"/>
        </w:rPr>
        <w:t>本次预测采用HJ964-2018附录E.1.3中预测方法，预测公式如下：</w:t>
      </w:r>
    </w:p>
    <w:bookmarkEnd w:id="553"/>
    <w:bookmarkEnd w:id="554"/>
    <w:bookmarkEnd w:id="555"/>
    <w:bookmarkEnd w:id="560"/>
    <w:p w14:paraId="44A65FB4">
      <w:pPr>
        <w:pStyle w:val="191"/>
        <w:ind w:firstLine="480"/>
        <w:rPr>
          <w:rFonts w:hint="eastAsia" w:cs="宋体"/>
        </w:rPr>
      </w:pPr>
      <w:bookmarkStart w:id="566" w:name="_Toc474793588"/>
      <w:bookmarkStart w:id="567" w:name="_Toc474416145"/>
      <w:bookmarkStart w:id="568" w:name="_Toc475624483"/>
      <w:r>
        <w:rPr>
          <w:rFonts w:hint="eastAsia" w:cs="宋体"/>
        </w:rPr>
        <w:t>①单位质量土壤中某种物质的增量</w:t>
      </w:r>
    </w:p>
    <w:p w14:paraId="3DB25302">
      <w:pPr>
        <w:spacing w:before="120"/>
        <w:ind w:firstLine="411" w:firstLineChars="196"/>
        <w:rPr>
          <w:rFonts w:hint="eastAsia" w:hAnsi="宋体" w:cs="宋体"/>
        </w:rPr>
      </w:pPr>
      <w:r>
        <w:drawing>
          <wp:anchor distT="0" distB="0" distL="114300" distR="114300" simplePos="0" relativeHeight="251675648" behindDoc="1" locked="0" layoutInCell="1" allowOverlap="1">
            <wp:simplePos x="0" y="0"/>
            <wp:positionH relativeFrom="column">
              <wp:posOffset>545465</wp:posOffset>
            </wp:positionH>
            <wp:positionV relativeFrom="paragraph">
              <wp:posOffset>10160</wp:posOffset>
            </wp:positionV>
            <wp:extent cx="2809875" cy="304800"/>
            <wp:effectExtent l="0" t="0" r="9525"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09875" cy="304800"/>
                    </a:xfrm>
                    <a:prstGeom prst="rect">
                      <a:avLst/>
                    </a:prstGeom>
                    <a:noFill/>
                    <a:ln>
                      <a:noFill/>
                    </a:ln>
                  </pic:spPr>
                </pic:pic>
              </a:graphicData>
            </a:graphic>
          </wp:anchor>
        </w:drawing>
      </w:r>
    </w:p>
    <w:p w14:paraId="7D274CAA">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式中：△S-单位质量表层土壤中某种物质的增量，g/kg；</w:t>
      </w:r>
    </w:p>
    <w:p w14:paraId="67B506E6">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I</w:t>
      </w:r>
      <w:r>
        <w:rPr>
          <w:rFonts w:hint="eastAsia" w:ascii="宋体" w:hAnsi="宋体" w:cs="宋体"/>
          <w:sz w:val="24"/>
          <w:szCs w:val="24"/>
          <w:vertAlign w:val="subscript"/>
        </w:rPr>
        <w:t>s</w:t>
      </w:r>
      <w:r>
        <w:rPr>
          <w:rFonts w:hint="eastAsia" w:ascii="宋体" w:hAnsi="宋体" w:cs="宋体"/>
          <w:sz w:val="24"/>
          <w:szCs w:val="24"/>
        </w:rPr>
        <w:t>-预测评价范围内单位年份表层土壤中某种物质的输入量，g；</w:t>
      </w:r>
    </w:p>
    <w:p w14:paraId="26D68A2F">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L</w:t>
      </w:r>
      <w:r>
        <w:rPr>
          <w:rFonts w:hint="eastAsia" w:ascii="宋体" w:hAnsi="宋体" w:cs="宋体"/>
          <w:sz w:val="24"/>
          <w:szCs w:val="24"/>
          <w:vertAlign w:val="subscript"/>
        </w:rPr>
        <w:t>s</w:t>
      </w:r>
      <w:r>
        <w:rPr>
          <w:rFonts w:hint="eastAsia" w:ascii="宋体" w:hAnsi="宋体" w:cs="宋体"/>
          <w:sz w:val="24"/>
          <w:szCs w:val="24"/>
        </w:rPr>
        <w:t>-预测评价范围内单位年份表层土壤中某种物质经淋溶排出的量，g；</w:t>
      </w:r>
    </w:p>
    <w:p w14:paraId="0F8004BE">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R</w:t>
      </w:r>
      <w:r>
        <w:rPr>
          <w:rFonts w:hint="eastAsia" w:ascii="宋体" w:hAnsi="宋体" w:cs="宋体"/>
          <w:sz w:val="24"/>
          <w:szCs w:val="24"/>
          <w:vertAlign w:val="subscript"/>
        </w:rPr>
        <w:t>s</w:t>
      </w:r>
      <w:r>
        <w:rPr>
          <w:rFonts w:hint="eastAsia" w:ascii="宋体" w:hAnsi="宋体" w:cs="宋体"/>
          <w:sz w:val="24"/>
          <w:szCs w:val="24"/>
        </w:rPr>
        <w:t>-预测评价范围内单位年份表层土壤中某种物质经径流排出的量，g；</w:t>
      </w:r>
    </w:p>
    <w:p w14:paraId="3D42B46E">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ρ</w:t>
      </w:r>
      <w:r>
        <w:rPr>
          <w:rFonts w:hint="eastAsia" w:ascii="宋体" w:hAnsi="宋体" w:cs="宋体"/>
          <w:sz w:val="24"/>
          <w:szCs w:val="24"/>
          <w:vertAlign w:val="subscript"/>
        </w:rPr>
        <w:t>b</w:t>
      </w:r>
      <w:r>
        <w:rPr>
          <w:rFonts w:hint="eastAsia" w:ascii="宋体" w:hAnsi="宋体" w:cs="宋体"/>
          <w:sz w:val="24"/>
          <w:szCs w:val="24"/>
        </w:rPr>
        <w:t>-表层土壤容重，kg/m</w:t>
      </w:r>
      <w:r>
        <w:rPr>
          <w:rFonts w:hint="eastAsia" w:ascii="宋体" w:hAnsi="宋体" w:cs="宋体"/>
          <w:sz w:val="24"/>
          <w:szCs w:val="24"/>
          <w:vertAlign w:val="superscript"/>
        </w:rPr>
        <w:t>3</w:t>
      </w:r>
      <w:r>
        <w:rPr>
          <w:rFonts w:hint="eastAsia" w:ascii="宋体" w:hAnsi="宋体" w:cs="宋体"/>
          <w:sz w:val="24"/>
          <w:szCs w:val="24"/>
        </w:rPr>
        <w:t>；</w:t>
      </w:r>
    </w:p>
    <w:p w14:paraId="4310BDC5">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A-预测评价范围，m</w:t>
      </w:r>
      <w:r>
        <w:rPr>
          <w:rFonts w:hint="eastAsia" w:ascii="宋体" w:hAnsi="宋体" w:cs="宋体"/>
          <w:sz w:val="24"/>
          <w:szCs w:val="24"/>
          <w:vertAlign w:val="superscript"/>
        </w:rPr>
        <w:t>2</w:t>
      </w:r>
      <w:r>
        <w:rPr>
          <w:rFonts w:hint="eastAsia" w:ascii="宋体" w:hAnsi="宋体" w:cs="宋体"/>
          <w:sz w:val="24"/>
          <w:szCs w:val="24"/>
        </w:rPr>
        <w:t>；</w:t>
      </w:r>
    </w:p>
    <w:p w14:paraId="744D184A">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D-表层土壤深度，一般取0.2m，可根据实际情况适当调整；</w:t>
      </w:r>
    </w:p>
    <w:p w14:paraId="4CA9B409">
      <w:pPr>
        <w:adjustRightInd w:val="0"/>
        <w:snapToGrid w:val="0"/>
        <w:spacing w:line="500" w:lineRule="exact"/>
        <w:ind w:firstLine="1200" w:firstLineChars="500"/>
        <w:rPr>
          <w:rFonts w:hint="eastAsia" w:ascii="宋体" w:hAnsi="宋体" w:cs="宋体"/>
          <w:sz w:val="24"/>
          <w:szCs w:val="24"/>
        </w:rPr>
      </w:pPr>
      <w:r>
        <w:rPr>
          <w:rFonts w:hint="eastAsia" w:ascii="宋体" w:hAnsi="宋体" w:cs="宋体"/>
          <w:sz w:val="24"/>
          <w:szCs w:val="24"/>
        </w:rPr>
        <w:t>n-持续年份，a。</w:t>
      </w:r>
    </w:p>
    <w:p w14:paraId="256C9F81">
      <w:pPr>
        <w:pStyle w:val="191"/>
        <w:ind w:firstLine="480"/>
        <w:rPr>
          <w:rFonts w:hint="eastAsia" w:cs="宋体"/>
        </w:rPr>
      </w:pPr>
      <w:r>
        <w:rPr>
          <w:rFonts w:hint="eastAsia" w:cs="宋体"/>
        </w:rPr>
        <w:t>②单位质量土壤中某种物质的预测值</w:t>
      </w:r>
    </w:p>
    <w:p w14:paraId="532FD05C">
      <w:pPr>
        <w:adjustRightInd w:val="0"/>
        <w:snapToGrid w:val="0"/>
        <w:spacing w:line="500" w:lineRule="exact"/>
        <w:jc w:val="center"/>
        <w:rPr>
          <w:rFonts w:hint="eastAsia" w:ascii="宋体" w:hAnsi="宋体" w:cs="宋体"/>
          <w:sz w:val="24"/>
          <w:szCs w:val="24"/>
        </w:rPr>
      </w:pPr>
      <w:r>
        <w:rPr>
          <w:rFonts w:hint="eastAsia" w:ascii="宋体" w:hAnsi="宋体" w:cs="宋体"/>
          <w:sz w:val="24"/>
          <w:szCs w:val="24"/>
        </w:rPr>
        <w:t>S=S</w:t>
      </w:r>
      <w:r>
        <w:rPr>
          <w:rFonts w:hint="eastAsia" w:ascii="宋体" w:hAnsi="宋体" w:cs="宋体"/>
          <w:sz w:val="24"/>
          <w:szCs w:val="24"/>
          <w:vertAlign w:val="subscript"/>
        </w:rPr>
        <w:t>b</w:t>
      </w:r>
      <w:r>
        <w:rPr>
          <w:rFonts w:hint="eastAsia" w:ascii="宋体" w:hAnsi="宋体" w:cs="宋体"/>
          <w:sz w:val="24"/>
          <w:szCs w:val="24"/>
        </w:rPr>
        <w:t>+△S</w:t>
      </w:r>
    </w:p>
    <w:p w14:paraId="6C59319C">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式中：S-单位质量土壤中某种物质的预测值，g/kg；</w:t>
      </w:r>
    </w:p>
    <w:p w14:paraId="34D125DC">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 xml:space="preserve">      S</w:t>
      </w:r>
      <w:r>
        <w:rPr>
          <w:rFonts w:hint="eastAsia" w:ascii="宋体" w:hAnsi="宋体" w:cs="宋体"/>
          <w:sz w:val="24"/>
          <w:szCs w:val="24"/>
          <w:vertAlign w:val="subscript"/>
        </w:rPr>
        <w:t>b</w:t>
      </w:r>
      <w:r>
        <w:rPr>
          <w:rFonts w:hint="eastAsia" w:ascii="宋体" w:hAnsi="宋体" w:cs="宋体"/>
          <w:sz w:val="24"/>
          <w:szCs w:val="24"/>
        </w:rPr>
        <w:t>-单位质量土壤中某种物质的现状值，g/kg。</w:t>
      </w:r>
    </w:p>
    <w:p w14:paraId="56A629E2">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项目所处区域气候干燥，年降雨量较小，项目考虑最不利情况，Ls和Rs取值均为0，预测评价范围为以泄漏点为中心100m</w:t>
      </w:r>
      <w:r>
        <w:rPr>
          <w:rFonts w:hint="eastAsia" w:ascii="宋体" w:hAnsi="宋体" w:cs="宋体"/>
          <w:kern w:val="0"/>
          <w:sz w:val="24"/>
          <w:szCs w:val="24"/>
        </w:rPr>
        <w:t>×1</w:t>
      </w:r>
      <w:r>
        <w:rPr>
          <w:rFonts w:hint="eastAsia" w:ascii="宋体" w:hAnsi="宋体" w:cs="宋体"/>
          <w:sz w:val="24"/>
          <w:szCs w:val="24"/>
        </w:rPr>
        <w:t>00m范围，表层土壤容重根据区域土壤理化特性调查取值为</w:t>
      </w:r>
      <w:r>
        <w:rPr>
          <w:rFonts w:hint="eastAsia" w:ascii="宋体" w:hAnsi="宋体" w:cs="宋体"/>
          <w:spacing w:val="-10"/>
          <w:sz w:val="24"/>
          <w:szCs w:val="24"/>
        </w:rPr>
        <w:t>1.21×</w:t>
      </w:r>
      <w:r>
        <w:rPr>
          <w:rFonts w:ascii="宋体" w:hAnsi="宋体" w:cs="宋体"/>
          <w:spacing w:val="-10"/>
          <w:sz w:val="24"/>
          <w:szCs w:val="24"/>
        </w:rPr>
        <w:t>10</w:t>
      </w:r>
      <w:r>
        <w:rPr>
          <w:rFonts w:ascii="宋体" w:hAnsi="宋体" w:cs="宋体"/>
          <w:spacing w:val="-10"/>
          <w:sz w:val="24"/>
          <w:szCs w:val="24"/>
          <w:vertAlign w:val="superscript"/>
        </w:rPr>
        <w:t>3</w:t>
      </w:r>
      <w:r>
        <w:rPr>
          <w:rFonts w:hint="eastAsia" w:ascii="宋体" w:hAnsi="宋体" w:cs="宋体"/>
          <w:spacing w:val="-10"/>
          <w:sz w:val="24"/>
          <w:szCs w:val="24"/>
        </w:rPr>
        <w:t>kg/m</w:t>
      </w:r>
      <w:r>
        <w:rPr>
          <w:rFonts w:hint="eastAsia" w:ascii="宋体" w:hAnsi="宋体" w:cs="宋体"/>
          <w:spacing w:val="-10"/>
          <w:sz w:val="24"/>
          <w:szCs w:val="24"/>
          <w:vertAlign w:val="superscript"/>
        </w:rPr>
        <w:t>3</w:t>
      </w:r>
      <w:r>
        <w:rPr>
          <w:rFonts w:hint="eastAsia" w:ascii="宋体" w:hAnsi="宋体" w:cs="宋体"/>
          <w:spacing w:val="-10"/>
          <w:sz w:val="24"/>
          <w:szCs w:val="24"/>
        </w:rPr>
        <w:t>，根据项目区土壤盐分监测结果，</w:t>
      </w:r>
      <w:r>
        <w:rPr>
          <w:rFonts w:hint="eastAsia" w:ascii="宋体" w:hAnsi="宋体" w:cs="宋体"/>
          <w:sz w:val="24"/>
          <w:szCs w:val="24"/>
        </w:rPr>
        <w:t>单位质量土壤中某种物质的现状值为4.2g/kg。</w:t>
      </w:r>
      <w:r>
        <w:rPr>
          <w:rFonts w:hint="eastAsia" w:ascii="宋体" w:hAnsi="宋体" w:cs="宋体"/>
          <w:spacing w:val="-10"/>
          <w:sz w:val="24"/>
          <w:szCs w:val="24"/>
        </w:rPr>
        <w:t>预测年份为</w:t>
      </w:r>
      <w:r>
        <w:rPr>
          <w:rFonts w:ascii="宋体" w:hAnsi="宋体" w:cs="宋体"/>
          <w:spacing w:val="-10"/>
          <w:sz w:val="24"/>
          <w:szCs w:val="24"/>
        </w:rPr>
        <w:t>1</w:t>
      </w:r>
      <w:r>
        <w:rPr>
          <w:rFonts w:hint="eastAsia" w:ascii="宋体" w:hAnsi="宋体" w:cs="宋体"/>
          <w:spacing w:val="-10"/>
          <w:sz w:val="24"/>
          <w:szCs w:val="24"/>
        </w:rPr>
        <w:t>a(</w:t>
      </w:r>
      <w:r>
        <w:rPr>
          <w:rFonts w:ascii="宋体" w:hAnsi="宋体" w:cs="宋体"/>
          <w:spacing w:val="-10"/>
          <w:sz w:val="24"/>
          <w:szCs w:val="24"/>
        </w:rPr>
        <w:t>365</w:t>
      </w:r>
      <w:r>
        <w:rPr>
          <w:rFonts w:hint="eastAsia" w:ascii="宋体" w:hAnsi="宋体" w:cs="宋体"/>
          <w:spacing w:val="-10"/>
          <w:sz w:val="24"/>
          <w:szCs w:val="24"/>
        </w:rPr>
        <w:t>天)。</w:t>
      </w:r>
    </w:p>
    <w:p w14:paraId="3FA1AF73">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根据上述计算结果，在</w:t>
      </w:r>
      <w:r>
        <w:rPr>
          <w:rFonts w:ascii="宋体" w:hAnsi="宋体" w:cs="宋体"/>
          <w:spacing w:val="-10"/>
          <w:sz w:val="24"/>
          <w:szCs w:val="24"/>
        </w:rPr>
        <w:t>1</w:t>
      </w:r>
      <w:r>
        <w:rPr>
          <w:rFonts w:hint="eastAsia" w:ascii="宋体" w:hAnsi="宋体" w:cs="宋体"/>
          <w:spacing w:val="-10"/>
          <w:sz w:val="24"/>
          <w:szCs w:val="24"/>
        </w:rPr>
        <w:t>年内，单位质量土壤中盐分含量的增量为0.</w:t>
      </w:r>
      <w:r>
        <w:rPr>
          <w:rFonts w:ascii="宋体" w:hAnsi="宋体" w:cs="宋体"/>
          <w:spacing w:val="-10"/>
          <w:sz w:val="24"/>
          <w:szCs w:val="24"/>
        </w:rPr>
        <w:t>0</w:t>
      </w:r>
      <w:r>
        <w:rPr>
          <w:rFonts w:hint="eastAsia" w:ascii="宋体" w:hAnsi="宋体" w:cs="宋体"/>
          <w:spacing w:val="-10"/>
          <w:sz w:val="24"/>
          <w:szCs w:val="24"/>
        </w:rPr>
        <w:t>2</w:t>
      </w:r>
      <w:r>
        <w:rPr>
          <w:rFonts w:hint="eastAsia" w:ascii="宋体" w:hAnsi="宋体" w:cs="宋体"/>
          <w:sz w:val="24"/>
          <w:szCs w:val="24"/>
        </w:rPr>
        <w:t>g/kg，叠加现状值后的预测值为4.22g/kg。</w:t>
      </w:r>
    </w:p>
    <w:p w14:paraId="38D49B48">
      <w:pPr>
        <w:adjustRightInd w:val="0"/>
        <w:snapToGrid w:val="0"/>
        <w:spacing w:line="500" w:lineRule="exact"/>
        <w:ind w:firstLine="480" w:firstLineChars="200"/>
        <w:rPr>
          <w:rFonts w:hint="eastAsia" w:ascii="宋体" w:hAnsi="宋体" w:cs="宋体"/>
          <w:sz w:val="24"/>
          <w:szCs w:val="24"/>
        </w:rPr>
      </w:pPr>
      <w:r>
        <w:rPr>
          <w:rFonts w:hint="eastAsia" w:ascii="宋体" w:hAnsi="宋体" w:cs="宋体"/>
          <w:sz w:val="24"/>
          <w:szCs w:val="24"/>
        </w:rPr>
        <w:t>从预测结果可知，发生泄漏后，导致泄漏点周边区域土壤中盐分含量有所升高，但增加量不大；根据《环境影响评价技术导则 土壤环境（试行）》（HJ964-2018）附录D可知，项目所在区属于重度盐化地区，集油干线泄漏后，泄漏的采出液不会改变项目所在区域的土壤盐化分级，不会明显改变区域土壤盐分含量。但在发生泄漏后，吉庆油田作业区按照要求将泄漏点周围区域土壤进行清理，且随着雨水淋溶，区域土壤中增加的盐分含量将逐渐降低直至恢复至平均水平。</w:t>
      </w:r>
    </w:p>
    <w:p w14:paraId="1B0BDC3A">
      <w:pPr>
        <w:pStyle w:val="4"/>
        <w:rPr>
          <w:rFonts w:hint="eastAsia"/>
        </w:rPr>
      </w:pPr>
      <w:r>
        <w:rPr>
          <w:rFonts w:hint="eastAsia"/>
        </w:rPr>
        <w:t>运营期生态环境影响分析</w:t>
      </w:r>
    </w:p>
    <w:p w14:paraId="310C4DED">
      <w:pPr>
        <w:pStyle w:val="117"/>
        <w:adjustRightInd w:val="0"/>
        <w:snapToGrid w:val="0"/>
        <w:ind w:firstLine="480"/>
        <w:rPr>
          <w:rFonts w:hint="eastAsia"/>
        </w:rPr>
      </w:pPr>
      <w:bookmarkStart w:id="569" w:name="_Hlk80202844"/>
      <w:r>
        <w:rPr>
          <w:rFonts w:hint="eastAsia"/>
        </w:rPr>
        <w:t>运营期不新增占地，临时占地正在进行自然恢复。随着施工人员撤离作业区域，人类活动和占地都将减少，野生动物对新环境适应后的活动和分布范围将恢复。运营期正常的巡检等活动也会对野生动物的生存及栖息造成影响，但是由于作业区加强对环境保护的宣传工作、员工的环保意识，特别是对野生动物的保护意识不断加强，对野生动物不会产生太大影响。</w:t>
      </w:r>
    </w:p>
    <w:p w14:paraId="6CE36EFB">
      <w:pPr>
        <w:pStyle w:val="4"/>
        <w:rPr>
          <w:rFonts w:hint="eastAsia"/>
        </w:rPr>
      </w:pPr>
      <w:bookmarkStart w:id="570" w:name="_Hlk162374973"/>
      <w:r>
        <w:rPr>
          <w:rFonts w:hint="eastAsia"/>
        </w:rPr>
        <w:t>温室气体影响分析</w:t>
      </w:r>
    </w:p>
    <w:p w14:paraId="6C25744A">
      <w:pPr>
        <w:pStyle w:val="191"/>
        <w:ind w:firstLine="480"/>
        <w:rPr>
          <w:rFonts w:hint="eastAsia"/>
        </w:rPr>
      </w:pPr>
      <w:r>
        <w:rPr>
          <w:rFonts w:hint="eastAsia"/>
        </w:rPr>
        <w:t>温室气体排放会加剧温室效应，导致气候异常、破坏生态环境，进而影响农、林、牧、渔等方方面面，对人类生存环境造成威胁。本工程涉及温室气体排放环节为原油开采过程中CH</w:t>
      </w:r>
      <w:r>
        <w:rPr>
          <w:rFonts w:hint="eastAsia"/>
          <w:vertAlign w:val="subscript"/>
        </w:rPr>
        <w:t>4</w:t>
      </w:r>
      <w:r>
        <w:rPr>
          <w:rFonts w:hint="eastAsia"/>
        </w:rPr>
        <w:t>逃逸排放量、正常工况火炬燃烧伴生气过程中的CO</w:t>
      </w:r>
      <w:r>
        <w:rPr>
          <w:rFonts w:hint="eastAsia"/>
          <w:vertAlign w:val="subscript"/>
        </w:rPr>
        <w:t>2</w:t>
      </w:r>
      <w:r>
        <w:rPr>
          <w:rFonts w:hint="eastAsia"/>
        </w:rPr>
        <w:t>、CH</w:t>
      </w:r>
      <w:r>
        <w:rPr>
          <w:rFonts w:hint="eastAsia"/>
          <w:vertAlign w:val="subscript"/>
        </w:rPr>
        <w:t>4</w:t>
      </w:r>
      <w:r>
        <w:rPr>
          <w:rFonts w:hint="eastAsia"/>
        </w:rPr>
        <w:t>排放和净购入电力隐含的CO</w:t>
      </w:r>
      <w:r>
        <w:rPr>
          <w:rFonts w:hint="eastAsia"/>
          <w:vertAlign w:val="subscript"/>
        </w:rPr>
        <w:t>2</w:t>
      </w:r>
      <w:r>
        <w:rPr>
          <w:rFonts w:hint="eastAsia"/>
        </w:rPr>
        <w:t>排放。项目运营期在工艺技术、节能设备及碳排放管理等方面均采取了较完善的减污降碳措施，有利于减少二氧化碳排放，对比同类企业碳排放水平，本工程CO</w:t>
      </w:r>
      <w:r>
        <w:rPr>
          <w:rFonts w:hint="eastAsia"/>
          <w:vertAlign w:val="subscript"/>
        </w:rPr>
        <w:t>2</w:t>
      </w:r>
      <w:r>
        <w:rPr>
          <w:rFonts w:hint="eastAsia"/>
        </w:rPr>
        <w:t>排放强度相对较低，温室气体排放对环境的影响不大。</w:t>
      </w:r>
    </w:p>
    <w:bookmarkEnd w:id="569"/>
    <w:bookmarkEnd w:id="570"/>
    <w:p w14:paraId="4016410F">
      <w:pPr>
        <w:pStyle w:val="2"/>
        <w:rPr>
          <w:rFonts w:hint="eastAsia"/>
        </w:rPr>
      </w:pPr>
      <w:bookmarkStart w:id="571" w:name="_Toc160382098"/>
      <w:r>
        <w:rPr>
          <w:rFonts w:hint="eastAsia"/>
        </w:rPr>
        <w:t>退役期</w:t>
      </w:r>
      <w:r>
        <w:t>影响分析</w:t>
      </w:r>
      <w:bookmarkEnd w:id="566"/>
      <w:bookmarkEnd w:id="567"/>
      <w:bookmarkEnd w:id="568"/>
      <w:bookmarkEnd w:id="571"/>
    </w:p>
    <w:p w14:paraId="30CAACA0">
      <w:pPr>
        <w:pStyle w:val="117"/>
        <w:ind w:firstLine="480"/>
        <w:rPr>
          <w:rFonts w:hint="eastAsia"/>
        </w:rPr>
      </w:pPr>
      <w:r>
        <w:rPr>
          <w:rFonts w:hint="eastAsia"/>
        </w:rPr>
        <w:t>退役期内，各种机械设备停用，工作人员陆续撤离，大气污染物、废水、噪声及固体废物等对环境的影响将会逐步消失。</w:t>
      </w:r>
    </w:p>
    <w:p w14:paraId="128A1AB4">
      <w:pPr>
        <w:pStyle w:val="117"/>
        <w:ind w:firstLine="480"/>
        <w:rPr>
          <w:rFonts w:hint="eastAsia"/>
        </w:rPr>
      </w:pPr>
      <w:r>
        <w:rPr>
          <w:rFonts w:hint="eastAsia"/>
        </w:rPr>
        <w:t>退役期的清理工作包括地面设施拆除、井筒用水泥灌注封井、设水泥标桩、井场清理、管线封堵</w:t>
      </w:r>
      <w:r>
        <w:t>等。</w:t>
      </w:r>
      <w:r>
        <w:rPr>
          <w:rFonts w:hint="eastAsia"/>
        </w:rPr>
        <w:t>项目封井水泥全部由混凝</w:t>
      </w:r>
      <w:r>
        <w:rPr>
          <w:rFonts w:hint="eastAsia"/>
          <w:lang w:val="en-US" w:eastAsia="zh-CN"/>
        </w:rPr>
        <w:t>土</w:t>
      </w:r>
      <w:bookmarkStart w:id="851" w:name="_GoBack"/>
      <w:bookmarkEnd w:id="851"/>
      <w:r>
        <w:rPr>
          <w:rFonts w:hint="eastAsia"/>
        </w:rPr>
        <w:t>供应商提供，现场不设置搅拌点。</w:t>
      </w:r>
      <w:r>
        <w:t>在</w:t>
      </w:r>
      <w:r>
        <w:rPr>
          <w:rFonts w:hint="eastAsia"/>
        </w:rPr>
        <w:t>此过程中</w:t>
      </w:r>
      <w:r>
        <w:t>，将会产生少量扬尘</w:t>
      </w:r>
      <w:r>
        <w:rPr>
          <w:rFonts w:hint="eastAsia"/>
        </w:rPr>
        <w:t>、</w:t>
      </w:r>
      <w:r>
        <w:t>部分废弃管线</w:t>
      </w:r>
      <w:r>
        <w:rPr>
          <w:rFonts w:hint="eastAsia"/>
        </w:rPr>
        <w:t>和</w:t>
      </w:r>
      <w:r>
        <w:t>废弃建筑残渣等固体废物，对这些废弃管线、残渣等进行集中清理收集，管线外运经清洗后可回收再利用，废弃建筑残渣运至</w:t>
      </w:r>
      <w:r>
        <w:rPr>
          <w:rFonts w:hint="eastAsia"/>
        </w:rPr>
        <w:t>当地建筑垃圾填埋场处理</w:t>
      </w:r>
      <w:r>
        <w:t>。</w:t>
      </w:r>
      <w:r>
        <w:rPr>
          <w:rFonts w:hint="eastAsia"/>
        </w:rPr>
        <w:t>地面设施拆除、井场清理等工作过程中被原油污染的防渗膜以及落地油等危险废物，交由有资质的单位进行无害化处置，不会对周围环境产生影响。固体废物均妥善处理，可以有效控制对区域环境的影响。</w:t>
      </w:r>
    </w:p>
    <w:p w14:paraId="41257C8B">
      <w:pPr>
        <w:pStyle w:val="117"/>
        <w:ind w:firstLine="480"/>
        <w:rPr>
          <w:rFonts w:hint="eastAsia"/>
        </w:rPr>
      </w:pPr>
      <w:r>
        <w:rPr>
          <w:rFonts w:hint="eastAsia"/>
        </w:rPr>
        <w:t>井场及计量站经过清理后，永久性占地范围内的水泥平台或砂砾石铺垫被清理，随后根据周边区域的自然现状对其进行恢复，使井场恢复到相对自然的一种状态。油田设施退役后，人员撤离，区域内没有了人为的扰动，井场范围内的自然植被会逐渐得以恢复，有助于区域生态环境的改善。</w:t>
      </w:r>
    </w:p>
    <w:p w14:paraId="0C5E6084">
      <w:pPr>
        <w:pStyle w:val="2"/>
        <w:rPr>
          <w:rFonts w:hint="eastAsia"/>
        </w:rPr>
      </w:pPr>
      <w:bookmarkStart w:id="572" w:name="_Toc474793590"/>
      <w:bookmarkStart w:id="573" w:name="_Toc160382099"/>
      <w:bookmarkStart w:id="574" w:name="_Toc475624485"/>
      <w:r>
        <w:rPr>
          <w:rFonts w:hint="eastAsia"/>
        </w:rPr>
        <w:t>环境</w:t>
      </w:r>
      <w:r>
        <w:t>风险分析</w:t>
      </w:r>
      <w:bookmarkEnd w:id="572"/>
      <w:bookmarkEnd w:id="573"/>
      <w:bookmarkEnd w:id="574"/>
    </w:p>
    <w:p w14:paraId="1BA95896">
      <w:pPr>
        <w:pStyle w:val="4"/>
        <w:rPr>
          <w:rFonts w:hint="eastAsia"/>
        </w:rPr>
      </w:pPr>
      <w:r>
        <w:rPr>
          <w:rFonts w:hint="eastAsia"/>
        </w:rPr>
        <w:t>评价依据</w:t>
      </w:r>
    </w:p>
    <w:p w14:paraId="4AB8218C">
      <w:pPr>
        <w:pStyle w:val="117"/>
        <w:ind w:firstLine="480"/>
        <w:rPr>
          <w:rFonts w:hint="eastAsia"/>
        </w:rPr>
      </w:pPr>
      <w:bookmarkStart w:id="575" w:name="OLE_LINK367"/>
      <w:r>
        <w:rPr>
          <w:rFonts w:hint="eastAsia"/>
        </w:rPr>
        <w:t>施工期涉及的危险物质主要为柴油，运营期涉及的风险物质为原油、伴生气。风险单元为采油平台、单井采油管线、集油干支线，则危险物质与临界量的比值（Q值）计算结果详见表</w:t>
      </w:r>
      <w:r>
        <w:t>5.4</w:t>
      </w:r>
      <w:r>
        <w:rPr>
          <w:rFonts w:hint="eastAsia"/>
        </w:rPr>
        <w:t>-</w:t>
      </w:r>
      <w:r>
        <w:t>1</w:t>
      </w:r>
      <w:r>
        <w:rPr>
          <w:rFonts w:hint="eastAsia"/>
        </w:rPr>
        <w:t>。</w:t>
      </w:r>
    </w:p>
    <w:p w14:paraId="1F74FCB7">
      <w:pPr>
        <w:pStyle w:val="15"/>
        <w:rPr>
          <w:rFonts w:hint="eastAsia"/>
        </w:rPr>
      </w:pPr>
      <w:bookmarkStart w:id="576" w:name="_Hlk157857735"/>
      <w:r>
        <w:rPr>
          <w:rFonts w:hint="eastAsia"/>
        </w:rPr>
        <w:t>表</w:t>
      </w:r>
      <w:r>
        <w:t>5.4</w:t>
      </w:r>
      <w:r>
        <w:rPr>
          <w:rFonts w:hint="eastAsia"/>
        </w:rPr>
        <w:t>-</w:t>
      </w:r>
      <w:r>
        <w:t xml:space="preserve">1  </w:t>
      </w:r>
      <w:r>
        <w:rPr>
          <w:rFonts w:hint="eastAsia"/>
        </w:rPr>
        <w:t>各风险单元Q值一览表</w:t>
      </w:r>
      <w:bookmarkEnd w:id="576"/>
      <w:bookmarkStart w:id="577" w:name="_Toc459026585"/>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1"/>
        <w:gridCol w:w="664"/>
        <w:gridCol w:w="1231"/>
        <w:gridCol w:w="1668"/>
        <w:gridCol w:w="1016"/>
        <w:gridCol w:w="975"/>
        <w:gridCol w:w="1548"/>
        <w:gridCol w:w="1263"/>
      </w:tblGrid>
      <w:tr w14:paraId="67AE3D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4" w:type="pct"/>
            <w:gridSpan w:val="3"/>
            <w:vAlign w:val="center"/>
          </w:tcPr>
          <w:p w14:paraId="629B6AFC">
            <w:pPr>
              <w:pStyle w:val="286"/>
              <w:spacing w:line="300" w:lineRule="exact"/>
              <w:rPr>
                <w:rFonts w:hint="eastAsia"/>
                <w:sz w:val="21"/>
              </w:rPr>
            </w:pPr>
            <w:bookmarkStart w:id="578" w:name="OLE_LINK366"/>
            <w:r>
              <w:rPr>
                <w:rFonts w:hint="eastAsia"/>
                <w:sz w:val="21"/>
              </w:rPr>
              <w:t>风险单元</w:t>
            </w:r>
          </w:p>
        </w:tc>
        <w:tc>
          <w:tcPr>
            <w:tcW w:w="932" w:type="pct"/>
            <w:vAlign w:val="center"/>
          </w:tcPr>
          <w:p w14:paraId="7F641E69">
            <w:pPr>
              <w:pStyle w:val="286"/>
              <w:spacing w:line="300" w:lineRule="exact"/>
              <w:rPr>
                <w:rFonts w:hint="eastAsia"/>
                <w:sz w:val="21"/>
              </w:rPr>
            </w:pPr>
            <w:r>
              <w:rPr>
                <w:rFonts w:hint="eastAsia"/>
                <w:sz w:val="21"/>
              </w:rPr>
              <w:t>规格</w:t>
            </w:r>
          </w:p>
        </w:tc>
        <w:tc>
          <w:tcPr>
            <w:tcW w:w="1113" w:type="pct"/>
            <w:gridSpan w:val="2"/>
            <w:vAlign w:val="center"/>
          </w:tcPr>
          <w:p w14:paraId="3EEF8C51">
            <w:pPr>
              <w:pStyle w:val="286"/>
              <w:spacing w:line="300" w:lineRule="exact"/>
              <w:rPr>
                <w:rFonts w:hint="eastAsia"/>
                <w:sz w:val="21"/>
              </w:rPr>
            </w:pPr>
            <w:r>
              <w:rPr>
                <w:rFonts w:hint="eastAsia"/>
                <w:sz w:val="21"/>
              </w:rPr>
              <w:t>风险物质在线量（t）</w:t>
            </w:r>
          </w:p>
        </w:tc>
        <w:tc>
          <w:tcPr>
            <w:tcW w:w="865" w:type="pct"/>
            <w:vAlign w:val="center"/>
          </w:tcPr>
          <w:p w14:paraId="06E6E81B">
            <w:pPr>
              <w:pStyle w:val="286"/>
              <w:spacing w:line="300" w:lineRule="exact"/>
              <w:rPr>
                <w:rFonts w:hint="eastAsia"/>
                <w:sz w:val="21"/>
              </w:rPr>
            </w:pPr>
            <w:r>
              <w:rPr>
                <w:rFonts w:hint="eastAsia"/>
                <w:sz w:val="21"/>
              </w:rPr>
              <w:t>风险物质临界量（t）</w:t>
            </w:r>
          </w:p>
        </w:tc>
        <w:tc>
          <w:tcPr>
            <w:tcW w:w="706" w:type="pct"/>
            <w:vAlign w:val="center"/>
          </w:tcPr>
          <w:p w14:paraId="6362FDC4">
            <w:pPr>
              <w:pStyle w:val="286"/>
              <w:spacing w:line="300" w:lineRule="exact"/>
              <w:rPr>
                <w:rFonts w:hint="eastAsia"/>
                <w:sz w:val="21"/>
              </w:rPr>
            </w:pPr>
            <w:r>
              <w:rPr>
                <w:rFonts w:hint="eastAsia"/>
                <w:sz w:val="21"/>
              </w:rPr>
              <w:t>Q值</w:t>
            </w:r>
          </w:p>
        </w:tc>
      </w:tr>
      <w:tr w14:paraId="45C60B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6" w:type="pct"/>
            <w:gridSpan w:val="2"/>
            <w:vAlign w:val="center"/>
          </w:tcPr>
          <w:p w14:paraId="3B4EE063">
            <w:pPr>
              <w:pStyle w:val="286"/>
              <w:spacing w:line="300" w:lineRule="exact"/>
              <w:rPr>
                <w:rFonts w:hint="eastAsia"/>
                <w:sz w:val="21"/>
              </w:rPr>
            </w:pPr>
            <w:r>
              <w:rPr>
                <w:rFonts w:hint="eastAsia"/>
                <w:sz w:val="21"/>
              </w:rPr>
              <w:t>施工期</w:t>
            </w:r>
          </w:p>
        </w:tc>
        <w:tc>
          <w:tcPr>
            <w:tcW w:w="688" w:type="pct"/>
            <w:vAlign w:val="center"/>
          </w:tcPr>
          <w:p w14:paraId="1F2E9F3C">
            <w:pPr>
              <w:pStyle w:val="286"/>
              <w:spacing w:line="300" w:lineRule="exact"/>
              <w:rPr>
                <w:rFonts w:hint="eastAsia"/>
                <w:sz w:val="21"/>
              </w:rPr>
            </w:pPr>
            <w:r>
              <w:rPr>
                <w:rFonts w:hint="eastAsia"/>
                <w:sz w:val="21"/>
              </w:rPr>
              <w:t>采油井场</w:t>
            </w:r>
          </w:p>
        </w:tc>
        <w:tc>
          <w:tcPr>
            <w:tcW w:w="932" w:type="pct"/>
            <w:vAlign w:val="center"/>
          </w:tcPr>
          <w:p w14:paraId="5C02FD4C">
            <w:pPr>
              <w:pStyle w:val="286"/>
              <w:spacing w:line="300" w:lineRule="exact"/>
              <w:rPr>
                <w:rFonts w:hint="eastAsia"/>
                <w:sz w:val="21"/>
              </w:rPr>
            </w:pPr>
            <w:r>
              <w:rPr>
                <w:rFonts w:hint="eastAsia"/>
                <w:sz w:val="21"/>
              </w:rPr>
              <w:t>柴油</w:t>
            </w:r>
          </w:p>
        </w:tc>
        <w:tc>
          <w:tcPr>
            <w:tcW w:w="1113" w:type="pct"/>
            <w:gridSpan w:val="2"/>
            <w:vAlign w:val="center"/>
          </w:tcPr>
          <w:p w14:paraId="79BC2373">
            <w:pPr>
              <w:pStyle w:val="286"/>
              <w:spacing w:line="300" w:lineRule="exact"/>
              <w:rPr>
                <w:rFonts w:hint="eastAsia"/>
                <w:sz w:val="21"/>
              </w:rPr>
            </w:pPr>
            <w:r>
              <w:rPr>
                <w:rFonts w:hint="eastAsia"/>
                <w:sz w:val="21"/>
              </w:rPr>
              <w:t>20</w:t>
            </w:r>
          </w:p>
        </w:tc>
        <w:tc>
          <w:tcPr>
            <w:tcW w:w="865" w:type="pct"/>
            <w:vAlign w:val="center"/>
          </w:tcPr>
          <w:p w14:paraId="41A8E09F">
            <w:pPr>
              <w:pStyle w:val="286"/>
              <w:spacing w:line="300" w:lineRule="exact"/>
              <w:rPr>
                <w:rFonts w:hint="eastAsia"/>
                <w:sz w:val="21"/>
              </w:rPr>
            </w:pPr>
            <w:r>
              <w:rPr>
                <w:rFonts w:hint="eastAsia"/>
                <w:sz w:val="21"/>
              </w:rPr>
              <w:t>2500</w:t>
            </w:r>
          </w:p>
        </w:tc>
        <w:tc>
          <w:tcPr>
            <w:tcW w:w="706" w:type="pct"/>
            <w:vAlign w:val="center"/>
          </w:tcPr>
          <w:p w14:paraId="06BE18B2">
            <w:pPr>
              <w:pStyle w:val="286"/>
              <w:spacing w:line="300" w:lineRule="exact"/>
              <w:rPr>
                <w:rFonts w:hint="eastAsia"/>
                <w:sz w:val="21"/>
              </w:rPr>
            </w:pPr>
            <w:r>
              <w:rPr>
                <w:rFonts w:hint="eastAsia"/>
                <w:sz w:val="21"/>
              </w:rPr>
              <w:t>0.008</w:t>
            </w:r>
          </w:p>
        </w:tc>
      </w:tr>
      <w:tr w14:paraId="46C2F1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vAlign w:val="center"/>
          </w:tcPr>
          <w:p w14:paraId="227EA214">
            <w:pPr>
              <w:pStyle w:val="286"/>
              <w:spacing w:line="300" w:lineRule="exact"/>
              <w:rPr>
                <w:rFonts w:hint="eastAsia"/>
                <w:sz w:val="21"/>
              </w:rPr>
            </w:pPr>
            <w:r>
              <w:rPr>
                <w:rFonts w:hint="eastAsia"/>
                <w:sz w:val="21"/>
              </w:rPr>
              <w:t>运营期</w:t>
            </w:r>
          </w:p>
        </w:tc>
        <w:tc>
          <w:tcPr>
            <w:tcW w:w="371" w:type="pct"/>
            <w:vMerge w:val="restart"/>
            <w:vAlign w:val="center"/>
          </w:tcPr>
          <w:p w14:paraId="70534CAE">
            <w:pPr>
              <w:pStyle w:val="286"/>
              <w:spacing w:line="300" w:lineRule="exact"/>
              <w:rPr>
                <w:rFonts w:hint="eastAsia"/>
                <w:sz w:val="21"/>
              </w:rPr>
            </w:pPr>
            <w:r>
              <w:rPr>
                <w:rFonts w:hint="eastAsia"/>
                <w:sz w:val="21"/>
              </w:rPr>
              <w:t>一期</w:t>
            </w:r>
          </w:p>
        </w:tc>
        <w:tc>
          <w:tcPr>
            <w:tcW w:w="688" w:type="pct"/>
            <w:vMerge w:val="restart"/>
            <w:vAlign w:val="center"/>
          </w:tcPr>
          <w:p w14:paraId="4A2A9B00">
            <w:pPr>
              <w:pStyle w:val="286"/>
              <w:spacing w:line="300" w:lineRule="exact"/>
              <w:rPr>
                <w:rFonts w:hint="eastAsia"/>
                <w:sz w:val="21"/>
              </w:rPr>
            </w:pPr>
            <w:r>
              <w:rPr>
                <w:rFonts w:hint="eastAsia"/>
                <w:sz w:val="21"/>
              </w:rPr>
              <w:t>单井采油管线</w:t>
            </w:r>
          </w:p>
        </w:tc>
        <w:tc>
          <w:tcPr>
            <w:tcW w:w="932" w:type="pct"/>
            <w:vMerge w:val="restart"/>
            <w:vAlign w:val="center"/>
          </w:tcPr>
          <w:p w14:paraId="6F1C9E46">
            <w:pPr>
              <w:pStyle w:val="286"/>
              <w:spacing w:line="300" w:lineRule="exact"/>
              <w:rPr>
                <w:rFonts w:hint="eastAsia"/>
                <w:sz w:val="21"/>
              </w:rPr>
            </w:pPr>
            <w:r>
              <w:rPr>
                <w:rFonts w:hint="eastAsia"/>
                <w:sz w:val="21"/>
              </w:rPr>
              <w:t>长度100m、DN65、</w:t>
            </w:r>
            <w:r>
              <w:rPr>
                <w:rFonts w:cs="宋体"/>
                <w:snapToGrid w:val="0"/>
                <w:sz w:val="21"/>
              </w:rPr>
              <w:t>2.5MPa</w:t>
            </w:r>
          </w:p>
        </w:tc>
        <w:tc>
          <w:tcPr>
            <w:tcW w:w="568" w:type="pct"/>
            <w:vAlign w:val="center"/>
          </w:tcPr>
          <w:p w14:paraId="37F0C86F">
            <w:pPr>
              <w:pStyle w:val="286"/>
              <w:spacing w:line="300" w:lineRule="exact"/>
              <w:rPr>
                <w:rFonts w:hint="eastAsia"/>
                <w:sz w:val="21"/>
              </w:rPr>
            </w:pPr>
            <w:r>
              <w:rPr>
                <w:rFonts w:hint="eastAsia"/>
                <w:sz w:val="21"/>
              </w:rPr>
              <w:t>原油</w:t>
            </w:r>
          </w:p>
        </w:tc>
        <w:tc>
          <w:tcPr>
            <w:tcW w:w="545" w:type="pct"/>
            <w:vAlign w:val="center"/>
          </w:tcPr>
          <w:p w14:paraId="2B461E78">
            <w:pPr>
              <w:pStyle w:val="286"/>
              <w:spacing w:line="300" w:lineRule="exact"/>
              <w:rPr>
                <w:rFonts w:hint="eastAsia"/>
                <w:sz w:val="21"/>
              </w:rPr>
            </w:pPr>
            <w:r>
              <w:rPr>
                <w:rFonts w:hint="eastAsia"/>
                <w:sz w:val="21"/>
              </w:rPr>
              <w:t>0.3</w:t>
            </w:r>
          </w:p>
        </w:tc>
        <w:tc>
          <w:tcPr>
            <w:tcW w:w="865" w:type="pct"/>
            <w:vAlign w:val="center"/>
          </w:tcPr>
          <w:p w14:paraId="3C0BBAC2">
            <w:pPr>
              <w:pStyle w:val="286"/>
              <w:spacing w:line="300" w:lineRule="exact"/>
              <w:rPr>
                <w:rFonts w:hint="eastAsia"/>
                <w:sz w:val="21"/>
              </w:rPr>
            </w:pPr>
            <w:r>
              <w:rPr>
                <w:rFonts w:hint="eastAsia"/>
                <w:sz w:val="21"/>
              </w:rPr>
              <w:t>2500</w:t>
            </w:r>
          </w:p>
        </w:tc>
        <w:tc>
          <w:tcPr>
            <w:tcW w:w="706" w:type="pct"/>
            <w:vAlign w:val="center"/>
          </w:tcPr>
          <w:p w14:paraId="29088429">
            <w:pPr>
              <w:pStyle w:val="286"/>
              <w:spacing w:line="300" w:lineRule="exact"/>
              <w:rPr>
                <w:rFonts w:hint="eastAsia"/>
                <w:sz w:val="21"/>
              </w:rPr>
            </w:pPr>
            <w:r>
              <w:rPr>
                <w:rFonts w:hint="eastAsia"/>
                <w:sz w:val="21"/>
              </w:rPr>
              <w:t>0.00012</w:t>
            </w:r>
          </w:p>
        </w:tc>
      </w:tr>
      <w:tr w14:paraId="0C6D91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3FA4CAF2">
            <w:pPr>
              <w:pStyle w:val="286"/>
              <w:spacing w:line="300" w:lineRule="exact"/>
              <w:rPr>
                <w:rFonts w:hint="eastAsia"/>
                <w:sz w:val="21"/>
              </w:rPr>
            </w:pPr>
          </w:p>
        </w:tc>
        <w:tc>
          <w:tcPr>
            <w:tcW w:w="371" w:type="pct"/>
            <w:vMerge w:val="continue"/>
            <w:vAlign w:val="center"/>
          </w:tcPr>
          <w:p w14:paraId="3E32B071">
            <w:pPr>
              <w:pStyle w:val="286"/>
              <w:spacing w:line="300" w:lineRule="exact"/>
              <w:rPr>
                <w:rFonts w:hint="eastAsia"/>
                <w:sz w:val="21"/>
              </w:rPr>
            </w:pPr>
          </w:p>
        </w:tc>
        <w:tc>
          <w:tcPr>
            <w:tcW w:w="688" w:type="pct"/>
            <w:vMerge w:val="continue"/>
            <w:vAlign w:val="center"/>
          </w:tcPr>
          <w:p w14:paraId="33721898">
            <w:pPr>
              <w:pStyle w:val="286"/>
              <w:spacing w:line="300" w:lineRule="exact"/>
              <w:rPr>
                <w:rFonts w:hint="eastAsia"/>
                <w:sz w:val="21"/>
              </w:rPr>
            </w:pPr>
          </w:p>
        </w:tc>
        <w:tc>
          <w:tcPr>
            <w:tcW w:w="932" w:type="pct"/>
            <w:vMerge w:val="continue"/>
            <w:vAlign w:val="center"/>
          </w:tcPr>
          <w:p w14:paraId="300A6B00">
            <w:pPr>
              <w:pStyle w:val="286"/>
              <w:spacing w:line="300" w:lineRule="exact"/>
              <w:rPr>
                <w:rFonts w:hint="eastAsia"/>
                <w:sz w:val="21"/>
              </w:rPr>
            </w:pPr>
          </w:p>
        </w:tc>
        <w:tc>
          <w:tcPr>
            <w:tcW w:w="568" w:type="pct"/>
            <w:vAlign w:val="center"/>
          </w:tcPr>
          <w:p w14:paraId="1AB7A49C">
            <w:pPr>
              <w:pStyle w:val="286"/>
              <w:spacing w:line="300" w:lineRule="exact"/>
              <w:rPr>
                <w:rFonts w:hint="eastAsia"/>
                <w:sz w:val="21"/>
              </w:rPr>
            </w:pPr>
            <w:r>
              <w:rPr>
                <w:rFonts w:hint="eastAsia"/>
                <w:sz w:val="21"/>
              </w:rPr>
              <w:t>伴生气</w:t>
            </w:r>
          </w:p>
        </w:tc>
        <w:tc>
          <w:tcPr>
            <w:tcW w:w="545" w:type="pct"/>
            <w:vAlign w:val="center"/>
          </w:tcPr>
          <w:p w14:paraId="1232C4B3">
            <w:pPr>
              <w:pStyle w:val="286"/>
              <w:spacing w:line="300" w:lineRule="exact"/>
              <w:rPr>
                <w:rFonts w:hint="eastAsia"/>
                <w:sz w:val="21"/>
              </w:rPr>
            </w:pPr>
            <w:r>
              <w:rPr>
                <w:rFonts w:hint="eastAsia"/>
                <w:sz w:val="21"/>
              </w:rPr>
              <w:t>0.00036</w:t>
            </w:r>
          </w:p>
        </w:tc>
        <w:tc>
          <w:tcPr>
            <w:tcW w:w="865" w:type="pct"/>
            <w:vAlign w:val="center"/>
          </w:tcPr>
          <w:p w14:paraId="40B0BA34">
            <w:pPr>
              <w:pStyle w:val="286"/>
              <w:spacing w:line="300" w:lineRule="exact"/>
              <w:rPr>
                <w:rFonts w:hint="eastAsia"/>
                <w:sz w:val="21"/>
              </w:rPr>
            </w:pPr>
            <w:r>
              <w:rPr>
                <w:rFonts w:hint="eastAsia"/>
                <w:sz w:val="21"/>
              </w:rPr>
              <w:t>10</w:t>
            </w:r>
          </w:p>
        </w:tc>
        <w:tc>
          <w:tcPr>
            <w:tcW w:w="706" w:type="pct"/>
            <w:vAlign w:val="center"/>
          </w:tcPr>
          <w:p w14:paraId="56E4390D">
            <w:pPr>
              <w:pStyle w:val="286"/>
              <w:spacing w:line="300" w:lineRule="exact"/>
              <w:rPr>
                <w:rFonts w:hint="eastAsia"/>
                <w:sz w:val="21"/>
              </w:rPr>
            </w:pPr>
            <w:r>
              <w:rPr>
                <w:rFonts w:hint="eastAsia"/>
                <w:sz w:val="21"/>
              </w:rPr>
              <w:t>0.000036</w:t>
            </w:r>
          </w:p>
        </w:tc>
      </w:tr>
      <w:tr w14:paraId="2F4835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6277674F">
            <w:pPr>
              <w:pStyle w:val="286"/>
              <w:spacing w:line="300" w:lineRule="exact"/>
              <w:rPr>
                <w:rFonts w:hint="eastAsia"/>
                <w:sz w:val="21"/>
              </w:rPr>
            </w:pPr>
          </w:p>
        </w:tc>
        <w:tc>
          <w:tcPr>
            <w:tcW w:w="371" w:type="pct"/>
            <w:vMerge w:val="continue"/>
            <w:vAlign w:val="center"/>
          </w:tcPr>
          <w:p w14:paraId="6490CCC1">
            <w:pPr>
              <w:pStyle w:val="286"/>
              <w:spacing w:line="300" w:lineRule="exact"/>
              <w:rPr>
                <w:rFonts w:hint="eastAsia"/>
                <w:sz w:val="21"/>
              </w:rPr>
            </w:pPr>
          </w:p>
        </w:tc>
        <w:tc>
          <w:tcPr>
            <w:tcW w:w="688" w:type="pct"/>
            <w:vAlign w:val="center"/>
          </w:tcPr>
          <w:p w14:paraId="44BAD3C7">
            <w:pPr>
              <w:pStyle w:val="286"/>
              <w:spacing w:line="300" w:lineRule="exact"/>
              <w:rPr>
                <w:rFonts w:hint="eastAsia"/>
                <w:sz w:val="21"/>
              </w:rPr>
            </w:pPr>
            <w:r>
              <w:rPr>
                <w:rFonts w:hint="eastAsia"/>
                <w:sz w:val="21"/>
              </w:rPr>
              <w:t>拉油罐</w:t>
            </w:r>
          </w:p>
        </w:tc>
        <w:tc>
          <w:tcPr>
            <w:tcW w:w="932" w:type="pct"/>
            <w:vAlign w:val="center"/>
          </w:tcPr>
          <w:p w14:paraId="19C31B8A">
            <w:pPr>
              <w:pStyle w:val="286"/>
              <w:spacing w:line="300" w:lineRule="exact"/>
              <w:rPr>
                <w:rFonts w:hint="eastAsia"/>
                <w:sz w:val="21"/>
              </w:rPr>
            </w:pPr>
            <w:r>
              <w:rPr>
                <w:rFonts w:hint="eastAsia"/>
                <w:sz w:val="21"/>
              </w:rPr>
              <w:t>5座60m</w:t>
            </w:r>
            <w:r>
              <w:rPr>
                <w:rFonts w:hint="eastAsia"/>
                <w:sz w:val="21"/>
                <w:vertAlign w:val="superscript"/>
              </w:rPr>
              <w:t>3</w:t>
            </w:r>
            <w:r>
              <w:rPr>
                <w:rFonts w:hint="eastAsia"/>
                <w:sz w:val="21"/>
              </w:rPr>
              <w:t>拉油方罐</w:t>
            </w:r>
          </w:p>
        </w:tc>
        <w:tc>
          <w:tcPr>
            <w:tcW w:w="568" w:type="pct"/>
            <w:vAlign w:val="center"/>
          </w:tcPr>
          <w:p w14:paraId="6D044ECD">
            <w:pPr>
              <w:pStyle w:val="286"/>
              <w:spacing w:line="300" w:lineRule="exact"/>
              <w:rPr>
                <w:rFonts w:hint="eastAsia"/>
                <w:sz w:val="21"/>
              </w:rPr>
            </w:pPr>
            <w:r>
              <w:rPr>
                <w:rFonts w:hint="eastAsia"/>
                <w:sz w:val="21"/>
              </w:rPr>
              <w:t>原油</w:t>
            </w:r>
          </w:p>
        </w:tc>
        <w:tc>
          <w:tcPr>
            <w:tcW w:w="545" w:type="pct"/>
            <w:vAlign w:val="center"/>
          </w:tcPr>
          <w:p w14:paraId="59500E39">
            <w:pPr>
              <w:pStyle w:val="286"/>
              <w:spacing w:line="300" w:lineRule="exact"/>
              <w:rPr>
                <w:rFonts w:hint="eastAsia"/>
                <w:sz w:val="21"/>
              </w:rPr>
            </w:pPr>
            <w:r>
              <w:rPr>
                <w:rFonts w:hint="eastAsia"/>
                <w:sz w:val="21"/>
              </w:rPr>
              <w:t>265.6</w:t>
            </w:r>
          </w:p>
        </w:tc>
        <w:tc>
          <w:tcPr>
            <w:tcW w:w="865" w:type="pct"/>
            <w:vAlign w:val="center"/>
          </w:tcPr>
          <w:p w14:paraId="6F3E955E">
            <w:pPr>
              <w:pStyle w:val="286"/>
              <w:spacing w:line="300" w:lineRule="exact"/>
              <w:rPr>
                <w:rFonts w:hint="eastAsia"/>
                <w:sz w:val="21"/>
              </w:rPr>
            </w:pPr>
            <w:r>
              <w:rPr>
                <w:rFonts w:hint="eastAsia"/>
                <w:sz w:val="21"/>
              </w:rPr>
              <w:t>2500</w:t>
            </w:r>
          </w:p>
        </w:tc>
        <w:tc>
          <w:tcPr>
            <w:tcW w:w="706" w:type="pct"/>
            <w:vAlign w:val="center"/>
          </w:tcPr>
          <w:p w14:paraId="4EF5303B">
            <w:pPr>
              <w:pStyle w:val="286"/>
              <w:spacing w:line="300" w:lineRule="exact"/>
              <w:rPr>
                <w:rFonts w:hint="eastAsia"/>
                <w:sz w:val="21"/>
              </w:rPr>
            </w:pPr>
            <w:r>
              <w:rPr>
                <w:rFonts w:hint="eastAsia"/>
                <w:sz w:val="21"/>
              </w:rPr>
              <w:t>0.106</w:t>
            </w:r>
          </w:p>
        </w:tc>
      </w:tr>
      <w:tr w14:paraId="40CA50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0704033A">
            <w:pPr>
              <w:pStyle w:val="286"/>
              <w:spacing w:line="300" w:lineRule="exact"/>
              <w:rPr>
                <w:rFonts w:hint="eastAsia"/>
                <w:sz w:val="21"/>
              </w:rPr>
            </w:pPr>
          </w:p>
        </w:tc>
        <w:tc>
          <w:tcPr>
            <w:tcW w:w="371" w:type="pct"/>
            <w:vMerge w:val="restart"/>
            <w:vAlign w:val="center"/>
          </w:tcPr>
          <w:p w14:paraId="058F123B">
            <w:pPr>
              <w:pStyle w:val="286"/>
              <w:spacing w:line="300" w:lineRule="exact"/>
              <w:rPr>
                <w:rFonts w:hint="eastAsia"/>
                <w:sz w:val="21"/>
              </w:rPr>
            </w:pPr>
            <w:r>
              <w:rPr>
                <w:rFonts w:hint="eastAsia"/>
                <w:sz w:val="21"/>
              </w:rPr>
              <w:t>二期</w:t>
            </w:r>
          </w:p>
        </w:tc>
        <w:tc>
          <w:tcPr>
            <w:tcW w:w="688" w:type="pct"/>
            <w:vMerge w:val="restart"/>
            <w:vAlign w:val="center"/>
          </w:tcPr>
          <w:p w14:paraId="3FFC8CC8">
            <w:pPr>
              <w:pStyle w:val="286"/>
              <w:spacing w:line="300" w:lineRule="exact"/>
              <w:rPr>
                <w:rFonts w:hint="eastAsia"/>
                <w:sz w:val="21"/>
              </w:rPr>
            </w:pPr>
            <w:r>
              <w:rPr>
                <w:rFonts w:hint="eastAsia"/>
                <w:sz w:val="21"/>
              </w:rPr>
              <w:t>集油干线</w:t>
            </w:r>
          </w:p>
        </w:tc>
        <w:tc>
          <w:tcPr>
            <w:tcW w:w="932" w:type="pct"/>
            <w:vMerge w:val="restart"/>
            <w:vAlign w:val="center"/>
          </w:tcPr>
          <w:p w14:paraId="56B19DC9">
            <w:pPr>
              <w:pStyle w:val="286"/>
              <w:spacing w:line="300" w:lineRule="exact"/>
              <w:rPr>
                <w:rFonts w:hint="eastAsia"/>
                <w:sz w:val="21"/>
              </w:rPr>
            </w:pPr>
            <w:r>
              <w:rPr>
                <w:rFonts w:hint="eastAsia"/>
                <w:sz w:val="21"/>
              </w:rPr>
              <w:t>长度6km、</w:t>
            </w:r>
            <w:r>
              <w:rPr>
                <w:rFonts w:cs="宋体"/>
                <w:snapToGrid w:val="0"/>
                <w:sz w:val="21"/>
              </w:rPr>
              <w:t>DN</w:t>
            </w:r>
            <w:r>
              <w:rPr>
                <w:rFonts w:hint="eastAsia" w:cs="宋体"/>
                <w:snapToGrid w:val="0"/>
                <w:sz w:val="21"/>
              </w:rPr>
              <w:t>20</w:t>
            </w:r>
            <w:r>
              <w:rPr>
                <w:rFonts w:cs="宋体"/>
                <w:snapToGrid w:val="0"/>
                <w:sz w:val="21"/>
              </w:rPr>
              <w:t>0</w:t>
            </w:r>
            <w:r>
              <w:rPr>
                <w:rFonts w:hint="eastAsia" w:cs="宋体"/>
                <w:snapToGrid w:val="0"/>
                <w:sz w:val="21"/>
              </w:rPr>
              <w:t>、</w:t>
            </w:r>
            <w:r>
              <w:rPr>
                <w:rFonts w:cs="宋体"/>
                <w:snapToGrid w:val="0"/>
                <w:sz w:val="21"/>
              </w:rPr>
              <w:t>3.5MPa</w:t>
            </w:r>
          </w:p>
        </w:tc>
        <w:tc>
          <w:tcPr>
            <w:tcW w:w="568" w:type="pct"/>
            <w:vAlign w:val="center"/>
          </w:tcPr>
          <w:p w14:paraId="76FF0CA5">
            <w:pPr>
              <w:pStyle w:val="286"/>
              <w:spacing w:line="300" w:lineRule="exact"/>
              <w:rPr>
                <w:rFonts w:hint="eastAsia"/>
                <w:sz w:val="21"/>
              </w:rPr>
            </w:pPr>
            <w:r>
              <w:rPr>
                <w:rFonts w:hint="eastAsia"/>
                <w:sz w:val="21"/>
              </w:rPr>
              <w:t>原油</w:t>
            </w:r>
          </w:p>
        </w:tc>
        <w:tc>
          <w:tcPr>
            <w:tcW w:w="545" w:type="pct"/>
            <w:vAlign w:val="center"/>
          </w:tcPr>
          <w:p w14:paraId="319513F9">
            <w:pPr>
              <w:pStyle w:val="286"/>
              <w:spacing w:line="300" w:lineRule="exact"/>
              <w:rPr>
                <w:rFonts w:hint="eastAsia"/>
                <w:sz w:val="21"/>
              </w:rPr>
            </w:pPr>
            <w:r>
              <w:rPr>
                <w:rFonts w:hint="eastAsia"/>
                <w:sz w:val="21"/>
              </w:rPr>
              <w:t>166.8</w:t>
            </w:r>
          </w:p>
        </w:tc>
        <w:tc>
          <w:tcPr>
            <w:tcW w:w="865" w:type="pct"/>
            <w:vAlign w:val="center"/>
          </w:tcPr>
          <w:p w14:paraId="3F2BFF04">
            <w:pPr>
              <w:pStyle w:val="286"/>
              <w:spacing w:line="300" w:lineRule="exact"/>
              <w:rPr>
                <w:rFonts w:hint="eastAsia"/>
                <w:sz w:val="21"/>
              </w:rPr>
            </w:pPr>
            <w:r>
              <w:rPr>
                <w:rFonts w:hint="eastAsia"/>
                <w:sz w:val="21"/>
              </w:rPr>
              <w:t>2500</w:t>
            </w:r>
          </w:p>
        </w:tc>
        <w:tc>
          <w:tcPr>
            <w:tcW w:w="706" w:type="pct"/>
            <w:vAlign w:val="center"/>
          </w:tcPr>
          <w:p w14:paraId="15E301D7">
            <w:pPr>
              <w:pStyle w:val="286"/>
              <w:spacing w:line="300" w:lineRule="exact"/>
              <w:rPr>
                <w:rFonts w:hint="eastAsia"/>
                <w:sz w:val="21"/>
              </w:rPr>
            </w:pPr>
            <w:r>
              <w:rPr>
                <w:rFonts w:hint="eastAsia"/>
                <w:sz w:val="21"/>
              </w:rPr>
              <w:t>0.0667</w:t>
            </w:r>
          </w:p>
        </w:tc>
      </w:tr>
      <w:tr w14:paraId="0CC3F8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vAlign w:val="center"/>
          </w:tcPr>
          <w:p w14:paraId="76015D43">
            <w:pPr>
              <w:pStyle w:val="286"/>
              <w:spacing w:line="300" w:lineRule="exact"/>
              <w:rPr>
                <w:rFonts w:hint="eastAsia"/>
                <w:sz w:val="21"/>
              </w:rPr>
            </w:pPr>
          </w:p>
        </w:tc>
        <w:tc>
          <w:tcPr>
            <w:tcW w:w="371" w:type="pct"/>
            <w:vMerge w:val="continue"/>
            <w:vAlign w:val="center"/>
          </w:tcPr>
          <w:p w14:paraId="0E358B96">
            <w:pPr>
              <w:pStyle w:val="286"/>
              <w:spacing w:line="300" w:lineRule="exact"/>
              <w:rPr>
                <w:rFonts w:hint="eastAsia"/>
                <w:sz w:val="21"/>
              </w:rPr>
            </w:pPr>
          </w:p>
        </w:tc>
        <w:tc>
          <w:tcPr>
            <w:tcW w:w="688" w:type="pct"/>
            <w:vMerge w:val="continue"/>
            <w:vAlign w:val="center"/>
          </w:tcPr>
          <w:p w14:paraId="2D63B8B8">
            <w:pPr>
              <w:pStyle w:val="286"/>
              <w:spacing w:line="300" w:lineRule="exact"/>
              <w:rPr>
                <w:rFonts w:hint="eastAsia"/>
                <w:sz w:val="21"/>
              </w:rPr>
            </w:pPr>
          </w:p>
        </w:tc>
        <w:tc>
          <w:tcPr>
            <w:tcW w:w="932" w:type="pct"/>
            <w:vMerge w:val="continue"/>
            <w:vAlign w:val="center"/>
          </w:tcPr>
          <w:p w14:paraId="65B23B8A">
            <w:pPr>
              <w:pStyle w:val="286"/>
              <w:spacing w:line="300" w:lineRule="exact"/>
              <w:rPr>
                <w:rFonts w:hint="eastAsia"/>
                <w:sz w:val="21"/>
              </w:rPr>
            </w:pPr>
          </w:p>
        </w:tc>
        <w:tc>
          <w:tcPr>
            <w:tcW w:w="568" w:type="pct"/>
            <w:vAlign w:val="center"/>
          </w:tcPr>
          <w:p w14:paraId="01A30F07">
            <w:pPr>
              <w:pStyle w:val="286"/>
              <w:spacing w:line="300" w:lineRule="exact"/>
              <w:rPr>
                <w:rFonts w:hint="eastAsia"/>
                <w:sz w:val="21"/>
              </w:rPr>
            </w:pPr>
            <w:r>
              <w:rPr>
                <w:rFonts w:hint="eastAsia"/>
                <w:sz w:val="21"/>
              </w:rPr>
              <w:t>伴生气</w:t>
            </w:r>
          </w:p>
        </w:tc>
        <w:tc>
          <w:tcPr>
            <w:tcW w:w="545" w:type="pct"/>
            <w:vAlign w:val="center"/>
          </w:tcPr>
          <w:p w14:paraId="6784369D">
            <w:pPr>
              <w:pStyle w:val="286"/>
              <w:spacing w:line="300" w:lineRule="exact"/>
              <w:rPr>
                <w:rFonts w:hint="eastAsia"/>
                <w:sz w:val="21"/>
              </w:rPr>
            </w:pPr>
            <w:r>
              <w:rPr>
                <w:rFonts w:hint="eastAsia"/>
                <w:sz w:val="21"/>
              </w:rPr>
              <w:t>0.182</w:t>
            </w:r>
          </w:p>
        </w:tc>
        <w:tc>
          <w:tcPr>
            <w:tcW w:w="865" w:type="pct"/>
            <w:vAlign w:val="center"/>
          </w:tcPr>
          <w:p w14:paraId="56301248">
            <w:pPr>
              <w:pStyle w:val="286"/>
              <w:spacing w:line="300" w:lineRule="exact"/>
              <w:rPr>
                <w:rFonts w:hint="eastAsia"/>
                <w:sz w:val="21"/>
              </w:rPr>
            </w:pPr>
            <w:r>
              <w:rPr>
                <w:rFonts w:hint="eastAsia"/>
                <w:sz w:val="21"/>
              </w:rPr>
              <w:t>10</w:t>
            </w:r>
          </w:p>
        </w:tc>
        <w:tc>
          <w:tcPr>
            <w:tcW w:w="706" w:type="pct"/>
            <w:vAlign w:val="center"/>
          </w:tcPr>
          <w:p w14:paraId="0D3A3305">
            <w:pPr>
              <w:pStyle w:val="286"/>
              <w:spacing w:line="300" w:lineRule="exact"/>
              <w:rPr>
                <w:rFonts w:hint="eastAsia"/>
                <w:sz w:val="21"/>
              </w:rPr>
            </w:pPr>
            <w:r>
              <w:rPr>
                <w:rFonts w:hint="eastAsia"/>
                <w:sz w:val="21"/>
              </w:rPr>
              <w:t>0.0152</w:t>
            </w:r>
          </w:p>
        </w:tc>
      </w:tr>
      <w:tr w14:paraId="2C609C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4" w:type="pct"/>
            <w:gridSpan w:val="3"/>
            <w:vAlign w:val="center"/>
          </w:tcPr>
          <w:p w14:paraId="012D07DE">
            <w:pPr>
              <w:pStyle w:val="286"/>
              <w:spacing w:line="300" w:lineRule="exact"/>
              <w:rPr>
                <w:rFonts w:hint="eastAsia"/>
                <w:sz w:val="21"/>
              </w:rPr>
            </w:pPr>
            <w:r>
              <w:rPr>
                <w:rFonts w:hint="eastAsia"/>
                <w:sz w:val="21"/>
              </w:rPr>
              <w:t>合计</w:t>
            </w:r>
          </w:p>
        </w:tc>
        <w:tc>
          <w:tcPr>
            <w:tcW w:w="932" w:type="pct"/>
          </w:tcPr>
          <w:p w14:paraId="7B48B13A">
            <w:pPr>
              <w:pStyle w:val="286"/>
              <w:spacing w:line="300" w:lineRule="exact"/>
              <w:rPr>
                <w:rFonts w:hint="eastAsia"/>
                <w:sz w:val="21"/>
              </w:rPr>
            </w:pPr>
            <w:r>
              <w:rPr>
                <w:rFonts w:hint="eastAsia"/>
                <w:sz w:val="21"/>
              </w:rPr>
              <w:t>/</w:t>
            </w:r>
          </w:p>
        </w:tc>
        <w:tc>
          <w:tcPr>
            <w:tcW w:w="568" w:type="pct"/>
          </w:tcPr>
          <w:p w14:paraId="2EC3F715">
            <w:pPr>
              <w:pStyle w:val="286"/>
              <w:spacing w:line="300" w:lineRule="exact"/>
              <w:rPr>
                <w:rFonts w:hint="eastAsia"/>
                <w:sz w:val="21"/>
              </w:rPr>
            </w:pPr>
            <w:r>
              <w:rPr>
                <w:rFonts w:hint="eastAsia"/>
                <w:sz w:val="21"/>
              </w:rPr>
              <w:t>/</w:t>
            </w:r>
          </w:p>
        </w:tc>
        <w:tc>
          <w:tcPr>
            <w:tcW w:w="545" w:type="pct"/>
          </w:tcPr>
          <w:p w14:paraId="2EEAA198">
            <w:pPr>
              <w:pStyle w:val="286"/>
              <w:spacing w:line="300" w:lineRule="exact"/>
              <w:rPr>
                <w:rFonts w:hint="eastAsia"/>
                <w:sz w:val="21"/>
              </w:rPr>
            </w:pPr>
            <w:r>
              <w:rPr>
                <w:rFonts w:hint="eastAsia"/>
                <w:sz w:val="21"/>
              </w:rPr>
              <w:t>/</w:t>
            </w:r>
          </w:p>
        </w:tc>
        <w:tc>
          <w:tcPr>
            <w:tcW w:w="865" w:type="pct"/>
          </w:tcPr>
          <w:p w14:paraId="7A460A33">
            <w:pPr>
              <w:pStyle w:val="286"/>
              <w:spacing w:line="300" w:lineRule="exact"/>
              <w:rPr>
                <w:rFonts w:hint="eastAsia"/>
                <w:sz w:val="21"/>
              </w:rPr>
            </w:pPr>
            <w:r>
              <w:rPr>
                <w:rFonts w:hint="eastAsia"/>
                <w:sz w:val="21"/>
              </w:rPr>
              <w:t>/</w:t>
            </w:r>
          </w:p>
        </w:tc>
        <w:tc>
          <w:tcPr>
            <w:tcW w:w="706" w:type="pct"/>
            <w:vAlign w:val="center"/>
          </w:tcPr>
          <w:p w14:paraId="6C023964">
            <w:pPr>
              <w:pStyle w:val="286"/>
              <w:spacing w:line="300" w:lineRule="exact"/>
              <w:rPr>
                <w:rFonts w:hint="eastAsia" w:ascii="等线" w:hAnsi="等线" w:eastAsia="等线"/>
                <w:sz w:val="22"/>
                <w:szCs w:val="22"/>
              </w:rPr>
            </w:pPr>
            <w:r>
              <w:rPr>
                <w:rFonts w:hint="eastAsia"/>
                <w:sz w:val="21"/>
              </w:rPr>
              <w:t>0.196056</w:t>
            </w:r>
          </w:p>
        </w:tc>
      </w:tr>
      <w:bookmarkEnd w:id="578"/>
    </w:tbl>
    <w:p w14:paraId="6478EF44">
      <w:pPr>
        <w:pStyle w:val="117"/>
        <w:ind w:firstLine="480"/>
        <w:rPr>
          <w:rFonts w:hint="eastAsia"/>
        </w:rPr>
      </w:pPr>
      <w:r>
        <w:rPr>
          <w:rFonts w:hint="eastAsia"/>
        </w:rPr>
        <w:t>根据上表计算结果可知，Q</w:t>
      </w:r>
      <w:r>
        <w:t>=</w:t>
      </w:r>
      <w:r>
        <w:rPr>
          <w:rFonts w:hint="eastAsia"/>
        </w:rPr>
        <w:t>196056，</w:t>
      </w:r>
      <w:bookmarkEnd w:id="575"/>
      <w:r>
        <w:rPr>
          <w:rFonts w:hint="eastAsia"/>
        </w:rPr>
        <w:t>小于1，判断风险潜势为Ⅰ。根据《建设项目环境风险评价技术导则》（H</w:t>
      </w:r>
      <w:r>
        <w:t>J169-2018</w:t>
      </w:r>
      <w:r>
        <w:rPr>
          <w:rFonts w:hint="eastAsia"/>
        </w:rPr>
        <w:t>）相关要求，本次评价仅对可能存在的环境风险进行简单分析。</w:t>
      </w:r>
    </w:p>
    <w:p w14:paraId="0E7FE543">
      <w:pPr>
        <w:pStyle w:val="4"/>
        <w:rPr>
          <w:rFonts w:hint="eastAsia"/>
        </w:rPr>
      </w:pPr>
      <w:r>
        <w:rPr>
          <w:rFonts w:hint="eastAsia"/>
        </w:rPr>
        <w:t>环境敏感目标</w:t>
      </w:r>
    </w:p>
    <w:p w14:paraId="5B8B01D9">
      <w:pPr>
        <w:pStyle w:val="117"/>
        <w:ind w:firstLine="480"/>
        <w:rPr>
          <w:rFonts w:hint="eastAsia"/>
        </w:rPr>
      </w:pPr>
      <w:r>
        <w:rPr>
          <w:rFonts w:hint="eastAsia"/>
        </w:rPr>
        <w:t>简单分析不设评价范围，项目区周围无环境风险敏感目标。</w:t>
      </w:r>
    </w:p>
    <w:p w14:paraId="7ED2B8BF">
      <w:pPr>
        <w:pStyle w:val="4"/>
        <w:rPr>
          <w:rFonts w:hint="eastAsia"/>
        </w:rPr>
      </w:pPr>
      <w:r>
        <w:rPr>
          <w:rFonts w:hint="eastAsia"/>
        </w:rPr>
        <w:t>环境风险识别</w:t>
      </w:r>
    </w:p>
    <w:p w14:paraId="75066C32">
      <w:pPr>
        <w:pStyle w:val="117"/>
        <w:ind w:firstLine="480"/>
        <w:rPr>
          <w:rFonts w:hint="eastAsia"/>
        </w:rPr>
      </w:pPr>
      <w:r>
        <w:rPr>
          <w:rFonts w:hint="eastAsia"/>
        </w:rPr>
        <w:t>（1）</w:t>
      </w:r>
      <w:r>
        <w:t>物质危险性识别</w:t>
      </w:r>
    </w:p>
    <w:p w14:paraId="6EE06E0F">
      <w:pPr>
        <w:pStyle w:val="117"/>
        <w:ind w:firstLine="480"/>
        <w:rPr>
          <w:rFonts w:hint="eastAsia"/>
        </w:rPr>
      </w:pPr>
      <w:r>
        <w:rPr>
          <w:rFonts w:hint="eastAsia"/>
        </w:rPr>
        <w:t>施工期涉及的风险物质为柴油，运营期涉及的危险物质主要为原油、伴生气，润滑油为石油制品，其理化性质与原油类似，原油和伴生气的主要物化、毒理性质、危险等级划分见表</w:t>
      </w:r>
      <w:r>
        <w:t>5.4</w:t>
      </w:r>
      <w:r>
        <w:rPr>
          <w:rFonts w:hint="eastAsia"/>
        </w:rPr>
        <w:t>-</w:t>
      </w:r>
      <w:r>
        <w:t>2</w:t>
      </w:r>
      <w:r>
        <w:rPr>
          <w:rFonts w:hint="eastAsia"/>
        </w:rPr>
        <w:t>。</w:t>
      </w:r>
    </w:p>
    <w:p w14:paraId="310FEE00">
      <w:pPr>
        <w:pStyle w:val="109"/>
        <w:rPr>
          <w:rFonts w:hint="eastAsia"/>
        </w:rPr>
      </w:pPr>
      <w:r>
        <w:rPr>
          <w:rFonts w:hint="eastAsia"/>
        </w:rPr>
        <w:t>表</w:t>
      </w:r>
      <w:r>
        <w:t>5.4</w:t>
      </w:r>
      <w:r>
        <w:rPr>
          <w:rFonts w:hint="eastAsia"/>
        </w:rPr>
        <w:t>-</w:t>
      </w:r>
      <w:r>
        <w:t>2</w:t>
      </w:r>
      <w:r>
        <w:rPr>
          <w:rFonts w:hint="eastAsia"/>
        </w:rPr>
        <w:t xml:space="preserve">  原油、伴生气的理化性质及危险级别分类情况</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57" w:type="dxa"/>
          <w:bottom w:w="0" w:type="dxa"/>
          <w:right w:w="57" w:type="dxa"/>
        </w:tblCellMar>
      </w:tblPr>
      <w:tblGrid>
        <w:gridCol w:w="451"/>
        <w:gridCol w:w="726"/>
        <w:gridCol w:w="1400"/>
        <w:gridCol w:w="3235"/>
        <w:gridCol w:w="1985"/>
        <w:gridCol w:w="933"/>
      </w:tblGrid>
      <w:tr w14:paraId="35F08BD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tblHeader/>
        </w:trPr>
        <w:tc>
          <w:tcPr>
            <w:tcW w:w="451" w:type="dxa"/>
            <w:tcMar>
              <w:left w:w="0" w:type="dxa"/>
              <w:right w:w="0" w:type="dxa"/>
            </w:tcMar>
            <w:vAlign w:val="center"/>
          </w:tcPr>
          <w:p w14:paraId="4B2A347D">
            <w:pPr>
              <w:adjustRightInd w:val="0"/>
              <w:snapToGrid w:val="0"/>
              <w:spacing w:line="300" w:lineRule="exact"/>
              <w:jc w:val="center"/>
              <w:rPr>
                <w:rFonts w:hint="eastAsia" w:ascii="宋体" w:hAnsi="宋体"/>
                <w:szCs w:val="21"/>
              </w:rPr>
            </w:pPr>
            <w:r>
              <w:rPr>
                <w:rFonts w:ascii="宋体" w:hAnsi="宋体"/>
                <w:szCs w:val="21"/>
              </w:rPr>
              <w:t>序号</w:t>
            </w:r>
          </w:p>
        </w:tc>
        <w:tc>
          <w:tcPr>
            <w:tcW w:w="726" w:type="dxa"/>
            <w:tcMar>
              <w:left w:w="0" w:type="dxa"/>
              <w:right w:w="0" w:type="dxa"/>
            </w:tcMar>
            <w:vAlign w:val="center"/>
          </w:tcPr>
          <w:p w14:paraId="2D2C8BFC">
            <w:pPr>
              <w:adjustRightInd w:val="0"/>
              <w:snapToGrid w:val="0"/>
              <w:spacing w:line="300" w:lineRule="exact"/>
              <w:jc w:val="center"/>
              <w:rPr>
                <w:rFonts w:hint="eastAsia" w:ascii="宋体" w:hAnsi="宋体"/>
                <w:szCs w:val="21"/>
              </w:rPr>
            </w:pPr>
            <w:r>
              <w:rPr>
                <w:rFonts w:ascii="宋体" w:hAnsi="宋体"/>
                <w:szCs w:val="21"/>
              </w:rPr>
              <w:t>名称</w:t>
            </w:r>
          </w:p>
        </w:tc>
        <w:tc>
          <w:tcPr>
            <w:tcW w:w="1400" w:type="dxa"/>
            <w:tcMar>
              <w:left w:w="0" w:type="dxa"/>
              <w:right w:w="0" w:type="dxa"/>
            </w:tcMar>
            <w:vAlign w:val="center"/>
          </w:tcPr>
          <w:p w14:paraId="2102FD98">
            <w:pPr>
              <w:adjustRightInd w:val="0"/>
              <w:snapToGrid w:val="0"/>
              <w:spacing w:line="300" w:lineRule="exact"/>
              <w:jc w:val="center"/>
              <w:rPr>
                <w:rFonts w:hint="eastAsia" w:ascii="宋体" w:hAnsi="宋体"/>
                <w:szCs w:val="21"/>
              </w:rPr>
            </w:pPr>
            <w:r>
              <w:rPr>
                <w:rFonts w:ascii="宋体" w:hAnsi="宋体"/>
                <w:szCs w:val="21"/>
              </w:rPr>
              <w:t>组分</w:t>
            </w:r>
          </w:p>
        </w:tc>
        <w:tc>
          <w:tcPr>
            <w:tcW w:w="3235" w:type="dxa"/>
            <w:tcMar>
              <w:left w:w="0" w:type="dxa"/>
              <w:right w:w="0" w:type="dxa"/>
            </w:tcMar>
            <w:vAlign w:val="center"/>
          </w:tcPr>
          <w:p w14:paraId="0AC768CB">
            <w:pPr>
              <w:adjustRightInd w:val="0"/>
              <w:snapToGrid w:val="0"/>
              <w:spacing w:line="300" w:lineRule="exact"/>
              <w:jc w:val="center"/>
              <w:rPr>
                <w:rFonts w:hint="eastAsia" w:ascii="宋体" w:hAnsi="宋体"/>
                <w:szCs w:val="21"/>
              </w:rPr>
            </w:pPr>
            <w:r>
              <w:rPr>
                <w:rFonts w:ascii="宋体" w:hAnsi="宋体"/>
                <w:szCs w:val="21"/>
              </w:rPr>
              <w:t>毒性</w:t>
            </w:r>
          </w:p>
        </w:tc>
        <w:tc>
          <w:tcPr>
            <w:tcW w:w="1985" w:type="dxa"/>
            <w:tcMar>
              <w:left w:w="0" w:type="dxa"/>
              <w:right w:w="0" w:type="dxa"/>
            </w:tcMar>
            <w:vAlign w:val="center"/>
          </w:tcPr>
          <w:p w14:paraId="1F0BEC8B">
            <w:pPr>
              <w:adjustRightInd w:val="0"/>
              <w:snapToGrid w:val="0"/>
              <w:spacing w:line="300" w:lineRule="exact"/>
              <w:jc w:val="center"/>
              <w:rPr>
                <w:rFonts w:hint="eastAsia" w:ascii="宋体" w:hAnsi="宋体"/>
                <w:szCs w:val="21"/>
              </w:rPr>
            </w:pPr>
            <w:r>
              <w:rPr>
                <w:rFonts w:ascii="宋体" w:hAnsi="宋体"/>
                <w:szCs w:val="21"/>
              </w:rPr>
              <w:t>燃烧爆炸特性参数</w:t>
            </w:r>
          </w:p>
        </w:tc>
        <w:tc>
          <w:tcPr>
            <w:tcW w:w="933" w:type="dxa"/>
            <w:tcMar>
              <w:left w:w="0" w:type="dxa"/>
              <w:right w:w="0" w:type="dxa"/>
            </w:tcMar>
            <w:vAlign w:val="center"/>
          </w:tcPr>
          <w:p w14:paraId="277E5E33">
            <w:pPr>
              <w:adjustRightInd w:val="0"/>
              <w:snapToGrid w:val="0"/>
              <w:spacing w:line="300" w:lineRule="exact"/>
              <w:jc w:val="center"/>
              <w:rPr>
                <w:rFonts w:hint="eastAsia" w:ascii="宋体" w:hAnsi="宋体"/>
                <w:szCs w:val="21"/>
              </w:rPr>
            </w:pPr>
            <w:r>
              <w:rPr>
                <w:rFonts w:ascii="宋体" w:hAnsi="宋体"/>
                <w:szCs w:val="21"/>
              </w:rPr>
              <w:t>危险级别</w:t>
            </w:r>
          </w:p>
        </w:tc>
      </w:tr>
      <w:tr w14:paraId="0D2F5D8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trPr>
        <w:tc>
          <w:tcPr>
            <w:tcW w:w="451" w:type="dxa"/>
            <w:tcMar>
              <w:left w:w="0" w:type="dxa"/>
              <w:right w:w="0" w:type="dxa"/>
            </w:tcMar>
            <w:vAlign w:val="center"/>
          </w:tcPr>
          <w:p w14:paraId="6832861C">
            <w:pPr>
              <w:adjustRightInd w:val="0"/>
              <w:snapToGrid w:val="0"/>
              <w:spacing w:line="300" w:lineRule="exact"/>
              <w:jc w:val="center"/>
              <w:rPr>
                <w:rFonts w:hint="eastAsia" w:ascii="宋体" w:hAnsi="宋体"/>
              </w:rPr>
            </w:pPr>
            <w:r>
              <w:rPr>
                <w:rFonts w:hint="eastAsia" w:ascii="宋体" w:hAnsi="宋体"/>
              </w:rPr>
              <w:t>1</w:t>
            </w:r>
          </w:p>
        </w:tc>
        <w:tc>
          <w:tcPr>
            <w:tcW w:w="726" w:type="dxa"/>
            <w:tcMar>
              <w:left w:w="0" w:type="dxa"/>
              <w:right w:w="0" w:type="dxa"/>
            </w:tcMar>
            <w:vAlign w:val="center"/>
          </w:tcPr>
          <w:p w14:paraId="754FBE6E">
            <w:pPr>
              <w:adjustRightInd w:val="0"/>
              <w:snapToGrid w:val="0"/>
              <w:spacing w:line="300" w:lineRule="exact"/>
              <w:jc w:val="center"/>
              <w:rPr>
                <w:rFonts w:hint="eastAsia" w:ascii="宋体" w:hAnsi="宋体"/>
                <w:szCs w:val="21"/>
              </w:rPr>
            </w:pPr>
            <w:r>
              <w:rPr>
                <w:rFonts w:hint="eastAsia" w:ascii="宋体" w:hAnsi="宋体"/>
                <w:szCs w:val="21"/>
              </w:rPr>
              <w:t>原油</w:t>
            </w:r>
          </w:p>
        </w:tc>
        <w:tc>
          <w:tcPr>
            <w:tcW w:w="1400" w:type="dxa"/>
            <w:tcMar>
              <w:left w:w="0" w:type="dxa"/>
              <w:right w:w="0" w:type="dxa"/>
            </w:tcMar>
            <w:vAlign w:val="center"/>
          </w:tcPr>
          <w:p w14:paraId="0F496F22">
            <w:pPr>
              <w:adjustRightInd w:val="0"/>
              <w:snapToGrid w:val="0"/>
              <w:spacing w:line="300" w:lineRule="exact"/>
              <w:jc w:val="center"/>
              <w:rPr>
                <w:rFonts w:hint="eastAsia" w:ascii="宋体" w:hAnsi="宋体"/>
                <w:szCs w:val="21"/>
              </w:rPr>
            </w:pPr>
            <w:r>
              <w:rPr>
                <w:rFonts w:hint="eastAsia" w:ascii="宋体" w:hAnsi="宋体"/>
                <w:szCs w:val="21"/>
              </w:rPr>
              <w:t>由</w:t>
            </w:r>
            <w:r>
              <w:rPr>
                <w:rFonts w:ascii="宋体" w:hAnsi="宋体"/>
                <w:szCs w:val="21"/>
              </w:rPr>
              <w:t>各种烃类和非烃类化合物所组成的复杂混合物</w:t>
            </w:r>
          </w:p>
        </w:tc>
        <w:tc>
          <w:tcPr>
            <w:tcW w:w="3235" w:type="dxa"/>
            <w:tcMar>
              <w:left w:w="0" w:type="dxa"/>
              <w:right w:w="0" w:type="dxa"/>
            </w:tcMar>
            <w:vAlign w:val="center"/>
          </w:tcPr>
          <w:p w14:paraId="0F3937DB">
            <w:pPr>
              <w:adjustRightInd w:val="0"/>
              <w:snapToGrid w:val="0"/>
              <w:spacing w:line="300" w:lineRule="exact"/>
              <w:jc w:val="center"/>
              <w:rPr>
                <w:rFonts w:hint="eastAsia" w:ascii="宋体" w:hAnsi="宋体"/>
                <w:szCs w:val="21"/>
              </w:rPr>
            </w:pPr>
            <w:r>
              <w:rPr>
                <w:rFonts w:ascii="宋体" w:hAnsi="宋体"/>
                <w:szCs w:val="21"/>
              </w:rPr>
              <w:t>本身无明显毒性。遇热分解出有毒的烟雾，吸入大量可引起危害：有刺激和麻痹作用，吸入急性中毒者有上呼吸道刺激症状。流泪，随之出现头晕、头痛、恶心、运动失调及酒醉样症状</w:t>
            </w:r>
          </w:p>
        </w:tc>
        <w:tc>
          <w:tcPr>
            <w:tcW w:w="1985" w:type="dxa"/>
            <w:tcMar>
              <w:left w:w="0" w:type="dxa"/>
              <w:right w:w="0" w:type="dxa"/>
            </w:tcMar>
            <w:vAlign w:val="center"/>
          </w:tcPr>
          <w:p w14:paraId="2120917F">
            <w:pPr>
              <w:adjustRightInd w:val="0"/>
              <w:snapToGrid w:val="0"/>
              <w:spacing w:line="300" w:lineRule="exact"/>
              <w:jc w:val="center"/>
              <w:rPr>
                <w:rFonts w:hint="eastAsia" w:ascii="宋体" w:hAnsi="宋体"/>
                <w:szCs w:val="21"/>
              </w:rPr>
            </w:pPr>
            <w:r>
              <w:rPr>
                <w:rFonts w:ascii="宋体" w:hAnsi="宋体"/>
                <w:szCs w:val="21"/>
              </w:rPr>
              <w:t>热值：41870KJ/kg</w:t>
            </w:r>
          </w:p>
          <w:p w14:paraId="797A6CCE">
            <w:pPr>
              <w:adjustRightInd w:val="0"/>
              <w:snapToGrid w:val="0"/>
              <w:spacing w:line="300" w:lineRule="exact"/>
              <w:jc w:val="center"/>
              <w:rPr>
                <w:rFonts w:hint="eastAsia" w:ascii="宋体" w:hAnsi="宋体"/>
                <w:szCs w:val="21"/>
              </w:rPr>
            </w:pPr>
            <w:r>
              <w:rPr>
                <w:rFonts w:ascii="宋体" w:hAnsi="宋体"/>
                <w:szCs w:val="21"/>
              </w:rPr>
              <w:t>火焰温度：1100℃</w:t>
            </w:r>
          </w:p>
          <w:p w14:paraId="68AD1976">
            <w:pPr>
              <w:adjustRightInd w:val="0"/>
              <w:snapToGrid w:val="0"/>
              <w:spacing w:line="300" w:lineRule="exact"/>
              <w:jc w:val="center"/>
              <w:rPr>
                <w:rFonts w:hint="eastAsia" w:ascii="宋体" w:hAnsi="宋体"/>
                <w:szCs w:val="21"/>
              </w:rPr>
            </w:pPr>
            <w:r>
              <w:rPr>
                <w:rFonts w:ascii="宋体" w:hAnsi="宋体"/>
                <w:szCs w:val="21"/>
              </w:rPr>
              <w:t>沸点：300℃</w:t>
            </w:r>
            <w:r>
              <w:rPr>
                <w:rFonts w:hint="eastAsia" w:ascii="宋体" w:hAnsi="宋体"/>
                <w:szCs w:val="21"/>
              </w:rPr>
              <w:t>～</w:t>
            </w:r>
            <w:r>
              <w:rPr>
                <w:rFonts w:ascii="宋体" w:hAnsi="宋体"/>
                <w:szCs w:val="21"/>
              </w:rPr>
              <w:t>325℃</w:t>
            </w:r>
          </w:p>
          <w:p w14:paraId="53B6C32B">
            <w:pPr>
              <w:adjustRightInd w:val="0"/>
              <w:snapToGrid w:val="0"/>
              <w:spacing w:line="300" w:lineRule="exact"/>
              <w:jc w:val="center"/>
              <w:rPr>
                <w:rFonts w:hint="eastAsia" w:ascii="宋体" w:hAnsi="宋体"/>
                <w:szCs w:val="21"/>
              </w:rPr>
            </w:pPr>
            <w:r>
              <w:rPr>
                <w:rFonts w:ascii="宋体" w:hAnsi="宋体"/>
                <w:szCs w:val="21"/>
              </w:rPr>
              <w:t>闪点：23.5℃</w:t>
            </w:r>
          </w:p>
          <w:p w14:paraId="256A39C4">
            <w:pPr>
              <w:adjustRightInd w:val="0"/>
              <w:snapToGrid w:val="0"/>
              <w:spacing w:line="300" w:lineRule="exact"/>
              <w:jc w:val="center"/>
              <w:rPr>
                <w:rFonts w:hint="eastAsia" w:ascii="宋体" w:hAnsi="宋体"/>
                <w:szCs w:val="21"/>
              </w:rPr>
            </w:pPr>
            <w:r>
              <w:rPr>
                <w:rFonts w:ascii="宋体" w:hAnsi="宋体"/>
                <w:szCs w:val="21"/>
              </w:rPr>
              <w:t>爆炸极限1.1%</w:t>
            </w:r>
            <w:r>
              <w:rPr>
                <w:rFonts w:hint="eastAsia" w:ascii="宋体" w:hAnsi="宋体"/>
                <w:szCs w:val="21"/>
              </w:rPr>
              <w:t>～</w:t>
            </w:r>
            <w:r>
              <w:rPr>
                <w:rFonts w:ascii="宋体" w:hAnsi="宋体"/>
                <w:szCs w:val="21"/>
              </w:rPr>
              <w:t>6.4%（v）自然燃点380℃</w:t>
            </w:r>
            <w:r>
              <w:rPr>
                <w:rFonts w:hint="eastAsia" w:ascii="宋体" w:hAnsi="宋体"/>
                <w:szCs w:val="21"/>
              </w:rPr>
              <w:t>～</w:t>
            </w:r>
            <w:r>
              <w:rPr>
                <w:rFonts w:ascii="宋体" w:hAnsi="宋体"/>
                <w:szCs w:val="21"/>
              </w:rPr>
              <w:t>530℃</w:t>
            </w:r>
          </w:p>
        </w:tc>
        <w:tc>
          <w:tcPr>
            <w:tcW w:w="933" w:type="dxa"/>
            <w:tcMar>
              <w:left w:w="0" w:type="dxa"/>
              <w:right w:w="0" w:type="dxa"/>
            </w:tcMar>
            <w:vAlign w:val="center"/>
          </w:tcPr>
          <w:p w14:paraId="7736D251">
            <w:pPr>
              <w:adjustRightInd w:val="0"/>
              <w:snapToGrid w:val="0"/>
              <w:spacing w:line="300" w:lineRule="exact"/>
              <w:jc w:val="center"/>
              <w:rPr>
                <w:rFonts w:hint="eastAsia" w:ascii="宋体" w:hAnsi="宋体"/>
                <w:szCs w:val="21"/>
              </w:rPr>
            </w:pPr>
            <w:r>
              <w:rPr>
                <w:rFonts w:ascii="宋体" w:hAnsi="宋体"/>
                <w:szCs w:val="21"/>
              </w:rPr>
              <w:t>属于高闪点液体</w:t>
            </w:r>
          </w:p>
        </w:tc>
      </w:tr>
      <w:tr w14:paraId="679A3A6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trPr>
        <w:tc>
          <w:tcPr>
            <w:tcW w:w="451" w:type="dxa"/>
            <w:tcMar>
              <w:left w:w="0" w:type="dxa"/>
              <w:right w:w="0" w:type="dxa"/>
            </w:tcMar>
            <w:vAlign w:val="center"/>
          </w:tcPr>
          <w:p w14:paraId="6D2386F6">
            <w:pPr>
              <w:adjustRightInd w:val="0"/>
              <w:snapToGrid w:val="0"/>
              <w:spacing w:line="300" w:lineRule="exact"/>
              <w:jc w:val="center"/>
              <w:rPr>
                <w:rFonts w:hint="eastAsia" w:ascii="宋体" w:hAnsi="宋体"/>
                <w:szCs w:val="21"/>
              </w:rPr>
            </w:pPr>
            <w:r>
              <w:rPr>
                <w:rFonts w:hint="eastAsia" w:ascii="宋体" w:hAnsi="宋体"/>
                <w:szCs w:val="21"/>
              </w:rPr>
              <w:t>2</w:t>
            </w:r>
          </w:p>
        </w:tc>
        <w:tc>
          <w:tcPr>
            <w:tcW w:w="726" w:type="dxa"/>
            <w:tcMar>
              <w:left w:w="0" w:type="dxa"/>
              <w:right w:w="0" w:type="dxa"/>
            </w:tcMar>
            <w:vAlign w:val="center"/>
          </w:tcPr>
          <w:p w14:paraId="06FD8ECC">
            <w:pPr>
              <w:adjustRightInd w:val="0"/>
              <w:snapToGrid w:val="0"/>
              <w:spacing w:line="300" w:lineRule="exact"/>
              <w:jc w:val="center"/>
              <w:rPr>
                <w:rFonts w:hint="eastAsia" w:ascii="宋体" w:hAnsi="宋体"/>
                <w:szCs w:val="21"/>
              </w:rPr>
            </w:pPr>
            <w:r>
              <w:rPr>
                <w:rFonts w:hint="eastAsia" w:ascii="宋体" w:hAnsi="宋体"/>
                <w:szCs w:val="21"/>
              </w:rPr>
              <w:t>伴生气</w:t>
            </w:r>
          </w:p>
        </w:tc>
        <w:tc>
          <w:tcPr>
            <w:tcW w:w="1400" w:type="dxa"/>
            <w:tcMar>
              <w:left w:w="0" w:type="dxa"/>
              <w:right w:w="0" w:type="dxa"/>
            </w:tcMar>
            <w:vAlign w:val="center"/>
          </w:tcPr>
          <w:p w14:paraId="485BCC4D">
            <w:pPr>
              <w:adjustRightInd w:val="0"/>
              <w:snapToGrid w:val="0"/>
              <w:spacing w:line="300" w:lineRule="exact"/>
              <w:jc w:val="center"/>
              <w:rPr>
                <w:rFonts w:hint="eastAsia" w:ascii="宋体" w:hAnsi="宋体"/>
                <w:szCs w:val="21"/>
              </w:rPr>
            </w:pPr>
            <w:r>
              <w:rPr>
                <w:rFonts w:ascii="宋体" w:hAnsi="宋体"/>
                <w:szCs w:val="21"/>
              </w:rPr>
              <w:t>多种可燃性气体的总称，主要成分包括甲烷、乙烷等</w:t>
            </w:r>
          </w:p>
        </w:tc>
        <w:tc>
          <w:tcPr>
            <w:tcW w:w="3235" w:type="dxa"/>
            <w:tcMar>
              <w:left w:w="0" w:type="dxa"/>
              <w:right w:w="0" w:type="dxa"/>
            </w:tcMar>
            <w:vAlign w:val="center"/>
          </w:tcPr>
          <w:p w14:paraId="04B9758D">
            <w:pPr>
              <w:adjustRightInd w:val="0"/>
              <w:snapToGrid w:val="0"/>
              <w:spacing w:line="300" w:lineRule="exact"/>
              <w:jc w:val="center"/>
              <w:rPr>
                <w:rFonts w:hint="eastAsia" w:ascii="宋体" w:hAnsi="宋体"/>
                <w:szCs w:val="21"/>
              </w:rPr>
            </w:pPr>
            <w:bookmarkStart w:id="579" w:name="_Hlk173421952"/>
            <w:r>
              <w:rPr>
                <w:rFonts w:hint="eastAsia" w:ascii="宋体" w:hAnsi="宋体"/>
                <w:szCs w:val="21"/>
              </w:rPr>
              <w:t>伴生气中甲烷含量在65.38%～71.07%，</w:t>
            </w:r>
            <w:bookmarkEnd w:id="579"/>
            <w:r>
              <w:rPr>
                <w:rFonts w:hint="eastAsia" w:ascii="宋体" w:hAnsi="宋体"/>
                <w:szCs w:val="21"/>
              </w:rPr>
              <w:t>伴生气中含有的甲烷，是一种无毒气体，当空气中大量弥漫这种气体时它会造成人因氧气不足而呼吸困难，进而失去知觉、昏迷甚至残废，</w:t>
            </w:r>
            <w:bookmarkStart w:id="580" w:name="_Hlk173421957"/>
            <w:r>
              <w:rPr>
                <w:rFonts w:hint="eastAsia" w:ascii="宋体" w:hAnsi="宋体"/>
                <w:szCs w:val="21"/>
              </w:rPr>
              <w:t>伴生气中硫化氢的浓度在0～254ppm。</w:t>
            </w:r>
            <w:bookmarkEnd w:id="580"/>
          </w:p>
        </w:tc>
        <w:tc>
          <w:tcPr>
            <w:tcW w:w="1985" w:type="dxa"/>
            <w:tcMar>
              <w:left w:w="0" w:type="dxa"/>
              <w:right w:w="0" w:type="dxa"/>
            </w:tcMar>
            <w:vAlign w:val="center"/>
          </w:tcPr>
          <w:p w14:paraId="59DF51F3">
            <w:pPr>
              <w:adjustRightInd w:val="0"/>
              <w:snapToGrid w:val="0"/>
              <w:spacing w:line="300" w:lineRule="exact"/>
              <w:jc w:val="center"/>
              <w:rPr>
                <w:rFonts w:hint="eastAsia" w:ascii="宋体" w:hAnsi="宋体"/>
                <w:szCs w:val="21"/>
              </w:rPr>
            </w:pPr>
            <w:r>
              <w:rPr>
                <w:rFonts w:ascii="宋体" w:hAnsi="宋体"/>
                <w:szCs w:val="21"/>
              </w:rPr>
              <w:t>热值：50009KJ/kg</w:t>
            </w:r>
          </w:p>
          <w:p w14:paraId="6757CC2A">
            <w:pPr>
              <w:adjustRightInd w:val="0"/>
              <w:snapToGrid w:val="0"/>
              <w:spacing w:line="300" w:lineRule="exact"/>
              <w:jc w:val="center"/>
              <w:rPr>
                <w:rFonts w:hint="eastAsia" w:ascii="宋体" w:hAnsi="宋体"/>
                <w:szCs w:val="21"/>
              </w:rPr>
            </w:pPr>
            <w:r>
              <w:rPr>
                <w:rFonts w:ascii="宋体" w:hAnsi="宋体"/>
                <w:szCs w:val="21"/>
              </w:rPr>
              <w:t>爆炸极限5%</w:t>
            </w:r>
            <w:r>
              <w:rPr>
                <w:rFonts w:hint="eastAsia" w:ascii="宋体" w:hAnsi="宋体"/>
                <w:szCs w:val="21"/>
              </w:rPr>
              <w:t>～</w:t>
            </w:r>
            <w:r>
              <w:rPr>
                <w:rFonts w:ascii="宋体" w:hAnsi="宋体"/>
                <w:szCs w:val="21"/>
              </w:rPr>
              <w:t>14%（v）自然燃点</w:t>
            </w:r>
          </w:p>
          <w:p w14:paraId="2E404EE3">
            <w:pPr>
              <w:adjustRightInd w:val="0"/>
              <w:snapToGrid w:val="0"/>
              <w:spacing w:line="300" w:lineRule="exact"/>
              <w:jc w:val="center"/>
              <w:rPr>
                <w:rFonts w:hint="eastAsia" w:ascii="宋体" w:hAnsi="宋体"/>
                <w:szCs w:val="21"/>
              </w:rPr>
            </w:pPr>
            <w:r>
              <w:rPr>
                <w:rFonts w:ascii="宋体" w:hAnsi="宋体"/>
                <w:szCs w:val="21"/>
              </w:rPr>
              <w:t>482℃</w:t>
            </w:r>
            <w:r>
              <w:rPr>
                <w:rFonts w:hint="eastAsia" w:ascii="宋体" w:hAnsi="宋体"/>
                <w:szCs w:val="21"/>
              </w:rPr>
              <w:t>～</w:t>
            </w:r>
            <w:r>
              <w:rPr>
                <w:rFonts w:ascii="宋体" w:hAnsi="宋体"/>
                <w:szCs w:val="21"/>
              </w:rPr>
              <w:t>632℃</w:t>
            </w:r>
          </w:p>
        </w:tc>
        <w:tc>
          <w:tcPr>
            <w:tcW w:w="933" w:type="dxa"/>
            <w:tcMar>
              <w:left w:w="0" w:type="dxa"/>
              <w:right w:w="0" w:type="dxa"/>
            </w:tcMar>
            <w:vAlign w:val="center"/>
          </w:tcPr>
          <w:p w14:paraId="741F15F4">
            <w:pPr>
              <w:adjustRightInd w:val="0"/>
              <w:snapToGrid w:val="0"/>
              <w:spacing w:line="300" w:lineRule="exact"/>
              <w:jc w:val="center"/>
              <w:rPr>
                <w:rFonts w:hint="eastAsia" w:ascii="宋体" w:hAnsi="宋体"/>
                <w:szCs w:val="21"/>
              </w:rPr>
            </w:pPr>
            <w:r>
              <w:rPr>
                <w:rFonts w:ascii="宋体" w:hAnsi="宋体"/>
                <w:szCs w:val="21"/>
              </w:rPr>
              <w:t>属于5.1类中易燃气体</w:t>
            </w:r>
          </w:p>
        </w:tc>
      </w:tr>
      <w:tr w14:paraId="56A32D8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trPr>
        <w:tc>
          <w:tcPr>
            <w:tcW w:w="451" w:type="dxa"/>
            <w:tcMar>
              <w:left w:w="0" w:type="dxa"/>
              <w:right w:w="0" w:type="dxa"/>
            </w:tcMar>
            <w:vAlign w:val="center"/>
          </w:tcPr>
          <w:p w14:paraId="54C872D1">
            <w:pPr>
              <w:adjustRightInd w:val="0"/>
              <w:snapToGrid w:val="0"/>
              <w:spacing w:line="300" w:lineRule="exact"/>
              <w:jc w:val="center"/>
              <w:rPr>
                <w:rFonts w:hint="eastAsia" w:ascii="宋体" w:hAnsi="宋体"/>
                <w:szCs w:val="21"/>
              </w:rPr>
            </w:pPr>
            <w:r>
              <w:rPr>
                <w:rFonts w:hint="eastAsia" w:ascii="宋体" w:hAnsi="宋体"/>
                <w:szCs w:val="21"/>
              </w:rPr>
              <w:t>3</w:t>
            </w:r>
          </w:p>
        </w:tc>
        <w:tc>
          <w:tcPr>
            <w:tcW w:w="726" w:type="dxa"/>
            <w:tcMar>
              <w:left w:w="0" w:type="dxa"/>
              <w:right w:w="0" w:type="dxa"/>
            </w:tcMar>
            <w:vAlign w:val="center"/>
          </w:tcPr>
          <w:p w14:paraId="28E9ADBE">
            <w:pPr>
              <w:adjustRightInd w:val="0"/>
              <w:snapToGrid w:val="0"/>
              <w:spacing w:line="300" w:lineRule="exact"/>
              <w:jc w:val="center"/>
              <w:rPr>
                <w:rFonts w:hint="eastAsia" w:ascii="宋体" w:hAnsi="宋体"/>
                <w:szCs w:val="21"/>
              </w:rPr>
            </w:pPr>
            <w:r>
              <w:rPr>
                <w:rFonts w:hint="eastAsia" w:ascii="宋体" w:hAnsi="宋体"/>
                <w:szCs w:val="21"/>
              </w:rPr>
              <w:t>柴油</w:t>
            </w:r>
          </w:p>
        </w:tc>
        <w:tc>
          <w:tcPr>
            <w:tcW w:w="1400" w:type="dxa"/>
            <w:tcMar>
              <w:left w:w="0" w:type="dxa"/>
              <w:right w:w="0" w:type="dxa"/>
            </w:tcMar>
            <w:vAlign w:val="center"/>
          </w:tcPr>
          <w:p w14:paraId="27BB287E">
            <w:pPr>
              <w:adjustRightInd w:val="0"/>
              <w:snapToGrid w:val="0"/>
              <w:spacing w:line="300" w:lineRule="exact"/>
              <w:jc w:val="center"/>
              <w:rPr>
                <w:rFonts w:hint="eastAsia" w:ascii="宋体" w:hAnsi="宋体"/>
                <w:szCs w:val="21"/>
              </w:rPr>
            </w:pPr>
            <w:r>
              <w:rPr>
                <w:rFonts w:ascii="宋体" w:hAnsi="宋体"/>
                <w:szCs w:val="21"/>
              </w:rPr>
              <w:t>复杂烃类(</w:t>
            </w:r>
            <w:r>
              <w:fldChar w:fldCharType="begin"/>
            </w:r>
            <w:r>
              <w:instrText xml:space="preserve"> HYPERLINK "https://baike.so.com/doc/1753385-1853919.html" \t "_blank" </w:instrText>
            </w:r>
            <w:r>
              <w:fldChar w:fldCharType="separate"/>
            </w:r>
            <w:r>
              <w:rPr>
                <w:rFonts w:ascii="宋体" w:hAnsi="宋体"/>
                <w:szCs w:val="21"/>
              </w:rPr>
              <w:t>碳原子</w:t>
            </w:r>
            <w:r>
              <w:rPr>
                <w:rFonts w:ascii="宋体" w:hAnsi="宋体"/>
                <w:szCs w:val="21"/>
              </w:rPr>
              <w:fldChar w:fldCharType="end"/>
            </w:r>
            <w:r>
              <w:rPr>
                <w:rFonts w:ascii="宋体" w:hAnsi="宋体"/>
                <w:szCs w:val="21"/>
              </w:rPr>
              <w:t>数约10</w:t>
            </w:r>
            <w:r>
              <w:rPr>
                <w:rFonts w:hint="eastAsia" w:ascii="宋体" w:hAnsi="宋体"/>
                <w:szCs w:val="21"/>
              </w:rPr>
              <w:t>～</w:t>
            </w:r>
            <w:r>
              <w:rPr>
                <w:rFonts w:ascii="宋体" w:hAnsi="宋体"/>
                <w:szCs w:val="21"/>
              </w:rPr>
              <w:t>22)混合物</w:t>
            </w:r>
          </w:p>
        </w:tc>
        <w:tc>
          <w:tcPr>
            <w:tcW w:w="3235" w:type="dxa"/>
            <w:tcMar>
              <w:left w:w="0" w:type="dxa"/>
              <w:right w:w="0" w:type="dxa"/>
            </w:tcMar>
            <w:vAlign w:val="center"/>
          </w:tcPr>
          <w:p w14:paraId="520D34C7">
            <w:pPr>
              <w:adjustRightInd w:val="0"/>
              <w:snapToGrid w:val="0"/>
              <w:spacing w:line="300" w:lineRule="exact"/>
              <w:jc w:val="center"/>
              <w:rPr>
                <w:rFonts w:hint="eastAsia" w:ascii="宋体" w:hAnsi="宋体"/>
                <w:szCs w:val="21"/>
              </w:rPr>
            </w:pPr>
            <w:r>
              <w:rPr>
                <w:rFonts w:ascii="宋体" w:hAnsi="宋体"/>
                <w:szCs w:val="21"/>
              </w:rPr>
              <w:t>柴油的毒性类似于煤油，但由于添加剂(如硫化酯类)的影响，毒性可能比煤油略大。主要有麻醉和刺激作用。柴油的</w:t>
            </w:r>
            <w:r>
              <w:fldChar w:fldCharType="begin"/>
            </w:r>
            <w:r>
              <w:instrText xml:space="preserve"> HYPERLINK "https://baike.so.com/doc/1252640-1324776.html" \t "_blank" </w:instrText>
            </w:r>
            <w:r>
              <w:fldChar w:fldCharType="separate"/>
            </w:r>
            <w:r>
              <w:rPr>
                <w:rFonts w:ascii="宋体" w:hAnsi="宋体"/>
                <w:szCs w:val="21"/>
              </w:rPr>
              <w:t>雾滴</w:t>
            </w:r>
            <w:r>
              <w:rPr>
                <w:rFonts w:ascii="宋体" w:hAnsi="宋体"/>
                <w:szCs w:val="21"/>
              </w:rPr>
              <w:fldChar w:fldCharType="end"/>
            </w:r>
            <w:r>
              <w:rPr>
                <w:rFonts w:ascii="宋体" w:hAnsi="宋体"/>
                <w:szCs w:val="21"/>
              </w:rPr>
              <w:t>吸入后可致</w:t>
            </w:r>
            <w:r>
              <w:fldChar w:fldCharType="begin"/>
            </w:r>
            <w:r>
              <w:instrText xml:space="preserve"> HYPERLINK "https://baike.so.com/doc/5358214-5593767.html" \t "_blank" </w:instrText>
            </w:r>
            <w:r>
              <w:fldChar w:fldCharType="separate"/>
            </w:r>
            <w:r>
              <w:rPr>
                <w:rFonts w:ascii="宋体" w:hAnsi="宋体"/>
                <w:szCs w:val="21"/>
              </w:rPr>
              <w:t>吸入性肺炎</w:t>
            </w:r>
            <w:r>
              <w:rPr>
                <w:rFonts w:ascii="宋体" w:hAnsi="宋体"/>
                <w:szCs w:val="21"/>
              </w:rPr>
              <w:fldChar w:fldCharType="end"/>
            </w:r>
            <w:r>
              <w:rPr>
                <w:rFonts w:ascii="宋体" w:hAnsi="宋体"/>
                <w:szCs w:val="21"/>
              </w:rPr>
              <w:t>。皮肤接触柴油可致接触性皮炎。多见于两手、腕部与前臂。</w:t>
            </w:r>
          </w:p>
        </w:tc>
        <w:tc>
          <w:tcPr>
            <w:tcW w:w="1985" w:type="dxa"/>
            <w:tcMar>
              <w:left w:w="0" w:type="dxa"/>
              <w:right w:w="0" w:type="dxa"/>
            </w:tcMar>
            <w:vAlign w:val="center"/>
          </w:tcPr>
          <w:p w14:paraId="2B21E1C6">
            <w:pPr>
              <w:adjustRightInd w:val="0"/>
              <w:snapToGrid w:val="0"/>
              <w:spacing w:line="300" w:lineRule="exact"/>
              <w:jc w:val="center"/>
              <w:rPr>
                <w:rFonts w:hint="eastAsia" w:ascii="宋体" w:hAnsi="宋体"/>
                <w:szCs w:val="21"/>
              </w:rPr>
            </w:pPr>
            <w:r>
              <w:fldChar w:fldCharType="begin"/>
            </w:r>
            <w:r>
              <w:instrText xml:space="preserve"> HYPERLINK "https://baike.so.com/doc/5846430-6059267.html" \t "_blank" </w:instrText>
            </w:r>
            <w:r>
              <w:fldChar w:fldCharType="separate"/>
            </w:r>
            <w:r>
              <w:rPr>
                <w:rFonts w:ascii="宋体" w:hAnsi="宋体"/>
                <w:szCs w:val="21"/>
              </w:rPr>
              <w:t>热值</w:t>
            </w:r>
            <w:r>
              <w:rPr>
                <w:rFonts w:ascii="宋体" w:hAnsi="宋体"/>
                <w:szCs w:val="21"/>
              </w:rPr>
              <w:fldChar w:fldCharType="end"/>
            </w:r>
            <w:r>
              <w:rPr>
                <w:rFonts w:ascii="宋体" w:hAnsi="宋体"/>
                <w:szCs w:val="21"/>
              </w:rPr>
              <w:t>为3.3</w:t>
            </w:r>
            <w:r>
              <w:rPr>
                <w:rFonts w:hint="eastAsia" w:ascii="宋体" w:hAnsi="宋体"/>
                <w:szCs w:val="21"/>
              </w:rPr>
              <w:t>×</w:t>
            </w:r>
            <w:r>
              <w:rPr>
                <w:rFonts w:ascii="宋体" w:hAnsi="宋体"/>
                <w:szCs w:val="21"/>
              </w:rPr>
              <w:t>10</w:t>
            </w:r>
            <w:r>
              <w:rPr>
                <w:rFonts w:ascii="宋体" w:hAnsi="宋体"/>
                <w:szCs w:val="21"/>
                <w:vertAlign w:val="superscript"/>
              </w:rPr>
              <w:t>7</w:t>
            </w:r>
            <w:r>
              <w:rPr>
                <w:rFonts w:ascii="宋体" w:hAnsi="宋体"/>
                <w:szCs w:val="21"/>
              </w:rPr>
              <w:t>J/L</w:t>
            </w:r>
          </w:p>
          <w:p w14:paraId="5FAE8950">
            <w:pPr>
              <w:adjustRightInd w:val="0"/>
              <w:snapToGrid w:val="0"/>
              <w:spacing w:line="300" w:lineRule="exact"/>
              <w:jc w:val="center"/>
              <w:rPr>
                <w:rFonts w:hint="eastAsia" w:ascii="宋体" w:hAnsi="宋体"/>
                <w:szCs w:val="21"/>
              </w:rPr>
            </w:pPr>
            <w:r>
              <w:fldChar w:fldCharType="begin"/>
            </w:r>
            <w:r>
              <w:instrText xml:space="preserve"> HYPERLINK "https://baike.so.com/doc/5567907-5783065.html" \t "_blank" </w:instrText>
            </w:r>
            <w:r>
              <w:fldChar w:fldCharType="separate"/>
            </w:r>
            <w:r>
              <w:rPr>
                <w:rFonts w:ascii="宋体" w:hAnsi="宋体"/>
                <w:szCs w:val="21"/>
              </w:rPr>
              <w:t>沸点</w:t>
            </w:r>
            <w:r>
              <w:rPr>
                <w:rFonts w:ascii="宋体" w:hAnsi="宋体"/>
                <w:szCs w:val="21"/>
              </w:rPr>
              <w:fldChar w:fldCharType="end"/>
            </w:r>
            <w:r>
              <w:rPr>
                <w:rFonts w:ascii="宋体" w:hAnsi="宋体"/>
                <w:szCs w:val="21"/>
              </w:rPr>
              <w:t>范围有180</w:t>
            </w:r>
            <w:r>
              <w:rPr>
                <w:rFonts w:hint="eastAsia" w:ascii="宋体" w:hAnsi="宋体"/>
                <w:szCs w:val="21"/>
              </w:rPr>
              <w:t>～</w:t>
            </w:r>
            <w:r>
              <w:rPr>
                <w:rFonts w:ascii="宋体" w:hAnsi="宋体"/>
                <w:szCs w:val="21"/>
              </w:rPr>
              <w:t>370</w:t>
            </w:r>
            <w:r>
              <w:rPr>
                <w:rFonts w:hint="eastAsia" w:ascii="宋体" w:hAnsi="宋体"/>
                <w:szCs w:val="21"/>
              </w:rPr>
              <w:t>℃</w:t>
            </w:r>
            <w:r>
              <w:rPr>
                <w:rFonts w:ascii="宋体" w:hAnsi="宋体"/>
                <w:szCs w:val="21"/>
              </w:rPr>
              <w:t>和350</w:t>
            </w:r>
            <w:r>
              <w:rPr>
                <w:rFonts w:hint="eastAsia" w:ascii="宋体" w:hAnsi="宋体"/>
                <w:szCs w:val="21"/>
              </w:rPr>
              <w:t>～</w:t>
            </w:r>
            <w:r>
              <w:rPr>
                <w:rFonts w:ascii="宋体" w:hAnsi="宋体"/>
                <w:szCs w:val="21"/>
              </w:rPr>
              <w:t>410</w:t>
            </w:r>
            <w:r>
              <w:rPr>
                <w:rFonts w:hint="eastAsia" w:ascii="宋体" w:hAnsi="宋体"/>
                <w:szCs w:val="21"/>
              </w:rPr>
              <w:t>℃</w:t>
            </w:r>
            <w:r>
              <w:rPr>
                <w:rFonts w:ascii="宋体" w:hAnsi="宋体"/>
                <w:szCs w:val="21"/>
              </w:rPr>
              <w:t>两类闪点：38℃</w:t>
            </w:r>
          </w:p>
        </w:tc>
        <w:tc>
          <w:tcPr>
            <w:tcW w:w="933" w:type="dxa"/>
            <w:tcMar>
              <w:left w:w="0" w:type="dxa"/>
              <w:right w:w="0" w:type="dxa"/>
            </w:tcMar>
            <w:vAlign w:val="center"/>
          </w:tcPr>
          <w:p w14:paraId="45D6A5CB">
            <w:pPr>
              <w:adjustRightInd w:val="0"/>
              <w:snapToGrid w:val="0"/>
              <w:spacing w:line="300" w:lineRule="exact"/>
              <w:jc w:val="center"/>
              <w:rPr>
                <w:rFonts w:hint="eastAsia" w:ascii="宋体" w:hAnsi="宋体"/>
                <w:szCs w:val="21"/>
              </w:rPr>
            </w:pPr>
            <w:r>
              <w:rPr>
                <w:rFonts w:ascii="宋体" w:hAnsi="宋体"/>
                <w:szCs w:val="21"/>
              </w:rPr>
              <w:t>属于高闪点液体</w:t>
            </w:r>
          </w:p>
        </w:tc>
      </w:tr>
    </w:tbl>
    <w:p w14:paraId="22BEAE79">
      <w:pPr>
        <w:pStyle w:val="117"/>
        <w:adjustRightInd w:val="0"/>
        <w:snapToGrid w:val="0"/>
        <w:ind w:firstLine="480"/>
        <w:rPr>
          <w:rFonts w:hint="eastAsia"/>
        </w:rPr>
      </w:pPr>
      <w:r>
        <w:rPr>
          <w:rFonts w:hint="eastAsia"/>
        </w:rPr>
        <w:t>（</w:t>
      </w:r>
      <w:r>
        <w:t>2</w:t>
      </w:r>
      <w:r>
        <w:rPr>
          <w:rFonts w:hint="eastAsia"/>
        </w:rPr>
        <w:t>）</w:t>
      </w:r>
      <w:r>
        <w:t>生产设施危险性识别</w:t>
      </w:r>
    </w:p>
    <w:p w14:paraId="6CE0B840">
      <w:pPr>
        <w:overflowPunct w:val="0"/>
        <w:adjustRightInd w:val="0"/>
        <w:snapToGrid w:val="0"/>
        <w:spacing w:line="500" w:lineRule="exact"/>
        <w:ind w:firstLine="480" w:firstLineChars="200"/>
        <w:rPr>
          <w:rFonts w:hint="eastAsia" w:ascii="宋体" w:hAnsi="宋体"/>
          <w:sz w:val="24"/>
          <w:szCs w:val="24"/>
        </w:rPr>
      </w:pPr>
      <w:r>
        <w:rPr>
          <w:rFonts w:hint="eastAsia" w:ascii="宋体" w:hAnsi="宋体"/>
          <w:sz w:val="24"/>
          <w:szCs w:val="24"/>
        </w:rPr>
        <w:t>可能发生风险事故的单元为井场、管线和计量站。</w:t>
      </w:r>
    </w:p>
    <w:p w14:paraId="28B272C7">
      <w:pPr>
        <w:overflowPunct w:val="0"/>
        <w:adjustRightInd w:val="0"/>
        <w:snapToGrid w:val="0"/>
        <w:spacing w:line="500" w:lineRule="exact"/>
        <w:ind w:firstLine="480" w:firstLineChars="200"/>
        <w:rPr>
          <w:rFonts w:hint="eastAsia" w:ascii="宋体" w:hAnsi="宋体"/>
          <w:sz w:val="24"/>
          <w:szCs w:val="24"/>
        </w:rPr>
      </w:pPr>
      <w:r>
        <w:rPr>
          <w:rFonts w:hint="eastAsia" w:ascii="宋体" w:hAnsi="宋体"/>
          <w:sz w:val="24"/>
          <w:szCs w:val="24"/>
        </w:rPr>
        <w:t>①井场危险性识别</w:t>
      </w:r>
    </w:p>
    <w:p w14:paraId="7681A3DA">
      <w:pPr>
        <w:pStyle w:val="117"/>
        <w:adjustRightInd w:val="0"/>
        <w:snapToGrid w:val="0"/>
        <w:ind w:firstLine="480"/>
        <w:rPr>
          <w:rFonts w:hint="eastAsia"/>
        </w:rPr>
      </w:pPr>
      <w:r>
        <w:rPr>
          <w:rFonts w:hint="eastAsia"/>
        </w:rPr>
        <w:t>井场主要发生的风险事故为井喷、井漏及钻井期柴油储罐泄漏。井喷主要是在钻井或井下作业中发生的事故。本项目中，在钻井和井下作业过程中由于地层压力不稳、封井不严或者井控设备失灵，均可能发生井喷事故；发生井喷事故时，天然气、凝析油和地层水一同冲出井口，很容易发生爆炸和火灾事故。井漏主要由于生产井固井质量不好，井下作业是可能引发油水窜层，污染地下水。钻井期柴油储罐因质量、操作运行和管理等环节存在缺陷和失误，可能会发生泄漏，对周围地下水、土壤、大气等环境造成污染。</w:t>
      </w:r>
    </w:p>
    <w:p w14:paraId="08382EE1">
      <w:pPr>
        <w:overflowPunct w:val="0"/>
        <w:adjustRightInd w:val="0"/>
        <w:snapToGrid w:val="0"/>
        <w:spacing w:line="500" w:lineRule="exact"/>
        <w:ind w:firstLine="480"/>
        <w:rPr>
          <w:rFonts w:hint="eastAsia" w:ascii="宋体" w:hAnsi="宋体"/>
          <w:sz w:val="24"/>
          <w:szCs w:val="24"/>
        </w:rPr>
      </w:pPr>
      <w:r>
        <w:rPr>
          <w:rFonts w:hint="eastAsia" w:ascii="宋体" w:hAnsi="宋体"/>
          <w:sz w:val="24"/>
          <w:szCs w:val="24"/>
        </w:rPr>
        <w:t>②站场危险性识别</w:t>
      </w:r>
    </w:p>
    <w:p w14:paraId="6E6B15D3">
      <w:pPr>
        <w:overflowPunct w:val="0"/>
        <w:adjustRightInd w:val="0"/>
        <w:snapToGrid w:val="0"/>
        <w:spacing w:line="500" w:lineRule="exact"/>
        <w:ind w:firstLine="480" w:firstLineChars="200"/>
        <w:rPr>
          <w:rFonts w:hint="eastAsia" w:ascii="宋体" w:hAnsi="宋体"/>
          <w:sz w:val="24"/>
          <w:szCs w:val="24"/>
        </w:rPr>
      </w:pPr>
      <w:r>
        <w:rPr>
          <w:rFonts w:hint="eastAsia" w:ascii="宋体" w:hAnsi="宋体"/>
          <w:sz w:val="24"/>
          <w:szCs w:val="24"/>
        </w:rPr>
        <w:t>计量拉油站内设备因设备本身设计、管材制造、施工、操作运行和管理等各环节都可能存在着缺陷和失误，所有这些因素都可能导致事故的发生。发生的事故主要为计量站内设备、管线破裂造成的原油、伴生气泄漏，对周围环境造成直接污染，而且泄漏的油气遇到明火还可能发生火灾、爆炸事故。</w:t>
      </w:r>
    </w:p>
    <w:p w14:paraId="1D312050">
      <w:pPr>
        <w:overflowPunct w:val="0"/>
        <w:adjustRightInd w:val="0"/>
        <w:snapToGrid w:val="0"/>
        <w:spacing w:line="500" w:lineRule="exact"/>
        <w:ind w:firstLine="480"/>
        <w:rPr>
          <w:rFonts w:hint="eastAsia" w:ascii="宋体" w:hAnsi="宋体"/>
          <w:sz w:val="24"/>
          <w:szCs w:val="24"/>
        </w:rPr>
      </w:pPr>
      <w:bookmarkStart w:id="581" w:name="_Hlk37930210"/>
      <w:r>
        <w:rPr>
          <w:rFonts w:hint="eastAsia" w:ascii="宋体" w:hAnsi="宋体"/>
          <w:sz w:val="24"/>
          <w:szCs w:val="24"/>
        </w:rPr>
        <w:t>③管线危险性识别</w:t>
      </w:r>
    </w:p>
    <w:p w14:paraId="00B15CD5">
      <w:pPr>
        <w:overflowPunct w:val="0"/>
        <w:adjustRightInd w:val="0"/>
        <w:snapToGrid w:val="0"/>
        <w:spacing w:line="500" w:lineRule="exact"/>
        <w:ind w:firstLine="480" w:firstLineChars="200"/>
        <w:rPr>
          <w:rFonts w:hint="eastAsia" w:ascii="宋体" w:hAnsi="宋体"/>
          <w:sz w:val="24"/>
          <w:szCs w:val="24"/>
        </w:rPr>
      </w:pPr>
      <w:r>
        <w:rPr>
          <w:rFonts w:hint="eastAsia" w:ascii="宋体" w:hAnsi="宋体"/>
          <w:sz w:val="24"/>
          <w:szCs w:val="24"/>
        </w:rPr>
        <w:t>单井采油管线和集油干支线因管线本身的设计、管材制造、施工、操作运行和管理等各环节都可能存在着缺陷和失误，所有这些因素都可能导致事故的发生。发生的事故主要为管线破裂造成的原油、伴生气泄漏，对周围土壤环境、地下水环境和大气环境造成直接污染。</w:t>
      </w:r>
    </w:p>
    <w:p w14:paraId="71CB11BE">
      <w:pPr>
        <w:overflowPunct w:val="0"/>
        <w:spacing w:line="500" w:lineRule="exact"/>
        <w:ind w:firstLine="480"/>
        <w:rPr>
          <w:rFonts w:hint="eastAsia" w:ascii="宋体" w:hAnsi="宋体"/>
          <w:sz w:val="24"/>
          <w:szCs w:val="24"/>
        </w:rPr>
      </w:pPr>
      <w:r>
        <w:rPr>
          <w:rFonts w:hint="eastAsia" w:ascii="宋体" w:hAnsi="宋体"/>
          <w:sz w:val="24"/>
          <w:szCs w:val="24"/>
        </w:rPr>
        <w:t>④拉油罐危险性识别</w:t>
      </w:r>
    </w:p>
    <w:p w14:paraId="16749F8F">
      <w:pPr>
        <w:kinsoku w:val="0"/>
        <w:overflowPunct w:val="0"/>
        <w:spacing w:line="500" w:lineRule="exact"/>
        <w:ind w:firstLine="480" w:firstLineChars="200"/>
        <w:rPr>
          <w:rFonts w:hint="eastAsia" w:ascii="宋体" w:hAnsi="宋体"/>
          <w:sz w:val="24"/>
          <w:szCs w:val="24"/>
        </w:rPr>
      </w:pPr>
      <w:r>
        <w:rPr>
          <w:rFonts w:hint="eastAsia" w:ascii="宋体" w:hAnsi="宋体"/>
          <w:sz w:val="24"/>
          <w:szCs w:val="24"/>
        </w:rPr>
        <w:t>拉油罐在设计、管材制造、施工、操作运行和管理等各环节都可能存在着缺陷和失误，所有这些因素都可能导致事故的发生。发生的事故主要为拉油罐发生破裂造成的原油泄漏，事故发生时会有大量的原油溢出，对周围环境造成直接污染，而且泄漏的原油遇到明火还可能产生火灾、爆炸事故。</w:t>
      </w:r>
    </w:p>
    <w:p w14:paraId="1319FC68">
      <w:pPr>
        <w:overflowPunct w:val="0"/>
        <w:spacing w:line="500" w:lineRule="exact"/>
        <w:ind w:firstLine="480" w:firstLineChars="200"/>
        <w:rPr>
          <w:rFonts w:hint="eastAsia" w:ascii="宋体" w:hAnsi="宋体"/>
          <w:sz w:val="24"/>
          <w:szCs w:val="24"/>
          <w:lang w:val="zh-CN"/>
        </w:rPr>
      </w:pPr>
      <w:r>
        <w:rPr>
          <w:rFonts w:hint="eastAsia" w:ascii="宋体" w:hAnsi="宋体"/>
          <w:sz w:val="24"/>
          <w:szCs w:val="24"/>
          <w:lang w:val="zh-CN"/>
        </w:rPr>
        <w:t>⑤</w:t>
      </w:r>
      <w:r>
        <w:rPr>
          <w:rFonts w:hint="eastAsia" w:ascii="宋体" w:hAnsi="宋体"/>
          <w:sz w:val="24"/>
          <w:szCs w:val="24"/>
        </w:rPr>
        <w:t>拉油运输风险识别</w:t>
      </w:r>
    </w:p>
    <w:p w14:paraId="66F4D1E2">
      <w:pPr>
        <w:overflowPunct w:val="0"/>
        <w:spacing w:line="500" w:lineRule="exact"/>
        <w:ind w:firstLine="480" w:firstLineChars="200"/>
        <w:rPr>
          <w:rFonts w:hint="eastAsia" w:ascii="宋体" w:hAnsi="宋体"/>
          <w:sz w:val="24"/>
          <w:szCs w:val="24"/>
        </w:rPr>
      </w:pPr>
      <w:r>
        <w:rPr>
          <w:rFonts w:hint="eastAsia" w:ascii="宋体" w:hAnsi="宋体"/>
          <w:sz w:val="24"/>
          <w:szCs w:val="24"/>
        </w:rPr>
        <w:t>一期工程的采出液由罐车拉运至页岩油联合站处理，罐车因车辆本身的设计、制造、操作、管理等各环节有存在缺陷的可能性，原油拉运过程有泄漏事故发生的风险。事故发生时罐车内采出液溢出，对周围环境造成直接污染，泄漏的油气如遇到明火还可能发生火灾、爆炸事故。</w:t>
      </w:r>
    </w:p>
    <w:bookmarkEnd w:id="581"/>
    <w:p w14:paraId="2F42FA99">
      <w:pPr>
        <w:pStyle w:val="117"/>
        <w:spacing w:line="480" w:lineRule="exact"/>
        <w:ind w:firstLine="480"/>
        <w:rPr>
          <w:rFonts w:hint="eastAsia"/>
        </w:rPr>
      </w:pPr>
      <w:r>
        <w:rPr>
          <w:rFonts w:hint="eastAsia"/>
        </w:rPr>
        <w:t>（3）风险</w:t>
      </w:r>
      <w:r>
        <w:t>类型</w:t>
      </w:r>
      <w:r>
        <w:rPr>
          <w:rFonts w:hint="eastAsia"/>
        </w:rPr>
        <w:t>识别</w:t>
      </w:r>
    </w:p>
    <w:p w14:paraId="3794814C">
      <w:pPr>
        <w:overflowPunct w:val="0"/>
        <w:spacing w:line="500" w:lineRule="exact"/>
        <w:ind w:firstLine="480" w:firstLineChars="200"/>
        <w:rPr>
          <w:rFonts w:hint="eastAsia" w:ascii="宋体" w:hAnsi="宋体"/>
          <w:sz w:val="24"/>
          <w:szCs w:val="24"/>
        </w:rPr>
      </w:pPr>
      <w:r>
        <w:rPr>
          <w:rFonts w:hint="eastAsia" w:ascii="宋体" w:hAnsi="宋体"/>
          <w:sz w:val="24"/>
          <w:szCs w:val="24"/>
        </w:rPr>
        <w:t>环境风险类型</w:t>
      </w:r>
      <w:r>
        <w:rPr>
          <w:rFonts w:ascii="宋体" w:hAnsi="宋体"/>
          <w:sz w:val="24"/>
          <w:szCs w:val="24"/>
        </w:rPr>
        <w:t>主要</w:t>
      </w:r>
      <w:r>
        <w:rPr>
          <w:rFonts w:hint="eastAsia" w:ascii="宋体" w:hAnsi="宋体"/>
          <w:sz w:val="24"/>
          <w:szCs w:val="24"/>
        </w:rPr>
        <w:t>为</w:t>
      </w:r>
      <w:bookmarkStart w:id="582" w:name="_Hlk148008357"/>
      <w:r>
        <w:rPr>
          <w:rFonts w:hint="eastAsia" w:ascii="宋体" w:hAnsi="宋体"/>
          <w:sz w:val="24"/>
          <w:szCs w:val="24"/>
        </w:rPr>
        <w:t>原油、伴生气泄漏，</w:t>
      </w:r>
      <w:r>
        <w:rPr>
          <w:rFonts w:ascii="宋体" w:hAnsi="宋体"/>
          <w:sz w:val="24"/>
          <w:szCs w:val="24"/>
        </w:rPr>
        <w:t>火灾</w:t>
      </w:r>
      <w:r>
        <w:rPr>
          <w:rFonts w:hint="eastAsia" w:ascii="宋体" w:hAnsi="宋体"/>
          <w:sz w:val="24"/>
          <w:szCs w:val="24"/>
        </w:rPr>
        <w:t>、</w:t>
      </w:r>
      <w:r>
        <w:rPr>
          <w:rFonts w:ascii="宋体" w:hAnsi="宋体"/>
          <w:sz w:val="24"/>
          <w:szCs w:val="24"/>
        </w:rPr>
        <w:t>爆炸</w:t>
      </w:r>
      <w:r>
        <w:rPr>
          <w:rFonts w:hint="eastAsia" w:ascii="宋体" w:hAnsi="宋体"/>
          <w:sz w:val="24"/>
          <w:szCs w:val="24"/>
        </w:rPr>
        <w:t>等引发的伴生/次生污染物排放。</w:t>
      </w:r>
    </w:p>
    <w:bookmarkEnd w:id="582"/>
    <w:p w14:paraId="57310B0D">
      <w:pPr>
        <w:overflowPunct w:val="0"/>
        <w:spacing w:line="500" w:lineRule="exact"/>
        <w:ind w:firstLine="480"/>
        <w:rPr>
          <w:rFonts w:hint="eastAsia" w:ascii="宋体" w:hAnsi="宋体"/>
          <w:sz w:val="24"/>
          <w:szCs w:val="24"/>
        </w:rPr>
      </w:pPr>
      <w:r>
        <w:rPr>
          <w:rFonts w:hint="eastAsia" w:ascii="宋体" w:hAnsi="宋体"/>
          <w:sz w:val="24"/>
          <w:szCs w:val="24"/>
        </w:rPr>
        <w:t>（4）危险物质向环境转移的可能途径和影响方式</w:t>
      </w:r>
    </w:p>
    <w:p w14:paraId="0F81C9FE">
      <w:pPr>
        <w:overflowPunct w:val="0"/>
        <w:spacing w:line="500" w:lineRule="exact"/>
        <w:ind w:firstLine="480" w:firstLineChars="200"/>
        <w:rPr>
          <w:rFonts w:hint="eastAsia" w:ascii="宋体" w:hAnsi="宋体"/>
          <w:sz w:val="24"/>
          <w:szCs w:val="24"/>
        </w:rPr>
      </w:pPr>
      <w:r>
        <w:rPr>
          <w:rFonts w:hint="eastAsia" w:ascii="宋体" w:hAnsi="宋体"/>
          <w:sz w:val="24"/>
          <w:szCs w:val="24"/>
        </w:rPr>
        <w:t>施工期柴油储罐发生泄漏或发生井喷事故，泄漏的柴油、原油对大气、土壤和地下水环境产生一定的影响；运营期井场、管线、拉油罐、计量拉油站内设备发生破损造成</w:t>
      </w:r>
      <w:bookmarkStart w:id="583" w:name="_Hlk148008400"/>
      <w:r>
        <w:rPr>
          <w:rFonts w:hint="eastAsia" w:ascii="宋体" w:hAnsi="宋体"/>
          <w:sz w:val="24"/>
          <w:szCs w:val="24"/>
        </w:rPr>
        <w:t>原油和伴生气发生泄漏，污染土壤和大气，泄漏原油可能通过包气带渗漏进入地下含水层，污染地下水；泄漏的油气若遇明火，发生火灾、爆炸，污染大气环境。</w:t>
      </w:r>
    </w:p>
    <w:bookmarkEnd w:id="583"/>
    <w:p w14:paraId="012EC7B4">
      <w:pPr>
        <w:pStyle w:val="4"/>
        <w:rPr>
          <w:rFonts w:hint="eastAsia"/>
        </w:rPr>
      </w:pPr>
      <w:bookmarkStart w:id="584" w:name="_Hlk521702572"/>
      <w:r>
        <w:rPr>
          <w:rFonts w:hint="eastAsia"/>
        </w:rPr>
        <w:t>环境风险分析</w:t>
      </w:r>
    </w:p>
    <w:p w14:paraId="6D107F28">
      <w:pPr>
        <w:pStyle w:val="117"/>
        <w:ind w:firstLine="480"/>
        <w:rPr>
          <w:rFonts w:hint="eastAsia"/>
        </w:rPr>
      </w:pPr>
      <w:bookmarkStart w:id="585" w:name="_Hlk147587756"/>
      <w:r>
        <w:rPr>
          <w:rFonts w:hint="eastAsia"/>
        </w:rPr>
        <w:t>（1）钻井期环境风险分析</w:t>
      </w:r>
    </w:p>
    <w:p w14:paraId="2CEB05B6">
      <w:pPr>
        <w:pStyle w:val="391"/>
        <w:ind w:firstLine="480"/>
        <w:rPr>
          <w:rFonts w:hint="eastAsia" w:ascii="宋体" w:hAnsi="宋体"/>
        </w:rPr>
      </w:pPr>
      <w:r>
        <w:rPr>
          <w:rFonts w:hint="eastAsia" w:ascii="宋体" w:hAnsi="宋体"/>
        </w:rPr>
        <w:t>钻井期</w:t>
      </w:r>
      <w:r>
        <w:rPr>
          <w:rFonts w:ascii="宋体" w:hAnsi="宋体"/>
        </w:rPr>
        <w:t>环境风险</w:t>
      </w:r>
      <w:r>
        <w:rPr>
          <w:rFonts w:hint="eastAsia" w:ascii="宋体" w:hAnsi="宋体"/>
        </w:rPr>
        <w:t>主要为</w:t>
      </w:r>
      <w:r>
        <w:rPr>
          <w:rFonts w:ascii="宋体" w:hAnsi="宋体"/>
        </w:rPr>
        <w:t>井喷</w:t>
      </w:r>
      <w:r>
        <w:rPr>
          <w:rFonts w:hint="eastAsia" w:ascii="宋体" w:hAnsi="宋体"/>
        </w:rPr>
        <w:t>和柴油储罐泄漏。</w:t>
      </w:r>
    </w:p>
    <w:p w14:paraId="4F46EB69">
      <w:pPr>
        <w:pStyle w:val="117"/>
        <w:adjustRightInd w:val="0"/>
        <w:snapToGrid w:val="0"/>
        <w:ind w:firstLine="480" w:firstLineChars="0"/>
        <w:rPr>
          <w:rFonts w:hint="eastAsia"/>
        </w:rPr>
      </w:pPr>
      <w:bookmarkStart w:id="586" w:name="_Hlk86966401"/>
      <w:r>
        <w:rPr>
          <w:rFonts w:hint="eastAsia"/>
        </w:rPr>
        <w:t>①井喷事故影响分析</w:t>
      </w:r>
    </w:p>
    <w:p w14:paraId="6EC2023E">
      <w:pPr>
        <w:pStyle w:val="117"/>
        <w:adjustRightInd w:val="0"/>
        <w:snapToGrid w:val="0"/>
        <w:ind w:firstLine="480"/>
        <w:rPr>
          <w:rFonts w:hint="eastAsia"/>
        </w:rPr>
      </w:pPr>
      <w:r>
        <w:rPr>
          <w:rFonts w:hint="eastAsia"/>
        </w:rPr>
        <w:t>井喷事故一旦发生，大量的原油和伴生气喷出井口，泄漏的原油和伴生气可能造成局部地区浓度过高，极易造成小范围的缺氧，可引起头痛、头晕等症状，若遇明火，可发生火灾、爆炸，其伴生/次生污染物可能对环境空气产生一定的影响；</w:t>
      </w:r>
      <w:r>
        <w:t>由于项目区人烟稀少，所以井喷对人员的伤害有限</w:t>
      </w:r>
      <w:r>
        <w:rPr>
          <w:rFonts w:hint="eastAsia"/>
        </w:rPr>
        <w:t>，对项目区及周边大气环境产生影响。</w:t>
      </w:r>
    </w:p>
    <w:bookmarkEnd w:id="586"/>
    <w:p w14:paraId="23DD0255">
      <w:pPr>
        <w:pStyle w:val="117"/>
        <w:adjustRightInd w:val="0"/>
        <w:snapToGrid w:val="0"/>
        <w:ind w:firstLine="480"/>
        <w:rPr>
          <w:rFonts w:hint="eastAsia"/>
        </w:rPr>
      </w:pPr>
      <w:r>
        <w:rPr>
          <w:rFonts w:hint="eastAsia"/>
        </w:rPr>
        <w:t>②柴油储罐泄漏环境影响分析</w:t>
      </w:r>
    </w:p>
    <w:p w14:paraId="70AF2974">
      <w:pPr>
        <w:pStyle w:val="117"/>
        <w:adjustRightInd w:val="0"/>
        <w:snapToGrid w:val="0"/>
        <w:ind w:firstLine="480"/>
        <w:rPr>
          <w:rFonts w:hint="eastAsia"/>
        </w:rPr>
      </w:pPr>
      <w:r>
        <w:rPr>
          <w:rFonts w:hint="eastAsia"/>
        </w:rPr>
        <w:t>钻井过程中会在井场布置柴油储罐，一旦储罐发生泄漏，会对周围环境空气、水体、土壤和植被会造成一定的不利影响。</w:t>
      </w:r>
    </w:p>
    <w:p w14:paraId="0AD63849">
      <w:pPr>
        <w:pStyle w:val="117"/>
        <w:adjustRightInd w:val="0"/>
        <w:snapToGrid w:val="0"/>
        <w:ind w:firstLine="480"/>
        <w:rPr>
          <w:rFonts w:hint="eastAsia"/>
        </w:rPr>
      </w:pPr>
      <w:r>
        <w:rPr>
          <w:rFonts w:hint="eastAsia"/>
        </w:rPr>
        <w:t>★对大气环境影响分析</w:t>
      </w:r>
    </w:p>
    <w:p w14:paraId="573A06C9">
      <w:pPr>
        <w:pStyle w:val="117"/>
        <w:spacing w:line="480" w:lineRule="exact"/>
        <w:ind w:firstLine="480"/>
        <w:rPr>
          <w:rFonts w:hint="eastAsia"/>
        </w:rPr>
      </w:pPr>
      <w:r>
        <w:rPr>
          <w:rFonts w:hint="eastAsia"/>
        </w:rPr>
        <w:t>柴油储罐泄漏后，柴油进入环境空气，其中的非甲烷总烃可能会对周围环境空气产生影响，若遇明火，可发生火灾、爆炸，火灾、爆炸产生的伴生/次生污染物可能对环境空气产生一定的影响。由于项目区周围无环境敏感目标，且地域空旷，扩散条件较好，发生事故后，及时采取相应的措施，不会对周围环境空气产生明显影响。</w:t>
      </w:r>
    </w:p>
    <w:p w14:paraId="682324AF">
      <w:pPr>
        <w:pStyle w:val="117"/>
        <w:spacing w:line="480" w:lineRule="exact"/>
        <w:ind w:firstLine="480"/>
        <w:rPr>
          <w:rFonts w:hint="eastAsia"/>
        </w:rPr>
      </w:pPr>
      <w:r>
        <w:rPr>
          <w:rFonts w:hint="eastAsia"/>
        </w:rPr>
        <w:t>★对土壤环境影响分析</w:t>
      </w:r>
    </w:p>
    <w:p w14:paraId="27433B59">
      <w:pPr>
        <w:pStyle w:val="117"/>
        <w:spacing w:line="480" w:lineRule="exact"/>
        <w:ind w:firstLine="480"/>
        <w:rPr>
          <w:rFonts w:hint="eastAsia"/>
        </w:rPr>
      </w:pPr>
      <w:r>
        <w:rPr>
          <w:rFonts w:hint="eastAsia"/>
        </w:rPr>
        <w:t>泄漏的柴油可使土壤透气性下降、土壤理化性状发生变化。泄漏的油品如果进入土壤，从而使土壤质地、结构发生改变，影响到土地功能。</w:t>
      </w:r>
    </w:p>
    <w:p w14:paraId="59487CC7">
      <w:pPr>
        <w:pStyle w:val="117"/>
        <w:spacing w:line="480" w:lineRule="exact"/>
        <w:ind w:firstLine="480"/>
        <w:rPr>
          <w:rFonts w:hint="eastAsia"/>
        </w:rPr>
      </w:pPr>
      <w:r>
        <w:rPr>
          <w:rFonts w:hint="eastAsia"/>
        </w:rPr>
        <w:t>柴油储罐发生泄漏时，相当于向土壤中直接注入柴油，泄漏的柴油进入土壤中后，渗入土壤孔隙，则使土壤透气性和呼吸作用减弱，影响土壤中的微生物生存，造成土壤盐碱化，破坏土壤结构，增加土壤中石油类污染物，造成土地肥力下降，改变土壤的理化性质，影响土壤正常的结构和功能。</w:t>
      </w:r>
    </w:p>
    <w:p w14:paraId="4CE7C804">
      <w:pPr>
        <w:adjustRightInd w:val="0"/>
        <w:snapToGrid w:val="0"/>
        <w:spacing w:line="500" w:lineRule="exact"/>
        <w:ind w:firstLine="480" w:firstLineChars="200"/>
        <w:rPr>
          <w:rFonts w:hint="eastAsia" w:ascii="宋体" w:hAnsi="宋体"/>
          <w:sz w:val="24"/>
        </w:rPr>
      </w:pPr>
      <w:r>
        <w:rPr>
          <w:rFonts w:hint="eastAsia" w:ascii="宋体" w:hAnsi="宋体"/>
          <w:sz w:val="24"/>
        </w:rPr>
        <w:t>柴油储罐铺设防渗膜，储罐发生泄漏后，及时清理，不能回收的柴油以及受污染的土壤应集中收集后交由有相应处理资质的单位进行回收处置。发生事故后，及时采取相应的措施，不会对周围土壤环境产生明显影响。</w:t>
      </w:r>
    </w:p>
    <w:p w14:paraId="72F1269B">
      <w:pPr>
        <w:overflowPunct w:val="0"/>
        <w:adjustRightInd w:val="0"/>
        <w:snapToGrid w:val="0"/>
        <w:spacing w:line="500" w:lineRule="exact"/>
        <w:ind w:firstLine="480" w:firstLineChars="200"/>
        <w:rPr>
          <w:rFonts w:hint="eastAsia" w:ascii="宋体" w:hAnsi="宋体"/>
          <w:sz w:val="24"/>
        </w:rPr>
      </w:pPr>
      <w:r>
        <w:rPr>
          <w:rFonts w:hint="eastAsia" w:ascii="宋体" w:hAnsi="宋体"/>
          <w:sz w:val="24"/>
        </w:rPr>
        <w:t>★</w:t>
      </w:r>
      <w:r>
        <w:rPr>
          <w:rFonts w:ascii="宋体" w:hAnsi="宋体"/>
          <w:sz w:val="24"/>
        </w:rPr>
        <w:t>对植被</w:t>
      </w:r>
      <w:r>
        <w:rPr>
          <w:rFonts w:hint="eastAsia" w:ascii="宋体" w:hAnsi="宋体"/>
          <w:sz w:val="24"/>
        </w:rPr>
        <w:t>影响分析</w:t>
      </w:r>
    </w:p>
    <w:p w14:paraId="2862EA64">
      <w:pPr>
        <w:overflowPunct w:val="0"/>
        <w:adjustRightInd w:val="0"/>
        <w:snapToGrid w:val="0"/>
        <w:spacing w:line="500" w:lineRule="exact"/>
        <w:ind w:firstLine="480" w:firstLineChars="200"/>
        <w:rPr>
          <w:rFonts w:hint="eastAsia" w:ascii="宋体" w:hAnsi="宋体"/>
          <w:sz w:val="24"/>
        </w:rPr>
      </w:pPr>
      <w:r>
        <w:rPr>
          <w:rFonts w:hint="eastAsia" w:ascii="宋体" w:hAnsi="宋体"/>
          <w:sz w:val="24"/>
        </w:rPr>
        <w:t>柴油泄漏对植被的影响主要分为三种途径，一是泄漏物直接粘附于植物体阻断植物的光合作用，使植物枯萎、死亡；二是柴油污染土壤造成的土壤理性化性状变化间接影响植物生长，严重时会导致植物死亡；三是泄漏的柴油中的轻组份挥发，在对空气环境产生影响的同时，也对周围植物产生影响。发生事故后，及时采取相应的措施，不会对周围植被产生明显影响。</w:t>
      </w:r>
    </w:p>
    <w:p w14:paraId="75C6CF53">
      <w:pPr>
        <w:overflowPunct w:val="0"/>
        <w:adjustRightInd w:val="0"/>
        <w:snapToGrid w:val="0"/>
        <w:spacing w:line="500" w:lineRule="exact"/>
        <w:ind w:firstLine="480" w:firstLineChars="200"/>
        <w:rPr>
          <w:rFonts w:hint="eastAsia" w:ascii="宋体" w:hAnsi="宋体"/>
          <w:sz w:val="24"/>
        </w:rPr>
      </w:pPr>
      <w:r>
        <w:rPr>
          <w:rFonts w:hint="eastAsia" w:ascii="宋体" w:hAnsi="宋体"/>
          <w:sz w:val="24"/>
        </w:rPr>
        <w:t>★对地下水环境影响分析</w:t>
      </w:r>
    </w:p>
    <w:p w14:paraId="670C8A8D">
      <w:pPr>
        <w:overflowPunct w:val="0"/>
        <w:adjustRightInd w:val="0"/>
        <w:snapToGrid w:val="0"/>
        <w:spacing w:line="500" w:lineRule="exact"/>
        <w:ind w:firstLine="480" w:firstLineChars="200"/>
        <w:rPr>
          <w:rFonts w:hint="eastAsia" w:ascii="宋体" w:hAnsi="宋体"/>
          <w:sz w:val="24"/>
        </w:rPr>
      </w:pPr>
      <w:r>
        <w:rPr>
          <w:rFonts w:hint="eastAsia" w:ascii="宋体" w:hAnsi="宋体"/>
          <w:sz w:val="24"/>
        </w:rPr>
        <w:t>柴油储罐泄漏的油品下渗而可能导致地下水污染风险的发生。发生泄漏事故后，及时维修处理，即使有少量的污染物泄漏，也很难通过防渗层渗入包气带。储罐底部铺设防渗膜，采取钢制储罐，发生泄漏的概率极小，同时一旦发生泄漏会在较短时间内发现并采取的堵漏措施，出现长期连续性泄漏的可能性很低，发生渗漏污染地下水的风险事故概率较低。</w:t>
      </w:r>
    </w:p>
    <w:p w14:paraId="180D92A1">
      <w:pPr>
        <w:pStyle w:val="162"/>
        <w:rPr>
          <w:rFonts w:hint="eastAsia"/>
          <w:color w:val="auto"/>
        </w:rPr>
      </w:pPr>
      <w:r>
        <w:rPr>
          <w:rFonts w:hint="eastAsia"/>
          <w:color w:val="auto"/>
        </w:rPr>
        <w:t>（2）运营期环境风险分析</w:t>
      </w:r>
    </w:p>
    <w:p w14:paraId="7AB0013B">
      <w:pPr>
        <w:pStyle w:val="162"/>
        <w:rPr>
          <w:rFonts w:hint="eastAsia"/>
          <w:color w:val="auto"/>
        </w:rPr>
      </w:pPr>
      <w:r>
        <w:rPr>
          <w:rFonts w:hint="eastAsia"/>
          <w:color w:val="auto"/>
        </w:rPr>
        <w:t>原油、伴生气发生泄漏后，可能对周围土壤环境、大气环境、地下水环境产生一定的影响，具体影响分析如下：</w:t>
      </w:r>
      <w:r>
        <w:rPr>
          <w:color w:val="auto"/>
        </w:rPr>
        <w:t xml:space="preserve"> </w:t>
      </w:r>
    </w:p>
    <w:p w14:paraId="53043889">
      <w:pPr>
        <w:overflowPunct w:val="0"/>
        <w:spacing w:line="500" w:lineRule="exact"/>
        <w:ind w:firstLine="480" w:firstLineChars="200"/>
        <w:rPr>
          <w:rFonts w:hint="eastAsia" w:ascii="宋体" w:hAnsi="宋体"/>
          <w:sz w:val="24"/>
          <w:szCs w:val="24"/>
        </w:rPr>
      </w:pPr>
      <w:r>
        <w:rPr>
          <w:rFonts w:hint="eastAsia" w:ascii="宋体" w:hAnsi="宋体"/>
          <w:sz w:val="24"/>
          <w:szCs w:val="24"/>
        </w:rPr>
        <w:t>（1）井喷事故环境影响分析</w:t>
      </w:r>
    </w:p>
    <w:p w14:paraId="2502984F">
      <w:pPr>
        <w:overflowPunct w:val="0"/>
        <w:spacing w:line="500" w:lineRule="exact"/>
        <w:ind w:firstLine="480" w:firstLineChars="200"/>
        <w:rPr>
          <w:rFonts w:hint="eastAsia" w:ascii="宋体" w:hAnsi="宋体"/>
          <w:sz w:val="24"/>
          <w:szCs w:val="24"/>
        </w:rPr>
      </w:pPr>
      <w:r>
        <w:rPr>
          <w:rFonts w:hint="eastAsia" w:ascii="宋体" w:hAnsi="宋体"/>
          <w:sz w:val="24"/>
          <w:szCs w:val="24"/>
        </w:rPr>
        <w:t>①对土壤环境影响分析</w:t>
      </w:r>
    </w:p>
    <w:p w14:paraId="0D373B9F">
      <w:pPr>
        <w:overflowPunct w:val="0"/>
        <w:spacing w:line="500" w:lineRule="exact"/>
        <w:ind w:firstLine="480" w:firstLineChars="200"/>
        <w:rPr>
          <w:rFonts w:hint="eastAsia" w:ascii="宋体" w:hAnsi="宋体"/>
          <w:sz w:val="24"/>
          <w:szCs w:val="24"/>
        </w:rPr>
      </w:pPr>
      <w:r>
        <w:rPr>
          <w:rFonts w:hint="eastAsia" w:ascii="宋体" w:hAnsi="宋体"/>
          <w:sz w:val="24"/>
          <w:szCs w:val="24"/>
        </w:rPr>
        <w:t>井喷是油田开发过程中的意外事故，一次井喷可抛洒大量的天然气和原油，其中的轻组分挥发，而重组分油对土壤有一定的影响。井喷会造成大量原油覆盖在土壤表层，使土壤表层的土壤透气性下降，理化性状发生变化，对影响范围内的土壤表层造成严重的污染。井喷持续时间越长，对土壤造成的污染越严重。但根据已有的相关资料，井喷事故主要影响事故区域内的表层土壤，对地表</w:t>
      </w:r>
      <w:r>
        <w:rPr>
          <w:rFonts w:ascii="宋体" w:hAnsi="宋体"/>
          <w:sz w:val="24"/>
          <w:szCs w:val="24"/>
        </w:rPr>
        <w:t>20cm</w:t>
      </w:r>
      <w:r>
        <w:rPr>
          <w:rFonts w:hint="eastAsia" w:ascii="宋体" w:hAnsi="宋体"/>
          <w:sz w:val="24"/>
          <w:szCs w:val="24"/>
        </w:rPr>
        <w:t>以下深度的土壤影响不大。</w:t>
      </w:r>
    </w:p>
    <w:p w14:paraId="419C788D">
      <w:pPr>
        <w:overflowPunct w:val="0"/>
        <w:spacing w:line="500" w:lineRule="exact"/>
        <w:ind w:firstLine="480" w:firstLineChars="200"/>
        <w:rPr>
          <w:rFonts w:hint="eastAsia" w:ascii="宋体" w:hAnsi="宋体"/>
          <w:sz w:val="24"/>
          <w:szCs w:val="24"/>
        </w:rPr>
      </w:pPr>
      <w:r>
        <w:rPr>
          <w:rFonts w:hint="eastAsia" w:ascii="宋体" w:hAnsi="宋体"/>
          <w:sz w:val="24"/>
          <w:szCs w:val="24"/>
        </w:rPr>
        <w:t>井喷事故一旦发生，大量的油气喷出井口，散落于井场周围，据类比资料显示，井喷范围内土壤表层可见有蜡状的原油喷散物，井喷的影响范围主要集中在</w:t>
      </w:r>
      <w:r>
        <w:rPr>
          <w:rFonts w:ascii="宋体" w:hAnsi="宋体"/>
          <w:sz w:val="24"/>
          <w:szCs w:val="24"/>
        </w:rPr>
        <w:t>200m×200m</w:t>
      </w:r>
      <w:r>
        <w:rPr>
          <w:rFonts w:hint="eastAsia" w:ascii="宋体" w:hAnsi="宋体"/>
          <w:sz w:val="24"/>
          <w:szCs w:val="24"/>
        </w:rPr>
        <w:t>范围内，所以井喷对人员的伤害有限，对项目区及周边土壤环境、水环境产生一定影响。井场进行了分区防渗，一旦发生事故，可减缓对地表土壤环境的影响。</w:t>
      </w:r>
    </w:p>
    <w:p w14:paraId="2AC97FE2">
      <w:pPr>
        <w:overflowPunct w:val="0"/>
        <w:spacing w:line="500" w:lineRule="exact"/>
        <w:ind w:firstLine="480" w:firstLineChars="200"/>
        <w:rPr>
          <w:rFonts w:hint="eastAsia" w:ascii="宋体" w:hAnsi="宋体"/>
          <w:sz w:val="24"/>
          <w:szCs w:val="24"/>
        </w:rPr>
      </w:pPr>
      <w:r>
        <w:rPr>
          <w:rFonts w:hint="eastAsia" w:ascii="宋体" w:hAnsi="宋体"/>
          <w:sz w:val="24"/>
          <w:szCs w:val="24"/>
        </w:rPr>
        <w:t>②对水环境影响分析</w:t>
      </w:r>
    </w:p>
    <w:p w14:paraId="57A21DB5">
      <w:pPr>
        <w:overflowPunct w:val="0"/>
        <w:spacing w:line="500" w:lineRule="exact"/>
        <w:ind w:firstLine="480" w:firstLineChars="200"/>
        <w:rPr>
          <w:rFonts w:hint="eastAsia" w:ascii="宋体" w:hAnsi="宋体"/>
          <w:sz w:val="24"/>
          <w:szCs w:val="24"/>
        </w:rPr>
      </w:pPr>
      <w:r>
        <w:rPr>
          <w:rFonts w:hint="eastAsia" w:ascii="宋体" w:hAnsi="宋体"/>
          <w:sz w:val="24"/>
          <w:szCs w:val="24"/>
        </w:rPr>
        <w:t>井喷事故一旦发生，大量的油气喷出井口，散落于井场周围，除造成重大经济损失外，还会造成严重的环境污染。根据测算，井喷发生后，喷出的液量较大，一般需要</w:t>
      </w:r>
      <w:r>
        <w:rPr>
          <w:rFonts w:ascii="宋体" w:hAnsi="宋体"/>
          <w:sz w:val="24"/>
          <w:szCs w:val="24"/>
        </w:rPr>
        <w:t>1-2d</w:t>
      </w:r>
      <w:r>
        <w:rPr>
          <w:rFonts w:hint="eastAsia" w:ascii="宋体" w:hAnsi="宋体"/>
          <w:sz w:val="24"/>
          <w:szCs w:val="24"/>
        </w:rPr>
        <w:t>才能得以控制。据类比资料显示，井喷污染范围在半径</w:t>
      </w:r>
      <w:r>
        <w:rPr>
          <w:rFonts w:ascii="宋体" w:hAnsi="宋体"/>
          <w:sz w:val="24"/>
          <w:szCs w:val="24"/>
        </w:rPr>
        <w:t>200m</w:t>
      </w:r>
      <w:r>
        <w:rPr>
          <w:rFonts w:hint="eastAsia" w:ascii="宋体" w:hAnsi="宋体"/>
          <w:sz w:val="24"/>
          <w:szCs w:val="24"/>
        </w:rPr>
        <w:t>左右时，井喷持续时间</w:t>
      </w:r>
      <w:r>
        <w:rPr>
          <w:rFonts w:ascii="宋体" w:hAnsi="宋体"/>
          <w:sz w:val="24"/>
          <w:szCs w:val="24"/>
        </w:rPr>
        <w:t>2d</w:t>
      </w:r>
      <w:r>
        <w:rPr>
          <w:rFonts w:hint="eastAsia" w:ascii="宋体" w:hAnsi="宋体"/>
          <w:sz w:val="24"/>
          <w:szCs w:val="24"/>
        </w:rPr>
        <w:t>，井喷范围内土壤表层可见有蜡状的喷散物，井喷的影响范围及影响程度较大。但从事故井区土壤剖面分析，井喷事故后石油类污染物主要聚集在土壤剖面</w:t>
      </w:r>
      <w:r>
        <w:rPr>
          <w:rFonts w:ascii="宋体" w:hAnsi="宋体"/>
          <w:sz w:val="24"/>
          <w:szCs w:val="24"/>
        </w:rPr>
        <w:t>1m</w:t>
      </w:r>
      <w:r>
        <w:rPr>
          <w:rFonts w:hint="eastAsia" w:ascii="宋体" w:hAnsi="宋体"/>
          <w:sz w:val="24"/>
          <w:szCs w:val="24"/>
        </w:rPr>
        <w:t>以内，石油类污染物很难下渗到</w:t>
      </w:r>
      <w:r>
        <w:rPr>
          <w:rFonts w:ascii="宋体" w:hAnsi="宋体"/>
          <w:sz w:val="24"/>
          <w:szCs w:val="24"/>
        </w:rPr>
        <w:t>2m</w:t>
      </w:r>
      <w:r>
        <w:rPr>
          <w:rFonts w:hint="eastAsia" w:ascii="宋体" w:hAnsi="宋体"/>
          <w:sz w:val="24"/>
          <w:szCs w:val="24"/>
        </w:rPr>
        <w:t>以下，对地下水体的影响概率不大，及时采取有效措施治理污染，井喷不会造成地下水污染。</w:t>
      </w:r>
    </w:p>
    <w:p w14:paraId="015A8D63">
      <w:pPr>
        <w:overflowPunct w:val="0"/>
        <w:spacing w:line="500" w:lineRule="exact"/>
        <w:ind w:firstLine="480" w:firstLineChars="200"/>
        <w:rPr>
          <w:rFonts w:hint="eastAsia" w:ascii="宋体" w:hAnsi="宋体"/>
          <w:sz w:val="24"/>
          <w:szCs w:val="24"/>
        </w:rPr>
      </w:pPr>
      <w:r>
        <w:rPr>
          <w:rFonts w:hint="eastAsia" w:ascii="宋体" w:hAnsi="宋体"/>
          <w:sz w:val="24"/>
          <w:szCs w:val="24"/>
        </w:rPr>
        <w:t>③对植被、农田及公益林的影响分析</w:t>
      </w:r>
    </w:p>
    <w:p w14:paraId="7732A02E">
      <w:pPr>
        <w:overflowPunct w:val="0"/>
        <w:spacing w:line="500" w:lineRule="exact"/>
        <w:ind w:firstLine="480" w:firstLineChars="200"/>
        <w:rPr>
          <w:rFonts w:hint="eastAsia" w:ascii="宋体" w:hAnsi="宋体"/>
          <w:sz w:val="24"/>
          <w:szCs w:val="24"/>
        </w:rPr>
      </w:pPr>
      <w:r>
        <w:rPr>
          <w:rFonts w:hint="eastAsia" w:ascii="宋体" w:hAnsi="宋体"/>
          <w:sz w:val="24"/>
          <w:szCs w:val="24"/>
        </w:rPr>
        <w:t>井喷发生时，原油中的轻组份挥发，在对空气环境产生影响的同时，也对周围农田、公益林及植物产生影响，井场周围半径200</w:t>
      </w:r>
      <w:r>
        <w:rPr>
          <w:rFonts w:ascii="宋体" w:hAnsi="宋体"/>
          <w:sz w:val="24"/>
          <w:szCs w:val="24"/>
        </w:rPr>
        <w:t>m</w:t>
      </w:r>
      <w:r>
        <w:rPr>
          <w:rFonts w:hint="eastAsia" w:ascii="宋体" w:hAnsi="宋体"/>
          <w:sz w:val="24"/>
          <w:szCs w:val="24"/>
        </w:rPr>
        <w:t>范围内的农田、公益林及植被将全部由于石油类污染而使其呼吸受阻，不能进行正常光合作用而死亡；原油进入土壤后与土壤结合，渗入土壤孔隙，使土壤透气性和呼吸作用减弱，改变了土壤质地和结构，影响到土壤的生物功能，进而造成生长其上的植物和土壤动物的死亡，这种影响会导致污染地段多年无法生长植物或长势减弱，甚至使这一区域变为裸地。由于这一影响使土壤结构受石油类污染而发生变化，因此，被污染区域的植被不易恢复。若井喷时发生火灾，结果将使燃烧范围内的植被全部死亡。必须采取严格有效的风险防范措施，防止、降低井喷事故风险发生。</w:t>
      </w:r>
    </w:p>
    <w:p w14:paraId="645B5F6B">
      <w:pPr>
        <w:pStyle w:val="162"/>
        <w:rPr>
          <w:rFonts w:hint="eastAsia"/>
          <w:snapToGrid w:val="0"/>
          <w:color w:val="auto"/>
        </w:rPr>
      </w:pPr>
      <w:r>
        <w:rPr>
          <w:rFonts w:hint="eastAsia"/>
          <w:snapToGrid w:val="0"/>
          <w:color w:val="auto"/>
        </w:rPr>
        <w:t>（2）井漏事故影响分析</w:t>
      </w:r>
    </w:p>
    <w:p w14:paraId="206881CF">
      <w:pPr>
        <w:pStyle w:val="162"/>
        <w:rPr>
          <w:rFonts w:hint="eastAsia"/>
          <w:color w:val="auto"/>
        </w:rPr>
      </w:pPr>
      <w:r>
        <w:rPr>
          <w:rFonts w:hint="eastAsia"/>
          <w:color w:val="auto"/>
        </w:rPr>
        <w:t>本项目井漏事故一般发生在井下作业修井过程中，通常是由于套管破损或者固井质量不好，导致修井液漏入地层。漏层的类型、井漏的严重程度，因漏失层位各不相同，变化很大，一旦发生井漏，使大量修井液漏失，除造成经济损失外，还可能对地下含水层和油层造成一定的污染和危害。本次拟部署采油井钻井表层套管下入深度为</w:t>
      </w:r>
      <w:r>
        <w:rPr>
          <w:color w:val="auto"/>
        </w:rPr>
        <w:t>1</w:t>
      </w:r>
      <w:r>
        <w:rPr>
          <w:rFonts w:hint="eastAsia"/>
          <w:color w:val="auto"/>
        </w:rPr>
        <w:t>800m，超出本区域地下水含水层深度，在钻井过程中采用下套管注水泥固井、完井方式进行水泥固井，对含水层进行了固封处理，发生井漏的可能性较小，不会对地下水环境产生明显影响。</w:t>
      </w:r>
    </w:p>
    <w:p w14:paraId="73508F25">
      <w:pPr>
        <w:pStyle w:val="117"/>
        <w:ind w:firstLine="480"/>
        <w:rPr>
          <w:rFonts w:hint="eastAsia"/>
        </w:rPr>
      </w:pPr>
      <w:r>
        <w:rPr>
          <w:rFonts w:hint="eastAsia"/>
        </w:rPr>
        <w:t>（3）管线、设备和拉油罐泄漏事故影响分析</w:t>
      </w:r>
    </w:p>
    <w:p w14:paraId="4D2C2128">
      <w:pPr>
        <w:pStyle w:val="117"/>
        <w:ind w:firstLine="480"/>
        <w:rPr>
          <w:rFonts w:hint="eastAsia"/>
        </w:rPr>
      </w:pPr>
      <w:r>
        <w:rPr>
          <w:rFonts w:hint="eastAsia"/>
        </w:rPr>
        <w:t>①</w:t>
      </w:r>
      <w:r>
        <w:t>对土壤的影响</w:t>
      </w:r>
      <w:r>
        <w:rPr>
          <w:rFonts w:hint="eastAsia"/>
        </w:rPr>
        <w:t>分析</w:t>
      </w:r>
    </w:p>
    <w:p w14:paraId="3100D020">
      <w:pPr>
        <w:adjustRightInd w:val="0"/>
        <w:snapToGrid w:val="0"/>
        <w:spacing w:line="480" w:lineRule="exact"/>
        <w:ind w:firstLine="480" w:firstLineChars="200"/>
        <w:rPr>
          <w:rFonts w:hint="eastAsia" w:ascii="宋体" w:hAnsi="宋体"/>
          <w:sz w:val="24"/>
          <w:szCs w:val="24"/>
        </w:rPr>
      </w:pPr>
      <w:r>
        <w:rPr>
          <w:rFonts w:hint="eastAsia" w:ascii="宋体" w:hAnsi="宋体"/>
          <w:sz w:val="24"/>
          <w:szCs w:val="24"/>
        </w:rPr>
        <w:t>井场、计量拉油站内设备、拉油罐和管线发生泄漏后相当于向土壤中直接注入油品，油品渗入土壤孔隙，则使土壤透气性和呼吸作用减弱，影响土壤中的微生物生存，造成土壤盐碱化，破坏土壤结构，增加土壤中石油类污染物，造成土地肥力下降，改变土壤的理化性质，影响土壤正常的结构和功能，进而影响荒漠植被的生长（尤其是对农田农作物的影响），并可影响局部的生态环境。根据类比调查结果可知，油品泄漏事故发生后，在非渗透性的基岩及粘重土壤上污染（扩展）面积较大，而疏松土质上影响的扩展范围较小，在泄漏事故发生的最初，原油在土壤中下渗至一定深度，随泄漏历时的延长，下渗深度增加不大（落地原油一般在土壤表层20cm以上深度内积聚）。根据非正常工况下土壤环境影响分析结果可知，站内设备和管线等事故发生后及时采取措施并将受污染的土壤清理，不会对土壤环境产生明显不利影响。</w:t>
      </w:r>
    </w:p>
    <w:bookmarkEnd w:id="585"/>
    <w:p w14:paraId="073D383D">
      <w:pPr>
        <w:adjustRightInd w:val="0"/>
        <w:snapToGrid w:val="0"/>
        <w:spacing w:line="480" w:lineRule="exact"/>
        <w:ind w:firstLine="480" w:firstLineChars="200"/>
        <w:rPr>
          <w:rFonts w:hint="eastAsia" w:ascii="宋体" w:hAnsi="宋体"/>
          <w:sz w:val="24"/>
          <w:szCs w:val="24"/>
        </w:rPr>
      </w:pPr>
      <w:r>
        <w:rPr>
          <w:rFonts w:hint="eastAsia" w:ascii="宋体" w:hAnsi="宋体"/>
          <w:sz w:val="24"/>
          <w:szCs w:val="24"/>
        </w:rPr>
        <w:t>②</w:t>
      </w:r>
      <w:r>
        <w:rPr>
          <w:rFonts w:ascii="宋体" w:hAnsi="宋体"/>
          <w:sz w:val="24"/>
          <w:szCs w:val="24"/>
        </w:rPr>
        <w:t>对植被的影响</w:t>
      </w:r>
    </w:p>
    <w:p w14:paraId="52A3431E">
      <w:pPr>
        <w:pStyle w:val="462"/>
        <w:rPr>
          <w:rFonts w:hint="eastAsia"/>
          <w:color w:val="auto"/>
        </w:rPr>
      </w:pPr>
      <w:r>
        <w:rPr>
          <w:rFonts w:hint="eastAsia"/>
          <w:color w:val="auto"/>
        </w:rPr>
        <w:t>原油泄漏对植被的影响主要分为三种途径，一是泄漏油品直接粘附于植物体阻断植物的光合作用，使植物枯萎、死亡；二是原油污染土壤造成的土壤理性化性状变化间接影响植物生长，严重时会导致植物死亡；三是泄漏的油品中的轻组份挥发，在对空气环境产生影响的同时，也对周围植物产生影响。发生事故后，及时采取相应的措施，不会对周围植被产生明显影响。</w:t>
      </w:r>
    </w:p>
    <w:p w14:paraId="5C52B043">
      <w:pPr>
        <w:adjustRightInd w:val="0"/>
        <w:snapToGrid w:val="0"/>
        <w:spacing w:line="480" w:lineRule="exact"/>
        <w:ind w:firstLine="480"/>
        <w:rPr>
          <w:rFonts w:hint="eastAsia" w:ascii="宋体" w:hAnsi="宋体"/>
          <w:sz w:val="24"/>
          <w:szCs w:val="24"/>
        </w:rPr>
      </w:pPr>
      <w:bookmarkStart w:id="587" w:name="_Hlk147587769"/>
      <w:r>
        <w:rPr>
          <w:rFonts w:hint="eastAsia" w:ascii="宋体" w:hAnsi="宋体"/>
          <w:sz w:val="24"/>
          <w:szCs w:val="24"/>
        </w:rPr>
        <w:t>③对地下水环境的影响</w:t>
      </w:r>
    </w:p>
    <w:bookmarkEnd w:id="587"/>
    <w:p w14:paraId="6B40D66D">
      <w:pPr>
        <w:pStyle w:val="117"/>
        <w:adjustRightInd w:val="0"/>
        <w:snapToGrid w:val="0"/>
        <w:spacing w:line="460" w:lineRule="exact"/>
        <w:ind w:firstLine="480"/>
        <w:rPr>
          <w:rFonts w:hint="eastAsia"/>
        </w:rPr>
      </w:pPr>
      <w:r>
        <w:rPr>
          <w:rFonts w:hint="eastAsia"/>
        </w:rPr>
        <w:t>井场、计量站内设备、拉油罐和管线发生泄漏后，泄漏的油品下渗，进而导致地下水污染风险的发生。发生泄漏事故后，及时发现、及时维修处理，即使有少量的污染物泄漏，也很难通过防渗层渗入包气带。故在正常工况下，加强检修力度，发生泄漏事故及时找到泄漏点，及时维修，并将受污染的土壤全部回收，交由有相应危险废物处理资质的单位进行回收处置，污染物从源头和末端均得到控制，没有污染地下水的通道，污染物不会渗入地下污染地下水体。当泄漏事故不可控时，泄漏的油品经土层渗漏，通过包气带进入含水层。根据《采油废水中石油类污染物在土壤中的迁移规律研究》（岳占林文）中结论：土壤尽管颗粒较粗、结构较松散、孔隙比较大，但对石油类物质的截留作用是非常显著的，石油类很难在土壤剖面中随水下渗迁移，基本上被截留在0～10cm或0～20cm表层土壤中，其中表层0～5cm土壤截留了90%以上的泄漏原油。</w:t>
      </w:r>
    </w:p>
    <w:p w14:paraId="316EF681">
      <w:pPr>
        <w:pStyle w:val="117"/>
        <w:adjustRightInd w:val="0"/>
        <w:snapToGrid w:val="0"/>
        <w:spacing w:line="460" w:lineRule="exact"/>
        <w:ind w:firstLine="480"/>
        <w:rPr>
          <w:rFonts w:hint="eastAsia"/>
        </w:rPr>
      </w:pPr>
      <w:bookmarkStart w:id="588" w:name="_Hlk147587764"/>
      <w:r>
        <w:rPr>
          <w:rFonts w:hint="eastAsia"/>
        </w:rPr>
        <w:t>根据事故状态下对地下的预测可知，集油干线发生泄漏后</w:t>
      </w:r>
      <w:r>
        <w:t>100d</w:t>
      </w:r>
      <w:r>
        <w:rPr>
          <w:rFonts w:hint="eastAsia"/>
        </w:rPr>
        <w:t>和</w:t>
      </w:r>
      <w:r>
        <w:t>1000d</w:t>
      </w:r>
      <w:r>
        <w:rPr>
          <w:rFonts w:hint="eastAsia"/>
        </w:rPr>
        <w:t>下游石油类达标时对应的距离分别为</w:t>
      </w:r>
      <w:r>
        <w:t>57m</w:t>
      </w:r>
      <w:r>
        <w:rPr>
          <w:rFonts w:hint="eastAsia"/>
        </w:rPr>
        <w:t>和</w:t>
      </w:r>
      <w:r>
        <w:t>395m</w:t>
      </w:r>
      <w:r>
        <w:rPr>
          <w:rFonts w:hint="eastAsia"/>
        </w:rPr>
        <w:t>；拉油罐发生泄漏后</w:t>
      </w:r>
      <w:r>
        <w:t>100d</w:t>
      </w:r>
      <w:r>
        <w:rPr>
          <w:rFonts w:hint="eastAsia"/>
        </w:rPr>
        <w:t>和</w:t>
      </w:r>
      <w:r>
        <w:t>1000d</w:t>
      </w:r>
      <w:r>
        <w:rPr>
          <w:rFonts w:hint="eastAsia"/>
        </w:rPr>
        <w:t>下游石油类达标时对应的距离分别为</w:t>
      </w:r>
      <w:r>
        <w:t>57m</w:t>
      </w:r>
      <w:r>
        <w:rPr>
          <w:rFonts w:hint="eastAsia"/>
        </w:rPr>
        <w:t>和</w:t>
      </w:r>
      <w:r>
        <w:t>386m</w:t>
      </w:r>
      <w:r>
        <w:rPr>
          <w:rFonts w:hint="eastAsia"/>
        </w:rPr>
        <w:t>。项目区土壤在消除土体裂隙和根孔影响的试验条件下，石油类下渗下移的深度不会超过30cm，</w:t>
      </w:r>
      <w:r>
        <w:rPr>
          <w:kern w:val="0"/>
          <w:szCs w:val="26"/>
        </w:rPr>
        <w:t>承压水顶板埋深在50～100m</w:t>
      </w:r>
      <w:r>
        <w:rPr>
          <w:rFonts w:hint="eastAsia"/>
          <w:kern w:val="0"/>
          <w:szCs w:val="26"/>
        </w:rPr>
        <w:t>以下</w:t>
      </w:r>
      <w:r>
        <w:rPr>
          <w:rFonts w:hint="eastAsia"/>
        </w:rPr>
        <w:t>，泄漏的原油进入地下水的可能性很小，并定期对设备进行检修，将事故发生的概率降至最低，发生泄漏后做到及时发现、及时处理，彻底清除泄漏油品及被污染的土壤。因此，发生泄漏后采取相应的措施后不会对地下水环境产生大的影响。</w:t>
      </w:r>
    </w:p>
    <w:bookmarkEnd w:id="588"/>
    <w:p w14:paraId="0110B696">
      <w:pPr>
        <w:pStyle w:val="117"/>
        <w:adjustRightInd w:val="0"/>
        <w:snapToGrid w:val="0"/>
        <w:spacing w:line="460" w:lineRule="exact"/>
        <w:ind w:firstLine="480"/>
        <w:rPr>
          <w:rFonts w:hint="eastAsia"/>
        </w:rPr>
      </w:pPr>
      <w:r>
        <w:rPr>
          <w:rFonts w:hint="eastAsia"/>
        </w:rPr>
        <w:t>④对大气环境的影响分析</w:t>
      </w:r>
    </w:p>
    <w:p w14:paraId="79394752">
      <w:pPr>
        <w:pStyle w:val="117"/>
        <w:adjustRightInd w:val="0"/>
        <w:snapToGrid w:val="0"/>
        <w:spacing w:line="460" w:lineRule="exact"/>
        <w:ind w:firstLine="480"/>
        <w:rPr>
          <w:rFonts w:hint="eastAsia"/>
        </w:rPr>
      </w:pPr>
      <w:bookmarkStart w:id="589" w:name="_Hlk80209261"/>
      <w:r>
        <w:rPr>
          <w:rFonts w:hint="eastAsia"/>
        </w:rPr>
        <w:t>管线埋地敷设，管线发生泄漏后，油气很难透过土壤扩散到大气环境中，泄漏物对大气环境影响较小；计量拉油站内设备和拉油罐发生泄漏事故后，油气进入环境空气，其中的</w:t>
      </w:r>
      <w:r>
        <w:t>NMHC</w:t>
      </w:r>
      <w:r>
        <w:rPr>
          <w:rFonts w:hint="eastAsia"/>
        </w:rPr>
        <w:t>可能会对周围环境空气产生影响，若遇明火，可发生火灾、爆炸，火灾、爆炸产生的伴生/次生污染物可能对环境空气产生一定的影响。由于项目区周围无环境敏感目标，且地域空旷，扩散条件较好，发生事故后，及时采取相应的措施，不会对周围环境空气产生明显影响。</w:t>
      </w:r>
      <w:bookmarkEnd w:id="577"/>
      <w:bookmarkEnd w:id="584"/>
      <w:bookmarkEnd w:id="589"/>
      <w:bookmarkStart w:id="590" w:name="_Hlk40733172"/>
      <w:bookmarkStart w:id="591" w:name="_Toc475624491"/>
      <w:bookmarkStart w:id="592" w:name="_Toc475624487"/>
    </w:p>
    <w:p w14:paraId="4528D6E0">
      <w:pPr>
        <w:pStyle w:val="117"/>
        <w:adjustRightInd w:val="0"/>
        <w:snapToGrid w:val="0"/>
        <w:spacing w:line="460" w:lineRule="exact"/>
        <w:ind w:firstLine="480"/>
        <w:rPr>
          <w:rFonts w:hint="eastAsia"/>
          <w:lang w:val="zh-CN"/>
        </w:rPr>
      </w:pPr>
      <w:bookmarkStart w:id="593" w:name="_Hlk173407554"/>
      <w:r>
        <w:rPr>
          <w:rFonts w:hint="eastAsia"/>
        </w:rPr>
        <w:t>（4）</w:t>
      </w:r>
      <w:r>
        <w:rPr>
          <w:rFonts w:hint="eastAsia"/>
          <w:lang w:val="zh-CN"/>
        </w:rPr>
        <w:t>采出液拉运过程中的环境风险分析</w:t>
      </w:r>
    </w:p>
    <w:p w14:paraId="4AC8204C">
      <w:pPr>
        <w:pStyle w:val="117"/>
        <w:adjustRightInd w:val="0"/>
        <w:snapToGrid w:val="0"/>
        <w:spacing w:line="460" w:lineRule="exact"/>
        <w:ind w:firstLine="480"/>
        <w:rPr>
          <w:rFonts w:hint="eastAsia"/>
        </w:rPr>
      </w:pPr>
      <w:r>
        <w:rPr>
          <w:rFonts w:hint="eastAsia"/>
          <w:lang w:val="zh-CN"/>
        </w:rPr>
        <w:t>采出液由罐车拉运至页岩油联合站处理，因车辆、储罐设计、操作、管理等环节存在缺陷使原油发生泄漏，对周围环境产生一定的影响。装车前检查运输车辆、储罐，确保车况良好、罐体完好再装车；</w:t>
      </w:r>
      <w:r>
        <w:rPr>
          <w:rFonts w:hint="eastAsia"/>
        </w:rPr>
        <w:t>储罐设有液位装置，装车时及时观察液位装置，以免溢出；罐车司机驾驶技术娴熟，发生交通事故的概率较低；日常加强日常管理和维护，发生泄漏事故的概率很小。一旦发生泄漏事故，及时采取相应的措施，不会对周围环境空气产生明显影响。</w:t>
      </w:r>
    </w:p>
    <w:p w14:paraId="2578BBF2">
      <w:pPr>
        <w:pStyle w:val="117"/>
        <w:adjustRightInd w:val="0"/>
        <w:snapToGrid w:val="0"/>
        <w:spacing w:line="460" w:lineRule="exact"/>
        <w:ind w:firstLine="480"/>
        <w:rPr>
          <w:rFonts w:hint="eastAsia"/>
        </w:rPr>
      </w:pPr>
      <w:r>
        <w:rPr>
          <w:rFonts w:hint="eastAsia"/>
        </w:rPr>
        <w:t>（5）事故状态下对大气环境敏感目标——</w:t>
      </w:r>
      <w:bookmarkStart w:id="594" w:name="OLE_LINK401"/>
      <w:r>
        <w:rPr>
          <w:rFonts w:hint="eastAsia"/>
        </w:rPr>
        <w:t>四厂湖和农一连</w:t>
      </w:r>
      <w:bookmarkEnd w:id="594"/>
      <w:r>
        <w:rPr>
          <w:rFonts w:hint="eastAsia"/>
        </w:rPr>
        <w:t>的影响分析</w:t>
      </w:r>
    </w:p>
    <w:p w14:paraId="23CF0902">
      <w:pPr>
        <w:pStyle w:val="117"/>
        <w:ind w:firstLine="480"/>
        <w:rPr>
          <w:rFonts w:hint="eastAsia"/>
          <w:kern w:val="0"/>
        </w:rPr>
      </w:pPr>
      <w:r>
        <w:rPr>
          <w:rFonts w:hint="eastAsia"/>
        </w:rPr>
        <w:t>事故状态下泄漏的油气及火灾、爆炸产生废伴生/次生污染物可能对四厂湖和农一连产生一定的影响，运营过程加强各类设备巡检、检修，项目区设置禁止烟火标识，事故发生概率较低；四厂湖和农一连</w:t>
      </w:r>
      <w:r>
        <w:rPr>
          <w:rFonts w:hint="eastAsia"/>
          <w:kern w:val="0"/>
        </w:rPr>
        <w:t>主要位于项目区的上风向和侧风向，且项目区地域空旷，扩散条件较好，项目实施不会对大气环境敏感目标产生明显不利影响。</w:t>
      </w:r>
    </w:p>
    <w:bookmarkEnd w:id="593"/>
    <w:p w14:paraId="23D410FB">
      <w:pPr>
        <w:pStyle w:val="117"/>
        <w:adjustRightInd w:val="0"/>
        <w:snapToGrid w:val="0"/>
        <w:spacing w:line="460" w:lineRule="exact"/>
        <w:ind w:firstLine="480"/>
        <w:rPr>
          <w:rFonts w:hint="eastAsia"/>
        </w:rPr>
      </w:pPr>
    </w:p>
    <w:p w14:paraId="6848B5DC">
      <w:pPr>
        <w:pStyle w:val="117"/>
        <w:adjustRightInd w:val="0"/>
        <w:snapToGrid w:val="0"/>
        <w:spacing w:line="460" w:lineRule="exact"/>
        <w:ind w:firstLine="480"/>
        <w:rPr>
          <w:rFonts w:hint="eastAsia"/>
        </w:rPr>
      </w:pPr>
    </w:p>
    <w:p w14:paraId="40E437EA">
      <w:pPr>
        <w:pStyle w:val="117"/>
        <w:adjustRightInd w:val="0"/>
        <w:snapToGrid w:val="0"/>
        <w:spacing w:line="460" w:lineRule="exact"/>
        <w:ind w:firstLine="480"/>
        <w:rPr>
          <w:rFonts w:hint="eastAsia"/>
        </w:rPr>
      </w:pPr>
    </w:p>
    <w:p w14:paraId="410B37F7">
      <w:pPr>
        <w:pStyle w:val="117"/>
        <w:adjustRightInd w:val="0"/>
        <w:snapToGrid w:val="0"/>
        <w:spacing w:line="460" w:lineRule="exact"/>
        <w:ind w:firstLine="480"/>
        <w:rPr>
          <w:rFonts w:hint="eastAsia"/>
        </w:rPr>
      </w:pPr>
    </w:p>
    <w:bookmarkEnd w:id="590"/>
    <w:bookmarkEnd w:id="591"/>
    <w:p w14:paraId="257202C9">
      <w:pPr>
        <w:pStyle w:val="3"/>
        <w:rPr>
          <w:rFonts w:hint="eastAsia"/>
          <w:lang w:val="zh-CN"/>
        </w:rPr>
      </w:pPr>
      <w:r>
        <w:rPr>
          <w:lang w:val="zh-CN"/>
        </w:rPr>
        <w:br w:type="page"/>
      </w:r>
      <w:bookmarkStart w:id="595" w:name="_Toc160382100"/>
      <w:r>
        <w:rPr>
          <w:rFonts w:hint="eastAsia"/>
          <w:lang w:val="zh-CN"/>
        </w:rPr>
        <w:t>环境保护措施及其可行性论证</w:t>
      </w:r>
      <w:bookmarkEnd w:id="592"/>
      <w:bookmarkEnd w:id="595"/>
    </w:p>
    <w:p w14:paraId="21E1B0EA">
      <w:pPr>
        <w:pStyle w:val="2"/>
        <w:rPr>
          <w:rFonts w:hint="eastAsia"/>
          <w:lang w:val="zh-CN"/>
        </w:rPr>
      </w:pPr>
      <w:bookmarkStart w:id="596" w:name="_Toc475624488"/>
      <w:bookmarkStart w:id="597" w:name="_Toc160382101"/>
      <w:bookmarkStart w:id="598" w:name="_Toc31327"/>
      <w:bookmarkStart w:id="599" w:name="_Toc21102"/>
      <w:bookmarkStart w:id="600" w:name="_Toc14133"/>
      <w:bookmarkStart w:id="601" w:name="_Toc448413619"/>
      <w:bookmarkStart w:id="602" w:name="_Toc459026594"/>
      <w:bookmarkStart w:id="603" w:name="_Toc445840420"/>
      <w:bookmarkStart w:id="604" w:name="_Toc445842140"/>
      <w:bookmarkStart w:id="605" w:name="_Toc445996461"/>
      <w:r>
        <w:rPr>
          <w:rFonts w:hint="eastAsia"/>
          <w:lang w:val="zh-CN"/>
        </w:rPr>
        <w:t>施工期</w:t>
      </w:r>
      <w:r>
        <w:rPr>
          <w:lang w:val="zh-CN"/>
        </w:rPr>
        <w:t>环境保护措施</w:t>
      </w:r>
      <w:bookmarkEnd w:id="596"/>
      <w:r>
        <w:rPr>
          <w:rFonts w:hint="eastAsia"/>
          <w:lang w:val="zh-CN"/>
        </w:rPr>
        <w:t>及其可行性论证</w:t>
      </w:r>
      <w:bookmarkEnd w:id="597"/>
    </w:p>
    <w:bookmarkEnd w:id="598"/>
    <w:bookmarkEnd w:id="599"/>
    <w:bookmarkEnd w:id="600"/>
    <w:bookmarkEnd w:id="601"/>
    <w:bookmarkEnd w:id="602"/>
    <w:bookmarkEnd w:id="603"/>
    <w:bookmarkEnd w:id="604"/>
    <w:bookmarkEnd w:id="605"/>
    <w:p w14:paraId="6A4CB6F4">
      <w:pPr>
        <w:pStyle w:val="4"/>
        <w:rPr>
          <w:rFonts w:hint="eastAsia"/>
          <w:lang w:val="zh-CN"/>
        </w:rPr>
      </w:pPr>
      <w:bookmarkStart w:id="606" w:name="_Toc445842141"/>
      <w:bookmarkStart w:id="607" w:name="_Toc10287"/>
      <w:bookmarkStart w:id="608" w:name="_Toc445996462"/>
      <w:bookmarkStart w:id="609" w:name="_Hlk40731057"/>
      <w:r>
        <w:rPr>
          <w:rFonts w:hint="eastAsia"/>
          <w:lang w:val="zh-CN"/>
        </w:rPr>
        <w:t>施工期大气污染防治措施</w:t>
      </w:r>
      <w:bookmarkEnd w:id="606"/>
      <w:bookmarkEnd w:id="607"/>
      <w:bookmarkEnd w:id="608"/>
    </w:p>
    <w:bookmarkEnd w:id="609"/>
    <w:p w14:paraId="1C13A674">
      <w:pPr>
        <w:pStyle w:val="117"/>
        <w:ind w:firstLine="480"/>
        <w:rPr>
          <w:rFonts w:hint="eastAsia"/>
        </w:rPr>
      </w:pPr>
      <w:bookmarkStart w:id="610" w:name="_Hlk40731105"/>
      <w:bookmarkStart w:id="611" w:name="_Toc1790"/>
      <w:bookmarkStart w:id="612" w:name="_Toc445996463"/>
      <w:bookmarkStart w:id="613" w:name="_Toc445842142"/>
      <w:r>
        <w:rPr>
          <w:rFonts w:hint="eastAsia"/>
        </w:rPr>
        <w:t>（</w:t>
      </w:r>
      <w:r>
        <w:t>1</w:t>
      </w:r>
      <w:r>
        <w:rPr>
          <w:rFonts w:hint="eastAsia"/>
        </w:rPr>
        <w:t>）合理规划运输道路线路，尽量利用油田现有的公路网，施工车辆严格按照规定线路行驶，严禁乱碾乱压。运输车辆应加盖逢布，不能超载过量；严禁车辆在行驶中沿途振漏建筑材料及建筑废料。</w:t>
      </w:r>
    </w:p>
    <w:p w14:paraId="38E574A0">
      <w:pPr>
        <w:pStyle w:val="117"/>
        <w:ind w:firstLine="480"/>
        <w:rPr>
          <w:rFonts w:hint="eastAsia"/>
        </w:rPr>
      </w:pPr>
      <w:r>
        <w:rPr>
          <w:rFonts w:hint="eastAsia"/>
        </w:rPr>
        <w:t>（</w:t>
      </w:r>
      <w:r>
        <w:t>2</w:t>
      </w:r>
      <w:r>
        <w:rPr>
          <w:rFonts w:hint="eastAsia"/>
        </w:rPr>
        <w:t>）粉状材料及临时土方等在施工区堆放应采取覆盖防尘布，逸散性材料运输采用苫布遮盖。</w:t>
      </w:r>
    </w:p>
    <w:bookmarkEnd w:id="610"/>
    <w:p w14:paraId="55B7F8B6">
      <w:pPr>
        <w:pStyle w:val="117"/>
        <w:ind w:firstLine="480"/>
        <w:rPr>
          <w:rFonts w:hint="eastAsia"/>
        </w:rPr>
      </w:pPr>
      <w:r>
        <w:rPr>
          <w:rFonts w:hint="eastAsia"/>
        </w:rPr>
        <w:t>（</w:t>
      </w:r>
      <w:r>
        <w:t>3</w:t>
      </w:r>
      <w:r>
        <w:rPr>
          <w:rFonts w:hint="eastAsia"/>
        </w:rPr>
        <w:t>）优化施工组织，道路和管线分段施工，缩短施工时间。。场地平整时，禁止利用挖掘机进行抛洒土石方的作业。严禁在大风天气进行土方作业。</w:t>
      </w:r>
    </w:p>
    <w:p w14:paraId="0DCD4F1D">
      <w:pPr>
        <w:pStyle w:val="117"/>
        <w:ind w:firstLine="480"/>
        <w:rPr>
          <w:rFonts w:hint="eastAsia"/>
        </w:rPr>
      </w:pPr>
      <w:r>
        <w:rPr>
          <w:rFonts w:hint="eastAsia"/>
        </w:rPr>
        <w:t>（</w:t>
      </w:r>
      <w:r>
        <w:t>4</w:t>
      </w:r>
      <w:r>
        <w:rPr>
          <w:rFonts w:hint="eastAsia"/>
        </w:rPr>
        <w:t>）施工结束后尽快对施工场地进行整理和平整，减少风蚀量。</w:t>
      </w:r>
    </w:p>
    <w:p w14:paraId="1860BBB7">
      <w:pPr>
        <w:pStyle w:val="117"/>
        <w:ind w:firstLine="480"/>
        <w:rPr>
          <w:rFonts w:hint="eastAsia" w:cs="宋体"/>
          <w:kern w:val="0"/>
          <w:lang w:bidi="ar"/>
        </w:rPr>
      </w:pPr>
      <w:r>
        <w:rPr>
          <w:rFonts w:hint="eastAsia" w:cs="宋体"/>
          <w:kern w:val="0"/>
          <w:lang w:bidi="ar"/>
        </w:rPr>
        <w:t>（</w:t>
      </w:r>
      <w:r>
        <w:rPr>
          <w:rFonts w:cs="宋体"/>
          <w:kern w:val="0"/>
          <w:lang w:bidi="ar"/>
        </w:rPr>
        <w:t>5</w:t>
      </w:r>
      <w:r>
        <w:rPr>
          <w:rFonts w:hint="eastAsia" w:cs="宋体"/>
          <w:kern w:val="0"/>
          <w:lang w:bidi="ar"/>
        </w:rPr>
        <w:t>）加强对施工人员的环保教育，提高全体施工人员的环保意识，坚持文明施工、科学施工，减少施工期的大气污染。</w:t>
      </w:r>
    </w:p>
    <w:p w14:paraId="520E2D74">
      <w:pPr>
        <w:pStyle w:val="117"/>
        <w:ind w:firstLine="480"/>
        <w:rPr>
          <w:rFonts w:hint="eastAsia" w:cs="宋体"/>
          <w:kern w:val="0"/>
          <w:lang w:bidi="ar"/>
        </w:rPr>
      </w:pPr>
      <w:r>
        <w:rPr>
          <w:rFonts w:hint="eastAsia" w:cs="宋体"/>
          <w:kern w:val="0"/>
          <w:lang w:bidi="ar"/>
        </w:rPr>
        <w:t>（</w:t>
      </w:r>
      <w:r>
        <w:rPr>
          <w:rFonts w:cs="宋体"/>
          <w:kern w:val="0"/>
          <w:lang w:bidi="ar"/>
        </w:rPr>
        <w:t>6</w:t>
      </w:r>
      <w:r>
        <w:rPr>
          <w:rFonts w:hint="eastAsia" w:cs="宋体"/>
          <w:kern w:val="0"/>
          <w:lang w:bidi="ar"/>
        </w:rPr>
        <w:t>）运输车辆及施工机械采用符合国家标准的油品，定期对施工机械及运输车辆保养维护。</w:t>
      </w:r>
    </w:p>
    <w:p w14:paraId="25C04424">
      <w:pPr>
        <w:pStyle w:val="117"/>
        <w:ind w:firstLine="480"/>
        <w:rPr>
          <w:rFonts w:hint="eastAsia" w:cs="宋体"/>
          <w:kern w:val="0"/>
          <w:lang w:bidi="ar"/>
        </w:rPr>
      </w:pPr>
      <w:r>
        <w:rPr>
          <w:rFonts w:hint="eastAsia" w:cs="宋体"/>
          <w:kern w:val="0"/>
          <w:lang w:bidi="ar"/>
        </w:rPr>
        <w:t>（7）管线焊接时，使用国家合格的焊条产品。</w:t>
      </w:r>
    </w:p>
    <w:p w14:paraId="58AB5830">
      <w:pPr>
        <w:pStyle w:val="117"/>
        <w:ind w:firstLine="480"/>
        <w:rPr>
          <w:rFonts w:hint="eastAsia" w:cs="宋体"/>
          <w:kern w:val="0"/>
          <w:lang w:bidi="ar"/>
        </w:rPr>
      </w:pPr>
      <w:r>
        <w:rPr>
          <w:rFonts w:hint="eastAsia" w:cs="宋体"/>
          <w:kern w:val="0"/>
          <w:lang w:bidi="ar"/>
        </w:rPr>
        <w:t>（8）</w:t>
      </w:r>
      <w:r>
        <w:rPr>
          <w:rFonts w:hint="eastAsia"/>
        </w:rPr>
        <w:t>使用高质量柴油机、柴油发电机和符合国家标准的柴油，并定期对设备进行保养维护。</w:t>
      </w:r>
    </w:p>
    <w:p w14:paraId="04F28A0B">
      <w:pPr>
        <w:pStyle w:val="4"/>
        <w:rPr>
          <w:rFonts w:hint="eastAsia"/>
          <w:lang w:val="zh-CN"/>
        </w:rPr>
      </w:pPr>
      <w:r>
        <w:rPr>
          <w:rFonts w:hint="eastAsia"/>
          <w:lang w:val="zh-CN"/>
        </w:rPr>
        <w:t>施工期废水污染防治措施</w:t>
      </w:r>
    </w:p>
    <w:p w14:paraId="67A685BC">
      <w:pPr>
        <w:pStyle w:val="117"/>
        <w:ind w:firstLine="480"/>
        <w:rPr>
          <w:rFonts w:hint="eastAsia" w:cs="宋体"/>
          <w:kern w:val="0"/>
          <w:lang w:bidi="ar"/>
        </w:rPr>
      </w:pPr>
      <w:bookmarkStart w:id="614" w:name="_Hlk80273130"/>
      <w:r>
        <w:rPr>
          <w:rFonts w:hint="eastAsia" w:cs="宋体"/>
          <w:kern w:val="0"/>
          <w:lang w:bidi="ar"/>
        </w:rPr>
        <w:t>（1）管道试压采用清水试压，管道试压废水产生量较小，主要污染物为悬浮物，试压结束后，用于项目区洒水抑尘。</w:t>
      </w:r>
    </w:p>
    <w:p w14:paraId="15917621">
      <w:pPr>
        <w:pStyle w:val="117"/>
        <w:ind w:firstLine="480"/>
        <w:rPr>
          <w:rFonts w:hint="eastAsia" w:cs="宋体"/>
          <w:kern w:val="0"/>
          <w:lang w:bidi="ar"/>
        </w:rPr>
      </w:pPr>
      <w:r>
        <w:rPr>
          <w:rFonts w:hint="eastAsia" w:cs="宋体"/>
          <w:kern w:val="0"/>
          <w:lang w:bidi="ar"/>
        </w:rPr>
        <w:t>（2）混凝土养护废水污染物为悬浮物，用于项目区洒水抑尘。</w:t>
      </w:r>
    </w:p>
    <w:p w14:paraId="76363B00">
      <w:pPr>
        <w:pStyle w:val="117"/>
        <w:ind w:firstLine="480"/>
        <w:rPr>
          <w:rFonts w:hint="eastAsia"/>
        </w:rPr>
      </w:pPr>
      <w:r>
        <w:rPr>
          <w:rFonts w:hint="eastAsia" w:cs="宋体"/>
          <w:kern w:val="0"/>
          <w:lang w:bidi="ar"/>
        </w:rPr>
        <w:t>（3）</w:t>
      </w:r>
      <w:r>
        <w:rPr>
          <w:rFonts w:hint="eastAsia"/>
        </w:rPr>
        <w:t>生活污水排至生活污水防渗收集池内，施工结束后清运至吉木萨尔县生活污水处理厂处理。</w:t>
      </w:r>
    </w:p>
    <w:p w14:paraId="25BCEFED">
      <w:pPr>
        <w:pStyle w:val="117"/>
        <w:ind w:firstLine="480"/>
        <w:rPr>
          <w:rFonts w:hint="eastAsia" w:cs="宋体"/>
          <w:kern w:val="0"/>
          <w:lang w:bidi="ar"/>
        </w:rPr>
      </w:pPr>
      <w:r>
        <w:rPr>
          <w:rFonts w:hint="eastAsia"/>
        </w:rPr>
        <w:t>（4）废压裂液由罐车拉运至压裂液返排装置处理，出水水质满足</w:t>
      </w:r>
      <w:r>
        <w:rPr>
          <w:rFonts w:hint="eastAsia"/>
          <w:szCs w:val="21"/>
          <w:lang w:val="zh-CN"/>
        </w:rPr>
        <w:t>《压裂酸化返排液处理技术规范》（</w:t>
      </w:r>
      <w:r>
        <w:rPr>
          <w:szCs w:val="21"/>
          <w:lang w:val="zh-CN"/>
        </w:rPr>
        <w:t>Q/SY02012-2016</w:t>
      </w:r>
      <w:r>
        <w:rPr>
          <w:rFonts w:hint="eastAsia"/>
          <w:szCs w:val="21"/>
          <w:lang w:val="zh-CN"/>
        </w:rPr>
        <w:t>）</w:t>
      </w:r>
      <w:r>
        <w:rPr>
          <w:rFonts w:hint="eastAsia"/>
          <w:lang w:val="zh-CN"/>
        </w:rPr>
        <w:t>中的相关标准后用于压裂液的复配。</w:t>
      </w:r>
    </w:p>
    <w:bookmarkEnd w:id="614"/>
    <w:p w14:paraId="217618E5">
      <w:pPr>
        <w:pStyle w:val="4"/>
        <w:rPr>
          <w:rFonts w:hint="eastAsia"/>
          <w:lang w:val="zh-CN"/>
        </w:rPr>
      </w:pPr>
      <w:r>
        <w:rPr>
          <w:rFonts w:hint="eastAsia"/>
          <w:lang w:val="zh-CN"/>
        </w:rPr>
        <w:t>施工期噪声污染防治措施</w:t>
      </w:r>
    </w:p>
    <w:p w14:paraId="4AA5CCC7">
      <w:pPr>
        <w:pStyle w:val="117"/>
        <w:ind w:firstLine="480"/>
        <w:rPr>
          <w:rFonts w:hint="eastAsia"/>
        </w:rPr>
      </w:pPr>
      <w:r>
        <w:rPr>
          <w:rFonts w:hint="eastAsia"/>
        </w:rPr>
        <w:t>（1）在设备选型上要求采用低噪声的设备，施工设备要经常检查维修，对噪声</w:t>
      </w:r>
      <w:r>
        <w:t>较大的设备采取</w:t>
      </w:r>
      <w:r>
        <w:rPr>
          <w:rFonts w:hint="eastAsia"/>
        </w:rPr>
        <w:t>基础减震措施。</w:t>
      </w:r>
    </w:p>
    <w:p w14:paraId="55ADC1FD">
      <w:pPr>
        <w:pStyle w:val="117"/>
        <w:ind w:firstLine="468"/>
        <w:rPr>
          <w:rFonts w:hint="eastAsia"/>
          <w:spacing w:val="-6"/>
        </w:rPr>
      </w:pPr>
      <w:r>
        <w:rPr>
          <w:rFonts w:hint="eastAsia"/>
          <w:spacing w:val="-6"/>
        </w:rPr>
        <w:t>（2）加强施工场地管理，合理疏导进入施工区的车辆，禁止运输车辆随意高声鸣笛。</w:t>
      </w:r>
    </w:p>
    <w:p w14:paraId="51ED23F0">
      <w:pPr>
        <w:pStyle w:val="117"/>
        <w:ind w:firstLine="468"/>
        <w:rPr>
          <w:rFonts w:hint="eastAsia"/>
          <w:spacing w:val="-6"/>
        </w:rPr>
      </w:pPr>
      <w:r>
        <w:rPr>
          <w:rFonts w:hint="eastAsia"/>
          <w:spacing w:val="-6"/>
        </w:rPr>
        <w:t>采取以上措施后，施工边界噪声符合《建筑施工场界环境噪声排放标准》（B12523-2011）中的相关要求。</w:t>
      </w:r>
    </w:p>
    <w:p w14:paraId="05F7DCA2">
      <w:pPr>
        <w:pStyle w:val="4"/>
        <w:rPr>
          <w:rFonts w:hint="eastAsia"/>
          <w:lang w:val="zh-CN"/>
        </w:rPr>
      </w:pPr>
      <w:r>
        <w:rPr>
          <w:rFonts w:hint="eastAsia"/>
          <w:lang w:val="zh-CN"/>
        </w:rPr>
        <w:t>施工期固体废物防治措施</w:t>
      </w:r>
    </w:p>
    <w:p w14:paraId="367B3A96">
      <w:pPr>
        <w:pStyle w:val="117"/>
        <w:ind w:firstLine="468"/>
        <w:rPr>
          <w:rFonts w:hint="eastAsia"/>
          <w:spacing w:val="-6"/>
        </w:rPr>
      </w:pPr>
      <w:bookmarkStart w:id="615" w:name="_Hlk511374887"/>
      <w:r>
        <w:rPr>
          <w:rFonts w:hint="eastAsia"/>
          <w:spacing w:val="-6"/>
        </w:rPr>
        <w:t>（1）钻井岩屑</w:t>
      </w:r>
    </w:p>
    <w:p w14:paraId="6B513F33">
      <w:pPr>
        <w:pStyle w:val="117"/>
        <w:ind w:firstLine="468"/>
        <w:rPr>
          <w:rFonts w:hint="eastAsia"/>
          <w:spacing w:val="-6"/>
        </w:rPr>
      </w:pPr>
      <w:r>
        <w:rPr>
          <w:rFonts w:hint="eastAsia"/>
          <w:spacing w:val="-6"/>
        </w:rPr>
        <w:t>一开采用水基钻井液，钻井时井筒返排的钻井液及岩屑经不落地设备分离，分离出的液相回用于钻井液配置，分离出的水基钻井液进专用储罐暂存，委托岩屑处置单位直接拉运处置。水基钻井岩屑处理工艺流程如图6.1-1所示。</w:t>
      </w:r>
    </w:p>
    <w:p w14:paraId="26F26CFB">
      <w:pPr>
        <w:pStyle w:val="117"/>
        <w:widowControl/>
        <w:snapToGrid w:val="0"/>
        <w:ind w:firstLine="0" w:firstLineChars="0"/>
        <w:jc w:val="center"/>
        <w:rPr>
          <w:rFonts w:hint="eastAsia" w:ascii="黑体" w:hAnsi="黑体" w:eastAsia="黑体" w:cs="黑体"/>
          <w:sz w:val="21"/>
          <w:szCs w:val="21"/>
        </w:rPr>
      </w:pPr>
      <w:r>
        <w:rPr>
          <w:rFonts w:hint="eastAsia" w:ascii="黑体" w:hAnsi="黑体" w:eastAsia="黑体" w:cs="黑体"/>
          <w:sz w:val="21"/>
          <w:szCs w:val="21"/>
        </w:rPr>
        <mc:AlternateContent>
          <mc:Choice Requires="wpc">
            <w:drawing>
              <wp:anchor distT="0" distB="0" distL="114935" distR="114935" simplePos="0" relativeHeight="251676672" behindDoc="0" locked="0" layoutInCell="1" allowOverlap="1">
                <wp:simplePos x="0" y="0"/>
                <wp:positionH relativeFrom="column">
                  <wp:posOffset>219075</wp:posOffset>
                </wp:positionH>
                <wp:positionV relativeFrom="paragraph">
                  <wp:posOffset>100330</wp:posOffset>
                </wp:positionV>
                <wp:extent cx="4449445" cy="1069975"/>
                <wp:effectExtent l="0" t="0" r="8255" b="0"/>
                <wp:wrapTopAndBottom/>
                <wp:docPr id="49" name="画布 49"/>
                <wp:cNvGraphicFramePr/>
                <a:graphic xmlns:a="http://schemas.openxmlformats.org/drawingml/2006/main">
                  <a:graphicData uri="http://schemas.microsoft.com/office/word/2010/wordprocessingCanvas">
                    <wpc:wpc>
                      <wpc:bg/>
                      <wpc:whole/>
                      <wps:wsp>
                        <wps:cNvPr id="9" name="矩形 34"/>
                        <wps:cNvSpPr/>
                        <wps:spPr>
                          <a:xfrm>
                            <a:off x="1539875" y="111760"/>
                            <a:ext cx="913130" cy="26289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667A15">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不落地系统</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 name="矩形 35"/>
                        <wps:cNvSpPr/>
                        <wps:spPr>
                          <a:xfrm>
                            <a:off x="3275965" y="24765"/>
                            <a:ext cx="1078865" cy="8616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C89DD1">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暂存于井场右侧地面（底部铺设防渗膜）后委外拉运处置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 name="直接箭头连接符 37"/>
                        <wps:cNvCnPr/>
                        <wps:spPr>
                          <a:xfrm>
                            <a:off x="2453005" y="243205"/>
                            <a:ext cx="822960"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2" name="直接箭头连接符 38"/>
                        <wps:cNvCnPr/>
                        <wps:spPr>
                          <a:xfrm flipV="1">
                            <a:off x="1188085" y="242570"/>
                            <a:ext cx="340995" cy="25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8" name="矩形 39"/>
                        <wps:cNvSpPr/>
                        <wps:spPr>
                          <a:xfrm>
                            <a:off x="1524635" y="734695"/>
                            <a:ext cx="1293495" cy="26289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4F7F8D">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回用于钻井液配置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3" name="直接箭头连接符 40"/>
                        <wps:cNvCnPr/>
                        <wps:spPr>
                          <a:xfrm flipH="1">
                            <a:off x="2040255" y="374650"/>
                            <a:ext cx="635" cy="3600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 name="矩形 41"/>
                        <wps:cNvSpPr/>
                        <wps:spPr>
                          <a:xfrm>
                            <a:off x="1970405" y="405765"/>
                            <a:ext cx="469265" cy="262890"/>
                          </a:xfrm>
                          <a:prstGeom prst="rect">
                            <a:avLst/>
                          </a:prstGeom>
                          <a:no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5B0084">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液相</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矩形 42"/>
                        <wps:cNvSpPr/>
                        <wps:spPr>
                          <a:xfrm>
                            <a:off x="2487930" y="0"/>
                            <a:ext cx="738505" cy="504190"/>
                          </a:xfrm>
                          <a:prstGeom prst="rect">
                            <a:avLst/>
                          </a:prstGeom>
                          <a:no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F17F55">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水基钻井岩屑</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8" name="矩形 3"/>
                        <wps:cNvSpPr/>
                        <wps:spPr>
                          <a:xfrm>
                            <a:off x="128905" y="113665"/>
                            <a:ext cx="1059180" cy="26289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F14DD">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钻井液及岩屑</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anchor>
            </w:drawing>
          </mc:Choice>
          <mc:Fallback>
            <w:pict>
              <v:group id="_x0000_s1026" o:spid="_x0000_s1026" o:spt="203" style="position:absolute;left:0pt;margin-left:17.25pt;margin-top:7.9pt;height:84.25pt;width:350.35pt;mso-wrap-distance-bottom:0pt;mso-wrap-distance-top:0pt;z-index:251676672;mso-width-relative:page;mso-height-relative:page;" coordsize="4449445,1069975" editas="canvas" o:gfxdata="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">
                <o:lock v:ext="edit" aspectratio="f"/>
                <v:shape id="_x0000_s1026" o:spid="_x0000_s1026" style="position:absolute;left:0;top:0;height:1069975;width:4449445;" filled="f" stroked="f" coordsize="21600,21600" o:gfxdata="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">
                  <v:fill on="f" focussize="0,0"/>
                  <v:stroke on="f"/>
                  <v:imagedata o:title=""/>
                  <o:lock v:ext="edit" aspectratio="f"/>
                </v:shape>
                <v:rect id="矩形 34" o:spid="_x0000_s1026" o:spt="1" style="position:absolute;left:1539875;top:111760;height:262890;width:913130;v-text-anchor:middle;" fillcolor="#FFFFFF [3212]" filled="t" stroked="t" coordsize="21600,21600" o:gfxdata="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HUl6x2AAAAAkBAAAPAAAAAAAAAAEA&#10;IAAAACIAAABkcnMvZG93bnJldi54bWxQSwECFAAUAAAACACHTuJA2Y2bnoECAAAJBQAADgAAAAAA&#10;AAABACAAAAAnAQAAZHJzL2Uyb0RvYy54bWxQSwUGAAAAAAYABgBZAQAAGgYAAAAA&#10;">
                  <v:fill on="t" focussize="0,0"/>
                  <v:stroke weight="0.5pt" color="#000000 [3213]" miterlimit="8" joinstyle="miter"/>
                  <v:imagedata o:title=""/>
                  <o:lock v:ext="edit" aspectratio="f"/>
                  <v:textbox>
                    <w:txbxContent>
                      <w:p w14:paraId="67667A15">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不落地系统</w:t>
                        </w:r>
                      </w:p>
                    </w:txbxContent>
                  </v:textbox>
                </v:rect>
                <v:rect id="矩形 35" o:spid="_x0000_s1026" o:spt="1" style="position:absolute;left:3275965;top:24765;height:861695;width:1078865;v-text-anchor:middle;" fillcolor="#FFFFFF [3212]" filled="t" stroked="t" coordsize="21600,21600" o:gfxdata="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EdSXrHYAAAACQEAAA8AAAAAAAAAAQAg&#10;AAAAIgAAAGRycy9kb3ducmV2LnhtbFBLAQIUABQAAAAIAIdO4kC2aUaMgAIAAAoFAAAOAAAAAAAA&#10;AAEAIAAAACcBAABkcnMvZTJvRG9jLnhtbFBLBQYAAAAABgAGAFkBAAAZBgAAAAA=&#10;">
                  <v:fill on="t" focussize="0,0"/>
                  <v:stroke weight="0.5pt" color="#000000 [3213]" miterlimit="8" joinstyle="miter"/>
                  <v:imagedata o:title=""/>
                  <o:lock v:ext="edit" aspectratio="f"/>
                  <v:textbox>
                    <w:txbxContent>
                      <w:p w14:paraId="2FC89DD1">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暂存于井场右侧地面（底部铺设防渗膜）后委外拉运处置</w:t>
                        </w:r>
                      </w:p>
                    </w:txbxContent>
                  </v:textbox>
                </v:rect>
                <v:shape id="直接箭头连接符 37" o:spid="_x0000_s1026" o:spt="32" type="#_x0000_t32" style="position:absolute;left:2453005;top:243205;height:0;width:822960;" filled="f" stroked="t" coordsize="21600,21600" o:gfxdata="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Akci3YAAAACQEAAA8AAAAAAAAAAQAg&#10;AAAAIgAAAGRycy9kb3ducmV2LnhtbFBLAQIUABQAAAAIAIdO4kDN7cPdDgIAAOoDAAAOAAAAAAAA&#10;AAEAIAAAACcBAABkcnMvZTJvRG9jLnhtbFBLBQYAAAAABgAGAFkBAACnBQAAAAA=&#10;">
                  <v:fill on="f" focussize="0,0"/>
                  <v:stroke weight="0.5pt" color="#000000 [3213]" miterlimit="8" joinstyle="miter" endarrow="open"/>
                  <v:imagedata o:title=""/>
                  <o:lock v:ext="edit" aspectratio="f"/>
                </v:shape>
                <v:shape id="直接箭头连接符 38" o:spid="_x0000_s1026" o:spt="32" type="#_x0000_t32" style="position:absolute;left:1188085;top:242570;flip:y;height:2540;width:340995;" filled="f" stroked="t" coordsize="21600,21600" o:gfxdata="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si9DANgAAAAJAQAA&#10;DwAAAAAAAAABACAAAAAiAAAAZHJzL2Rvd25yZXYueG1sUEsBAhQAFAAAAAgAh07iQMLd5SUZAgAA&#10;9wMAAA4AAAAAAAAAAQAgAAAAJwEAAGRycy9lMm9Eb2MueG1sUEsFBgAAAAAGAAYAWQEAALIFAAAA&#10;AA==&#10;">
                  <v:fill on="f" focussize="0,0"/>
                  <v:stroke weight="0.5pt" color="#000000 [3213]" miterlimit="8" joinstyle="miter" endarrow="open"/>
                  <v:imagedata o:title=""/>
                  <o:lock v:ext="edit" aspectratio="f"/>
                </v:shape>
                <v:rect id="矩形 39" o:spid="_x0000_s1026" o:spt="1" style="position:absolute;left:1524635;top:734695;height:262890;width:1293495;v-text-anchor:middle;" fillcolor="#FFFFFF [3212]" filled="t" stroked="t" coordsize="21600,21600" o:gfxdata="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EdSXrHYAAAACQEAAA8AAAAAAAAA&#10;AQAgAAAAIgAAAGRycy9kb3ducmV2LnhtbFBLAQIUABQAAAAIAIdO4kB8GZ1AgwIAAAsFAAAOAAAA&#10;AAAAAAEAIAAAACcBAABkcnMvZTJvRG9jLnhtbFBLBQYAAAAABgAGAFkBAAAcBgAAAAA=&#10;">
                  <v:fill on="t" focussize="0,0"/>
                  <v:stroke weight="0.5pt" color="#000000 [3213]" miterlimit="8" joinstyle="miter"/>
                  <v:imagedata o:title=""/>
                  <o:lock v:ext="edit" aspectratio="f"/>
                  <v:textbox>
                    <w:txbxContent>
                      <w:p w14:paraId="484F7F8D">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回用于钻井液配置</w:t>
                        </w:r>
                      </w:p>
                    </w:txbxContent>
                  </v:textbox>
                </v:rect>
                <v:shape id="直接箭头连接符 40" o:spid="_x0000_s1026" o:spt="32" type="#_x0000_t32" style="position:absolute;left:2040255;top:374650;flip:x;height:360045;width:635;" filled="f" stroked="t" coordsize="21600,21600" o:gfxdata="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IvQwDYAAAACQEAAA8AAAAA&#10;AAAAAQAgAAAAIgAAAGRycy9kb3ducmV2LnhtbFBLAQIUABQAAAAIAIdO4kB5wbM7FAIAAPYDAAAO&#10;AAAAAAAAAAEAIAAAACcBAABkcnMvZTJvRG9jLnhtbFBLBQYAAAAABgAGAFkBAACtBQAAAAA=&#10;">
                  <v:fill on="f" focussize="0,0"/>
                  <v:stroke weight="0.5pt" color="#000000 [3213]" miterlimit="8" joinstyle="miter" endarrow="open"/>
                  <v:imagedata o:title=""/>
                  <o:lock v:ext="edit" aspectratio="f"/>
                </v:shape>
                <v:rect id="矩形 41" o:spid="_x0000_s1026" o:spt="1" style="position:absolute;left:1970405;top:405765;height:262890;width:469265;v-text-anchor:middle;" filled="f" stroked="f" coordsize="21600,21600" o:gfxdata="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h8Z9kAAAAJAQAADwAAAAAAAAABACAAAAAiAAAAZHJzL2Rvd25yZXYu&#10;eG1sUEsBAhQAFAAAAAgAh07iQNgMPP1sAgAAuAQAAA4AAAAAAAAAAQAgAAAAKAEAAGRycy9lMm9E&#10;b2MueG1sUEsFBgAAAAAGAAYAWQEAAAYGAAAAAA==&#10;">
                  <v:fill on="f" focussize="0,0"/>
                  <v:stroke on="f" weight="0.5pt" miterlimit="8" joinstyle="miter"/>
                  <v:imagedata o:title=""/>
                  <o:lock v:ext="edit" aspectratio="f"/>
                  <v:textbox>
                    <w:txbxContent>
                      <w:p w14:paraId="3C5B0084">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液相</w:t>
                        </w:r>
                      </w:p>
                    </w:txbxContent>
                  </v:textbox>
                </v:rect>
                <v:rect id="矩形 42" o:spid="_x0000_s1026" o:spt="1" style="position:absolute;left:2487930;top:0;height:504190;width:738505;v-text-anchor:middle;" filled="f" stroked="f" coordsize="21600,21600" o:gfxdata="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7+Hxn2QAAAAkBAAAPAAAAAAAAAAEAIAAAACIAAABkcnMvZG93bnJldi54bWxQ&#10;SwECFAAUAAAACACHTuJAyYVhyWgCAACzBAAADgAAAAAAAAABACAAAAAoAQAAZHJzL2Uyb0RvYy54&#10;bWxQSwUGAAAAAAYABgBZAQAAAgYAAAAA&#10;">
                  <v:fill on="f" focussize="0,0"/>
                  <v:stroke on="f" weight="0.5pt" miterlimit="8" joinstyle="miter"/>
                  <v:imagedata o:title=""/>
                  <o:lock v:ext="edit" aspectratio="f"/>
                  <v:textbox>
                    <w:txbxContent>
                      <w:p w14:paraId="5FF17F55">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水基钻井岩屑</w:t>
                        </w:r>
                      </w:p>
                    </w:txbxContent>
                  </v:textbox>
                </v:rect>
                <v:rect id="矩形 3" o:spid="_x0000_s1026" o:spt="1" style="position:absolute;left:128905;top:113665;height:262890;width:1059180;v-text-anchor:middle;" fillcolor="#FFFFFF [3212]" filled="t" stroked="t" coordsize="21600,21600" o:gfxdata="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R1JesdgAAAAJAQAADwAAAAAAAAABACAAAAAi&#10;AAAAZHJzL2Rvd25yZXYueG1sUEsBAhQAFAAAAAgAh07iQNJSqa98AgAACQUAAA4AAAAAAAAAAQAg&#10;AAAAJwEAAGRycy9lMm9Eb2MueG1sUEsFBgAAAAAGAAYAWQEAABUGAAAAAA==&#10;">
                  <v:fill on="t" focussize="0,0"/>
                  <v:stroke weight="0.5pt" color="#000000 [3213]" miterlimit="8" joinstyle="miter"/>
                  <v:imagedata o:title=""/>
                  <o:lock v:ext="edit" aspectratio="f"/>
                  <v:textbox>
                    <w:txbxContent>
                      <w:p w14:paraId="207F14DD">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钻井液及岩屑</w:t>
                        </w:r>
                      </w:p>
                    </w:txbxContent>
                  </v:textbox>
                </v:rect>
                <w10:wrap type="topAndBottom"/>
              </v:group>
            </w:pict>
          </mc:Fallback>
        </mc:AlternateContent>
      </w:r>
      <w:r>
        <w:rPr>
          <w:rFonts w:hint="eastAsia" w:ascii="黑体" w:hAnsi="黑体" w:eastAsia="黑体" w:cs="黑体"/>
          <w:sz w:val="21"/>
          <w:szCs w:val="21"/>
        </w:rPr>
        <w:t>图6.1-1  水基钻井岩屑处理工艺流程图</w:t>
      </w:r>
    </w:p>
    <w:p w14:paraId="1BCF427A">
      <w:pPr>
        <w:pStyle w:val="117"/>
        <w:ind w:firstLine="468"/>
        <w:rPr>
          <w:rFonts w:hint="eastAsia"/>
          <w:spacing w:val="-6"/>
        </w:rPr>
      </w:pPr>
      <w:r>
        <w:rPr>
          <w:rFonts w:hint="eastAsia"/>
          <w:spacing w:val="-6"/>
        </w:rPr>
        <w:t>二开采用油基钻井液，钻井时井筒返排的钻井液及岩屑经不落地设备进行初步分离，液相回用于钻井液配置；固相再由甩干机进行第一次固液分离，然后由离心机对甩干机排出的液体进行第二次固液分离，从而实现深度分离，分离出的液相回用于钻井液配置，分离出的固相（即油基钻井岩屑）属于HW08类危险废物（废物代码：071-002-08），采用专用储罐进行收集，待储罐盛满后委托具有相应危废处理资质的单位进行处置。油基钻井岩屑处理工艺流程如图6.1-2所示。</w:t>
      </w:r>
    </w:p>
    <w:p w14:paraId="261DA50B">
      <w:pPr>
        <w:widowControl/>
        <w:snapToGrid w:val="0"/>
        <w:jc w:val="center"/>
      </w:pPr>
      <w:bookmarkStart w:id="616" w:name="_Ref62573507"/>
      <w:r>
        <w:rPr>
          <w:rFonts w:ascii="宋体" w:hAnsi="宋体" w:cs="宋体"/>
          <w:kern w:val="0"/>
          <w:lang w:bidi="ar"/>
        </w:rPr>
        <w:drawing>
          <wp:inline distT="0" distB="0" distL="114300" distR="114300">
            <wp:extent cx="4288790" cy="2245995"/>
            <wp:effectExtent l="0" t="0" r="8890" b="9525"/>
            <wp:docPr id="8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descr="IMG_256"/>
                    <pic:cNvPicPr>
                      <a:picLocks noChangeAspect="1"/>
                    </pic:cNvPicPr>
                  </pic:nvPicPr>
                  <pic:blipFill>
                    <a:blip r:embed="rId77"/>
                    <a:stretch>
                      <a:fillRect/>
                    </a:stretch>
                  </pic:blipFill>
                  <pic:spPr>
                    <a:xfrm>
                      <a:off x="0" y="0"/>
                      <a:ext cx="4288790" cy="2245995"/>
                    </a:xfrm>
                    <a:prstGeom prst="rect">
                      <a:avLst/>
                    </a:prstGeom>
                    <a:noFill/>
                    <a:ln w="9525">
                      <a:noFill/>
                    </a:ln>
                  </pic:spPr>
                </pic:pic>
              </a:graphicData>
            </a:graphic>
          </wp:inline>
        </w:drawing>
      </w:r>
    </w:p>
    <w:p w14:paraId="5A515243">
      <w:pPr>
        <w:snapToGrid w:val="0"/>
        <w:spacing w:line="480" w:lineRule="exact"/>
        <w:jc w:val="center"/>
        <w:rPr>
          <w:rFonts w:hint="eastAsia" w:ascii="黑体" w:hAnsi="黑体" w:eastAsia="黑体" w:cs="黑体"/>
          <w:szCs w:val="21"/>
        </w:rPr>
      </w:pPr>
      <w:r>
        <w:rPr>
          <w:rFonts w:hint="eastAsia" w:ascii="黑体" w:hAnsi="黑体" w:eastAsia="黑体" w:cs="黑体"/>
          <w:szCs w:val="21"/>
        </w:rPr>
        <w:t>图</w:t>
      </w:r>
      <w:bookmarkEnd w:id="616"/>
      <w:r>
        <w:rPr>
          <w:rFonts w:hint="eastAsia" w:ascii="黑体" w:hAnsi="黑体" w:eastAsia="黑体" w:cs="黑体"/>
          <w:szCs w:val="21"/>
        </w:rPr>
        <w:t>6.1-2  油基钻井岩屑处理工艺流程图</w:t>
      </w:r>
    </w:p>
    <w:p w14:paraId="70FEE252">
      <w:pPr>
        <w:pStyle w:val="117"/>
        <w:ind w:firstLine="468"/>
        <w:rPr>
          <w:rFonts w:hint="eastAsia"/>
          <w:spacing w:val="-6"/>
        </w:rPr>
      </w:pPr>
      <w:r>
        <w:rPr>
          <w:rFonts w:hint="eastAsia"/>
          <w:spacing w:val="-6"/>
        </w:rPr>
        <w:t>油基钻井岩屑临时贮存在专用储罐内，储罐底部铺设防渗膜，油基钻井岩屑在井场临时贮存应满足《危险废物贮存污染控制标准》（GB18597-2023）相关要求。</w:t>
      </w:r>
    </w:p>
    <w:p w14:paraId="40A89FB6">
      <w:pPr>
        <w:pStyle w:val="117"/>
        <w:ind w:firstLine="468"/>
        <w:rPr>
          <w:rFonts w:hint="eastAsia"/>
          <w:spacing w:val="-6"/>
        </w:rPr>
      </w:pPr>
      <w:r>
        <w:rPr>
          <w:rFonts w:hint="eastAsia"/>
          <w:spacing w:val="-6"/>
        </w:rPr>
        <w:t>（2）废润滑油、废润滑油桶和沾油废防渗材料</w:t>
      </w:r>
    </w:p>
    <w:p w14:paraId="2003D16D">
      <w:pPr>
        <w:pStyle w:val="117"/>
        <w:ind w:firstLine="468"/>
        <w:rPr>
          <w:rFonts w:hint="eastAsia"/>
          <w:spacing w:val="-6"/>
        </w:rPr>
      </w:pPr>
      <w:r>
        <w:rPr>
          <w:rFonts w:hint="eastAsia"/>
          <w:spacing w:val="-6"/>
        </w:rPr>
        <w:t>施工期产生的废润滑油、废润滑油桶和沾油废防渗材料属于《国家危险废物名录》（</w:t>
      </w:r>
      <w:r>
        <w:rPr>
          <w:spacing w:val="-6"/>
        </w:rPr>
        <w:t>2021</w:t>
      </w:r>
      <w:r>
        <w:rPr>
          <w:rFonts w:hint="eastAsia"/>
          <w:spacing w:val="-6"/>
        </w:rPr>
        <w:t>年版</w:t>
      </w:r>
      <w:r>
        <w:rPr>
          <w:spacing w:val="-6"/>
        </w:rPr>
        <w:t>）HW08废矿物油与含矿物油类危险废物</w:t>
      </w:r>
      <w:r>
        <w:rPr>
          <w:rFonts w:hint="eastAsia"/>
          <w:spacing w:val="-6"/>
        </w:rPr>
        <w:t>，集中收集后交由有相应危险废物处置资质的单位进行回收处置。</w:t>
      </w:r>
    </w:p>
    <w:p w14:paraId="2EE9E1A8">
      <w:pPr>
        <w:pStyle w:val="117"/>
        <w:ind w:firstLine="480"/>
        <w:rPr>
          <w:rFonts w:hint="eastAsia"/>
        </w:rPr>
      </w:pPr>
      <w:r>
        <w:rPr>
          <w:rFonts w:hint="eastAsia"/>
        </w:rPr>
        <w:t>（3）生活垃圾</w:t>
      </w:r>
    </w:p>
    <w:p w14:paraId="01D85E0E">
      <w:pPr>
        <w:pStyle w:val="117"/>
        <w:ind w:firstLine="480"/>
        <w:rPr>
          <w:rFonts w:hint="eastAsia"/>
        </w:rPr>
      </w:pPr>
      <w:r>
        <w:rPr>
          <w:rFonts w:hint="eastAsia"/>
        </w:rPr>
        <w:t>生活垃圾集中收集后定期由协议单位清运至吉木萨尔县生活垃圾填埋场。</w:t>
      </w:r>
    </w:p>
    <w:p w14:paraId="0D8D2A3C">
      <w:pPr>
        <w:pStyle w:val="117"/>
        <w:ind w:firstLine="480"/>
        <w:rPr>
          <w:rFonts w:hint="eastAsia"/>
        </w:rPr>
      </w:pPr>
      <w:r>
        <w:rPr>
          <w:rFonts w:hint="eastAsia"/>
        </w:rPr>
        <w:t>（4）建筑垃圾</w:t>
      </w:r>
    </w:p>
    <w:p w14:paraId="448103A3">
      <w:pPr>
        <w:pStyle w:val="117"/>
        <w:ind w:firstLine="480"/>
        <w:rPr>
          <w:rFonts w:hint="eastAsia"/>
        </w:rPr>
      </w:pPr>
      <w:r>
        <w:rPr>
          <w:rFonts w:hint="eastAsia"/>
        </w:rPr>
        <w:t>建筑垃圾集中收集后送至当地建筑垃圾填埋场进行填埋处理。施工单位应严格按照《中华人民共和国固体废物污染环境防治法》的要求对建筑垃圾进行妥善处置，具体措施如下：</w:t>
      </w:r>
    </w:p>
    <w:p w14:paraId="24756433">
      <w:pPr>
        <w:pStyle w:val="117"/>
        <w:ind w:firstLine="480"/>
        <w:rPr>
          <w:rFonts w:hint="eastAsia"/>
        </w:rPr>
      </w:pPr>
      <w:r>
        <w:rPr>
          <w:rFonts w:hint="eastAsia"/>
        </w:rPr>
        <w:t>①编制建筑垃圾处理方案，采取污染防治措施，并报相关人民政府环境卫生主管部门备案。</w:t>
      </w:r>
    </w:p>
    <w:p w14:paraId="4691C627">
      <w:pPr>
        <w:pStyle w:val="117"/>
        <w:ind w:firstLine="480"/>
        <w:rPr>
          <w:rFonts w:hint="eastAsia"/>
        </w:rPr>
      </w:pPr>
      <w:r>
        <w:rPr>
          <w:rFonts w:hint="eastAsia"/>
        </w:rPr>
        <w:t>②及时清运工程施工过程中产生的建筑垃圾等固体废物，并按照当地环境卫生主管部门的规定进行利用或者处置。施工建筑垃圾中的一部分如建筑废模块、建筑材料下角料、废管材、断残钢筋头等可以回收利用的优先回收利用；另一部分无法回收利用的，施工单位集中收集后送至当地建筑垃圾填埋场处理。</w:t>
      </w:r>
    </w:p>
    <w:p w14:paraId="616BA6E6">
      <w:pPr>
        <w:pStyle w:val="117"/>
        <w:ind w:firstLine="480"/>
        <w:rPr>
          <w:rFonts w:hint="eastAsia"/>
        </w:rPr>
      </w:pPr>
      <w:r>
        <w:rPr>
          <w:rFonts w:hint="eastAsia"/>
        </w:rPr>
        <w:t>③</w:t>
      </w:r>
      <w:bookmarkStart w:id="617" w:name="_Hlk148007974"/>
      <w:r>
        <w:rPr>
          <w:rFonts w:hint="eastAsia"/>
        </w:rPr>
        <w:t>不得擅自倾倒、抛撒或者堆放工程施工过程中产生的建筑垃圾，</w:t>
      </w:r>
      <w:bookmarkEnd w:id="617"/>
      <w:r>
        <w:rPr>
          <w:rFonts w:hint="eastAsia"/>
        </w:rPr>
        <w:t>做到及时处置，避免占用土地对城市景观造成不良影响。</w:t>
      </w:r>
    </w:p>
    <w:p w14:paraId="79EEB27F">
      <w:pPr>
        <w:pStyle w:val="117"/>
        <w:ind w:firstLine="480"/>
        <w:rPr>
          <w:rFonts w:hint="eastAsia"/>
        </w:rPr>
      </w:pPr>
      <w:r>
        <w:rPr>
          <w:rFonts w:hint="eastAsia"/>
        </w:rPr>
        <w:t>（</w:t>
      </w:r>
      <w:r>
        <w:t>3</w:t>
      </w:r>
      <w:r>
        <w:rPr>
          <w:rFonts w:hint="eastAsia"/>
        </w:rPr>
        <w:t>）运输过程中，</w:t>
      </w:r>
      <w:bookmarkStart w:id="618" w:name="_Hlk148007984"/>
      <w:r>
        <w:rPr>
          <w:rFonts w:hint="eastAsia"/>
        </w:rPr>
        <w:t>运输车辆均加盖篷布，以防止行驶过程中固体废物的散落。</w:t>
      </w:r>
      <w:bookmarkEnd w:id="618"/>
    </w:p>
    <w:p w14:paraId="5542B662">
      <w:pPr>
        <w:pStyle w:val="117"/>
        <w:ind w:firstLine="480"/>
        <w:rPr>
          <w:rFonts w:hint="eastAsia"/>
        </w:rPr>
      </w:pPr>
      <w:r>
        <w:rPr>
          <w:rFonts w:hint="eastAsia"/>
        </w:rPr>
        <w:t>（</w:t>
      </w:r>
      <w:r>
        <w:t>4</w:t>
      </w:r>
      <w:r>
        <w:rPr>
          <w:rFonts w:hint="eastAsia"/>
        </w:rPr>
        <w:t>）施工结束后，站场废物全部进行清理，对可回收物优先回收处理，做到“工完、料尽、场地清”。</w:t>
      </w:r>
    </w:p>
    <w:p w14:paraId="54AC4605">
      <w:pPr>
        <w:pStyle w:val="117"/>
        <w:ind w:firstLine="480"/>
        <w:rPr>
          <w:rFonts w:hint="eastAsia"/>
        </w:rPr>
      </w:pPr>
      <w:r>
        <w:rPr>
          <w:rFonts w:hint="eastAsia"/>
        </w:rPr>
        <w:t>（5）新建管线施工产生的土方在管线施工结束后回填在管堤上，并实施压实平整水土保持措施，不产生集中弃土。</w:t>
      </w:r>
    </w:p>
    <w:p w14:paraId="7B5BBE5E">
      <w:pPr>
        <w:pStyle w:val="4"/>
        <w:rPr>
          <w:rFonts w:hint="eastAsia"/>
        </w:rPr>
      </w:pPr>
      <w:r>
        <w:rPr>
          <w:rFonts w:hint="eastAsia"/>
          <w:lang w:val="zh-CN"/>
        </w:rPr>
        <w:t>施工期土壤污染防治措施</w:t>
      </w:r>
    </w:p>
    <w:bookmarkEnd w:id="615"/>
    <w:p w14:paraId="09A30427">
      <w:pPr>
        <w:spacing w:line="480" w:lineRule="exact"/>
        <w:ind w:firstLine="480" w:firstLineChars="200"/>
        <w:rPr>
          <w:rFonts w:hint="eastAsia" w:ascii="宋体" w:hAnsi="宋体"/>
          <w:kern w:val="0"/>
          <w:sz w:val="24"/>
          <w:szCs w:val="24"/>
        </w:rPr>
      </w:pPr>
      <w:bookmarkStart w:id="619" w:name="_Hlk40721133"/>
      <w:r>
        <w:rPr>
          <w:rFonts w:hint="eastAsia" w:ascii="宋体" w:hAnsi="宋体"/>
          <w:kern w:val="0"/>
          <w:sz w:val="24"/>
          <w:szCs w:val="24"/>
        </w:rPr>
        <w:t>（1）严格控制施工期占地面积，按设计及规划的施工范围进行施工作业，减少土壤扰动。</w:t>
      </w:r>
    </w:p>
    <w:p w14:paraId="4DE30424">
      <w:pPr>
        <w:spacing w:line="480" w:lineRule="exact"/>
        <w:ind w:firstLine="480" w:firstLineChars="200"/>
        <w:rPr>
          <w:rFonts w:hint="eastAsia" w:ascii="宋体" w:hAnsi="宋体"/>
          <w:kern w:val="0"/>
          <w:sz w:val="24"/>
          <w:szCs w:val="24"/>
        </w:rPr>
      </w:pPr>
      <w:r>
        <w:rPr>
          <w:rFonts w:hint="eastAsia" w:ascii="宋体" w:hAnsi="宋体"/>
          <w:kern w:val="0"/>
          <w:sz w:val="24"/>
          <w:szCs w:val="24"/>
        </w:rPr>
        <w:t>（2）施工机械及运输车辆应按规定的道路行驶，减少对土壤的碾压，减少碾压造成的土壤紧实度增加及养分流失。</w:t>
      </w:r>
    </w:p>
    <w:p w14:paraId="1922A6DB">
      <w:pPr>
        <w:spacing w:line="480" w:lineRule="exact"/>
        <w:ind w:firstLine="480" w:firstLineChars="200"/>
        <w:rPr>
          <w:rFonts w:hint="eastAsia" w:ascii="宋体" w:hAnsi="宋体"/>
          <w:kern w:val="0"/>
          <w:sz w:val="24"/>
          <w:szCs w:val="24"/>
        </w:rPr>
      </w:pPr>
      <w:r>
        <w:rPr>
          <w:rFonts w:hint="eastAsia" w:ascii="宋体" w:hAnsi="宋体"/>
          <w:kern w:val="0"/>
          <w:sz w:val="24"/>
          <w:szCs w:val="24"/>
        </w:rPr>
        <w:t>（3）施工产生的建筑垃圾不得随意抛洒，应集中收集并及时清运，防止污染物进入土壤环境造成污染。</w:t>
      </w:r>
    </w:p>
    <w:p w14:paraId="62013065">
      <w:pPr>
        <w:spacing w:line="480" w:lineRule="exact"/>
        <w:ind w:firstLine="480" w:firstLineChars="200"/>
        <w:rPr>
          <w:rFonts w:hint="eastAsia" w:ascii="宋体" w:hAnsi="宋体"/>
          <w:kern w:val="0"/>
          <w:sz w:val="24"/>
          <w:szCs w:val="24"/>
        </w:rPr>
      </w:pPr>
      <w:r>
        <w:rPr>
          <w:rFonts w:hint="eastAsia" w:ascii="宋体" w:hAnsi="宋体"/>
          <w:kern w:val="0"/>
          <w:sz w:val="24"/>
          <w:szCs w:val="24"/>
        </w:rPr>
        <w:t>（4）表层土壤集中堆放，用于临时占地复垦；管沟开挖，做到土壤的分层堆放，分类回填，在施工完毕后回铺于地表，减轻对土壤的破坏，以利于植被的恢复和生长。</w:t>
      </w:r>
    </w:p>
    <w:p w14:paraId="6167E7DD">
      <w:pPr>
        <w:pStyle w:val="4"/>
        <w:rPr>
          <w:rFonts w:hint="eastAsia"/>
          <w:lang w:val="zh-CN"/>
        </w:rPr>
      </w:pPr>
      <w:r>
        <w:rPr>
          <w:rFonts w:hint="eastAsia"/>
          <w:lang w:val="zh-CN"/>
        </w:rPr>
        <w:t>施工期生态环境保护措施</w:t>
      </w:r>
    </w:p>
    <w:bookmarkEnd w:id="619"/>
    <w:p w14:paraId="6A36EDFD">
      <w:pPr>
        <w:pStyle w:val="117"/>
        <w:ind w:firstLine="480"/>
        <w:rPr>
          <w:rFonts w:hint="eastAsia" w:ascii="等线" w:hAnsi="等线"/>
        </w:rPr>
      </w:pPr>
      <w:bookmarkStart w:id="620" w:name="_Hlk147587129"/>
      <w:bookmarkStart w:id="621" w:name="_Hlk40721680"/>
      <w:bookmarkStart w:id="622" w:name="_Hlk80648419"/>
      <w:r>
        <w:rPr>
          <w:rFonts w:hint="eastAsia" w:cs="宋体"/>
        </w:rPr>
        <w:t>（1）避让措施：合理规划永久占地和临时占地，井场尽量采用平台井方式布置，在保证正常施工和安全的前提下，严格控制临时占地面积，减少工程占地面积。</w:t>
      </w:r>
      <w:bookmarkStart w:id="623" w:name="_Hlk148007318"/>
      <w:r>
        <w:rPr>
          <w:rFonts w:hint="eastAsia" w:cs="宋体"/>
        </w:rPr>
        <w:t>单井采油管线和集油干支线选线过程中在满足设计需求的前提下，尽量避开植被密集区域；合理站场内各设备布置；施工过程中尽量</w:t>
      </w:r>
      <w:r>
        <w:rPr>
          <w:rFonts w:hint="eastAsia" w:ascii="等线" w:hAnsi="等线"/>
        </w:rPr>
        <w:t>避免破坏野生植物，最大限度避免破坏野生动物的活动场所和生存环境</w:t>
      </w:r>
      <w:bookmarkEnd w:id="623"/>
      <w:r>
        <w:rPr>
          <w:rFonts w:hint="eastAsia" w:ascii="等线" w:hAnsi="等线"/>
        </w:rPr>
        <w:t>。</w:t>
      </w:r>
    </w:p>
    <w:p w14:paraId="5854E18B">
      <w:pPr>
        <w:pStyle w:val="117"/>
        <w:ind w:firstLine="480"/>
        <w:rPr>
          <w:rFonts w:hint="eastAsia"/>
        </w:rPr>
      </w:pPr>
      <w:r>
        <w:rPr>
          <w:rFonts w:hint="eastAsia" w:cs="宋体"/>
        </w:rPr>
        <w:t>（2）保护措施：</w:t>
      </w:r>
      <w:r>
        <w:rPr>
          <w:rFonts w:hint="eastAsia"/>
        </w:rPr>
        <w:t>施工过程中严格规定车辆和各类工作人员的活动范围，使之限于在施工区范围内活动，不随意</w:t>
      </w:r>
      <w:r>
        <w:t>踩踏砍伐野生植被</w:t>
      </w:r>
      <w:r>
        <w:rPr>
          <w:rFonts w:hint="eastAsia"/>
        </w:rPr>
        <w:t>，尽量不侵扰野生动物的栖息地。</w:t>
      </w:r>
    </w:p>
    <w:p w14:paraId="5DFD613F">
      <w:pPr>
        <w:pStyle w:val="117"/>
        <w:ind w:firstLine="480"/>
        <w:rPr>
          <w:rFonts w:hint="eastAsia" w:cs="宋体"/>
        </w:rPr>
      </w:pPr>
      <w:r>
        <w:rPr>
          <w:rFonts w:hint="eastAsia" w:cs="宋体"/>
        </w:rPr>
        <w:t>（</w:t>
      </w:r>
      <w:r>
        <w:rPr>
          <w:rFonts w:cs="宋体"/>
        </w:rPr>
        <w:t>3</w:t>
      </w:r>
      <w:r>
        <w:rPr>
          <w:rFonts w:hint="eastAsia" w:cs="宋体"/>
        </w:rPr>
        <w:t>）</w:t>
      </w:r>
      <w:bookmarkStart w:id="624" w:name="_Hlk148007330"/>
      <w:r>
        <w:rPr>
          <w:rFonts w:hint="eastAsia" w:cs="宋体"/>
        </w:rPr>
        <w:t>对井场采用砾石铺垫等地面硬化处理；严格控制施工作业带宽度，根据管径的大小尽可能少占地，单井采油管线施工作业带宽度不超过8m，集油干支线施工作业带宽度不超过12m。</w:t>
      </w:r>
    </w:p>
    <w:p w14:paraId="4B5D7B25">
      <w:pPr>
        <w:pStyle w:val="117"/>
        <w:ind w:firstLine="480"/>
        <w:rPr>
          <w:rFonts w:hint="eastAsia"/>
          <w:lang w:bidi="ar"/>
        </w:rPr>
      </w:pPr>
      <w:r>
        <w:rPr>
          <w:rFonts w:hint="eastAsia"/>
          <w:lang w:bidi="ar"/>
        </w:rPr>
        <w:t>（4）</w:t>
      </w:r>
      <w:r>
        <w:rPr>
          <w:lang w:bidi="ar"/>
        </w:rPr>
        <w:t>管沟应分层开挖、分层堆放、分层回填，特别是表层土壤分层堆放，以保护植被生长层，</w:t>
      </w:r>
      <w:bookmarkEnd w:id="624"/>
      <w:r>
        <w:rPr>
          <w:lang w:bidi="ar"/>
        </w:rPr>
        <w:t>降低对土壤养分的影响，尽快使土壤恢复生产力，同时减少水土流失；土石方不得随意堆放，应集中堆置与管沟一侧，且不影响施工安全的距离内，施工完毕后</w:t>
      </w:r>
      <w:r>
        <w:rPr>
          <w:rFonts w:hint="eastAsia"/>
          <w:lang w:bidi="ar"/>
        </w:rPr>
        <w:t>全部用于回填并分层压实。</w:t>
      </w:r>
    </w:p>
    <w:p w14:paraId="1BA03FC1">
      <w:pPr>
        <w:pStyle w:val="117"/>
        <w:ind w:firstLine="480"/>
        <w:rPr>
          <w:rFonts w:hint="eastAsia"/>
          <w:lang w:bidi="ar"/>
        </w:rPr>
      </w:pPr>
      <w:r>
        <w:rPr>
          <w:rFonts w:hint="eastAsia"/>
          <w:lang w:bidi="ar"/>
        </w:rPr>
        <w:t>（5）施工中要作到分段施工，随挖、随运、随铺、随压，不留疏松地面，提高施工效率，尽可能缩短施工工期。</w:t>
      </w:r>
    </w:p>
    <w:p w14:paraId="5C4A18A0">
      <w:pPr>
        <w:pStyle w:val="117"/>
        <w:ind w:firstLine="480"/>
        <w:rPr>
          <w:rFonts w:hint="eastAsia"/>
        </w:rPr>
      </w:pPr>
      <w:r>
        <w:rPr>
          <w:rFonts w:hint="eastAsia" w:cs="宋体"/>
        </w:rPr>
        <w:t>（6）恢复措施：</w:t>
      </w:r>
      <w:bookmarkStart w:id="625" w:name="_Hlk148007344"/>
      <w:r>
        <w:rPr>
          <w:rFonts w:hint="eastAsia"/>
        </w:rPr>
        <w:t>施工结束后，及时对施工场地进行平整，以便后期植被自然恢复；</w:t>
      </w:r>
      <w:bookmarkEnd w:id="625"/>
      <w:r>
        <w:rPr>
          <w:rFonts w:hint="eastAsia"/>
        </w:rPr>
        <w:t>尽量利用施工时产生的表层土对临时占地进行覆盖，覆盖厚度根据植被恢复类型和场地用途决定；采用自然恢复的方式对区域植被进行恢复</w:t>
      </w:r>
      <w:r>
        <w:t>。</w:t>
      </w:r>
      <w:r>
        <w:rPr>
          <w:rFonts w:hint="eastAsia"/>
        </w:rPr>
        <w:t>施工为分段施工，建议“边施工、边修复”。</w:t>
      </w:r>
    </w:p>
    <w:bookmarkEnd w:id="620"/>
    <w:p w14:paraId="219F9854">
      <w:pPr>
        <w:pStyle w:val="117"/>
        <w:ind w:firstLine="480"/>
        <w:rPr>
          <w:rFonts w:hint="eastAsia"/>
        </w:rPr>
      </w:pPr>
      <w:r>
        <w:rPr>
          <w:rFonts w:hint="eastAsia"/>
        </w:rPr>
        <w:t>（7）补偿措施：建设单位应按照《中华人民共和国土地管理法》《新疆维吾尔自治区实施〈中华人民共和国土地管理法〉办法》和新疆生产建设兵团财政局、林业局《关于调整兵团森林植被恢复费征收标准等有关问题的通知》中的有关规定，依法办理占地手续，足额缴纳生态补偿费。因项目占地造成的植被损失应按规定进行经济补偿，</w:t>
      </w:r>
      <w:bookmarkStart w:id="626" w:name="_Hlk148007358"/>
      <w:r>
        <w:rPr>
          <w:rFonts w:hint="eastAsia"/>
        </w:rPr>
        <w:t>专款用于植被恢复</w:t>
      </w:r>
      <w:r>
        <w:t>。</w:t>
      </w:r>
      <w:bookmarkEnd w:id="626"/>
      <w:r>
        <w:rPr>
          <w:rFonts w:hint="eastAsia"/>
        </w:rPr>
        <w:t>本工程经济补偿费用由建设单位按规定向林业主管部门缴纳，具体补种及植被恢复由林业主管部门负责实施。</w:t>
      </w:r>
    </w:p>
    <w:p w14:paraId="02A39F11">
      <w:pPr>
        <w:pStyle w:val="117"/>
        <w:ind w:firstLine="480"/>
        <w:rPr>
          <w:rFonts w:hint="eastAsia" w:cs="宋体"/>
        </w:rPr>
      </w:pPr>
      <w:r>
        <w:rPr>
          <w:rFonts w:hint="eastAsia" w:cs="宋体"/>
        </w:rPr>
        <w:t>（8）环境管理措施</w:t>
      </w:r>
    </w:p>
    <w:bookmarkEnd w:id="621"/>
    <w:p w14:paraId="5A1A0CC4">
      <w:pPr>
        <w:pStyle w:val="117"/>
        <w:ind w:firstLine="480"/>
        <w:rPr>
          <w:rFonts w:hint="eastAsia"/>
        </w:rPr>
      </w:pPr>
      <w:r>
        <w:rPr>
          <w:rFonts w:hint="eastAsia" w:cs="宋体"/>
        </w:rPr>
        <w:t>①</w:t>
      </w:r>
      <w:r>
        <w:rPr>
          <w:rFonts w:hint="eastAsia"/>
        </w:rPr>
        <w:t>确保各环保设施正常运行，避免各种污染物对土壤环境的影响，并进一步影响其上部生长的荒漠植被；避免强噪声环境的出现，避免对野生动物的惊扰。</w:t>
      </w:r>
    </w:p>
    <w:p w14:paraId="3468A0E2">
      <w:pPr>
        <w:pStyle w:val="117"/>
        <w:ind w:firstLine="480"/>
        <w:rPr>
          <w:rFonts w:hint="eastAsia"/>
        </w:rPr>
      </w:pPr>
      <w:r>
        <w:rPr>
          <w:rFonts w:hint="eastAsia"/>
        </w:rPr>
        <w:t>②加强对施工人员和职工的教育，强化保护野生动植物的观念，严禁捕杀任何野生动物。</w:t>
      </w:r>
    </w:p>
    <w:p w14:paraId="2CF0DB3D">
      <w:pPr>
        <w:pStyle w:val="117"/>
        <w:ind w:firstLine="480" w:firstLineChars="0"/>
        <w:rPr>
          <w:rFonts w:hint="eastAsia"/>
        </w:rPr>
      </w:pPr>
      <w:bookmarkStart w:id="627" w:name="_Hlk36712250"/>
      <w:r>
        <w:rPr>
          <w:rFonts w:hint="eastAsia"/>
        </w:rPr>
        <w:t>③</w:t>
      </w:r>
      <w:bookmarkStart w:id="628" w:name="_Hlk148007366"/>
      <w:r>
        <w:rPr>
          <w:rFonts w:hint="eastAsia"/>
        </w:rPr>
        <w:t>加强施工期环境监理，</w:t>
      </w:r>
      <w:bookmarkEnd w:id="628"/>
      <w:r>
        <w:rPr>
          <w:rFonts w:hint="eastAsia"/>
        </w:rPr>
        <w:t>监理的重点内容</w:t>
      </w:r>
      <w:bookmarkEnd w:id="627"/>
      <w:r>
        <w:rPr>
          <w:rFonts w:hint="eastAsia"/>
        </w:rPr>
        <w:t>：站场改造、管线等工程施工情况、施工结束后的植被恢复，野生动物保护，以及材料堆放、施工方式等环境保护内容。</w:t>
      </w:r>
    </w:p>
    <w:p w14:paraId="4427A16F">
      <w:pPr>
        <w:pStyle w:val="117"/>
        <w:ind w:firstLine="480" w:firstLineChars="0"/>
        <w:rPr>
          <w:rFonts w:hint="eastAsia"/>
        </w:rPr>
      </w:pPr>
      <w:bookmarkStart w:id="629" w:name="_Hlk147587136"/>
      <w:r>
        <w:rPr>
          <w:rFonts w:hint="eastAsia"/>
        </w:rPr>
        <w:t>（9）农田及公益林保护措施</w:t>
      </w:r>
    </w:p>
    <w:p w14:paraId="3BB254D5">
      <w:pPr>
        <w:pStyle w:val="117"/>
        <w:ind w:firstLine="480" w:firstLineChars="0"/>
        <w:rPr>
          <w:rFonts w:hint="eastAsia"/>
        </w:rPr>
      </w:pPr>
      <w:r>
        <w:rPr>
          <w:rFonts w:hint="eastAsia"/>
        </w:rPr>
        <w:t>①管线选线过程中尽量避开植被茂密区，减少破坏荒漠植物。</w:t>
      </w:r>
    </w:p>
    <w:p w14:paraId="5193670B">
      <w:pPr>
        <w:pStyle w:val="117"/>
        <w:ind w:firstLine="480" w:firstLineChars="0"/>
        <w:rPr>
          <w:rFonts w:hint="eastAsia"/>
        </w:rPr>
      </w:pPr>
      <w:r>
        <w:rPr>
          <w:rFonts w:hint="eastAsia"/>
        </w:rPr>
        <w:t>②本项目虽然不占用农田，但周边有农田分布，建设施工过程严格控制作业范围，严禁超范围施工作业，尽量远离农田，严禁占用农田施工；对施工材料进行必要的围挡、加盖篷布等，以减少对周边农田的影响。因地制宜地选择施工季节，尽量避开农作物的生长和收获期，减少因施工对农田土壤影响造成农作物当季损失。</w:t>
      </w:r>
    </w:p>
    <w:p w14:paraId="5276744B">
      <w:pPr>
        <w:pStyle w:val="117"/>
        <w:ind w:firstLine="480" w:firstLineChars="0"/>
        <w:rPr>
          <w:rFonts w:hint="eastAsia"/>
        </w:rPr>
      </w:pPr>
      <w:r>
        <w:rPr>
          <w:rFonts w:hint="eastAsia"/>
        </w:rPr>
        <w:t>③严格控制井场永久占地，尽量采用平台井方式，尽量减小占地范围，不得随意扩大占地面积。井场表层土壤集中堆放，用于临时占地复垦；管沟开挖，做到土壤的分层堆放，分类回填，在施工完毕后回铺于地表。</w:t>
      </w:r>
    </w:p>
    <w:p w14:paraId="3A378F8D">
      <w:pPr>
        <w:pStyle w:val="117"/>
        <w:ind w:firstLine="480" w:firstLineChars="0"/>
        <w:rPr>
          <w:rFonts w:hint="eastAsia"/>
        </w:rPr>
      </w:pPr>
      <w:r>
        <w:rPr>
          <w:rFonts w:hint="eastAsia"/>
        </w:rPr>
        <w:t>④施工过程中严格规定各类工作人员活动范围，使之限于在各工区和生活区范围内活动，最大限度减少对地表植被生存环境的践踏破坏。</w:t>
      </w:r>
    </w:p>
    <w:p w14:paraId="7DB13B41">
      <w:pPr>
        <w:pStyle w:val="117"/>
        <w:ind w:firstLine="480" w:firstLineChars="0"/>
        <w:rPr>
          <w:rFonts w:hint="eastAsia"/>
        </w:rPr>
      </w:pPr>
      <w:r>
        <w:rPr>
          <w:rFonts w:hint="eastAsia"/>
        </w:rPr>
        <w:t>⑤根据新疆维吾尔自治区林业和草原局“关于印发《新疆维吾尔自治区国家级公益林管护办法》的通知（新林规〔</w:t>
      </w:r>
      <w:r>
        <w:t>2021</w:t>
      </w:r>
      <w:r>
        <w:rPr>
          <w:rFonts w:hint="eastAsia"/>
        </w:rPr>
        <w:t>〕</w:t>
      </w:r>
      <w:r>
        <w:t>3</w:t>
      </w:r>
      <w:r>
        <w:rPr>
          <w:rFonts w:hint="eastAsia"/>
        </w:rPr>
        <w:t>号）”等相关文件要求，提出对公益林生态保护的相关措施：</w:t>
      </w:r>
    </w:p>
    <w:p w14:paraId="133B3536">
      <w:pPr>
        <w:pStyle w:val="117"/>
        <w:ind w:firstLine="480" w:firstLineChars="0"/>
        <w:rPr>
          <w:rFonts w:hint="eastAsia"/>
        </w:rPr>
      </w:pPr>
      <w:r>
        <w:rPr>
          <w:rFonts w:hint="eastAsia"/>
        </w:rPr>
        <w:t>※项目占用林地</w:t>
      </w:r>
      <w:r>
        <w:t>-</w:t>
      </w:r>
      <w:r>
        <w:rPr>
          <w:rFonts w:hint="eastAsia"/>
        </w:rPr>
        <w:t>国家二级公益林和地方公益林，应向林业主管部门办理相关手续，按照相关法律法规进行补偿和恢复。</w:t>
      </w:r>
    </w:p>
    <w:p w14:paraId="61751130">
      <w:pPr>
        <w:pStyle w:val="117"/>
        <w:ind w:firstLine="480" w:firstLineChars="0"/>
        <w:rPr>
          <w:rFonts w:hint="eastAsia"/>
        </w:rPr>
      </w:pPr>
      <w:r>
        <w:rPr>
          <w:rFonts w:hint="eastAsia"/>
        </w:rPr>
        <w:t>※项目设计时尽量避免植被密集区域，减少林地的占用。管线敷设施工宽度应控制在设计标准范围内，并尽量沿已有道路纵向平行布设。在满足有关安全规范的基础上，减少占用土地。</w:t>
      </w:r>
    </w:p>
    <w:p w14:paraId="63213D98">
      <w:pPr>
        <w:pStyle w:val="117"/>
        <w:ind w:firstLine="480" w:firstLineChars="0"/>
        <w:rPr>
          <w:rFonts w:hint="eastAsia"/>
        </w:rPr>
      </w:pPr>
      <w:r>
        <w:rPr>
          <w:rFonts w:hint="eastAsia"/>
        </w:rPr>
        <w:t>※井场、计量站和管线施工时，注意保护林地</w:t>
      </w:r>
      <w:r>
        <w:t>-</w:t>
      </w:r>
      <w:r>
        <w:rPr>
          <w:rFonts w:hint="eastAsia"/>
        </w:rPr>
        <w:t>国家二级公益林和地方公益林，划定施工活动范围，严格控制和管理车辆及重型机械的运行范围。</w:t>
      </w:r>
    </w:p>
    <w:p w14:paraId="6DFCF1E8">
      <w:pPr>
        <w:pStyle w:val="117"/>
        <w:ind w:firstLine="480" w:firstLineChars="0"/>
        <w:rPr>
          <w:rFonts w:hint="eastAsia"/>
        </w:rPr>
      </w:pPr>
      <w:r>
        <w:rPr>
          <w:rFonts w:hint="eastAsia"/>
        </w:rPr>
        <w:t>※施工过程中，加强施工人员的管理，严禁施工人员进行非石油生产的其它活动，禁止施工人员对公益林滥砍滥伐，严格限制人员的活动范围，破坏沿线的生态环境。</w:t>
      </w:r>
    </w:p>
    <w:bookmarkEnd w:id="629"/>
    <w:p w14:paraId="3856843B">
      <w:pPr>
        <w:pStyle w:val="4"/>
        <w:rPr>
          <w:rFonts w:hint="eastAsia"/>
        </w:rPr>
      </w:pPr>
      <w:r>
        <w:rPr>
          <w:rFonts w:hint="eastAsia"/>
        </w:rPr>
        <w:t>水土流失防治措施</w:t>
      </w:r>
    </w:p>
    <w:p w14:paraId="6A1B95AF">
      <w:pPr>
        <w:pStyle w:val="191"/>
        <w:ind w:firstLine="480"/>
        <w:rPr>
          <w:rFonts w:hint="eastAsia"/>
        </w:rPr>
      </w:pPr>
      <w:bookmarkStart w:id="630" w:name="_Hlk147587195"/>
      <w:bookmarkStart w:id="631" w:name="_Hlk80202941"/>
      <w:r>
        <w:rPr>
          <w:rFonts w:hint="eastAsia"/>
        </w:rPr>
        <w:t>（1）严格控制各项工程作业面积，井场范围采取彩条旗县界措施，控制施工边界减少扰动地表面积；严禁毁坏占地范围外的自然植被。</w:t>
      </w:r>
    </w:p>
    <w:p w14:paraId="3F4A5B00">
      <w:pPr>
        <w:pStyle w:val="191"/>
        <w:ind w:firstLine="480"/>
        <w:rPr>
          <w:rFonts w:hint="eastAsia"/>
        </w:rPr>
      </w:pPr>
      <w:r>
        <w:rPr>
          <w:rFonts w:hint="eastAsia"/>
        </w:rPr>
        <w:t>（2）采油井场、计量站处采用砾石铺垫，管线管沟开挖时</w:t>
      </w:r>
      <w:r>
        <w:rPr>
          <w:rFonts w:hint="eastAsia"/>
          <w:spacing w:val="-6"/>
        </w:rPr>
        <w:t>产生的临时土方</w:t>
      </w:r>
      <w:r>
        <w:t>临时堆放</w:t>
      </w:r>
      <w:r>
        <w:rPr>
          <w:rFonts w:hint="eastAsia"/>
        </w:rPr>
        <w:t>管沟旁</w:t>
      </w:r>
      <w:r>
        <w:t>，</w:t>
      </w:r>
      <w:r>
        <w:rPr>
          <w:rFonts w:hint="eastAsia"/>
          <w:spacing w:val="-6"/>
        </w:rPr>
        <w:t>采用</w:t>
      </w:r>
      <w:r>
        <w:rPr>
          <w:rFonts w:hint="eastAsia"/>
        </w:rPr>
        <w:t>防尘布（或网）进行苫盖。</w:t>
      </w:r>
    </w:p>
    <w:bookmarkEnd w:id="630"/>
    <w:p w14:paraId="2291F594">
      <w:pPr>
        <w:pStyle w:val="191"/>
        <w:ind w:firstLine="480"/>
        <w:rPr>
          <w:rFonts w:hint="eastAsia"/>
        </w:rPr>
      </w:pPr>
      <w:bookmarkStart w:id="632" w:name="_Hlk147587209"/>
      <w:r>
        <w:rPr>
          <w:rFonts w:hint="eastAsia"/>
        </w:rPr>
        <w:t>（3）严格控制和管理运输车辆的运行范围，不得离开运输道路及随意驾驶。由专人监督负责，以防破坏土壤和植被。</w:t>
      </w:r>
    </w:p>
    <w:p w14:paraId="5486FBCA">
      <w:pPr>
        <w:pStyle w:val="117"/>
        <w:ind w:firstLine="480" w:firstLineChars="0"/>
        <w:rPr>
          <w:rFonts w:hint="eastAsia"/>
        </w:rPr>
      </w:pPr>
      <w:r>
        <w:rPr>
          <w:rFonts w:hint="eastAsia"/>
        </w:rPr>
        <w:t>（</w:t>
      </w:r>
      <w:r>
        <w:t>4</w:t>
      </w:r>
      <w:r>
        <w:rPr>
          <w:rFonts w:hint="eastAsia"/>
        </w:rPr>
        <w:t>）建设单位自行或委托有资质的单位编制水土保持方案，并报相关部门审批；并根据相关技术规范进行水土保持监测，并将监测情况定期上报当地水行政主管部门。</w:t>
      </w:r>
    </w:p>
    <w:p w14:paraId="59766A18">
      <w:pPr>
        <w:pStyle w:val="191"/>
        <w:ind w:firstLine="480"/>
        <w:rPr>
          <w:rFonts w:hint="eastAsia"/>
        </w:rPr>
      </w:pPr>
      <w:r>
        <w:rPr>
          <w:rFonts w:hint="eastAsia"/>
        </w:rPr>
        <w:t>（5）管沟开挖土方全部回填，管沟回填应分层回填，以利施工带土壤和植被的尽早恢复。回填后应予以平整、压实，以免发生水土流失。</w:t>
      </w:r>
    </w:p>
    <w:bookmarkEnd w:id="632"/>
    <w:p w14:paraId="2ED10245">
      <w:pPr>
        <w:pStyle w:val="117"/>
        <w:ind w:firstLine="480" w:firstLineChars="0"/>
        <w:rPr>
          <w:rFonts w:hint="eastAsia"/>
        </w:rPr>
      </w:pPr>
      <w:r>
        <w:rPr>
          <w:rFonts w:hint="eastAsia"/>
        </w:rPr>
        <w:t>（</w:t>
      </w:r>
      <w:r>
        <w:t>6</w:t>
      </w:r>
      <w:r>
        <w:rPr>
          <w:rFonts w:hint="eastAsia"/>
        </w:rPr>
        <w:t>）工程主管部门积极主动，加强水土保护管理，对工作人员进行培训和教育，自觉保持水土，保护植被，不随意乱采乱挖沿线植被。</w:t>
      </w:r>
    </w:p>
    <w:p w14:paraId="2350EBF5">
      <w:pPr>
        <w:pStyle w:val="117"/>
        <w:ind w:firstLine="480" w:firstLineChars="0"/>
        <w:rPr>
          <w:rFonts w:hint="eastAsia"/>
        </w:rPr>
      </w:pPr>
      <w:r>
        <w:rPr>
          <w:rFonts w:hint="eastAsia"/>
        </w:rPr>
        <w:t>（</w:t>
      </w:r>
      <w:r>
        <w:t>7</w:t>
      </w:r>
      <w:r>
        <w:rPr>
          <w:rFonts w:hint="eastAsia"/>
        </w:rPr>
        <w:t>）施工区域设置水土保持宣传警示牌，切实提高保护生态环境的意识。</w:t>
      </w:r>
    </w:p>
    <w:p w14:paraId="5F964A64">
      <w:pPr>
        <w:pStyle w:val="191"/>
        <w:ind w:firstLine="480"/>
        <w:rPr>
          <w:rFonts w:hint="eastAsia"/>
        </w:rPr>
      </w:pPr>
      <w:r>
        <w:rPr>
          <w:rFonts w:hint="eastAsia"/>
        </w:rPr>
        <w:t>（8）优化施工组织，避免大风、雨天气下施工，特别是管线管沟开挖和回填作业；合理安排施工进度与时序，缩小裸露面积和减少裸露时间，减少施工过程中因降水和风等水土流失影响因素可能产生的水土流失。</w:t>
      </w:r>
    </w:p>
    <w:p w14:paraId="199C8139">
      <w:pPr>
        <w:pStyle w:val="117"/>
        <w:ind w:firstLine="480"/>
        <w:rPr>
          <w:rFonts w:hint="eastAsia" w:cs="宋体"/>
          <w:spacing w:val="-2"/>
          <w:lang w:bidi="ar"/>
        </w:rPr>
      </w:pPr>
      <w:r>
        <w:rPr>
          <w:rFonts w:hint="eastAsia"/>
        </w:rPr>
        <w:t>（9）</w:t>
      </w:r>
      <w:r>
        <w:rPr>
          <w:rFonts w:hint="eastAsia" w:cs="宋体"/>
          <w:spacing w:val="-2"/>
          <w:lang w:bidi="ar"/>
        </w:rPr>
        <w:t>管线施工作业结束后，对现场进行回填平整，并尽可能覆土压实，以防水土流失。</w:t>
      </w:r>
    </w:p>
    <w:p w14:paraId="7278D624">
      <w:pPr>
        <w:pStyle w:val="4"/>
        <w:rPr>
          <w:rFonts w:hint="eastAsia"/>
          <w:lang w:val="zh-CN"/>
        </w:rPr>
      </w:pPr>
      <w:r>
        <w:rPr>
          <w:rFonts w:hint="eastAsia"/>
          <w:lang w:val="zh-CN"/>
        </w:rPr>
        <w:t>防沙治沙措施</w:t>
      </w:r>
    </w:p>
    <w:p w14:paraId="20BC0F80">
      <w:pPr>
        <w:pStyle w:val="191"/>
        <w:ind w:firstLine="480"/>
        <w:rPr>
          <w:rFonts w:hint="eastAsia"/>
          <w:lang w:bidi="ar"/>
        </w:rPr>
      </w:pPr>
      <w:bookmarkStart w:id="633" w:name="_Hlk147587221"/>
      <w:r>
        <w:rPr>
          <w:rFonts w:hint="eastAsia"/>
          <w:lang w:bidi="ar"/>
        </w:rPr>
        <w:t>建设单位</w:t>
      </w:r>
      <w:bookmarkStart w:id="634" w:name="_Hlk33712889"/>
      <w:r>
        <w:rPr>
          <w:rFonts w:hint="eastAsia"/>
          <w:lang w:bidi="ar"/>
        </w:rPr>
        <w:t>应严格按照</w:t>
      </w:r>
      <w:bookmarkStart w:id="635" w:name="_Hlk93499015"/>
      <w:r>
        <w:rPr>
          <w:rFonts w:hint="eastAsia"/>
          <w:lang w:bidi="ar"/>
        </w:rPr>
        <w:t>《中华人民共和国防沙治沙法》</w:t>
      </w:r>
      <w:bookmarkEnd w:id="635"/>
      <w:r>
        <w:rPr>
          <w:rFonts w:hint="eastAsia"/>
          <w:lang w:bidi="ar"/>
        </w:rPr>
        <w:t>《关于加强沙区建设项目环境影响评价工作的通知》（新环环评发〔2</w:t>
      </w:r>
      <w:r>
        <w:rPr>
          <w:lang w:bidi="ar"/>
        </w:rPr>
        <w:t>020</w:t>
      </w:r>
      <w:r>
        <w:rPr>
          <w:rFonts w:hint="eastAsia"/>
          <w:lang w:bidi="ar"/>
        </w:rPr>
        <w:t>〕1</w:t>
      </w:r>
      <w:r>
        <w:rPr>
          <w:lang w:bidi="ar"/>
        </w:rPr>
        <w:t>38</w:t>
      </w:r>
      <w:r>
        <w:rPr>
          <w:rFonts w:hint="eastAsia"/>
          <w:lang w:bidi="ar"/>
        </w:rPr>
        <w:t>号）中有关规定，执行以下防沙治沙防治</w:t>
      </w:r>
      <w:bookmarkEnd w:id="634"/>
      <w:r>
        <w:rPr>
          <w:rFonts w:hint="eastAsia"/>
          <w:lang w:bidi="ar"/>
        </w:rPr>
        <w:t>措施：</w:t>
      </w:r>
    </w:p>
    <w:p w14:paraId="69AB750B">
      <w:pPr>
        <w:pStyle w:val="117"/>
        <w:ind w:firstLine="480"/>
        <w:rPr>
          <w:rFonts w:hint="eastAsia" w:cs="宋体"/>
          <w:lang w:bidi="ar"/>
        </w:rPr>
      </w:pPr>
      <w:bookmarkStart w:id="636" w:name="_Hlk93499052"/>
      <w:r>
        <w:rPr>
          <w:rFonts w:hint="eastAsia" w:cs="宋体"/>
          <w:lang w:bidi="ar"/>
        </w:rPr>
        <w:t>（1）大力宣传《防沙治沙法》，使施工人员知法、懂法、守法，自觉保护林草植被，自觉履行防治义务。禁止在沙化土地上砍挖灌木、药材及其他固沙植物。</w:t>
      </w:r>
    </w:p>
    <w:p w14:paraId="71B61523">
      <w:pPr>
        <w:pStyle w:val="117"/>
        <w:ind w:firstLine="480"/>
        <w:rPr>
          <w:rFonts w:hint="eastAsia" w:cs="宋体"/>
          <w:lang w:bidi="ar"/>
        </w:rPr>
      </w:pPr>
      <w:r>
        <w:rPr>
          <w:rFonts w:hint="eastAsia" w:cs="宋体"/>
          <w:lang w:bidi="ar"/>
        </w:rPr>
        <w:t>（</w:t>
      </w:r>
      <w:r>
        <w:rPr>
          <w:rFonts w:cs="宋体"/>
          <w:lang w:bidi="ar"/>
        </w:rPr>
        <w:t>2</w:t>
      </w:r>
      <w:r>
        <w:rPr>
          <w:rFonts w:hint="eastAsia" w:cs="宋体"/>
          <w:lang w:bidi="ar"/>
        </w:rPr>
        <w:t>）施工结束后对占地进行平整，清运现场遗留的污染物，按照正式征地文件的规定对占地进行经济补偿。</w:t>
      </w:r>
    </w:p>
    <w:p w14:paraId="7155E05D">
      <w:pPr>
        <w:pStyle w:val="117"/>
        <w:ind w:firstLine="480"/>
        <w:rPr>
          <w:rFonts w:hint="eastAsia" w:cs="宋体"/>
          <w:lang w:bidi="ar"/>
        </w:rPr>
      </w:pPr>
      <w:r>
        <w:rPr>
          <w:rFonts w:hint="eastAsia" w:cs="宋体"/>
          <w:lang w:bidi="ar"/>
        </w:rPr>
        <w:t>（</w:t>
      </w:r>
      <w:r>
        <w:rPr>
          <w:rFonts w:cs="宋体"/>
          <w:lang w:bidi="ar"/>
        </w:rPr>
        <w:t>3</w:t>
      </w:r>
      <w:r>
        <w:rPr>
          <w:rFonts w:hint="eastAsia" w:cs="宋体"/>
          <w:lang w:bidi="ar"/>
        </w:rPr>
        <w:t>）严格控制各项工程作业面积，井场、计量站等永久占地范围内用砾石铺垫，所有车辆尽量走统一车辙，避免加行开辟新路，以减少风沙活动。</w:t>
      </w:r>
    </w:p>
    <w:p w14:paraId="759036AC">
      <w:pPr>
        <w:pStyle w:val="117"/>
        <w:ind w:firstLine="480"/>
        <w:rPr>
          <w:rFonts w:hint="eastAsia" w:cs="宋体"/>
          <w:spacing w:val="-2"/>
          <w:lang w:bidi="ar"/>
        </w:rPr>
      </w:pPr>
      <w:r>
        <w:rPr>
          <w:rFonts w:hint="eastAsia" w:cs="宋体"/>
          <w:lang w:bidi="ar"/>
        </w:rPr>
        <w:t>（</w:t>
      </w:r>
      <w:r>
        <w:rPr>
          <w:rFonts w:cs="宋体"/>
          <w:lang w:bidi="ar"/>
        </w:rPr>
        <w:t>4</w:t>
      </w:r>
      <w:r>
        <w:rPr>
          <w:rFonts w:hint="eastAsia" w:cs="宋体"/>
          <w:lang w:bidi="ar"/>
        </w:rPr>
        <w:t>）</w:t>
      </w:r>
      <w:r>
        <w:rPr>
          <w:rFonts w:hint="eastAsia" w:cs="宋体"/>
          <w:spacing w:val="-2"/>
          <w:lang w:bidi="ar"/>
        </w:rPr>
        <w:t>加强对野生植物的保护，严禁破坏梭梭等受保护的优良固沙植被；加强运营期管理，严禁随意开设巡检道路，防止因人为扰动而加剧项目区沙化程度。</w:t>
      </w:r>
      <w:bookmarkEnd w:id="636"/>
    </w:p>
    <w:p w14:paraId="388E5E2B">
      <w:pPr>
        <w:pStyle w:val="117"/>
        <w:ind w:firstLine="476"/>
        <w:rPr>
          <w:rFonts w:hint="eastAsia" w:cs="宋体"/>
          <w:spacing w:val="-2"/>
          <w:lang w:bidi="ar"/>
        </w:rPr>
      </w:pPr>
      <w:r>
        <w:rPr>
          <w:rFonts w:hint="eastAsia" w:cs="宋体"/>
          <w:spacing w:val="-2"/>
          <w:lang w:bidi="ar"/>
        </w:rPr>
        <w:t>（</w:t>
      </w:r>
      <w:r>
        <w:rPr>
          <w:rFonts w:cs="宋体"/>
          <w:spacing w:val="-2"/>
          <w:lang w:bidi="ar"/>
        </w:rPr>
        <w:t>6</w:t>
      </w:r>
      <w:r>
        <w:rPr>
          <w:rFonts w:hint="eastAsia" w:cs="宋体"/>
          <w:spacing w:val="-2"/>
          <w:lang w:bidi="ar"/>
        </w:rPr>
        <w:t>）优化施工组织，避免在大风天气进行土方作业。缩短施工时间，管线施工作业时应分段作业，开挖的土方应分层开挖、分层堆放、分层回填，挖方全部回填，管廊上方土方平整压实；管线施工产生的临时堆土采用防尘网苫盖。</w:t>
      </w:r>
    </w:p>
    <w:p w14:paraId="0307C078">
      <w:pPr>
        <w:pStyle w:val="117"/>
        <w:ind w:firstLine="476"/>
        <w:rPr>
          <w:rFonts w:hint="eastAsia" w:cs="宋体"/>
          <w:spacing w:val="-2"/>
          <w:lang w:bidi="ar"/>
        </w:rPr>
      </w:pPr>
      <w:r>
        <w:rPr>
          <w:rFonts w:hint="eastAsia" w:cs="宋体"/>
          <w:spacing w:val="-2"/>
          <w:lang w:bidi="ar"/>
        </w:rPr>
        <w:t>（7）项目采油井场、计量站及集输管线在选址选线阶段尽量选择在植被稀少或荒漠的区域布点，尽可能避开植物分布密集区域，不占用、不破坏。采取少占地、少破坏植被的原则，缩小施工范围；工程施工结束后采取自然恢复的方式对区域植被进行恢复。</w:t>
      </w:r>
    </w:p>
    <w:bookmarkEnd w:id="611"/>
    <w:bookmarkEnd w:id="612"/>
    <w:bookmarkEnd w:id="613"/>
    <w:bookmarkEnd w:id="622"/>
    <w:bookmarkEnd w:id="631"/>
    <w:bookmarkEnd w:id="633"/>
    <w:p w14:paraId="48BF70DC">
      <w:pPr>
        <w:pStyle w:val="2"/>
        <w:rPr>
          <w:rFonts w:hint="eastAsia"/>
          <w:lang w:val="zh-CN"/>
        </w:rPr>
      </w:pPr>
      <w:bookmarkStart w:id="637" w:name="_Toc12323"/>
      <w:bookmarkStart w:id="638" w:name="_Toc475624489"/>
      <w:bookmarkStart w:id="639" w:name="_Toc22137"/>
      <w:bookmarkStart w:id="640" w:name="_Toc448413620"/>
      <w:bookmarkStart w:id="641" w:name="_Toc445842144"/>
      <w:bookmarkStart w:id="642" w:name="_Toc445840421"/>
      <w:bookmarkStart w:id="643" w:name="_Toc4185"/>
      <w:bookmarkStart w:id="644" w:name="_Toc160382102"/>
      <w:bookmarkStart w:id="645" w:name="_Toc459026595"/>
      <w:bookmarkStart w:id="646" w:name="_Toc445996464"/>
      <w:r>
        <w:rPr>
          <w:rFonts w:hint="eastAsia"/>
          <w:lang w:val="zh-CN"/>
        </w:rPr>
        <w:t>运营期环境</w:t>
      </w:r>
      <w:r>
        <w:rPr>
          <w:lang w:val="zh-CN"/>
        </w:rPr>
        <w:t>保护措施</w:t>
      </w:r>
      <w:bookmarkEnd w:id="637"/>
      <w:bookmarkEnd w:id="638"/>
      <w:bookmarkEnd w:id="639"/>
      <w:bookmarkEnd w:id="640"/>
      <w:bookmarkEnd w:id="641"/>
      <w:bookmarkEnd w:id="642"/>
      <w:bookmarkEnd w:id="643"/>
      <w:bookmarkEnd w:id="644"/>
      <w:bookmarkEnd w:id="645"/>
      <w:bookmarkEnd w:id="646"/>
      <w:bookmarkStart w:id="647" w:name="_Toc445842145"/>
      <w:bookmarkStart w:id="648" w:name="_Toc7470"/>
      <w:bookmarkStart w:id="649" w:name="_Toc445996465"/>
    </w:p>
    <w:p w14:paraId="73598E92">
      <w:pPr>
        <w:pStyle w:val="4"/>
        <w:rPr>
          <w:rFonts w:hint="eastAsia"/>
          <w:lang w:val="zh-CN"/>
        </w:rPr>
      </w:pPr>
      <w:r>
        <w:rPr>
          <w:rFonts w:hint="eastAsia"/>
          <w:lang w:val="zh-CN"/>
        </w:rPr>
        <w:t>运营期大气污染防治措施</w:t>
      </w:r>
    </w:p>
    <w:p w14:paraId="2CA96B89">
      <w:pPr>
        <w:pStyle w:val="191"/>
        <w:ind w:firstLine="480"/>
        <w:rPr>
          <w:rFonts w:hint="eastAsia"/>
        </w:rPr>
      </w:pPr>
      <w:bookmarkStart w:id="650" w:name="OLE_LINK90"/>
      <w:r>
        <w:rPr>
          <w:rFonts w:hint="eastAsia"/>
        </w:rPr>
        <w:t>参照《陆上石油天然气开采工业大气污染物排放标准》（GB39728-2020）《挥发性有机物无组织排放控制标准》（GB37822-2019）中相关要求中的相关要求，针对废气提出如下防治措施：</w:t>
      </w:r>
      <w:bookmarkEnd w:id="650"/>
    </w:p>
    <w:p w14:paraId="446E215C">
      <w:pPr>
        <w:spacing w:line="520" w:lineRule="exact"/>
        <w:ind w:firstLine="480" w:firstLineChars="200"/>
        <w:rPr>
          <w:rFonts w:hint="eastAsia" w:ascii="宋体" w:hAnsi="宋体"/>
          <w:sz w:val="24"/>
          <w:szCs w:val="24"/>
        </w:rPr>
      </w:pPr>
      <w:r>
        <w:rPr>
          <w:rFonts w:hint="eastAsia" w:ascii="宋体" w:hAnsi="宋体"/>
          <w:sz w:val="24"/>
          <w:szCs w:val="24"/>
        </w:rPr>
        <w:t>（1）选用质量可靠的设备、仪表、阀门等；</w:t>
      </w:r>
      <w:bookmarkStart w:id="651" w:name="_Hlk92466549"/>
      <w:r>
        <w:rPr>
          <w:rFonts w:hint="eastAsia" w:ascii="宋体" w:hAnsi="宋体"/>
          <w:sz w:val="24"/>
          <w:szCs w:val="24"/>
        </w:rPr>
        <w:t>定期对井场、计量站内各设备、阀门等检查、检修</w:t>
      </w:r>
      <w:bookmarkEnd w:id="651"/>
      <w:r>
        <w:rPr>
          <w:rFonts w:hint="eastAsia" w:ascii="宋体" w:hAnsi="宋体"/>
          <w:sz w:val="24"/>
          <w:szCs w:val="24"/>
        </w:rPr>
        <w:t>，以防止跑、冒、漏、漏现象的发生。</w:t>
      </w:r>
    </w:p>
    <w:p w14:paraId="0A75DC11">
      <w:pPr>
        <w:spacing w:line="520" w:lineRule="exact"/>
        <w:ind w:firstLine="480" w:firstLineChars="200"/>
        <w:rPr>
          <w:rFonts w:hint="eastAsia" w:ascii="宋体" w:hAnsi="宋体"/>
          <w:sz w:val="24"/>
          <w:szCs w:val="24"/>
        </w:rPr>
      </w:pPr>
      <w:bookmarkStart w:id="652" w:name="OLE_LINK91"/>
      <w:bookmarkStart w:id="653" w:name="_Hlk160376789"/>
      <w:r>
        <w:rPr>
          <w:rFonts w:hint="eastAsia" w:ascii="宋体" w:hAnsi="宋体"/>
          <w:sz w:val="24"/>
          <w:szCs w:val="24"/>
        </w:rPr>
        <w:t>（2）一期拉油罐采用固定顶罐，《</w:t>
      </w:r>
      <w:r>
        <w:fldChar w:fldCharType="begin"/>
      </w:r>
      <w:r>
        <w:instrText xml:space="preserve"> HYPERLINK "http://www.mee.gov.cn/ywgz/fgbz/bz/bzwb/dqhjbh/dqgdwrywrwpfbz/202012/W020201225551948738018.pdf" </w:instrText>
      </w:r>
      <w:r>
        <w:fldChar w:fldCharType="separate"/>
      </w:r>
      <w:r>
        <w:rPr>
          <w:rFonts w:hint="eastAsia" w:ascii="宋体" w:hAnsi="宋体"/>
          <w:sz w:val="24"/>
          <w:szCs w:val="24"/>
        </w:rPr>
        <w:t>陆上石油天然气开采工业大气污染物排放标准》（GB39728—2020）</w:t>
      </w:r>
      <w:r>
        <w:rPr>
          <w:rFonts w:hint="eastAsia" w:ascii="宋体" w:hAnsi="宋体"/>
          <w:sz w:val="24"/>
          <w:szCs w:val="24"/>
        </w:rPr>
        <w:fldChar w:fldCharType="end"/>
      </w:r>
      <w:r>
        <w:rPr>
          <w:rFonts w:hint="eastAsia" w:ascii="宋体" w:hAnsi="宋体"/>
          <w:sz w:val="24"/>
          <w:szCs w:val="24"/>
        </w:rPr>
        <w:t>中表</w:t>
      </w:r>
      <w:r>
        <w:rPr>
          <w:rFonts w:ascii="宋体" w:hAnsi="宋体"/>
          <w:sz w:val="24"/>
          <w:szCs w:val="24"/>
        </w:rPr>
        <w:t>3</w:t>
      </w:r>
      <w:r>
        <w:rPr>
          <w:rFonts w:hint="eastAsia" w:ascii="宋体" w:hAnsi="宋体"/>
          <w:sz w:val="24"/>
          <w:szCs w:val="24"/>
        </w:rPr>
        <w:t>规定2</w:t>
      </w:r>
      <w:r>
        <w:rPr>
          <w:rFonts w:ascii="宋体" w:hAnsi="宋体"/>
          <w:sz w:val="24"/>
          <w:szCs w:val="24"/>
        </w:rPr>
        <w:t>7.6kPa</w:t>
      </w:r>
      <w:r>
        <w:rPr>
          <w:rFonts w:hint="eastAsia" w:ascii="宋体" w:hAnsi="宋体"/>
          <w:sz w:val="24"/>
          <w:szCs w:val="24"/>
        </w:rPr>
        <w:t>≤真实蒸气压≤6</w:t>
      </w:r>
      <w:r>
        <w:rPr>
          <w:rFonts w:ascii="宋体" w:hAnsi="宋体"/>
          <w:sz w:val="24"/>
          <w:szCs w:val="24"/>
        </w:rPr>
        <w:t>6.7kPa</w:t>
      </w:r>
      <w:r>
        <w:rPr>
          <w:rFonts w:hint="eastAsia" w:ascii="宋体" w:hAnsi="宋体"/>
          <w:sz w:val="24"/>
          <w:szCs w:val="24"/>
        </w:rPr>
        <w:t>，单罐容积≥7</w:t>
      </w:r>
      <w:r>
        <w:rPr>
          <w:rFonts w:ascii="宋体" w:hAnsi="宋体"/>
          <w:sz w:val="24"/>
          <w:szCs w:val="24"/>
        </w:rPr>
        <w:t>5m</w:t>
      </w:r>
      <w:r>
        <w:rPr>
          <w:rFonts w:ascii="宋体" w:hAnsi="宋体"/>
          <w:sz w:val="24"/>
          <w:szCs w:val="24"/>
          <w:vertAlign w:val="superscript"/>
        </w:rPr>
        <w:t>3</w:t>
      </w:r>
      <w:r>
        <w:rPr>
          <w:rFonts w:hint="eastAsia" w:ascii="宋体" w:hAnsi="宋体"/>
          <w:sz w:val="24"/>
          <w:szCs w:val="24"/>
        </w:rPr>
        <w:t>的固定顶罐应采取油罐烃蒸气回收措施，一期新建拉油罐单罐容积为6</w:t>
      </w:r>
      <w:r>
        <w:rPr>
          <w:rFonts w:ascii="宋体" w:hAnsi="宋体"/>
          <w:sz w:val="24"/>
          <w:szCs w:val="24"/>
        </w:rPr>
        <w:t>0m</w:t>
      </w:r>
      <w:r>
        <w:rPr>
          <w:rFonts w:ascii="宋体" w:hAnsi="宋体"/>
          <w:sz w:val="24"/>
          <w:szCs w:val="24"/>
          <w:vertAlign w:val="superscript"/>
        </w:rPr>
        <w:t>3</w:t>
      </w:r>
      <w:r>
        <w:rPr>
          <w:rFonts w:hint="eastAsia" w:ascii="宋体" w:hAnsi="宋体"/>
          <w:sz w:val="24"/>
          <w:szCs w:val="24"/>
        </w:rPr>
        <w:t>，小于7</w:t>
      </w:r>
      <w:r>
        <w:rPr>
          <w:rFonts w:ascii="宋体" w:hAnsi="宋体"/>
          <w:sz w:val="24"/>
          <w:szCs w:val="24"/>
        </w:rPr>
        <w:t>5m</w:t>
      </w:r>
      <w:r>
        <w:rPr>
          <w:rFonts w:ascii="宋体" w:hAnsi="宋体"/>
          <w:sz w:val="24"/>
          <w:szCs w:val="24"/>
          <w:vertAlign w:val="superscript"/>
        </w:rPr>
        <w:t>3</w:t>
      </w:r>
      <w:r>
        <w:rPr>
          <w:rFonts w:hint="eastAsia" w:ascii="宋体" w:hAnsi="宋体"/>
          <w:sz w:val="24"/>
          <w:szCs w:val="24"/>
        </w:rPr>
        <w:t>，且真实蒸气压小于</w:t>
      </w:r>
      <w:r>
        <w:rPr>
          <w:rFonts w:ascii="宋体" w:hAnsi="宋体"/>
          <w:sz w:val="24"/>
          <w:szCs w:val="24"/>
        </w:rPr>
        <w:t>27.6kPa</w:t>
      </w:r>
      <w:r>
        <w:rPr>
          <w:rFonts w:hint="eastAsia" w:ascii="宋体" w:hAnsi="宋体"/>
          <w:sz w:val="24"/>
          <w:szCs w:val="24"/>
        </w:rPr>
        <w:t>，故可不采取油罐烃蒸气回收措施。</w:t>
      </w:r>
    </w:p>
    <w:p w14:paraId="6688267B">
      <w:pPr>
        <w:spacing w:line="520" w:lineRule="exact"/>
        <w:ind w:firstLine="480" w:firstLineChars="200"/>
        <w:rPr>
          <w:rFonts w:hint="eastAsia" w:ascii="宋体" w:hAnsi="宋体"/>
          <w:sz w:val="24"/>
          <w:szCs w:val="24"/>
        </w:rPr>
      </w:pPr>
      <w:r>
        <w:rPr>
          <w:rFonts w:hint="eastAsia" w:ascii="宋体" w:hAnsi="宋体"/>
          <w:sz w:val="24"/>
          <w:szCs w:val="24"/>
        </w:rPr>
        <w:t>固定顶罐罐体应保持完好，不应有孔洞；储罐附件开口（孔），除采样、计量和例行检查、维护和其他正常活动外，应密闭；定期监测呼吸阀的定压是否符合设定要求。</w:t>
      </w:r>
    </w:p>
    <w:p w14:paraId="10392044">
      <w:pPr>
        <w:spacing w:line="520" w:lineRule="exact"/>
        <w:ind w:firstLine="480" w:firstLineChars="200"/>
        <w:rPr>
          <w:rFonts w:hint="eastAsia" w:ascii="宋体" w:hAnsi="宋体"/>
          <w:sz w:val="24"/>
          <w:szCs w:val="24"/>
        </w:rPr>
      </w:pPr>
      <w:r>
        <w:rPr>
          <w:rFonts w:hint="eastAsia" w:ascii="宋体" w:hAnsi="宋体"/>
          <w:sz w:val="24"/>
          <w:szCs w:val="24"/>
        </w:rPr>
        <w:t>（</w:t>
      </w:r>
      <w:r>
        <w:rPr>
          <w:rFonts w:ascii="宋体" w:hAnsi="宋体"/>
          <w:sz w:val="24"/>
          <w:szCs w:val="24"/>
        </w:rPr>
        <w:t>3</w:t>
      </w:r>
      <w:r>
        <w:rPr>
          <w:rFonts w:hint="eastAsia" w:ascii="宋体" w:hAnsi="宋体"/>
          <w:sz w:val="24"/>
          <w:szCs w:val="24"/>
        </w:rPr>
        <w:t>）一期采出液装载采用底部装载或顶部浸没式装载方式，采用顶部浸没式装载的，出料管口距离罐底部高度应小于2</w:t>
      </w:r>
      <w:r>
        <w:rPr>
          <w:rFonts w:ascii="宋体" w:hAnsi="宋体"/>
          <w:sz w:val="24"/>
          <w:szCs w:val="24"/>
        </w:rPr>
        <w:t>00m</w:t>
      </w:r>
      <w:r>
        <w:rPr>
          <w:rFonts w:hint="eastAsia" w:ascii="宋体" w:hAnsi="宋体"/>
          <w:sz w:val="24"/>
          <w:szCs w:val="24"/>
        </w:rPr>
        <w:t>。拉油罐和罐车之间采用气相平衡系统，减少拉油罐和装车过程中的无组织废气排放。</w:t>
      </w:r>
    </w:p>
    <w:p w14:paraId="7A979389">
      <w:pPr>
        <w:spacing w:line="520" w:lineRule="exact"/>
        <w:ind w:firstLine="480" w:firstLineChars="200"/>
        <w:rPr>
          <w:rFonts w:hint="eastAsia" w:ascii="宋体" w:hAnsi="宋体"/>
          <w:sz w:val="24"/>
          <w:szCs w:val="24"/>
        </w:rPr>
      </w:pPr>
      <w:r>
        <w:rPr>
          <w:rFonts w:hint="eastAsia" w:ascii="宋体" w:hAnsi="宋体"/>
          <w:sz w:val="24"/>
          <w:szCs w:val="24"/>
        </w:rPr>
        <w:t>（4）计量拉油站分离出的伴生气量比较少，不具备回收条件，通过放空火炬燃烧放空，加强对放空火炬的检查维修。</w:t>
      </w:r>
    </w:p>
    <w:p w14:paraId="14596BEE">
      <w:pPr>
        <w:spacing w:line="520" w:lineRule="exact"/>
        <w:ind w:firstLine="480" w:firstLineChars="200"/>
        <w:rPr>
          <w:rFonts w:hint="eastAsia" w:ascii="宋体" w:hAnsi="宋体"/>
          <w:sz w:val="24"/>
          <w:szCs w:val="24"/>
        </w:rPr>
      </w:pPr>
      <w:r>
        <w:rPr>
          <w:rFonts w:hint="eastAsia" w:ascii="宋体" w:hAnsi="宋体"/>
          <w:sz w:val="24"/>
          <w:szCs w:val="24"/>
        </w:rPr>
        <w:t>（5）二期工程实施后油气集输实现了密闭集输工艺，井口密封并设有紧急截断阀，可有效减少无组织挥发性有机物的产生。</w:t>
      </w:r>
    </w:p>
    <w:bookmarkEnd w:id="652"/>
    <w:p w14:paraId="53916F20">
      <w:pPr>
        <w:pStyle w:val="191"/>
        <w:ind w:firstLine="480"/>
        <w:rPr>
          <w:rFonts w:hint="eastAsia"/>
        </w:rPr>
      </w:pPr>
      <w:r>
        <w:rPr>
          <w:rFonts w:hint="eastAsia"/>
        </w:rPr>
        <w:t>（3）建设单位应建立台账，记录V</w:t>
      </w:r>
      <w:r>
        <w:t>OCs</w:t>
      </w:r>
      <w:r>
        <w:rPr>
          <w:rFonts w:hint="eastAsia"/>
        </w:rPr>
        <w:t>原辅材料及含V</w:t>
      </w:r>
      <w:r>
        <w:t>OCs</w:t>
      </w:r>
      <w:r>
        <w:rPr>
          <w:rFonts w:hint="eastAsia"/>
        </w:rPr>
        <w:t>产品的名称、使用量、回收量、去向及</w:t>
      </w:r>
      <w:r>
        <w:t>VOCs</w:t>
      </w:r>
      <w:r>
        <w:rPr>
          <w:rFonts w:hint="eastAsia"/>
        </w:rPr>
        <w:t>含量等信息，台账保存期限不少于3年；载有V</w:t>
      </w:r>
      <w:r>
        <w:t>OC</w:t>
      </w:r>
      <w:r>
        <w:rPr>
          <w:rFonts w:hint="eastAsia"/>
        </w:rPr>
        <w:t>s物料的设备及其管道在开停工、检维修和清洗时，应在退料阶段将残存物料退净，并用密闭容器盛装。</w:t>
      </w:r>
    </w:p>
    <w:p w14:paraId="4F7EA4D4">
      <w:pPr>
        <w:pStyle w:val="191"/>
        <w:ind w:firstLine="480"/>
        <w:rPr>
          <w:rFonts w:hint="eastAsia"/>
        </w:rPr>
      </w:pPr>
      <w:r>
        <w:rPr>
          <w:rFonts w:hint="eastAsia"/>
        </w:rPr>
        <w:t>（4）井口设除硫加药装置，去除伴生气中的硫化氢，本次选用第三代三嗪类硫化氢处理剂去除硫化氢，三嗪类硫化氢处理剂是一种非再生型新型高效硫化氢处理剂</w:t>
      </w:r>
      <w:r>
        <w:t>，通常为无色或淡黄色透明</w:t>
      </w:r>
      <w:r>
        <w:rPr>
          <w:rFonts w:hint="eastAsia"/>
        </w:rPr>
        <w:t>粘</w:t>
      </w:r>
      <w:r>
        <w:t>稠状液体，无</w:t>
      </w:r>
      <w:r>
        <w:rPr>
          <w:rFonts w:hint="eastAsia"/>
        </w:rPr>
        <w:t>刺激性</w:t>
      </w:r>
      <w:r>
        <w:t>气味。三嗪化合物是一种大分子活性剂，分子链上富含氮原子，并且含有活泼氢原子，能与</w:t>
      </w:r>
      <w:r>
        <w:rPr>
          <w:rFonts w:hint="eastAsia"/>
        </w:rPr>
        <w:t>H</w:t>
      </w:r>
      <w:r>
        <w:rPr>
          <w:rFonts w:hint="eastAsia"/>
          <w:vertAlign w:val="subscript"/>
        </w:rPr>
        <w:t>2</w:t>
      </w:r>
      <w:r>
        <w:rPr>
          <w:rFonts w:hint="eastAsia"/>
        </w:rPr>
        <w:t>S</w:t>
      </w:r>
      <w:r>
        <w:t>里的S</w:t>
      </w:r>
      <w:r>
        <w:rPr>
          <w:vertAlign w:val="superscript"/>
        </w:rPr>
        <w:t>2-</w:t>
      </w:r>
      <w:r>
        <w:t>发生不可逆化学反应生成噻二嗪，从而达到</w:t>
      </w:r>
      <w:r>
        <w:rPr>
          <w:rFonts w:hint="eastAsia"/>
        </w:rPr>
        <w:t>去</w:t>
      </w:r>
      <w:r>
        <w:t>除天然气中H</w:t>
      </w:r>
      <w:r>
        <w:rPr>
          <w:vertAlign w:val="subscript"/>
        </w:rPr>
        <w:t>2</w:t>
      </w:r>
      <w:r>
        <w:t>S的目的。其脱硫产物均为水溶性液体，安全性高，而且不需回收，可直接回注地层</w:t>
      </w:r>
      <w:r>
        <w:rPr>
          <w:rFonts w:hint="eastAsia"/>
        </w:rPr>
        <w:t>。</w:t>
      </w:r>
    </w:p>
    <w:p w14:paraId="05A0D9D3">
      <w:pPr>
        <w:pStyle w:val="191"/>
        <w:ind w:firstLine="480"/>
        <w:rPr>
          <w:rFonts w:hint="eastAsia"/>
        </w:rPr>
      </w:pPr>
      <w:r>
        <w:rPr>
          <w:rFonts w:hint="eastAsia"/>
        </w:rPr>
        <w:t>第三代三嗪类硫化氢处理剂去除硫化氢的效率达到95%以上，本次评价</w:t>
      </w:r>
      <w:bookmarkStart w:id="654" w:name="OLE_LINK255"/>
      <w:r>
        <w:rPr>
          <w:rFonts w:hint="eastAsia"/>
        </w:rPr>
        <w:t>采用新疆油田公司某高硫化氢井口的实际去除效果来说明采用第三代三嗪类硫化氢处理剂去除硫化氢的可行性</w:t>
      </w:r>
      <w:bookmarkEnd w:id="654"/>
      <w:r>
        <w:rPr>
          <w:rFonts w:hint="eastAsia"/>
        </w:rPr>
        <w:t>，某采油井口的硫化氢实测值为200ppm，通过除硫加药装置连续加药处理后，井口硫化氢浓度约为1.2ppm，硫化氢去除效率达到99%以上。综上所述，本项目采用第三代三嗪类硫化氢处理剂去除硫化氢的工艺可行。</w:t>
      </w:r>
    </w:p>
    <w:p w14:paraId="06D11FA4">
      <w:pPr>
        <w:pStyle w:val="191"/>
        <w:ind w:firstLine="480"/>
        <w:rPr>
          <w:rFonts w:hint="eastAsia"/>
        </w:rPr>
      </w:pPr>
      <w:r>
        <w:rPr>
          <w:rFonts w:hint="eastAsia"/>
        </w:rPr>
        <w:t>在采取上述措施后，场站厂界无组织非甲烷总体排放浓度满足《陆上石油天然气开采工业大气污染物排放标准》（GB39728—2020）企业边界污染物控制要求，硫化氢排放浓度满足《恶臭污染物排放标准》（GB14554-93）表1二级新改扩建浓度。</w:t>
      </w:r>
    </w:p>
    <w:bookmarkEnd w:id="653"/>
    <w:p w14:paraId="77B1C43B">
      <w:pPr>
        <w:pStyle w:val="4"/>
        <w:rPr>
          <w:rFonts w:hint="eastAsia"/>
          <w:lang w:val="zh-CN"/>
        </w:rPr>
      </w:pPr>
      <w:r>
        <w:rPr>
          <w:rFonts w:hint="eastAsia"/>
          <w:lang w:val="zh-CN"/>
        </w:rPr>
        <w:t>运营期废水污染防治措施</w:t>
      </w:r>
    </w:p>
    <w:p w14:paraId="79C20783">
      <w:pPr>
        <w:pStyle w:val="117"/>
        <w:ind w:firstLine="480"/>
        <w:rPr>
          <w:rFonts w:hint="eastAsia"/>
        </w:rPr>
      </w:pPr>
      <w:r>
        <w:rPr>
          <w:rFonts w:hint="eastAsia"/>
        </w:rPr>
        <w:t>（1）废水处理方案</w:t>
      </w:r>
    </w:p>
    <w:p w14:paraId="23A72500">
      <w:pPr>
        <w:pStyle w:val="117"/>
        <w:ind w:firstLine="480"/>
        <w:rPr>
          <w:rFonts w:hint="eastAsia" w:cs="宋体"/>
          <w:kern w:val="0"/>
          <w:lang w:bidi="ar"/>
        </w:rPr>
      </w:pPr>
      <w:r>
        <w:rPr>
          <w:rFonts w:hint="eastAsia" w:cs="宋体"/>
          <w:kern w:val="0"/>
          <w:lang w:bidi="ar"/>
        </w:rPr>
        <w:t>①洗井废水、井下作业废液（压裂返排液、酸化返排液和废洗井液）由罐车拉运至页岩油联合站旁的压裂液返排液处理装置处理，</w:t>
      </w:r>
      <w:r>
        <w:rPr>
          <w:rFonts w:hint="eastAsia"/>
        </w:rPr>
        <w:t>出水水质满足</w:t>
      </w:r>
      <w:r>
        <w:rPr>
          <w:rFonts w:hint="eastAsia"/>
          <w:lang w:val="zh-CN"/>
        </w:rPr>
        <w:t>《压裂酸化返排液处理技术规范》（</w:t>
      </w:r>
      <w:r>
        <w:rPr>
          <w:lang w:val="zh-CN"/>
        </w:rPr>
        <w:t>Q/SY02012-2016</w:t>
      </w:r>
      <w:r>
        <w:rPr>
          <w:rFonts w:hint="eastAsia"/>
          <w:lang w:val="zh-CN"/>
        </w:rPr>
        <w:t>）中的相关要求后用于压裂液复配</w:t>
      </w:r>
      <w:r>
        <w:rPr>
          <w:rFonts w:hint="eastAsia" w:cs="宋体"/>
          <w:kern w:val="0"/>
          <w:lang w:bidi="ar"/>
        </w:rPr>
        <w:t>。</w:t>
      </w:r>
    </w:p>
    <w:p w14:paraId="7B95F90A">
      <w:pPr>
        <w:pStyle w:val="117"/>
        <w:ind w:firstLine="480"/>
        <w:rPr>
          <w:rFonts w:hint="eastAsia"/>
          <w:lang w:val="zh-CN"/>
        </w:rPr>
      </w:pPr>
      <w:bookmarkStart w:id="655" w:name="_Hlk37933724"/>
      <w:bookmarkStart w:id="656" w:name="_Hlk40626837"/>
      <w:r>
        <w:rPr>
          <w:rFonts w:hint="eastAsia"/>
          <w:lang w:val="zh-CN"/>
        </w:rPr>
        <w:t>②对</w:t>
      </w:r>
      <w:r>
        <w:rPr>
          <w:rFonts w:hint="eastAsia" w:cs="宋体"/>
          <w:kern w:val="0"/>
          <w:lang w:bidi="ar"/>
        </w:rPr>
        <w:t>洗井废水、井下作业废液</w:t>
      </w:r>
      <w:r>
        <w:rPr>
          <w:rFonts w:hint="eastAsia"/>
          <w:lang w:val="zh-CN"/>
        </w:rPr>
        <w:t>转移车辆全程</w:t>
      </w:r>
      <w:r>
        <w:rPr>
          <w:lang w:val="zh-CN"/>
        </w:rPr>
        <w:t>GPS</w:t>
      </w:r>
      <w:r>
        <w:rPr>
          <w:rFonts w:hint="eastAsia"/>
          <w:lang w:val="zh-CN"/>
        </w:rPr>
        <w:t>定位，并保存相关影像资料。井下作业过程需建立完善的运行台账，严禁废水随意倾倒。</w:t>
      </w:r>
    </w:p>
    <w:p w14:paraId="20C371C4">
      <w:pPr>
        <w:spacing w:line="520" w:lineRule="exact"/>
        <w:ind w:firstLine="480"/>
        <w:rPr>
          <w:rFonts w:hint="eastAsia" w:ascii="宋体" w:hAnsi="宋体" w:cs="宋体"/>
          <w:sz w:val="24"/>
          <w:szCs w:val="24"/>
        </w:rPr>
      </w:pPr>
      <w:r>
        <w:rPr>
          <w:rFonts w:hint="eastAsia" w:ascii="宋体" w:hAnsi="宋体" w:cs="宋体"/>
          <w:sz w:val="24"/>
          <w:szCs w:val="24"/>
        </w:rPr>
        <w:t>（2）地下水污染防治措施</w:t>
      </w:r>
    </w:p>
    <w:p w14:paraId="04F02467">
      <w:pPr>
        <w:spacing w:line="520" w:lineRule="exact"/>
        <w:ind w:firstLine="480"/>
        <w:rPr>
          <w:rFonts w:hint="eastAsia" w:ascii="宋体" w:hAnsi="宋体" w:cs="宋体"/>
          <w:sz w:val="24"/>
          <w:szCs w:val="24"/>
        </w:rPr>
      </w:pPr>
      <w:r>
        <w:rPr>
          <w:rFonts w:hint="eastAsia" w:ascii="宋体" w:hAnsi="宋体" w:cs="宋体"/>
          <w:sz w:val="24"/>
          <w:szCs w:val="24"/>
        </w:rPr>
        <w:t>①采取源头控制措施，使用先进、成熟、可靠的工艺技术，良好合格的防渗材料，尽可能从源头上减少污染物泄漏风险；同时，严格按照施工规范施工，保证施工质量。</w:t>
      </w:r>
    </w:p>
    <w:p w14:paraId="0BB13FBD">
      <w:pPr>
        <w:pStyle w:val="117"/>
        <w:ind w:firstLine="480"/>
        <w:rPr>
          <w:rFonts w:hint="eastAsia" w:cs="宋体"/>
        </w:rPr>
      </w:pPr>
      <w:r>
        <w:rPr>
          <w:rFonts w:hint="eastAsia" w:cs="宋体"/>
        </w:rPr>
        <w:t>②定期做好站井场、计量站内设备、阀门、管线等巡检，一旦发现异常，及时采取措施，防止“跑、冒、滴、漏”的发生。</w:t>
      </w:r>
    </w:p>
    <w:p w14:paraId="29E6F19B">
      <w:pPr>
        <w:spacing w:line="520" w:lineRule="exact"/>
        <w:ind w:firstLine="480"/>
        <w:rPr>
          <w:rFonts w:hint="eastAsia" w:ascii="宋体" w:hAnsi="宋体" w:cs="宋体"/>
          <w:sz w:val="24"/>
          <w:szCs w:val="24"/>
        </w:rPr>
      </w:pPr>
      <w:r>
        <w:rPr>
          <w:rFonts w:hint="eastAsia" w:ascii="宋体" w:hAnsi="宋体" w:cs="宋体"/>
          <w:sz w:val="24"/>
          <w:szCs w:val="24"/>
        </w:rPr>
        <w:t>③分区防渗</w:t>
      </w:r>
    </w:p>
    <w:p w14:paraId="1BCF86C7">
      <w:pPr>
        <w:pStyle w:val="162"/>
        <w:rPr>
          <w:rFonts w:hint="eastAsia"/>
          <w:color w:val="auto"/>
        </w:rPr>
      </w:pPr>
      <w:r>
        <w:rPr>
          <w:rFonts w:hint="eastAsia"/>
          <w:color w:val="auto"/>
        </w:rPr>
        <w:t>项目主要污染物为石油类，根据《环境影响评价技术导则-地下水环境》（HJ610-2016）中表5污染控制难易程度分级参照表、表6天然包气带防污性能分级参照表、表7地下水污染防渗分区参照表，</w:t>
      </w:r>
      <w:bookmarkStart w:id="657" w:name="_Hlk148007898"/>
      <w:r>
        <w:rPr>
          <w:rFonts w:hint="eastAsia"/>
          <w:color w:val="auto"/>
        </w:rPr>
        <w:t>将采油井场井口、拉油站储罐处划为重点防渗区，其余区域为一般防渗区，重点防渗区防渗性能不应低于</w:t>
      </w:r>
      <w:r>
        <w:rPr>
          <w:color w:val="auto"/>
        </w:rPr>
        <w:t>6</w:t>
      </w:r>
      <w:r>
        <w:rPr>
          <w:rFonts w:hint="eastAsia"/>
          <w:color w:val="auto"/>
        </w:rPr>
        <w:t>m厚渗透系数为1.0×10</w:t>
      </w:r>
      <w:r>
        <w:rPr>
          <w:rFonts w:hint="eastAsia"/>
          <w:color w:val="auto"/>
          <w:vertAlign w:val="superscript"/>
        </w:rPr>
        <w:t>-7</w:t>
      </w:r>
      <w:r>
        <w:rPr>
          <w:rFonts w:hint="eastAsia"/>
          <w:color w:val="auto"/>
        </w:rPr>
        <w:t>cm/s的黏土层的防渗性能，一般防渗区防渗性能不应低于</w:t>
      </w:r>
      <w:r>
        <w:rPr>
          <w:color w:val="auto"/>
        </w:rPr>
        <w:t>1.5</w:t>
      </w:r>
      <w:r>
        <w:rPr>
          <w:rFonts w:hint="eastAsia"/>
          <w:color w:val="auto"/>
        </w:rPr>
        <w:t>m厚渗透系数为1.0×10</w:t>
      </w:r>
      <w:r>
        <w:rPr>
          <w:rFonts w:hint="eastAsia"/>
          <w:color w:val="auto"/>
          <w:vertAlign w:val="superscript"/>
        </w:rPr>
        <w:t>-7</w:t>
      </w:r>
      <w:r>
        <w:rPr>
          <w:rFonts w:hint="eastAsia"/>
          <w:color w:val="auto"/>
        </w:rPr>
        <w:t>cm/s的黏土层的防渗性能</w:t>
      </w:r>
      <w:bookmarkEnd w:id="657"/>
      <w:r>
        <w:rPr>
          <w:rFonts w:hint="eastAsia"/>
          <w:color w:val="auto"/>
        </w:rPr>
        <w:t>。</w:t>
      </w:r>
    </w:p>
    <w:p w14:paraId="03722E01">
      <w:pPr>
        <w:pStyle w:val="162"/>
        <w:rPr>
          <w:rFonts w:hint="eastAsia" w:cs="宋体"/>
          <w:color w:val="auto"/>
        </w:rPr>
      </w:pPr>
      <w:r>
        <w:rPr>
          <w:rFonts w:hint="eastAsia" w:cs="宋体"/>
          <w:color w:val="auto"/>
        </w:rPr>
        <w:t>④污染监控</w:t>
      </w:r>
    </w:p>
    <w:p w14:paraId="2268E0CE">
      <w:pPr>
        <w:spacing w:line="520" w:lineRule="exact"/>
        <w:ind w:firstLine="480"/>
        <w:rPr>
          <w:rFonts w:hint="eastAsia" w:ascii="宋体" w:hAnsi="宋体" w:cs="宋体"/>
          <w:sz w:val="24"/>
          <w:szCs w:val="24"/>
        </w:rPr>
      </w:pPr>
      <w:r>
        <w:rPr>
          <w:rFonts w:hint="eastAsia" w:ascii="宋体" w:hAnsi="宋体" w:cs="宋体"/>
          <w:sz w:val="24"/>
          <w:szCs w:val="24"/>
        </w:rPr>
        <w:t>按照《环境影响评价技术导则  地下水》（HJ610-2016）中的相关规定</w:t>
      </w:r>
      <w:bookmarkStart w:id="658" w:name="_Hlk92219686"/>
      <w:r>
        <w:rPr>
          <w:rFonts w:hint="eastAsia" w:ascii="宋体" w:hAnsi="宋体" w:cs="宋体"/>
          <w:sz w:val="24"/>
          <w:szCs w:val="24"/>
        </w:rPr>
        <w:t>并结合工程实际情况，建设单位可利用吉庆油田作业区已有水源井作为地下水监测井，地下水监测点数量应不少于</w:t>
      </w:r>
      <w:r>
        <w:rPr>
          <w:rFonts w:ascii="宋体" w:hAnsi="宋体" w:cs="宋体"/>
          <w:sz w:val="24"/>
          <w:szCs w:val="24"/>
        </w:rPr>
        <w:t>3</w:t>
      </w:r>
      <w:r>
        <w:rPr>
          <w:rFonts w:hint="eastAsia" w:ascii="宋体" w:hAnsi="宋体" w:cs="宋体"/>
          <w:sz w:val="24"/>
          <w:szCs w:val="24"/>
        </w:rPr>
        <w:t>个，监测因子主要为pH、石油类，石油类参照执行《地表水环境质量标准》（</w:t>
      </w:r>
      <w:r>
        <w:rPr>
          <w:rFonts w:ascii="宋体" w:hAnsi="宋体" w:cs="宋体"/>
          <w:sz w:val="24"/>
          <w:szCs w:val="24"/>
        </w:rPr>
        <w:t>GB3838-2002</w:t>
      </w:r>
      <w:r>
        <w:rPr>
          <w:rFonts w:hint="eastAsia" w:ascii="宋体" w:hAnsi="宋体" w:cs="宋体"/>
          <w:sz w:val="24"/>
          <w:szCs w:val="24"/>
        </w:rPr>
        <w:t>）中Ⅲ类标准。</w:t>
      </w:r>
    </w:p>
    <w:p w14:paraId="6F625E99">
      <w:pPr>
        <w:spacing w:line="520" w:lineRule="exact"/>
        <w:ind w:firstLine="480"/>
        <w:rPr>
          <w:rFonts w:hint="eastAsia" w:ascii="宋体" w:hAnsi="宋体" w:cs="宋体"/>
          <w:sz w:val="24"/>
          <w:szCs w:val="24"/>
        </w:rPr>
      </w:pPr>
      <w:r>
        <w:rPr>
          <w:rFonts w:hint="eastAsia" w:ascii="宋体" w:hAnsi="宋体" w:cs="宋体"/>
          <w:sz w:val="24"/>
          <w:szCs w:val="24"/>
        </w:rPr>
        <w:t>对跟踪监测点监测结果应按有关规定及时建立档案，并定期向安全环保部门汇报，对于常规监测数据应该进行公开。如发现异常或发生事故，加密监测频次，并分析污染原因，确定泄漏污染源，及时采取应急措施。</w:t>
      </w:r>
    </w:p>
    <w:bookmarkEnd w:id="658"/>
    <w:p w14:paraId="2884C9F8">
      <w:pPr>
        <w:spacing w:line="520" w:lineRule="exact"/>
        <w:ind w:firstLine="480"/>
        <w:rPr>
          <w:rFonts w:hint="eastAsia" w:ascii="宋体" w:hAnsi="宋体" w:cs="宋体"/>
          <w:sz w:val="24"/>
          <w:szCs w:val="24"/>
        </w:rPr>
      </w:pPr>
      <w:r>
        <w:rPr>
          <w:rFonts w:hint="eastAsia" w:ascii="宋体" w:hAnsi="宋体" w:cs="宋体"/>
          <w:sz w:val="24"/>
          <w:szCs w:val="24"/>
        </w:rPr>
        <w:t>⑤应急响应</w:t>
      </w:r>
    </w:p>
    <w:p w14:paraId="18629028">
      <w:pPr>
        <w:spacing w:line="520" w:lineRule="exact"/>
        <w:ind w:firstLine="480"/>
        <w:rPr>
          <w:rFonts w:hint="eastAsia" w:ascii="宋体" w:hAnsi="宋体" w:cs="宋体"/>
          <w:sz w:val="24"/>
          <w:szCs w:val="24"/>
        </w:rPr>
      </w:pPr>
      <w:r>
        <w:rPr>
          <w:rFonts w:hint="eastAsia" w:ascii="宋体" w:hAnsi="宋体" w:cs="宋体"/>
          <w:sz w:val="24"/>
          <w:szCs w:val="24"/>
        </w:rPr>
        <w:t>针对应急工作需要，参照相关技术导则，结合地下水污染治理的技术特点，成立应急指挥中心，负责编制应急方案，组建应急队伍，组织实施演习，协调各级、各专业应急力量支援行动。</w:t>
      </w:r>
      <w:bookmarkEnd w:id="655"/>
      <w:bookmarkEnd w:id="656"/>
    </w:p>
    <w:bookmarkEnd w:id="647"/>
    <w:bookmarkEnd w:id="648"/>
    <w:bookmarkEnd w:id="649"/>
    <w:p w14:paraId="1840FF03">
      <w:pPr>
        <w:pStyle w:val="4"/>
        <w:rPr>
          <w:rFonts w:hint="eastAsia"/>
          <w:lang w:val="zh-CN"/>
        </w:rPr>
      </w:pPr>
      <w:bookmarkStart w:id="659" w:name="_Toc32189"/>
      <w:bookmarkStart w:id="660" w:name="_Toc445842147"/>
      <w:bookmarkStart w:id="661" w:name="_Toc445996467"/>
      <w:r>
        <w:rPr>
          <w:rFonts w:hint="eastAsia"/>
          <w:lang w:val="zh-CN"/>
        </w:rPr>
        <w:t>运营期</w:t>
      </w:r>
      <w:r>
        <w:rPr>
          <w:lang w:val="zh-CN"/>
        </w:rPr>
        <w:t>噪声污染防治措施</w:t>
      </w:r>
    </w:p>
    <w:p w14:paraId="1083DD93">
      <w:pPr>
        <w:pStyle w:val="117"/>
        <w:ind w:firstLine="480"/>
        <w:rPr>
          <w:rFonts w:hint="eastAsia"/>
        </w:rPr>
      </w:pPr>
      <w:r>
        <w:rPr>
          <w:rFonts w:hint="eastAsia"/>
        </w:rPr>
        <w:t>（1）尽量选用低噪声设备，对噪声强度较大的设备进行减噪处理。</w:t>
      </w:r>
    </w:p>
    <w:p w14:paraId="2DD80ED2">
      <w:pPr>
        <w:pStyle w:val="117"/>
        <w:ind w:firstLine="480"/>
        <w:rPr>
          <w:rFonts w:hint="eastAsia"/>
        </w:rPr>
      </w:pPr>
      <w:r>
        <w:rPr>
          <w:rFonts w:hint="eastAsia"/>
        </w:rPr>
        <w:t>（2）定期给机泵等设备加润滑油和减振垫，对各种机械设备定期保养。</w:t>
      </w:r>
    </w:p>
    <w:p w14:paraId="54BD4D87">
      <w:pPr>
        <w:pStyle w:val="117"/>
        <w:ind w:firstLine="480"/>
        <w:rPr>
          <w:rFonts w:hint="eastAsia"/>
        </w:rPr>
      </w:pPr>
      <w:r>
        <w:rPr>
          <w:rFonts w:hint="eastAsia"/>
        </w:rPr>
        <w:t>（3）合理布局使各产噪设备尽可能位于站场中心。</w:t>
      </w:r>
    </w:p>
    <w:p w14:paraId="7D541991">
      <w:pPr>
        <w:pStyle w:val="117"/>
        <w:ind w:firstLine="480"/>
        <w:rPr>
          <w:rFonts w:hint="eastAsia"/>
        </w:rPr>
      </w:pPr>
      <w:r>
        <w:rPr>
          <w:rFonts w:hint="eastAsia"/>
        </w:rPr>
        <w:t>（4）加强噪声防范，做好个人防护工作。</w:t>
      </w:r>
    </w:p>
    <w:p w14:paraId="1E65D49A">
      <w:pPr>
        <w:pStyle w:val="117"/>
        <w:ind w:firstLine="480"/>
        <w:rPr>
          <w:rFonts w:hint="eastAsia"/>
        </w:rPr>
      </w:pPr>
      <w:r>
        <w:rPr>
          <w:rFonts w:hint="eastAsia"/>
        </w:rPr>
        <w:t>经以上措施，平台井场厂界能够满足《工业企业厂界环境噪声排放标准》（GB12348-2008）</w:t>
      </w:r>
      <w:r>
        <w:t>2</w:t>
      </w:r>
      <w:r>
        <w:rPr>
          <w:rFonts w:hint="eastAsia"/>
        </w:rPr>
        <w:t>类声功能区环境噪声限值要求。</w:t>
      </w:r>
    </w:p>
    <w:p w14:paraId="4399D46A">
      <w:pPr>
        <w:pStyle w:val="4"/>
        <w:rPr>
          <w:rFonts w:hint="eastAsia"/>
          <w:lang w:val="zh-CN"/>
        </w:rPr>
      </w:pPr>
      <w:bookmarkStart w:id="662" w:name="_Hlk40434589"/>
      <w:bookmarkStart w:id="663" w:name="_Hlk40733113"/>
      <w:r>
        <w:rPr>
          <w:rFonts w:hint="eastAsia"/>
          <w:lang w:val="zh-CN"/>
        </w:rPr>
        <w:t>运营期</w:t>
      </w:r>
      <w:r>
        <w:rPr>
          <w:lang w:val="zh-CN"/>
        </w:rPr>
        <w:t>固体废物污染防治</w:t>
      </w:r>
      <w:bookmarkEnd w:id="662"/>
      <w:r>
        <w:rPr>
          <w:lang w:val="zh-CN"/>
        </w:rPr>
        <w:t>措施</w:t>
      </w:r>
    </w:p>
    <w:bookmarkEnd w:id="663"/>
    <w:p w14:paraId="7F76B062">
      <w:pPr>
        <w:pStyle w:val="117"/>
        <w:ind w:firstLine="480" w:firstLineChars="0"/>
        <w:rPr>
          <w:rFonts w:hint="eastAsia"/>
          <w:lang w:val="zh-CN"/>
        </w:rPr>
      </w:pPr>
      <w:r>
        <w:rPr>
          <w:rFonts w:hint="eastAsia"/>
        </w:rPr>
        <w:t>（1）</w:t>
      </w:r>
      <w:bookmarkStart w:id="664" w:name="_Hlk147589724"/>
      <w:r>
        <w:rPr>
          <w:rFonts w:hint="eastAsia" w:cs="宋体"/>
        </w:rPr>
        <w:t>固体废物主要为</w:t>
      </w:r>
      <w:bookmarkStart w:id="665" w:name="OLE_LINK97"/>
      <w:r>
        <w:rPr>
          <w:rFonts w:hint="eastAsia" w:cs="宋体"/>
        </w:rPr>
        <w:t>清罐底泥</w:t>
      </w:r>
      <w:r>
        <w:rPr>
          <w:rFonts w:hint="eastAsia" w:cs="宋体"/>
          <w:lang w:val="zh-CN"/>
        </w:rPr>
        <w:t>、</w:t>
      </w:r>
      <w:bookmarkEnd w:id="665"/>
      <w:r>
        <w:rPr>
          <w:rFonts w:hint="eastAsia" w:cs="宋体"/>
          <w:lang w:val="zh-CN"/>
        </w:rPr>
        <w:t>废润滑油、废润滑油桶、沾油废防渗材料、废含油抹布和劳保用品</w:t>
      </w:r>
      <w:r>
        <w:rPr>
          <w:rFonts w:hint="eastAsia" w:cs="宋体"/>
        </w:rPr>
        <w:t>、</w:t>
      </w:r>
      <w:r>
        <w:rPr>
          <w:rFonts w:hint="eastAsia" w:cs="宋体"/>
          <w:lang w:val="zh-CN"/>
        </w:rPr>
        <w:t>废脱硫剂包装物。</w:t>
      </w:r>
      <w:r>
        <w:rPr>
          <w:rFonts w:hint="eastAsia" w:cs="宋体"/>
        </w:rPr>
        <w:t>清罐底泥</w:t>
      </w:r>
      <w:r>
        <w:rPr>
          <w:rFonts w:hint="eastAsia" w:cs="宋体"/>
          <w:lang w:val="zh-CN"/>
        </w:rPr>
        <w:t>、废润滑油、废润滑油桶、沾油废防渗膜属于《国家危险废物名录》（</w:t>
      </w:r>
      <w:r>
        <w:rPr>
          <w:rFonts w:cs="宋体"/>
          <w:lang w:val="zh-CN"/>
        </w:rPr>
        <w:t>2021</w:t>
      </w:r>
      <w:r>
        <w:rPr>
          <w:rFonts w:hint="eastAsia" w:cs="宋体"/>
          <w:lang w:val="zh-CN"/>
        </w:rPr>
        <w:t>年版）</w:t>
      </w:r>
      <w:r>
        <w:rPr>
          <w:rFonts w:cs="宋体"/>
          <w:lang w:val="zh-CN"/>
        </w:rPr>
        <w:t>HW08</w:t>
      </w:r>
      <w:r>
        <w:rPr>
          <w:rFonts w:hint="eastAsia" w:cs="宋体"/>
          <w:lang w:val="zh-CN"/>
        </w:rPr>
        <w:t>废矿物油和含矿物油废物，废含油抹布和劳保用品属于《国家危险废物名录》（</w:t>
      </w:r>
      <w:r>
        <w:rPr>
          <w:rFonts w:cs="宋体"/>
          <w:lang w:val="zh-CN"/>
        </w:rPr>
        <w:t>2021</w:t>
      </w:r>
      <w:r>
        <w:rPr>
          <w:rFonts w:hint="eastAsia" w:cs="宋体"/>
          <w:lang w:val="zh-CN"/>
        </w:rPr>
        <w:t>年版）HW49其他废物，清罐底泥不暂存，直接交由有相应危险废物处理资质的单位回收处置，其余危险废物临时贮存在吉祥联合站危险废物临时贮存点，最终交由有相应危险废物处理资质的单位处理。</w:t>
      </w:r>
      <w:r>
        <w:rPr>
          <w:rFonts w:hint="eastAsia" w:cs="宋体"/>
        </w:rPr>
        <w:t>吉庆油田作业区已与</w:t>
      </w:r>
      <w:r>
        <w:rPr>
          <w:rFonts w:hint="eastAsia"/>
        </w:rPr>
        <w:t>克拉玛依市博达生态环保科技有限责任公司签订了危险废物处置协议，产生的危险废物可</w:t>
      </w:r>
      <w:r>
        <w:rPr>
          <w:rFonts w:hint="eastAsia" w:cs="宋体"/>
        </w:rPr>
        <w:t>得到妥善处置。废脱硫剂由厂家回收处理。</w:t>
      </w:r>
    </w:p>
    <w:bookmarkEnd w:id="664"/>
    <w:p w14:paraId="0759A38E">
      <w:pPr>
        <w:pStyle w:val="462"/>
        <w:rPr>
          <w:rFonts w:hint="eastAsia"/>
          <w:color w:val="auto"/>
        </w:rPr>
      </w:pPr>
      <w:r>
        <w:rPr>
          <w:rFonts w:hint="eastAsia" w:cs="宋体"/>
          <w:color w:val="auto"/>
        </w:rPr>
        <w:t>（</w:t>
      </w:r>
      <w:r>
        <w:rPr>
          <w:rFonts w:cs="宋体"/>
          <w:color w:val="auto"/>
        </w:rPr>
        <w:t>2</w:t>
      </w:r>
      <w:r>
        <w:rPr>
          <w:rFonts w:hint="eastAsia" w:cs="宋体"/>
          <w:color w:val="auto"/>
        </w:rPr>
        <w:t>）清罐底泥、</w:t>
      </w:r>
      <w:r>
        <w:rPr>
          <w:rFonts w:hint="eastAsia" w:cs="宋体"/>
          <w:color w:val="auto"/>
          <w:lang w:val="zh-CN"/>
        </w:rPr>
        <w:t>废润滑油、废润滑油桶、沾油废防渗膜和废含油抹布和劳保用品</w:t>
      </w:r>
      <w:r>
        <w:rPr>
          <w:rFonts w:hint="eastAsia" w:cs="宋体"/>
          <w:color w:val="auto"/>
        </w:rPr>
        <w:t>的收集、贮存、运输须符合《危险废物收集 贮存 运输 技术规范》（HJ2025-2012）、</w:t>
      </w:r>
      <w:r>
        <w:rPr>
          <w:color w:val="auto"/>
        </w:rPr>
        <w:t>《危险废物收集</w:t>
      </w:r>
      <w:r>
        <w:rPr>
          <w:rFonts w:hint="eastAsia"/>
          <w:color w:val="auto"/>
        </w:rPr>
        <w:t xml:space="preserve"> </w:t>
      </w:r>
      <w:r>
        <w:rPr>
          <w:color w:val="auto"/>
        </w:rPr>
        <w:t>贮存</w:t>
      </w:r>
      <w:r>
        <w:rPr>
          <w:rFonts w:hint="eastAsia"/>
          <w:color w:val="auto"/>
        </w:rPr>
        <w:t xml:space="preserve"> </w:t>
      </w:r>
      <w:r>
        <w:rPr>
          <w:color w:val="auto"/>
        </w:rPr>
        <w:t>运输技术规范》（HJ2025-2012）和《危险废物转移管理办法》（生态环境部、公安部、交通运输部令第23号）要求，相关资料存档备查。</w:t>
      </w:r>
      <w:r>
        <w:rPr>
          <w:rFonts w:hint="eastAsia"/>
          <w:color w:val="auto"/>
        </w:rPr>
        <w:t>具体如下：</w:t>
      </w:r>
    </w:p>
    <w:p w14:paraId="14E42D1F">
      <w:pPr>
        <w:pStyle w:val="462"/>
        <w:rPr>
          <w:rFonts w:hint="eastAsia"/>
          <w:color w:val="auto"/>
        </w:rPr>
      </w:pPr>
      <w:bookmarkStart w:id="666" w:name="_Hlk110526123"/>
      <w:r>
        <w:rPr>
          <w:rFonts w:hint="eastAsia" w:cs="宋体"/>
          <w:color w:val="auto"/>
        </w:rPr>
        <w:t>①</w:t>
      </w:r>
      <w:r>
        <w:rPr>
          <w:color w:val="auto"/>
        </w:rPr>
        <w:t>危废收集过程污染防治措施</w:t>
      </w:r>
    </w:p>
    <w:p w14:paraId="10A3AA06">
      <w:pPr>
        <w:pStyle w:val="117"/>
        <w:ind w:firstLine="480"/>
        <w:rPr>
          <w:rFonts w:ascii="Times New Roman" w:hAnsi="Times New Roman"/>
        </w:rPr>
      </w:pPr>
      <w:r>
        <w:rPr>
          <w:rFonts w:ascii="Times New Roman" w:hAnsi="Times New Roman"/>
        </w:rPr>
        <w:t>在危险废物收集过程中应采取以下防治措施：</w:t>
      </w:r>
    </w:p>
    <w:p w14:paraId="71BE5EA6">
      <w:pPr>
        <w:pStyle w:val="117"/>
        <w:ind w:firstLine="480"/>
        <w:rPr>
          <w:rFonts w:ascii="Times New Roman" w:hAnsi="Times New Roman"/>
        </w:rPr>
      </w:pPr>
      <w:r>
        <w:rPr>
          <w:rFonts w:hint="eastAsia" w:ascii="Times New Roman" w:hAnsi="Times New Roman"/>
        </w:rPr>
        <w:t>※</w:t>
      </w:r>
      <w:r>
        <w:rPr>
          <w:rFonts w:ascii="Times New Roman" w:hAnsi="Times New Roman"/>
        </w:rPr>
        <w:t>危险废物的收集应根据危险废物产生的工艺特征、排放周期、危险废物特性、废物管理计划等因素制定收集计划。收集计划应包括收集任务概述、收集目标及原则、危险废物特性评估、危险废物收集量估算、收集作业范围和方法、收集设备与包装容器、安全生产与个人防护、工程防护与事故应急、进度安排与组织管理等。</w:t>
      </w:r>
    </w:p>
    <w:p w14:paraId="2F420888">
      <w:pPr>
        <w:pStyle w:val="117"/>
        <w:ind w:firstLine="480"/>
        <w:rPr>
          <w:rFonts w:ascii="Times New Roman" w:hAnsi="Times New Roman"/>
        </w:rPr>
      </w:pPr>
      <w:r>
        <w:rPr>
          <w:rFonts w:hint="eastAsia" w:ascii="Times New Roman" w:hAnsi="Times New Roman"/>
        </w:rPr>
        <w:t>※</w:t>
      </w:r>
      <w:r>
        <w:rPr>
          <w:rFonts w:ascii="Times New Roman" w:hAnsi="Times New Roman"/>
        </w:rPr>
        <w:t>危险废物的收集应制定详细的操作规程，内容至少应包括适用范围、操作程序和方法、专用设备和工具、转移和交接、安全保障和应急防护等。</w:t>
      </w:r>
    </w:p>
    <w:p w14:paraId="134E178F">
      <w:pPr>
        <w:pStyle w:val="117"/>
        <w:ind w:firstLine="480"/>
        <w:rPr>
          <w:rFonts w:ascii="Times New Roman" w:hAnsi="Times New Roman"/>
        </w:rPr>
      </w:pPr>
      <w:r>
        <w:rPr>
          <w:rFonts w:hint="eastAsia" w:cs="宋体"/>
        </w:rPr>
        <w:t>※</w:t>
      </w:r>
      <w:r>
        <w:rPr>
          <w:rFonts w:ascii="Times New Roman" w:hAnsi="Times New Roman"/>
        </w:rPr>
        <w:t>危险废物收集和转运作业人员应根据工作需要配备必要的个人防护装备，如手套、防护镜、防护服、防毒面具或口罩等。</w:t>
      </w:r>
    </w:p>
    <w:p w14:paraId="35EA8DBC">
      <w:pPr>
        <w:pStyle w:val="117"/>
        <w:ind w:firstLine="480"/>
        <w:rPr>
          <w:rFonts w:ascii="Times New Roman" w:hAnsi="Times New Roman"/>
        </w:rPr>
      </w:pPr>
      <w:r>
        <w:rPr>
          <w:rFonts w:hint="eastAsia" w:cs="宋体"/>
        </w:rPr>
        <w:t>※</w:t>
      </w:r>
      <w:r>
        <w:rPr>
          <w:rFonts w:ascii="Times New Roman" w:hAnsi="Times New Roman"/>
        </w:rPr>
        <w:t>在危险废物的收集和转运过程中，应采取相应的安全防护和污染防治措施，包括防爆、防火、防中毒、防感染、防泄露、防飞扬、防雨或其它防止污染环境的措施。</w:t>
      </w:r>
    </w:p>
    <w:p w14:paraId="024C3566">
      <w:pPr>
        <w:pStyle w:val="117"/>
        <w:ind w:firstLine="480"/>
        <w:rPr>
          <w:rFonts w:ascii="Times New Roman" w:hAnsi="Times New Roman"/>
        </w:rPr>
      </w:pPr>
      <w:r>
        <w:rPr>
          <w:rFonts w:hint="eastAsia" w:cs="宋体"/>
        </w:rPr>
        <w:t>※</w:t>
      </w:r>
      <w:r>
        <w:rPr>
          <w:rFonts w:ascii="Times New Roman" w:hAnsi="Times New Roman"/>
        </w:rPr>
        <w:t>危险废物收集时应根据危险废物的种类、数量、危险特性、物理形态、运输要求等因素确定包装形式，具体包装应符合如下要求</w:t>
      </w:r>
      <w:r>
        <w:rPr>
          <w:rFonts w:hint="eastAsia" w:ascii="Times New Roman" w:hAnsi="Times New Roman"/>
        </w:rPr>
        <w:t>：</w:t>
      </w:r>
      <w:r>
        <w:rPr>
          <w:rFonts w:ascii="Times New Roman" w:hAnsi="Times New Roman"/>
        </w:rPr>
        <w:t>各类危险废物使用符合标准的容器盛装，装载危险废物的容器及材质要满足相应的强度要求，容器必须完好无损，材质和衬里要与危险废物相容（不相互反应）</w:t>
      </w:r>
      <w:r>
        <w:rPr>
          <w:rFonts w:hint="eastAsia" w:ascii="Times New Roman" w:hAnsi="Times New Roman"/>
        </w:rPr>
        <w:t>；</w:t>
      </w:r>
      <w:r>
        <w:rPr>
          <w:rFonts w:ascii="Times New Roman" w:hAnsi="Times New Roman"/>
        </w:rPr>
        <w:t>性质类似的废物可收集到同一容器中，性质不相容的危险废物不应混合包装；危险废物包装应能有效隔断危险废物迁移扩散途径，并达到防渗、防漏要求；容器上必须粘贴符合标准的标签，标签信息填写完整翔实；盛装危废后的废包装桶及时转运至处置场所进行处置；盛装过危险废物的包装袋或包装容器破损后应按危险废物进行管理和处置</w:t>
      </w:r>
      <w:r>
        <w:rPr>
          <w:rFonts w:hint="eastAsia" w:ascii="Times New Roman" w:hAnsi="Times New Roman"/>
        </w:rPr>
        <w:t>；</w:t>
      </w:r>
      <w:r>
        <w:rPr>
          <w:rFonts w:ascii="Times New Roman" w:hAnsi="Times New Roman"/>
        </w:rPr>
        <w:t>在危险废物的收集和转运过程中，应采取相应的安全防护和污染防治措施，包括防爆、防火、防中毒、防感染、防泄漏、防飞扬、防雨等其他防治污染环境的措施。</w:t>
      </w:r>
    </w:p>
    <w:p w14:paraId="40A94433">
      <w:pPr>
        <w:pStyle w:val="117"/>
        <w:ind w:firstLine="480"/>
        <w:rPr>
          <w:rFonts w:ascii="Times New Roman" w:hAnsi="Times New Roman"/>
        </w:rPr>
      </w:pPr>
      <w:r>
        <w:rPr>
          <w:rFonts w:hint="eastAsia" w:cs="宋体"/>
        </w:rPr>
        <w:t>②</w:t>
      </w:r>
      <w:r>
        <w:rPr>
          <w:rFonts w:ascii="Times New Roman" w:hAnsi="Times New Roman"/>
        </w:rPr>
        <w:t>危险废物的收集作业应满足如下要求：设置作业界限标志和警示牌；收集时应配备必要的收集工具和包装物，以及必要的应急监测设备及应急装备；收集时应填写记录表，并将记录表作为危险废物管理的重要档案妥善保存；收集结束后应清理和恢复收集作业区与，确保作业区域环境整洁安全；收集过危险废物的容器、设备、场所及其他物品转作它用时，应消除污染，确保使用安全。</w:t>
      </w:r>
    </w:p>
    <w:bookmarkEnd w:id="666"/>
    <w:p w14:paraId="38AA3092">
      <w:pPr>
        <w:pStyle w:val="117"/>
        <w:ind w:firstLine="480"/>
        <w:rPr>
          <w:rFonts w:ascii="Times New Roman" w:hAnsi="Times New Roman"/>
        </w:rPr>
      </w:pPr>
      <w:r>
        <w:rPr>
          <w:rFonts w:hint="eastAsia" w:ascii="Times New Roman" w:hAnsi="Times New Roman"/>
        </w:rPr>
        <w:t>③危险废物贮存污染防治措施</w:t>
      </w:r>
    </w:p>
    <w:p w14:paraId="74162BED">
      <w:pPr>
        <w:pStyle w:val="117"/>
        <w:ind w:firstLine="480"/>
        <w:rPr>
          <w:rFonts w:ascii="Times New Roman" w:hAnsi="Times New Roman"/>
        </w:rPr>
      </w:pPr>
      <w:r>
        <w:rPr>
          <w:rFonts w:hint="eastAsia" w:ascii="Times New Roman" w:hAnsi="Times New Roman"/>
        </w:rPr>
        <w:t>本项目产生的危险废气临时贮存在</w:t>
      </w:r>
      <w:r>
        <w:rPr>
          <w:rFonts w:hint="eastAsia" w:cs="宋体"/>
          <w:lang w:val="zh-CN"/>
        </w:rPr>
        <w:t>吉祥联合站危险废物临时贮存点</w:t>
      </w:r>
      <w:r>
        <w:rPr>
          <w:rFonts w:hint="eastAsia" w:ascii="Times New Roman" w:hAnsi="Times New Roman"/>
        </w:rPr>
        <w:t>，该危险废物临时贮存点满足</w:t>
      </w:r>
      <w:r>
        <w:rPr>
          <w:rFonts w:ascii="Times New Roman" w:hAnsi="Times New Roman"/>
        </w:rPr>
        <w:t>《危险废物</w:t>
      </w:r>
      <w:r>
        <w:t>贮存污染控制标准》（GB18597-2023）</w:t>
      </w:r>
      <w:r>
        <w:rPr>
          <w:rFonts w:hint="eastAsia"/>
        </w:rPr>
        <w:t>中的相关要求，危险废物暂存间运营管理要求：危险废物存入危险废物暂存场前应对</w:t>
      </w:r>
      <w:r>
        <w:rPr>
          <w:rFonts w:hint="eastAsia" w:ascii="Times New Roman" w:hAnsi="Times New Roman"/>
        </w:rPr>
        <w:t>危险废物类别和特性与危险废物标签等危险废物识别标志的一致性进行核验，不一致的或类别、特性不明的不应存入；应定期检查危险废物暂存场状况，及时清理暂存场地面，更换破损泄漏的危险废物贮存容器和包装物，保证堆存危险废物的防雨、防风、防扬尘等设施功能完好；作业设备及车辆等结束作业离开危险废物暂存场时，应对其残留的危险废物进行清理，清理的废物或清洗废水应收集处理；贮存设施运行期间，应按国家有关标准和规定建立危险废物管理台账并保存。</w:t>
      </w:r>
    </w:p>
    <w:p w14:paraId="11A0099A">
      <w:pPr>
        <w:pStyle w:val="117"/>
        <w:ind w:firstLine="480"/>
        <w:rPr>
          <w:rFonts w:ascii="Times New Roman" w:hAnsi="Times New Roman"/>
        </w:rPr>
      </w:pPr>
      <w:bookmarkStart w:id="667" w:name="_Hlk147589850"/>
      <w:r>
        <w:rPr>
          <w:rFonts w:hint="eastAsia" w:ascii="Times New Roman" w:hAnsi="Times New Roman"/>
        </w:rPr>
        <w:t>④危险废物的运输</w:t>
      </w:r>
    </w:p>
    <w:p w14:paraId="439D1F01">
      <w:pPr>
        <w:pStyle w:val="117"/>
        <w:ind w:firstLine="480"/>
        <w:rPr>
          <w:rFonts w:ascii="Times New Roman" w:hAnsi="Times New Roman"/>
        </w:rPr>
      </w:pPr>
      <w:r>
        <w:rPr>
          <w:rFonts w:hint="eastAsia" w:ascii="Times New Roman" w:hAnsi="Times New Roman"/>
        </w:rPr>
        <w:t>危险废物运输应由持有危险废物经营许可证的单位按照其许可证的经营范围组织实施，承担危险废物运输的单位应获得交通运输部门颁发的危险货物运输资质；危险废物公路运输应按照《道路危险货物运输管理规定》(交通部令[2005年]第9号)、JT617以及JT618执行；运输单位承运危险废物时，应在危险废物包装上按照GB18597附录A设置标志；危险废物公路运输时，运输车辆应按GB13392设置车辆标志；危险废物运输时的中转、装卸过程应遵守如下技术要求：卸载区的工作人员应熟悉废物的危险特性，并配备适当的个人防护装备，装卸剧毒废物应配备特殊的防护装备；卸载区应配备必要的消防设备和设施，并设置明显的指示标志；危险废物装卸区应设置隔离设施，液态废物卸载区应设置收集槽和缓冲罐。</w:t>
      </w:r>
    </w:p>
    <w:bookmarkEnd w:id="667"/>
    <w:p w14:paraId="7DBB3CD4">
      <w:pPr>
        <w:pStyle w:val="117"/>
        <w:ind w:firstLine="480" w:firstLineChars="0"/>
        <w:rPr>
          <w:rFonts w:hint="eastAsia" w:cs="宋体"/>
          <w:kern w:val="0"/>
          <w:szCs w:val="21"/>
        </w:rPr>
      </w:pPr>
      <w:r>
        <w:rPr>
          <w:rFonts w:hint="eastAsia" w:cs="宋体"/>
          <w:kern w:val="0"/>
          <w:szCs w:val="21"/>
        </w:rPr>
        <w:t>（</w:t>
      </w:r>
      <w:r>
        <w:rPr>
          <w:rFonts w:cs="宋体"/>
          <w:kern w:val="0"/>
          <w:szCs w:val="21"/>
        </w:rPr>
        <w:t>3</w:t>
      </w:r>
      <w:r>
        <w:rPr>
          <w:rFonts w:hint="eastAsia" w:cs="宋体"/>
          <w:kern w:val="0"/>
          <w:szCs w:val="21"/>
        </w:rPr>
        <w:t>）按照《环境保护图形标志固体废物贮存（处置）场》（</w:t>
      </w:r>
      <w:r>
        <w:rPr>
          <w:kern w:val="0"/>
          <w:szCs w:val="21"/>
        </w:rPr>
        <w:t>GB15562.2</w:t>
      </w:r>
      <w:r>
        <w:rPr>
          <w:rFonts w:hint="eastAsia" w:cs="宋体"/>
          <w:kern w:val="0"/>
          <w:szCs w:val="21"/>
        </w:rPr>
        <w:t>）等有关规定，对危险废物的容器和包装物设置危险废物识别标志。</w:t>
      </w:r>
    </w:p>
    <w:p w14:paraId="13199E8F">
      <w:pPr>
        <w:pStyle w:val="462"/>
        <w:rPr>
          <w:rFonts w:hint="eastAsia"/>
          <w:color w:val="auto"/>
          <w:lang w:val="zh-CN"/>
        </w:rPr>
      </w:pPr>
      <w:r>
        <w:rPr>
          <w:rFonts w:hint="eastAsia" w:cs="宋体"/>
          <w:color w:val="auto"/>
          <w:szCs w:val="21"/>
        </w:rPr>
        <w:t>（</w:t>
      </w:r>
      <w:r>
        <w:rPr>
          <w:rFonts w:cs="宋体"/>
          <w:color w:val="auto"/>
          <w:szCs w:val="21"/>
        </w:rPr>
        <w:t>4</w:t>
      </w:r>
      <w:r>
        <w:rPr>
          <w:rFonts w:hint="eastAsia" w:cs="宋体"/>
          <w:color w:val="auto"/>
          <w:szCs w:val="21"/>
        </w:rPr>
        <w:t>）</w:t>
      </w:r>
      <w:r>
        <w:rPr>
          <w:rFonts w:hint="eastAsia"/>
          <w:color w:val="auto"/>
          <w:lang w:val="zh-CN"/>
        </w:rPr>
        <w:t>吉庆油田作业区已按照年度建立了完善的危险废物管理计划，并定期向生态环境主管部门上报备案，项目建成后总体按照即定计划进行危险废物管理。</w:t>
      </w:r>
    </w:p>
    <w:p w14:paraId="58E48C12">
      <w:pPr>
        <w:pStyle w:val="462"/>
        <w:rPr>
          <w:rFonts w:hint="eastAsia"/>
          <w:color w:val="auto"/>
          <w:lang w:val="zh-CN"/>
        </w:rPr>
      </w:pPr>
      <w:r>
        <w:rPr>
          <w:rFonts w:hint="eastAsia"/>
          <w:color w:val="auto"/>
          <w:lang w:val="zh-CN"/>
        </w:rPr>
        <w:t>（5）吉庆油田作业区已建立了污染环境防治责任制度，建立了危险废物产生、收集、贮存、处置等全过程的污染环境防治责任制度；</w:t>
      </w:r>
    </w:p>
    <w:p w14:paraId="06B312AC">
      <w:pPr>
        <w:pStyle w:val="462"/>
        <w:rPr>
          <w:rFonts w:hint="eastAsia"/>
          <w:color w:val="auto"/>
          <w:lang w:val="zh-CN"/>
        </w:rPr>
      </w:pPr>
      <w:r>
        <w:rPr>
          <w:rFonts w:hint="eastAsia"/>
          <w:color w:val="auto"/>
          <w:lang w:val="zh-CN"/>
        </w:rPr>
        <w:t>（6）吉庆油田</w:t>
      </w:r>
      <w:bookmarkStart w:id="668" w:name="_Hlk162376067"/>
      <w:r>
        <w:rPr>
          <w:rFonts w:hint="eastAsia"/>
          <w:color w:val="auto"/>
          <w:lang w:val="zh-CN"/>
        </w:rPr>
        <w:t>作业区已按照《危险废物产生单位管理计划制定指南》有关要求制定，按年度建立了完善的危险废物管理计划，并定期向生态环境主管部门上报备案，项目建成后总体按照即定计划进行危险废物管理。</w:t>
      </w:r>
      <w:bookmarkEnd w:id="668"/>
    </w:p>
    <w:p w14:paraId="399EFFAD">
      <w:pPr>
        <w:pStyle w:val="462"/>
        <w:rPr>
          <w:rFonts w:hint="eastAsia"/>
          <w:color w:val="auto"/>
          <w:lang w:val="zh-CN"/>
        </w:rPr>
      </w:pPr>
      <w:r>
        <w:rPr>
          <w:rFonts w:hint="eastAsia"/>
          <w:color w:val="auto"/>
          <w:lang w:val="zh-CN"/>
        </w:rPr>
        <w:t>（7）运营单位应建立危险废物转移联单制度，转移危险废物的，应当按照《危险废物转移管理办法》的有关规定填写、运行危险废物转移联单。</w:t>
      </w:r>
    </w:p>
    <w:p w14:paraId="23C3754D">
      <w:pPr>
        <w:pStyle w:val="462"/>
        <w:rPr>
          <w:rFonts w:hint="eastAsia"/>
          <w:color w:val="auto"/>
          <w:lang w:val="zh-CN"/>
        </w:rPr>
      </w:pPr>
      <w:r>
        <w:rPr>
          <w:rFonts w:hint="eastAsia"/>
          <w:color w:val="auto"/>
          <w:lang w:val="zh-CN"/>
        </w:rPr>
        <w:t>（8）运营单位应按照国家有关规定和环境保护标准要求贮存、利用、处置危险废物，不得将其擅自倾倒处置；禁止混合收集、贮存、运输、处置性质不相容或未经安全性处置的危险废物；危险废物收集、贮存应当按照其特性分类进行，禁止将危险废物混入非危险废物中贮存。</w:t>
      </w:r>
    </w:p>
    <w:p w14:paraId="1C77E291">
      <w:pPr>
        <w:pStyle w:val="117"/>
        <w:ind w:firstLine="480" w:firstLineChars="0"/>
        <w:rPr>
          <w:rFonts w:hint="eastAsia"/>
        </w:rPr>
      </w:pPr>
      <w:r>
        <w:rPr>
          <w:rFonts w:hint="eastAsia"/>
        </w:rPr>
        <w:t>以上措施符合固体废物处置“减量化、资源化、无害化”原则。</w:t>
      </w:r>
    </w:p>
    <w:p w14:paraId="3E3B951D">
      <w:pPr>
        <w:pStyle w:val="4"/>
        <w:rPr>
          <w:rFonts w:hint="eastAsia"/>
          <w:lang w:val="zh-CN"/>
        </w:rPr>
      </w:pPr>
      <w:r>
        <w:rPr>
          <w:rFonts w:hint="eastAsia"/>
          <w:lang w:val="zh-CN"/>
        </w:rPr>
        <w:t>运营期土壤污染防治措施</w:t>
      </w:r>
    </w:p>
    <w:p w14:paraId="0ED45B78">
      <w:pPr>
        <w:pStyle w:val="117"/>
        <w:ind w:firstLine="480" w:firstLineChars="0"/>
        <w:rPr>
          <w:rFonts w:hint="eastAsia"/>
        </w:rPr>
      </w:pPr>
      <w:r>
        <w:rPr>
          <w:rFonts w:hint="eastAsia"/>
        </w:rPr>
        <w:t>（1）源头控制</w:t>
      </w:r>
    </w:p>
    <w:p w14:paraId="03C5CD95">
      <w:pPr>
        <w:pStyle w:val="117"/>
        <w:ind w:firstLine="480"/>
        <w:rPr>
          <w:rFonts w:hint="eastAsia"/>
        </w:rPr>
      </w:pPr>
      <w:bookmarkStart w:id="669" w:name="_Hlk148012561"/>
      <w:r>
        <w:rPr>
          <w:rFonts w:hint="eastAsia" w:cs="宋体"/>
          <w:kern w:val="0"/>
          <w:lang w:bidi="ar"/>
        </w:rPr>
        <w:t>洗井废水、井下作业废液（压裂返排液、酸化返排液和废洗井液）由罐车拉运至页岩油联合站旁的压裂液返排液处理装置处理，</w:t>
      </w:r>
      <w:r>
        <w:rPr>
          <w:rFonts w:hint="eastAsia"/>
        </w:rPr>
        <w:t>出水水质满足</w:t>
      </w:r>
      <w:r>
        <w:rPr>
          <w:rFonts w:hint="eastAsia"/>
          <w:lang w:val="zh-CN"/>
        </w:rPr>
        <w:t>《压裂酸化返排液处理技术规范》（Q/SY02012-2016）中的相关要求后用于压裂液复配</w:t>
      </w:r>
      <w:r>
        <w:rPr>
          <w:rFonts w:hint="eastAsia" w:cs="宋体"/>
          <w:lang w:bidi="ar"/>
        </w:rPr>
        <w:t>；</w:t>
      </w:r>
      <w:r>
        <w:rPr>
          <w:rFonts w:hint="eastAsia"/>
        </w:rPr>
        <w:t>各类危险废物集中收集后交由有相应危险废物处理资质的单位回收处置；产生的各类废物均可得到妥善处置，从源头减少了污染物的产生。</w:t>
      </w:r>
    </w:p>
    <w:bookmarkEnd w:id="669"/>
    <w:p w14:paraId="566C8F70">
      <w:pPr>
        <w:pStyle w:val="117"/>
        <w:ind w:firstLine="480" w:firstLineChars="0"/>
        <w:rPr>
          <w:rFonts w:hint="eastAsia"/>
        </w:rPr>
      </w:pPr>
      <w:r>
        <w:rPr>
          <w:rFonts w:hint="eastAsia"/>
        </w:rPr>
        <w:t>（2）防渗措施</w:t>
      </w:r>
    </w:p>
    <w:p w14:paraId="1DC7B260">
      <w:pPr>
        <w:pStyle w:val="117"/>
        <w:ind w:firstLine="480" w:firstLineChars="0"/>
        <w:rPr>
          <w:rFonts w:hint="eastAsia"/>
        </w:rPr>
      </w:pPr>
      <w:r>
        <w:rPr>
          <w:rFonts w:hint="eastAsia"/>
        </w:rPr>
        <w:t>防渗措施见“</w:t>
      </w:r>
      <w:r>
        <w:t>6</w:t>
      </w:r>
      <w:r>
        <w:rPr>
          <w:rFonts w:hint="eastAsia"/>
        </w:rPr>
        <w:t>.2.</w:t>
      </w:r>
      <w:r>
        <w:t>2</w:t>
      </w:r>
      <w:r>
        <w:rPr>
          <w:rFonts w:hint="eastAsia"/>
        </w:rPr>
        <w:t>运营期废水污染防治措施”章节。</w:t>
      </w:r>
    </w:p>
    <w:p w14:paraId="1112DBED">
      <w:pPr>
        <w:pStyle w:val="4"/>
        <w:rPr>
          <w:rFonts w:hint="eastAsia"/>
          <w:lang w:val="zh-CN"/>
        </w:rPr>
      </w:pPr>
      <w:r>
        <w:rPr>
          <w:rFonts w:hint="eastAsia"/>
          <w:lang w:val="zh-CN"/>
        </w:rPr>
        <w:t>运营期生态环境保护措施</w:t>
      </w:r>
    </w:p>
    <w:p w14:paraId="18EBF8C1">
      <w:pPr>
        <w:pStyle w:val="117"/>
        <w:ind w:firstLine="480"/>
        <w:rPr>
          <w:rFonts w:hint="eastAsia"/>
        </w:rPr>
      </w:pPr>
      <w:bookmarkStart w:id="670" w:name="_Hlk80529873"/>
      <w:r>
        <w:rPr>
          <w:rFonts w:hint="eastAsia"/>
        </w:rPr>
        <w:t>（</w:t>
      </w:r>
      <w:r>
        <w:t>1）</w:t>
      </w:r>
      <w:bookmarkStart w:id="671" w:name="_Hlk148007417"/>
      <w:r>
        <w:rPr>
          <w:rFonts w:hint="eastAsia"/>
        </w:rPr>
        <w:t>集油干支线上方设置标志，以防止附近的各类施工活动对管线的破坏；定期检查管线，如发现管线刺漏，需采取补救措施，并对受浸土壤回收处理。</w:t>
      </w:r>
    </w:p>
    <w:p w14:paraId="791CAC4A">
      <w:pPr>
        <w:pStyle w:val="117"/>
        <w:ind w:firstLine="480"/>
        <w:rPr>
          <w:rFonts w:hint="eastAsia"/>
        </w:rPr>
      </w:pPr>
      <w:r>
        <w:rPr>
          <w:rFonts w:hint="eastAsia"/>
        </w:rPr>
        <w:t>（</w:t>
      </w:r>
      <w:r>
        <w:t>2</w:t>
      </w:r>
      <w:r>
        <w:rPr>
          <w:rFonts w:hint="eastAsia"/>
        </w:rPr>
        <w:t>）定时巡查井场、计量站、管线等，严防跑、冒、滴、漏，避免泄漏油品污染周围生态环境。</w:t>
      </w:r>
    </w:p>
    <w:p w14:paraId="5C0A7B55">
      <w:pPr>
        <w:pStyle w:val="117"/>
        <w:ind w:firstLine="480"/>
        <w:rPr>
          <w:rFonts w:hint="eastAsia"/>
        </w:rPr>
      </w:pPr>
      <w:r>
        <w:rPr>
          <w:rFonts w:hint="eastAsia"/>
        </w:rPr>
        <w:t>（</w:t>
      </w:r>
      <w:r>
        <w:t>3</w:t>
      </w:r>
      <w:r>
        <w:rPr>
          <w:rFonts w:hint="eastAsia"/>
        </w:rPr>
        <w:t>）日常巡检时应控制车速，减少对野生动物的惊扰。</w:t>
      </w:r>
    </w:p>
    <w:p w14:paraId="06F7E78D">
      <w:pPr>
        <w:pStyle w:val="117"/>
        <w:ind w:firstLine="480"/>
        <w:rPr>
          <w:rFonts w:hint="eastAsia"/>
        </w:rPr>
      </w:pPr>
      <w:r>
        <w:rPr>
          <w:rFonts w:hint="eastAsia"/>
        </w:rPr>
        <w:t>（</w:t>
      </w:r>
      <w:r>
        <w:t>4</w:t>
      </w:r>
      <w:r>
        <w:rPr>
          <w:rFonts w:hint="eastAsia"/>
        </w:rPr>
        <w:t>）加强作业人员宣传教育工作，严禁捕杀野生动物，在道路边和井区内，设置“保护生态环境、保护野生动植物”等环境保护警示牌。</w:t>
      </w:r>
    </w:p>
    <w:p w14:paraId="6F7ACE88">
      <w:pPr>
        <w:pStyle w:val="117"/>
        <w:ind w:firstLine="480"/>
        <w:rPr>
          <w:rFonts w:hint="eastAsia"/>
        </w:rPr>
      </w:pPr>
      <w:r>
        <w:rPr>
          <w:rFonts w:hint="eastAsia"/>
        </w:rPr>
        <w:t>（</w:t>
      </w:r>
      <w:r>
        <w:t>5</w:t>
      </w:r>
      <w:r>
        <w:rPr>
          <w:rFonts w:hint="eastAsia"/>
        </w:rPr>
        <w:t>）永久占地采取砾石覆盖，减少风蚀量。</w:t>
      </w:r>
    </w:p>
    <w:p w14:paraId="20F1B1E6">
      <w:pPr>
        <w:pStyle w:val="117"/>
        <w:ind w:firstLine="480"/>
        <w:rPr>
          <w:rFonts w:hint="eastAsia"/>
        </w:rPr>
      </w:pPr>
      <w:r>
        <w:rPr>
          <w:rFonts w:hint="eastAsia"/>
        </w:rPr>
        <w:t>（</w:t>
      </w:r>
      <w:r>
        <w:t>6</w:t>
      </w:r>
      <w:r>
        <w:rPr>
          <w:rFonts w:hint="eastAsia"/>
        </w:rPr>
        <w:t>）提高车辆拉运驾驶人员技术素质、加强责任心，贯彻安全驾驶机动车辆的行为规定，严格遵守交通法规。</w:t>
      </w:r>
    </w:p>
    <w:bookmarkEnd w:id="671"/>
    <w:p w14:paraId="37A29730">
      <w:pPr>
        <w:pStyle w:val="117"/>
        <w:ind w:firstLine="480"/>
        <w:rPr>
          <w:rFonts w:hint="eastAsia"/>
        </w:rPr>
      </w:pPr>
      <w:r>
        <w:rPr>
          <w:rFonts w:hint="eastAsia"/>
        </w:rPr>
        <w:t>（7）地表要及时进行植被恢复工作，防止水土流失。管道维修二次开挖回填时，尽量按原有土壤层次进行回填。</w:t>
      </w:r>
    </w:p>
    <w:p w14:paraId="4B7D25F7">
      <w:pPr>
        <w:pStyle w:val="117"/>
        <w:ind w:firstLine="480"/>
        <w:rPr>
          <w:rFonts w:hint="eastAsia"/>
        </w:rPr>
      </w:pPr>
      <w:r>
        <w:rPr>
          <w:rFonts w:hint="eastAsia"/>
        </w:rPr>
        <w:t>（8）巡检车辆严格按照现有道路行驶，不得驶入农田中。</w:t>
      </w:r>
    </w:p>
    <w:p w14:paraId="490B9526">
      <w:pPr>
        <w:pStyle w:val="2"/>
        <w:rPr>
          <w:rFonts w:hint="eastAsia"/>
          <w:lang w:val="zh-CN"/>
        </w:rPr>
      </w:pPr>
      <w:bookmarkStart w:id="672" w:name="_Toc160382103"/>
      <w:r>
        <w:rPr>
          <w:rFonts w:hint="eastAsia"/>
        </w:rPr>
        <w:t>温室气体管控措施</w:t>
      </w:r>
      <w:bookmarkEnd w:id="672"/>
    </w:p>
    <w:p w14:paraId="612E24E3">
      <w:pPr>
        <w:pStyle w:val="117"/>
        <w:ind w:firstLine="480"/>
        <w:rPr>
          <w:rFonts w:hint="eastAsia" w:cs="宋体"/>
          <w:kern w:val="0"/>
        </w:rPr>
      </w:pPr>
      <w:r>
        <w:rPr>
          <w:rFonts w:hint="eastAsia" w:cs="宋体"/>
          <w:kern w:val="0"/>
        </w:rPr>
        <w:t>（1）原油采用密闭集输工艺，减少了温室气体甲烷的产生。</w:t>
      </w:r>
    </w:p>
    <w:p w14:paraId="447D3D87">
      <w:pPr>
        <w:pStyle w:val="117"/>
        <w:ind w:firstLine="480"/>
        <w:rPr>
          <w:rFonts w:hint="eastAsia" w:cs="宋体"/>
          <w:kern w:val="0"/>
        </w:rPr>
      </w:pPr>
      <w:r>
        <w:rPr>
          <w:rFonts w:hint="eastAsia" w:cs="宋体"/>
          <w:kern w:val="0"/>
        </w:rPr>
        <w:t>（2）配电网设置了无功补偿装置，线路功率因数不低于0</w:t>
      </w:r>
      <w:r>
        <w:rPr>
          <w:rFonts w:cs="宋体"/>
          <w:kern w:val="0"/>
        </w:rPr>
        <w:t>.85</w:t>
      </w:r>
      <w:r>
        <w:rPr>
          <w:rFonts w:hint="eastAsia" w:cs="宋体"/>
          <w:kern w:val="0"/>
        </w:rPr>
        <w:t>，站区功率因数不低于0</w:t>
      </w:r>
      <w:r>
        <w:rPr>
          <w:rFonts w:cs="宋体"/>
          <w:kern w:val="0"/>
        </w:rPr>
        <w:t>.95</w:t>
      </w:r>
      <w:r>
        <w:rPr>
          <w:rFonts w:hint="eastAsia" w:cs="宋体"/>
          <w:kern w:val="0"/>
        </w:rPr>
        <w:t>。</w:t>
      </w:r>
    </w:p>
    <w:p w14:paraId="1B264DE6">
      <w:pPr>
        <w:pStyle w:val="2"/>
        <w:rPr>
          <w:rFonts w:hint="eastAsia"/>
          <w:lang w:val="zh-CN"/>
        </w:rPr>
      </w:pPr>
      <w:bookmarkStart w:id="673" w:name="_Toc160382104"/>
      <w:r>
        <w:rPr>
          <w:rFonts w:hint="eastAsia"/>
          <w:lang w:val="zh-CN"/>
        </w:rPr>
        <w:t>环境</w:t>
      </w:r>
      <w:r>
        <w:rPr>
          <w:lang w:val="zh-CN"/>
        </w:rPr>
        <w:t>风险</w:t>
      </w:r>
      <w:r>
        <w:rPr>
          <w:rFonts w:hint="eastAsia"/>
          <w:lang w:val="zh-CN"/>
        </w:rPr>
        <w:t>事故防范</w:t>
      </w:r>
      <w:r>
        <w:rPr>
          <w:lang w:val="zh-CN"/>
        </w:rPr>
        <w:t>措施</w:t>
      </w:r>
      <w:bookmarkEnd w:id="673"/>
    </w:p>
    <w:p w14:paraId="15CBE1FA">
      <w:pPr>
        <w:pStyle w:val="4"/>
        <w:rPr>
          <w:rFonts w:hint="eastAsia"/>
        </w:rPr>
      </w:pPr>
      <w:r>
        <w:rPr>
          <w:rFonts w:hint="eastAsia"/>
        </w:rPr>
        <w:t>施工期环境风险防范措施</w:t>
      </w:r>
    </w:p>
    <w:p w14:paraId="5A098747">
      <w:pPr>
        <w:pStyle w:val="117"/>
        <w:ind w:firstLine="480"/>
        <w:rPr>
          <w:rFonts w:hint="eastAsia"/>
        </w:rPr>
      </w:pPr>
      <w:r>
        <w:rPr>
          <w:rFonts w:hint="eastAsia"/>
        </w:rPr>
        <w:t>（1）</w:t>
      </w:r>
      <w:r>
        <w:t>管理措施</w:t>
      </w:r>
    </w:p>
    <w:p w14:paraId="3A97870F">
      <w:pPr>
        <w:pStyle w:val="117"/>
        <w:ind w:firstLine="480"/>
        <w:rPr>
          <w:rFonts w:hint="eastAsia"/>
        </w:rPr>
      </w:pPr>
      <w:r>
        <w:t>建设单位以及施工钻井队结合行业作业规范，设置有专职安全环保管理人员，把安全、环境管理纳入生产管理的各个环节，为防止事故的发生能起到非常积极的作用。现场作业严格按照</w:t>
      </w:r>
      <w:r>
        <w:rPr>
          <w:rFonts w:hint="eastAsia"/>
        </w:rPr>
        <w:t>《健康、安全与环境管理体系 第1部分：规范》（</w:t>
      </w:r>
      <w:r>
        <w:t>Q/SY 1002.1-2013</w:t>
      </w:r>
      <w:r>
        <w:rPr>
          <w:rFonts w:hint="eastAsia"/>
        </w:rPr>
        <w:t>）；《健康、安全与环境管理体系 第2部分：实施指南》（</w:t>
      </w:r>
      <w:r>
        <w:t>Q/SY 1002.2-2014</w:t>
      </w:r>
      <w:r>
        <w:rPr>
          <w:rFonts w:hint="eastAsia"/>
        </w:rPr>
        <w:t>）；《健康、安全与环境管理体系 第3部分：审核指南》（</w:t>
      </w:r>
      <w:r>
        <w:t>Q/SY 1002.3-2015</w:t>
      </w:r>
      <w:r>
        <w:rPr>
          <w:rFonts w:hint="eastAsia"/>
        </w:rPr>
        <w:t>）；</w:t>
      </w:r>
      <w:r>
        <w:t>《石油天然气钻井作业健康、安全与环境管理导则》（Q</w:t>
      </w:r>
      <w:r>
        <w:rPr>
          <w:rFonts w:hint="eastAsia"/>
        </w:rPr>
        <w:t>/</w:t>
      </w:r>
      <w:r>
        <w:t>SY 08053-2017）的要求执行。</w:t>
      </w:r>
    </w:p>
    <w:p w14:paraId="6225233D">
      <w:pPr>
        <w:pStyle w:val="117"/>
        <w:ind w:firstLine="480"/>
        <w:rPr>
          <w:rFonts w:hint="eastAsia"/>
        </w:rPr>
      </w:pPr>
      <w:r>
        <w:t>建设单位依托项目管理部门负责指导本项目的环境保护和安全工作，建立事故应急领导小组，设置抢险组、消防组、救护组、警戒组和环境保护组，负责整个工程的环境风险管理，建立与地方政府的环境风险应急联动机制。本项目按照</w:t>
      </w:r>
      <w:r>
        <w:rPr>
          <w:rFonts w:hint="eastAsia"/>
        </w:rPr>
        <w:t>二</w:t>
      </w:r>
      <w:r>
        <w:t>级井控要求落实好环境风险防范、应急措施以及管理措施。</w:t>
      </w:r>
    </w:p>
    <w:p w14:paraId="45C5BE5D">
      <w:pPr>
        <w:spacing w:line="500" w:lineRule="exact"/>
        <w:ind w:firstLine="482"/>
        <w:rPr>
          <w:rFonts w:hint="eastAsia" w:ascii="宋体" w:hAnsi="宋体"/>
          <w:sz w:val="24"/>
        </w:rPr>
      </w:pPr>
      <w:r>
        <w:rPr>
          <w:rFonts w:hint="eastAsia" w:ascii="宋体" w:hAnsi="宋体"/>
          <w:sz w:val="24"/>
        </w:rPr>
        <w:t>（2）</w:t>
      </w:r>
      <w:r>
        <w:rPr>
          <w:rFonts w:ascii="宋体" w:hAnsi="宋体"/>
          <w:sz w:val="24"/>
        </w:rPr>
        <w:t>井喷失控风险防范措施</w:t>
      </w:r>
    </w:p>
    <w:p w14:paraId="4E24E281">
      <w:pPr>
        <w:spacing w:line="500" w:lineRule="exact"/>
        <w:ind w:firstLine="482"/>
        <w:rPr>
          <w:rFonts w:hint="eastAsia" w:ascii="宋体" w:hAnsi="宋体"/>
          <w:sz w:val="24"/>
        </w:rPr>
      </w:pPr>
      <w:r>
        <w:rPr>
          <w:rFonts w:hint="eastAsia"/>
        </w:rPr>
        <w:t>※</w:t>
      </w:r>
      <w:r>
        <w:rPr>
          <w:rFonts w:ascii="宋体" w:hAnsi="宋体"/>
          <w:sz w:val="24"/>
        </w:rPr>
        <w:t>钻井工程中确保钻井液密度及其它性能符合设计要求，并按设计要求储备压井液、加重剂、堵漏材料和其它处理剂，储备加重钻井液定期循环处理，防止沉淀；准备一根防喷单根或防喷立柱（上端接旋塞），防喷单根(防喷立柱)在提下钻铤前，应置于坡道或便于快速取用的位置；各岗位必须按分工规定，对井控装置进行维护、保养、检查，保证井控装置及工具灵活好用，始终处于待命状态；落实溢流监测岗位、关井操作岗和钻井队干部24h值班制度；严格执行钻开油气层前的申报、审批制度以及程序。</w:t>
      </w:r>
    </w:p>
    <w:p w14:paraId="78125E34">
      <w:pPr>
        <w:spacing w:line="500" w:lineRule="exact"/>
        <w:ind w:firstLine="482"/>
        <w:rPr>
          <w:rFonts w:hint="eastAsia" w:ascii="宋体" w:hAnsi="宋体"/>
          <w:sz w:val="24"/>
        </w:rPr>
      </w:pPr>
      <w:r>
        <w:rPr>
          <w:rFonts w:hint="eastAsia"/>
        </w:rPr>
        <w:t>※</w:t>
      </w:r>
      <w:r>
        <w:rPr>
          <w:rFonts w:ascii="宋体" w:hAnsi="宋体"/>
          <w:sz w:val="24"/>
        </w:rPr>
        <w:t>钻进</w:t>
      </w:r>
      <w:r>
        <w:rPr>
          <w:rFonts w:hint="eastAsia" w:ascii="宋体" w:hAnsi="宋体"/>
          <w:sz w:val="24"/>
        </w:rPr>
        <w:t>气</w:t>
      </w:r>
      <w:r>
        <w:rPr>
          <w:rFonts w:ascii="宋体" w:hAnsi="宋体"/>
          <w:sz w:val="24"/>
        </w:rPr>
        <w:t>层后：落实专人坐岗观察井口和循环池液面变化，发现溢流立即关井，加强溢流预兆显示的观察，及时发现溢流。坐岗人员发现溢流、井漏及气</w:t>
      </w:r>
      <w:r>
        <w:rPr>
          <w:rFonts w:hint="eastAsia" w:ascii="宋体" w:hAnsi="宋体"/>
          <w:sz w:val="24"/>
        </w:rPr>
        <w:t>体</w:t>
      </w:r>
      <w:r>
        <w:rPr>
          <w:rFonts w:ascii="宋体" w:hAnsi="宋体"/>
          <w:sz w:val="24"/>
        </w:rPr>
        <w:t>显示等异常情况，应立即报告司钻；钻开气层后，每次起下钻（活动时间间隔超过5d）对闸板防喷器及手动锁紧装置开关活动一次，定期对井控装置进行试压；起钻杆时每3～5柱向环空灌满钻井液，起钻铤要连续灌浆，作好记录、校对，若灌入钻井液量大于或小于灌入量，均应停止起钻作业，进行观察。如有溢流，应及时关井。如有井漏，应及时采取相应措施。起完钻要及时下钻，检修设备时应保持井内有一定数量的钻具，并安排专人观察出口罐钻井液返出情况。严禁在空井情况下检修设备；钻开油气层后，所有车辆应停放在距井口30m以外，必须进入距井口30m以内的车辆，应安装阻火器，车头朝外停放。</w:t>
      </w:r>
    </w:p>
    <w:p w14:paraId="73B4EDF1">
      <w:pPr>
        <w:pStyle w:val="117"/>
        <w:ind w:firstLine="480"/>
        <w:rPr>
          <w:rFonts w:hint="eastAsia"/>
        </w:rPr>
      </w:pPr>
      <w:r>
        <w:rPr>
          <w:rFonts w:hint="eastAsia"/>
        </w:rPr>
        <w:t>※井喷事件发生时，通过放喷管线将井喷液体排放至应急放喷池内，待事故结束后，对应急放喷池内物体进行清理，污染的土壤由有相应处置资质单位转运、处理。</w:t>
      </w:r>
    </w:p>
    <w:p w14:paraId="7F193CE5">
      <w:pPr>
        <w:pStyle w:val="117"/>
        <w:ind w:firstLine="480"/>
        <w:rPr>
          <w:rFonts w:hint="eastAsia"/>
        </w:rPr>
      </w:pPr>
      <w:r>
        <w:rPr>
          <w:rFonts w:hint="eastAsia"/>
        </w:rPr>
        <w:t>※</w:t>
      </w:r>
      <w:r>
        <w:t>溢流处理和压井措施：最大允许关井套压不得超过井口装置额定工作压力、套管抗内压强度的80%和薄弱地层破裂压力所允许关井套压三者中的最小值。在允许关井套压内严禁放喷。在等候加重材料或加重过程中，视情况间隔一段时间向井内灌注加重钻井液，同时用节流管汇控制回压，保持井底压力要略大于地层压力，排放井口附近含气钻井液。若等候时间长，应及时实施司钻法第一时间排除溢流，防止井口压力过高。空井溢流关井后，根据溢流的严重程度，可采用强行下钻分段压井法、置换法、压回法等方法进行处置。</w:t>
      </w:r>
    </w:p>
    <w:p w14:paraId="06421142">
      <w:pPr>
        <w:pStyle w:val="117"/>
        <w:ind w:firstLine="480"/>
        <w:rPr>
          <w:rFonts w:hint="eastAsia"/>
        </w:rPr>
      </w:pPr>
      <w:r>
        <w:rPr>
          <w:rFonts w:hint="eastAsia"/>
        </w:rPr>
        <w:t>※</w:t>
      </w:r>
      <w:r>
        <w:t>测井、固井、完井等作业时，要严格执行安全操作规程和井控措施，避免发生井下复杂情况和井喷失控事故。</w:t>
      </w:r>
    </w:p>
    <w:p w14:paraId="2F9CD264">
      <w:pPr>
        <w:pStyle w:val="117"/>
        <w:ind w:firstLine="480"/>
        <w:rPr>
          <w:rFonts w:hint="eastAsia"/>
        </w:rPr>
      </w:pPr>
      <w:r>
        <w:rPr>
          <w:rFonts w:hint="eastAsia"/>
        </w:rPr>
        <w:t>（3）</w:t>
      </w:r>
      <w:r>
        <w:t>柴油罐环境风险防范措施</w:t>
      </w:r>
    </w:p>
    <w:p w14:paraId="2E400FC2">
      <w:pPr>
        <w:pStyle w:val="117"/>
        <w:ind w:firstLine="480"/>
        <w:rPr>
          <w:rFonts w:hint="eastAsia"/>
        </w:rPr>
      </w:pPr>
      <w:r>
        <w:rPr>
          <w:rFonts w:hint="eastAsia"/>
        </w:rPr>
        <w:t>柴油储罐底部铺设防渗膜；</w:t>
      </w:r>
      <w:r>
        <w:t>罐区周边设置警示标识，严禁烟火和不相关人员靠近</w:t>
      </w:r>
      <w:r>
        <w:rPr>
          <w:rFonts w:hint="eastAsia"/>
        </w:rPr>
        <w:t>；</w:t>
      </w:r>
      <w:r>
        <w:t>日常加强油罐的管理及安全检查，防止发生泄漏等安全事故。</w:t>
      </w:r>
    </w:p>
    <w:p w14:paraId="6AA95F9D">
      <w:pPr>
        <w:pStyle w:val="117"/>
        <w:ind w:firstLine="480"/>
        <w:rPr>
          <w:rFonts w:hint="eastAsia"/>
        </w:rPr>
      </w:pPr>
      <w:r>
        <w:t>（4）环境风险应急预案</w:t>
      </w:r>
    </w:p>
    <w:p w14:paraId="7EC5F794">
      <w:pPr>
        <w:pStyle w:val="117"/>
        <w:ind w:firstLine="480"/>
        <w:rPr>
          <w:rFonts w:hint="eastAsia"/>
        </w:rPr>
      </w:pPr>
      <w:r>
        <w:rPr>
          <w:rFonts w:hint="eastAsia"/>
        </w:rPr>
        <w:t>钻井施工队应</w:t>
      </w:r>
      <w:r>
        <w:t>制定《井喷及井喷失控应急预案》</w:t>
      </w:r>
      <w:r>
        <w:rPr>
          <w:rFonts w:hint="eastAsia"/>
        </w:rPr>
        <w:t>，主要</w:t>
      </w:r>
      <w:r>
        <w:t>包括针对井喷失控的应急监测、抢险、救援、疏散及消除、减缓、控制技术方法和设施等相关内容。应急演练应定期开展，通过演练掌握应急人员在应急抢险中对预案的熟悉程度和能力，同时加强抢险应急设备的维护保养，检查是否备足所需应急材料。</w:t>
      </w:r>
    </w:p>
    <w:p w14:paraId="30F406C1">
      <w:pPr>
        <w:pStyle w:val="4"/>
        <w:rPr>
          <w:rFonts w:hint="eastAsia"/>
        </w:rPr>
      </w:pPr>
      <w:r>
        <w:rPr>
          <w:rFonts w:hint="eastAsia"/>
        </w:rPr>
        <w:t>井下作业及井喷事故防范措施</w:t>
      </w:r>
    </w:p>
    <w:p w14:paraId="18075422">
      <w:pPr>
        <w:pStyle w:val="117"/>
        <w:ind w:firstLine="480"/>
        <w:rPr>
          <w:rFonts w:hint="eastAsia"/>
        </w:rPr>
      </w:pPr>
      <w:r>
        <w:rPr>
          <w:rFonts w:hint="eastAsia"/>
        </w:rPr>
        <w:t>（1）井场井控严格执行《新疆油田钻井井控实施细则》，防止井喷、井喷失控和井喷着火，设计、施工和生产各单位严格遵守《石油天然气工程设计防火规范》（</w:t>
      </w:r>
      <w:r>
        <w:t>GB50183-2015</w:t>
      </w:r>
      <w:r>
        <w:rPr>
          <w:rFonts w:hint="eastAsia"/>
        </w:rPr>
        <w:t>）、《石油化工企业设计防火规范》</w:t>
      </w:r>
      <w:r>
        <w:t>(GB 50160-2008)</w:t>
      </w:r>
      <w:r>
        <w:rPr>
          <w:rFonts w:hint="eastAsia"/>
        </w:rPr>
        <w:t>、《石油和天然气钻井、开发、储运防火防爆安全生产管理规定》（</w:t>
      </w:r>
      <w:r>
        <w:t>SY/T5225-2019</w:t>
      </w:r>
      <w:r>
        <w:rPr>
          <w:rFonts w:hint="eastAsia"/>
        </w:rPr>
        <w:t>）</w:t>
      </w:r>
    </w:p>
    <w:p w14:paraId="6830BD4D">
      <w:pPr>
        <w:pStyle w:val="117"/>
        <w:ind w:firstLine="480"/>
        <w:rPr>
          <w:rFonts w:hint="eastAsia"/>
        </w:rPr>
      </w:pPr>
      <w:r>
        <w:rPr>
          <w:rFonts w:hint="eastAsia"/>
        </w:rPr>
        <w:t>（2）设置专职安全环保管理人员，设计、生产中采取有效的预防措施，在生产中采取有效预防措施，严格遵守钻井的安全规定，在井口安装防喷器和控制装置，杜绝井喷的发生。</w:t>
      </w:r>
    </w:p>
    <w:p w14:paraId="62DA0771">
      <w:pPr>
        <w:pStyle w:val="117"/>
        <w:ind w:firstLine="480"/>
        <w:rPr>
          <w:rFonts w:hint="eastAsia"/>
        </w:rPr>
      </w:pPr>
      <w:r>
        <w:rPr>
          <w:rFonts w:hint="eastAsia"/>
        </w:rPr>
        <w:t>（3）井控操作实行持证上岗，各岗位的钻井人员有明确的分工，并且应经过井控专业培训。</w:t>
      </w:r>
    </w:p>
    <w:p w14:paraId="31AB99BB">
      <w:pPr>
        <w:pStyle w:val="117"/>
        <w:ind w:firstLine="480"/>
        <w:rPr>
          <w:rFonts w:hint="eastAsia"/>
        </w:rPr>
      </w:pPr>
      <w:r>
        <w:rPr>
          <w:rFonts w:hint="eastAsia"/>
        </w:rPr>
        <w:t>（4）井场设置明显的禁止烟火标志；井场钻井设备及电器设备、照明灯具符合防火防爆的安全要求，井场安装探照灯，以备井喷时钻台照明。</w:t>
      </w:r>
    </w:p>
    <w:p w14:paraId="1E29341E">
      <w:pPr>
        <w:pStyle w:val="117"/>
        <w:ind w:firstLine="480"/>
        <w:rPr>
          <w:rFonts w:hint="eastAsia"/>
        </w:rPr>
      </w:pPr>
      <w:r>
        <w:rPr>
          <w:rFonts w:hint="eastAsia"/>
        </w:rPr>
        <w:t>（5）在井架、井场路口等处设风向标，发生事故时人员迅速向上风向疏散。</w:t>
      </w:r>
    </w:p>
    <w:p w14:paraId="2ADC8EA4">
      <w:pPr>
        <w:pStyle w:val="117"/>
        <w:ind w:firstLine="480"/>
        <w:rPr>
          <w:rFonts w:hint="eastAsia"/>
        </w:rPr>
      </w:pPr>
      <w:r>
        <w:rPr>
          <w:rFonts w:hint="eastAsia"/>
        </w:rPr>
        <w:t>（6）按消防规定配备灭火器、消防铁锹和其它消防器材。井场设置明显的禁止烟火标志。</w:t>
      </w:r>
    </w:p>
    <w:p w14:paraId="732FD9B0">
      <w:pPr>
        <w:pStyle w:val="117"/>
        <w:ind w:firstLine="480"/>
        <w:rPr>
          <w:rFonts w:hint="eastAsia"/>
        </w:rPr>
      </w:pPr>
      <w:r>
        <w:rPr>
          <w:rFonts w:hint="eastAsia"/>
        </w:rPr>
        <w:t>井下作业时要求带罐操作，最大限度避免落地油产生，而泄漏物料和落地原油应及时回收、妥善处置。</w:t>
      </w:r>
    </w:p>
    <w:p w14:paraId="5073558D">
      <w:pPr>
        <w:pStyle w:val="117"/>
        <w:ind w:firstLine="480"/>
        <w:rPr>
          <w:rFonts w:hint="eastAsia"/>
        </w:rPr>
      </w:pPr>
      <w:r>
        <w:rPr>
          <w:rFonts w:hint="eastAsia"/>
        </w:rPr>
        <w:t>（7）一旦发生井喷，绝大多数井都通过防喷器关闭，再采取压井措施控制井喷；最后还可采用向事故井打定位斜井等方法处理事故；事故处理中要有专人负责，管好电源、火源，以免火灾发生。井喷时，泄漏的落地油</w:t>
      </w:r>
      <w:r>
        <w:t>100%</w:t>
      </w:r>
      <w:r>
        <w:rPr>
          <w:rFonts w:hint="eastAsia"/>
        </w:rPr>
        <w:t>进行回收，收集的废油运至页岩油联合站处理。受污染的土壤需进行换填，交由具有相应危险废物处置资质单位收集、转运、处置。</w:t>
      </w:r>
    </w:p>
    <w:p w14:paraId="088F4C3B">
      <w:pPr>
        <w:pStyle w:val="117"/>
        <w:ind w:firstLine="480"/>
        <w:rPr>
          <w:rFonts w:hint="eastAsia"/>
        </w:rPr>
      </w:pPr>
      <w:r>
        <w:rPr>
          <w:rFonts w:hint="eastAsia"/>
        </w:rPr>
        <w:t>（8）硫化氢防范措施：</w:t>
      </w:r>
      <w:r>
        <w:rPr>
          <w:rFonts w:hint="eastAsia" w:cs="宋体"/>
          <w:kern w:val="0"/>
        </w:rPr>
        <w:t>井下作业时应至少配</w:t>
      </w:r>
      <w:r>
        <w:rPr>
          <w:rFonts w:ascii="TimesNewRomanPSMT" w:eastAsia="TimesNewRomanPSMT" w:cs="TimesNewRomanPSMT"/>
          <w:kern w:val="0"/>
        </w:rPr>
        <w:t>1</w:t>
      </w:r>
      <w:r>
        <w:rPr>
          <w:rFonts w:hint="eastAsia" w:cs="宋体"/>
          <w:kern w:val="0"/>
        </w:rPr>
        <w:t>套便携式硫化氢监测仪做好硫化氢检测工作，制定防硫化氢应急预案；在井场大门口、坐岗房、防喷器液控房等处设立风向标（风袋、风飘带、风旗或其它适用的装置），并在不同方向上划定两个紧急集合点，一旦发生紧急情况，作业人员可向上风方向疏散。</w:t>
      </w:r>
    </w:p>
    <w:p w14:paraId="278729E0">
      <w:pPr>
        <w:pStyle w:val="4"/>
        <w:rPr>
          <w:rFonts w:hint="eastAsia"/>
        </w:rPr>
      </w:pPr>
      <w:bookmarkStart w:id="674" w:name="_Hlk92205364"/>
      <w:bookmarkStart w:id="675" w:name="_Toc445996449"/>
      <w:bookmarkStart w:id="676" w:name="_Toc16038"/>
      <w:bookmarkStart w:id="677" w:name="_Toc445842130"/>
      <w:bookmarkStart w:id="678" w:name="_Toc445996451"/>
      <w:bookmarkStart w:id="679" w:name="_Toc459026591"/>
      <w:bookmarkStart w:id="680" w:name="_Toc445996589"/>
      <w:bookmarkStart w:id="681" w:name="_Toc445829801"/>
      <w:bookmarkStart w:id="682" w:name="_Toc453929541"/>
      <w:bookmarkStart w:id="683" w:name="_Toc445840417"/>
      <w:r>
        <w:rPr>
          <w:rFonts w:hint="eastAsia"/>
        </w:rPr>
        <w:t>站场环境风险事故防范措施</w:t>
      </w:r>
    </w:p>
    <w:p w14:paraId="43075586">
      <w:pPr>
        <w:pStyle w:val="117"/>
        <w:ind w:firstLine="480"/>
        <w:rPr>
          <w:rFonts w:hint="eastAsia"/>
        </w:rPr>
      </w:pPr>
      <w:r>
        <w:rPr>
          <w:rFonts w:hint="eastAsia"/>
        </w:rPr>
        <w:t>（1）平面布置中尽量将火灾危险性相近的设施集中布置，并保持规定的防火距离；将全场内的明火点控制到最少，并布置在油气生产区场地边缘部位。</w:t>
      </w:r>
    </w:p>
    <w:p w14:paraId="495008DB">
      <w:pPr>
        <w:pStyle w:val="117"/>
        <w:ind w:firstLine="480"/>
        <w:rPr>
          <w:rFonts w:hint="eastAsia"/>
        </w:rPr>
      </w:pPr>
      <w:r>
        <w:rPr>
          <w:rFonts w:hint="eastAsia"/>
        </w:rPr>
        <w:t>（2）按规定配置齐全各类消防设施，并定期进行检查，保持有效性及完好可用。</w:t>
      </w:r>
    </w:p>
    <w:p w14:paraId="064FDE36">
      <w:pPr>
        <w:pStyle w:val="117"/>
        <w:ind w:firstLine="480"/>
        <w:rPr>
          <w:rFonts w:hint="eastAsia"/>
        </w:rPr>
      </w:pPr>
      <w:r>
        <w:rPr>
          <w:rFonts w:hint="eastAsia"/>
        </w:rPr>
        <w:t>（3）加强设计单位相互间的配合，做好衔接，减少设计失误；站场内的装置区等均为爆炸火灾危险区域，区域内的配电设备均应采用防爆型；根据各建筑物的不同防爆等级采取相应的防爆措施。</w:t>
      </w:r>
    </w:p>
    <w:p w14:paraId="76F2F71F">
      <w:pPr>
        <w:pStyle w:val="117"/>
        <w:ind w:firstLine="480"/>
        <w:rPr>
          <w:rFonts w:hint="eastAsia"/>
        </w:rPr>
      </w:pPr>
      <w:r>
        <w:rPr>
          <w:rFonts w:hint="eastAsia"/>
        </w:rPr>
        <w:t>（4）加强对职工的教育培训，实行上岗证制度，增强职工风险意识，提高事故自救能力，制定和强化各种安全管理、安全生产的规程，减少人为风险事故（如误操作）的发生。</w:t>
      </w:r>
    </w:p>
    <w:p w14:paraId="61FF4C9B">
      <w:pPr>
        <w:pStyle w:val="117"/>
        <w:ind w:firstLine="480"/>
        <w:rPr>
          <w:rFonts w:hint="eastAsia"/>
        </w:rPr>
      </w:pPr>
      <w:r>
        <w:rPr>
          <w:rFonts w:hint="eastAsia"/>
        </w:rPr>
        <w:t>（5）井场设置风向标，以便发生事故时人员能迅速向上风向疏散。</w:t>
      </w:r>
    </w:p>
    <w:p w14:paraId="1A2AC953">
      <w:pPr>
        <w:pStyle w:val="117"/>
        <w:ind w:firstLine="480"/>
        <w:rPr>
          <w:rFonts w:hint="eastAsia"/>
        </w:rPr>
      </w:pPr>
      <w:r>
        <w:rPr>
          <w:rFonts w:hint="eastAsia"/>
        </w:rPr>
        <w:t>（6）在油气可能泄漏和积聚的区域设置可燃气体浓度检测报警装置。</w:t>
      </w:r>
    </w:p>
    <w:p w14:paraId="6BFB9B59">
      <w:pPr>
        <w:pStyle w:val="117"/>
        <w:ind w:firstLine="480"/>
        <w:rPr>
          <w:rFonts w:hint="eastAsia"/>
        </w:rPr>
      </w:pPr>
      <w:r>
        <w:rPr>
          <w:rFonts w:hint="eastAsia"/>
        </w:rPr>
        <w:t>（7）井下作业时采用防渗膜铺垫井场，严禁产生落地油。</w:t>
      </w:r>
    </w:p>
    <w:bookmarkEnd w:id="674"/>
    <w:p w14:paraId="3B8531D6">
      <w:pPr>
        <w:pStyle w:val="4"/>
        <w:rPr>
          <w:rFonts w:hint="eastAsia"/>
        </w:rPr>
      </w:pPr>
      <w:bookmarkStart w:id="684" w:name="_Hlk40632300"/>
      <w:r>
        <w:t>油气集输事故风险</w:t>
      </w:r>
      <w:r>
        <w:rPr>
          <w:rFonts w:hint="eastAsia"/>
        </w:rPr>
        <w:t>防范</w:t>
      </w:r>
      <w:r>
        <w:t>措施</w:t>
      </w:r>
      <w:bookmarkEnd w:id="675"/>
    </w:p>
    <w:bookmarkEnd w:id="684"/>
    <w:p w14:paraId="7FD5B97A">
      <w:pPr>
        <w:pStyle w:val="117"/>
        <w:ind w:firstLine="480"/>
        <w:rPr>
          <w:rFonts w:hint="eastAsia"/>
        </w:rPr>
      </w:pPr>
      <w:r>
        <w:rPr>
          <w:rFonts w:hint="eastAsia"/>
        </w:rPr>
        <w:t>（1）定期对管线进行巡检，</w:t>
      </w:r>
      <w:r>
        <w:t>严格按照管道施工、验收等规范进行设计、施工和验收。管线敷设前，应加强对管材和焊接质量的检查，严禁使用不合格产品。对焊接质量严格检验，防止焊接缺陷造成泄漏事故的发生。</w:t>
      </w:r>
    </w:p>
    <w:p w14:paraId="45397C40">
      <w:pPr>
        <w:pStyle w:val="117"/>
        <w:ind w:firstLine="480"/>
        <w:rPr>
          <w:rFonts w:hint="eastAsia"/>
        </w:rPr>
      </w:pPr>
      <w:bookmarkStart w:id="685" w:name="_Hlk40722285"/>
      <w:r>
        <w:rPr>
          <w:rFonts w:hint="eastAsia"/>
        </w:rPr>
        <w:t>（</w:t>
      </w:r>
      <w:r>
        <w:t>2</w:t>
      </w:r>
      <w:r>
        <w:rPr>
          <w:rFonts w:hint="eastAsia"/>
        </w:rPr>
        <w:t>）建立施工质量保证体系，提高施工检验人员水平，加强检验手段。选择有丰富经验的单位进行施工，并对其施工质量进行监理。</w:t>
      </w:r>
    </w:p>
    <w:p w14:paraId="496071B3">
      <w:pPr>
        <w:pStyle w:val="117"/>
        <w:ind w:firstLine="480"/>
        <w:rPr>
          <w:rFonts w:hint="eastAsia"/>
        </w:rPr>
      </w:pPr>
      <w:r>
        <w:rPr>
          <w:rFonts w:hint="eastAsia"/>
        </w:rPr>
        <w:t>（</w:t>
      </w:r>
      <w:r>
        <w:t>3</w:t>
      </w:r>
      <w:r>
        <w:rPr>
          <w:rFonts w:hint="eastAsia"/>
        </w:rPr>
        <w:t>）加强自动控制系统的管理和控制，严格控制压力平衡</w:t>
      </w:r>
      <w:bookmarkEnd w:id="685"/>
      <w:r>
        <w:t>；定期对管线进行超声波检查，对壁厚低于规定要求的管段应及时更换，消除爆管的隐患；定期对</w:t>
      </w:r>
      <w:r>
        <w:rPr>
          <w:rFonts w:hint="eastAsia"/>
        </w:rPr>
        <w:t>管线</w:t>
      </w:r>
      <w:r>
        <w:t>上的安全保护设施，如截断阀、安全阀、放空系统等进行检查，使管道在超压时能够得到安全处理，在管道破裂时能够及时截断上下游管段，以减少事故时油气的释放量，使危害影响范围减小到最低程度</w:t>
      </w:r>
      <w:r>
        <w:rPr>
          <w:rFonts w:hint="eastAsia"/>
        </w:rPr>
        <w:t>。</w:t>
      </w:r>
    </w:p>
    <w:p w14:paraId="13F6C0B0">
      <w:pPr>
        <w:pStyle w:val="117"/>
        <w:ind w:firstLine="480"/>
        <w:rPr>
          <w:rFonts w:hint="eastAsia"/>
        </w:rPr>
      </w:pPr>
      <w:r>
        <w:rPr>
          <w:rFonts w:hint="eastAsia"/>
        </w:rPr>
        <w:t>（</w:t>
      </w:r>
      <w:r>
        <w:t>4</w:t>
      </w:r>
      <w:r>
        <w:rPr>
          <w:rFonts w:hint="eastAsia"/>
        </w:rPr>
        <w:t>）严禁在管线两侧各5m范围内修筑工程，在管线上方及近旁严禁动土开挖和修建超过管道负荷的建筑物。</w:t>
      </w:r>
    </w:p>
    <w:p w14:paraId="639CF3D9">
      <w:pPr>
        <w:pStyle w:val="117"/>
        <w:ind w:firstLine="480"/>
        <w:rPr>
          <w:rFonts w:hint="eastAsia"/>
        </w:rPr>
      </w:pPr>
      <w:bookmarkStart w:id="686" w:name="_Hlk160377214"/>
      <w:r>
        <w:rPr>
          <w:rFonts w:hint="eastAsia"/>
        </w:rPr>
        <w:t>（5）泄漏环境应急处置</w:t>
      </w:r>
    </w:p>
    <w:p w14:paraId="25F6E939">
      <w:pPr>
        <w:pStyle w:val="117"/>
        <w:ind w:firstLine="480"/>
        <w:rPr>
          <w:rFonts w:hint="eastAsia"/>
        </w:rPr>
      </w:pPr>
      <w:r>
        <w:rPr>
          <w:rFonts w:hint="eastAsia"/>
        </w:rPr>
        <w:t>管线泄漏发生后，迅速关闭截断阀,并及时封堵泄漏源；泄漏的原油尽可能回收至页岩油联合站，无法收集的泄漏原油及被污染的土壤集中收集后交由有相应危险废物处理资质的单位回收处置；泄漏油品环境应急处置过程需要注意安全防爆,防止次生爆炸等安全事故发生。</w:t>
      </w:r>
    </w:p>
    <w:p w14:paraId="7E5DC1F1">
      <w:pPr>
        <w:pStyle w:val="117"/>
        <w:ind w:firstLine="480"/>
        <w:rPr>
          <w:rFonts w:hint="eastAsia"/>
        </w:rPr>
      </w:pPr>
      <w:r>
        <w:rPr>
          <w:rFonts w:hint="eastAsia"/>
        </w:rPr>
        <w:t>（6）泄漏预防</w:t>
      </w:r>
    </w:p>
    <w:p w14:paraId="15E381B2">
      <w:pPr>
        <w:pStyle w:val="117"/>
        <w:ind w:firstLine="480"/>
        <w:rPr>
          <w:rFonts w:hint="eastAsia"/>
        </w:rPr>
      </w:pPr>
      <w:r>
        <w:rPr>
          <w:rFonts w:hint="eastAsia"/>
        </w:rPr>
        <w:t>原油管道的工艺、设备运行规程参照《原油管道运行规范》（S</w:t>
      </w:r>
      <w:r>
        <w:t>Y/T5536-2016</w:t>
      </w:r>
      <w:r>
        <w:rPr>
          <w:rFonts w:hint="eastAsia"/>
        </w:rPr>
        <w:t>）中的相关要求执行；建议对外腐蚀控制，定期检测管地电位，识别、测试杂散电流对管道的影响，并采取措施减缓杂散电流对管道的影响；建议对内腐蚀进行控制，对输送采出液的腐蚀性进行分析；建议定期对监控与数据采集系统进行维护，定期对管道的服饰情况和防腐保护系统进行检验、监测；管道在停运工况下，阴极保护系统不宜停止运行；当管道出现局部管壁减薄，建议对局部管道进行更换或降压运行，降压运行宜经管道压力评定。</w:t>
      </w:r>
    </w:p>
    <w:p w14:paraId="5326D96E">
      <w:pPr>
        <w:pStyle w:val="117"/>
        <w:ind w:firstLine="480"/>
        <w:rPr>
          <w:rFonts w:hint="eastAsia"/>
        </w:rPr>
      </w:pPr>
      <w:r>
        <w:rPr>
          <w:rFonts w:hint="eastAsia"/>
        </w:rPr>
        <w:t>（7）建议开展突发环境事件隐患排查,明确排查频次、排查规模、排查项目等,对排查出的隐患根据可能造成的危害程度、治理难度等实施分级管理,并建立隐患排查治理档案。突发环境事件隐患排查内容宜包括环境应急管理、环境风险防控措施、管段与环境风险受体之间的通道等；建立管道环境风险信息管理系统。</w:t>
      </w:r>
    </w:p>
    <w:p w14:paraId="5D0A524E">
      <w:pPr>
        <w:pStyle w:val="4"/>
        <w:rPr>
          <w:rFonts w:hint="eastAsia"/>
        </w:rPr>
      </w:pPr>
      <w:bookmarkStart w:id="687" w:name="_Hlk134056804"/>
      <w:r>
        <w:rPr>
          <w:rFonts w:hint="eastAsia"/>
        </w:rPr>
        <w:t>计量拉油站环境风险防范措施</w:t>
      </w:r>
    </w:p>
    <w:p w14:paraId="700457FE">
      <w:pPr>
        <w:pStyle w:val="117"/>
        <w:ind w:firstLine="480"/>
        <w:rPr>
          <w:rFonts w:hint="eastAsia"/>
        </w:rPr>
      </w:pPr>
      <w:r>
        <w:rPr>
          <w:rFonts w:hint="eastAsia"/>
        </w:rPr>
        <w:t>（1）定期对计量拉油站内的设备进行巡检，发生破损及时进行维修。</w:t>
      </w:r>
    </w:p>
    <w:p w14:paraId="71B0AD6C">
      <w:pPr>
        <w:pStyle w:val="117"/>
        <w:spacing w:line="480" w:lineRule="exact"/>
        <w:ind w:firstLine="480"/>
        <w:rPr>
          <w:rFonts w:hint="eastAsia"/>
        </w:rPr>
      </w:pPr>
      <w:r>
        <w:rPr>
          <w:rFonts w:hint="eastAsia"/>
        </w:rPr>
        <w:t>（2）选用质量合格的拉油罐，并进行防腐；加强巡检，确保罐体保持完整，发现孔洞、缝隙等破损时及时检修。</w:t>
      </w:r>
    </w:p>
    <w:p w14:paraId="21F9F5B5">
      <w:pPr>
        <w:pStyle w:val="117"/>
        <w:ind w:firstLine="480"/>
        <w:rPr>
          <w:rFonts w:hint="eastAsia"/>
        </w:rPr>
      </w:pPr>
      <w:r>
        <w:rPr>
          <w:rFonts w:hint="eastAsia"/>
        </w:rPr>
        <w:t>（3）拉油罐周围设置围堰，并对罐区进行防渗。</w:t>
      </w:r>
    </w:p>
    <w:p w14:paraId="0D53E2C5">
      <w:pPr>
        <w:pStyle w:val="117"/>
        <w:ind w:firstLine="480"/>
        <w:rPr>
          <w:rFonts w:hint="eastAsia"/>
        </w:rPr>
      </w:pPr>
      <w:r>
        <w:rPr>
          <w:rFonts w:hint="eastAsia"/>
        </w:rPr>
        <w:t>（4）配备一定的消防设施。</w:t>
      </w:r>
    </w:p>
    <w:p w14:paraId="0FB7310F">
      <w:pPr>
        <w:pStyle w:val="4"/>
        <w:rPr>
          <w:rFonts w:hint="eastAsia"/>
        </w:rPr>
      </w:pPr>
      <w:bookmarkStart w:id="688" w:name="OLE_LINK99"/>
      <w:r>
        <w:rPr>
          <w:rFonts w:hint="eastAsia"/>
        </w:rPr>
        <w:t>拉油运输风险预防措施</w:t>
      </w:r>
    </w:p>
    <w:bookmarkEnd w:id="688"/>
    <w:p w14:paraId="01E1B570">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由于采出液在运输过程中具有爆炸、易燃等危险性，对项目区的生态环境具有一定的潜在危险，完成运输任务是一项技术性和专业性强的工作，在运输过程中稍有不慎，便可对环境造成损失。为防止采出液运输过程中的风险事故，主要从以下几个方面进行防范：</w:t>
      </w:r>
    </w:p>
    <w:p w14:paraId="4AFA4AE0">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※配备具有危险货物运输资质的驾驶员和押运员。</w:t>
      </w:r>
    </w:p>
    <w:p w14:paraId="7F174E43">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采出液运输的驾驶员和押运员必须经过专门培训并取得道路危险货物运输驾驶证和押运证才能上岗作业。危险货物驾驶员除了掌握一定的驾驶技能外，还要学习掌握一定的化工知识，熟悉采出液的物理化学性质、危险特性、注意事项。</w:t>
      </w:r>
    </w:p>
    <w:p w14:paraId="3C225DD8">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※车辆安全状况和安全性能合格</w:t>
      </w:r>
    </w:p>
    <w:p w14:paraId="0D770AE7">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出车前必须对车辆的安全技术状况进行认真检查，发现故障排除后方可投入运行。要特别注意检查罐车罐体的安全性能，逐个部位检查液位计、压力表、阀门、温度表、紧急切断阀、导静电装置等安全装置是否安全可靠，杜绝跑、冒、滴、漏，故障未处置好不得承运。要保持驾驶室干净，不得有发火用具，危险品标志灯、标志牌要完好。</w:t>
      </w:r>
    </w:p>
    <w:p w14:paraId="2AE9F4D2">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※采出液装卸注意事项</w:t>
      </w:r>
    </w:p>
    <w:p w14:paraId="6C61D8E7">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参照《汽车运输危险货物规则》(JT617-2004)配装表中进行。承载易燃易爆的采出液时，车辆排气管应安装隔热和熄灭火星装置，并配装符合JT230规定的导静电橡胶拖地带装置。罐体装采出液时，应预留容积不得少于罐体总容量5%的膨胀余量。采出液中的石油类容易污染土地和水源。卸货时尤其要注意。</w:t>
      </w:r>
    </w:p>
    <w:p w14:paraId="00CB141A">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※精心驾驶，平稳行车</w:t>
      </w:r>
    </w:p>
    <w:p w14:paraId="09CED86E">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行车要遵守交通、消防、治安等法律法规。控制车速，保持与前车安全距离，严禁违法超车，不能疲劳驾驶。</w:t>
      </w:r>
    </w:p>
    <w:p w14:paraId="5F51A32A">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※行车途中勤检查</w:t>
      </w:r>
    </w:p>
    <w:p w14:paraId="59ED783B">
      <w:pPr>
        <w:spacing w:line="500" w:lineRule="exact"/>
        <w:ind w:firstLine="480" w:firstLineChars="200"/>
        <w:rPr>
          <w:rFonts w:hint="eastAsia" w:ascii="宋体" w:hAnsi="宋体" w:cs="Arial"/>
          <w:kern w:val="0"/>
          <w:sz w:val="24"/>
          <w:szCs w:val="24"/>
        </w:rPr>
      </w:pPr>
      <w:r>
        <w:rPr>
          <w:rFonts w:hint="eastAsia" w:ascii="宋体" w:hAnsi="宋体" w:cs="Arial"/>
          <w:kern w:val="0"/>
          <w:sz w:val="24"/>
          <w:szCs w:val="24"/>
        </w:rPr>
        <w:t>危险品运输的事故隐患主要是从泄漏开始的。因此，行车途中要勤于检查。当行驶一定时间后要查看一下车箱底部四周有无泄漏液体，若有原油泄漏，应查找泄漏点，采取相应的应急措施，防止液体继续泄漏，将受到污染的土壤要全部回收，送至具备相应危废处理资质的单位进行无害化处理。</w:t>
      </w:r>
    </w:p>
    <w:p w14:paraId="5463C703">
      <w:pPr>
        <w:pStyle w:val="4"/>
        <w:rPr>
          <w:rFonts w:hint="eastAsia"/>
        </w:rPr>
      </w:pPr>
      <w:bookmarkStart w:id="689" w:name="_Hlk173407586"/>
      <w:r>
        <w:rPr>
          <w:rFonts w:hint="eastAsia"/>
        </w:rPr>
        <w:t>居民区风险防范措施</w:t>
      </w:r>
    </w:p>
    <w:p w14:paraId="12D690E4">
      <w:pPr>
        <w:pStyle w:val="117"/>
        <w:ind w:firstLine="480"/>
        <w:rPr>
          <w:rFonts w:hint="eastAsia"/>
        </w:rPr>
      </w:pPr>
      <w:r>
        <w:rPr>
          <w:rFonts w:hint="eastAsia"/>
        </w:rPr>
        <w:t>（1）加强井场、计量站内的设备、阀门、法兰和管线等巡检、检维修，防止跑冒滴漏。</w:t>
      </w:r>
    </w:p>
    <w:p w14:paraId="4C81234A">
      <w:pPr>
        <w:pStyle w:val="117"/>
        <w:ind w:firstLine="480"/>
        <w:rPr>
          <w:rFonts w:hint="eastAsia"/>
        </w:rPr>
      </w:pPr>
      <w:r>
        <w:rPr>
          <w:rFonts w:hint="eastAsia"/>
        </w:rPr>
        <w:t>（2）井场、计量站设有硫化氢检测仪。</w:t>
      </w:r>
    </w:p>
    <w:p w14:paraId="1133AB06">
      <w:pPr>
        <w:pStyle w:val="117"/>
        <w:ind w:firstLine="480"/>
        <w:rPr>
          <w:rFonts w:hint="eastAsia"/>
        </w:rPr>
      </w:pPr>
      <w:r>
        <w:rPr>
          <w:rFonts w:hint="eastAsia"/>
        </w:rPr>
        <w:t>（3）加强除硫加药装置的检维修，保证其正常运行。</w:t>
      </w:r>
    </w:p>
    <w:p w14:paraId="0634B031">
      <w:pPr>
        <w:pStyle w:val="117"/>
        <w:ind w:firstLine="480"/>
        <w:rPr>
          <w:rFonts w:hint="eastAsia"/>
        </w:rPr>
      </w:pPr>
      <w:r>
        <w:rPr>
          <w:rFonts w:hint="eastAsia"/>
        </w:rPr>
        <w:t>（4）发生泄漏事故后，及时疏散四厂湖和农一连的居民。</w:t>
      </w:r>
    </w:p>
    <w:bookmarkEnd w:id="686"/>
    <w:bookmarkEnd w:id="687"/>
    <w:bookmarkEnd w:id="689"/>
    <w:p w14:paraId="0A1CFA43">
      <w:pPr>
        <w:pStyle w:val="4"/>
        <w:rPr>
          <w:rFonts w:hint="eastAsia"/>
        </w:rPr>
      </w:pPr>
      <w:bookmarkStart w:id="690" w:name="_Hlk40733197"/>
      <w:r>
        <w:t>环境风险应急</w:t>
      </w:r>
      <w:bookmarkEnd w:id="676"/>
      <w:bookmarkEnd w:id="677"/>
      <w:bookmarkEnd w:id="678"/>
      <w:bookmarkEnd w:id="679"/>
      <w:bookmarkEnd w:id="680"/>
      <w:bookmarkEnd w:id="681"/>
      <w:bookmarkEnd w:id="682"/>
      <w:bookmarkEnd w:id="683"/>
      <w:r>
        <w:rPr>
          <w:rFonts w:hint="eastAsia"/>
        </w:rPr>
        <w:t>措施</w:t>
      </w:r>
    </w:p>
    <w:p w14:paraId="14B9A1A7">
      <w:pPr>
        <w:pStyle w:val="191"/>
        <w:ind w:firstLine="480"/>
        <w:rPr>
          <w:rFonts w:hint="eastAsia"/>
        </w:rPr>
      </w:pPr>
      <w:r>
        <w:rPr>
          <w:rFonts w:hint="eastAsia"/>
        </w:rPr>
        <w:t>（1）应急处置措施</w:t>
      </w:r>
    </w:p>
    <w:p w14:paraId="307B37D2">
      <w:pPr>
        <w:pStyle w:val="191"/>
        <w:ind w:firstLine="480"/>
        <w:rPr>
          <w:rFonts w:hint="eastAsia"/>
        </w:rPr>
      </w:pPr>
      <w:bookmarkStart w:id="691" w:name="_Hlk40377182"/>
      <w:r>
        <w:rPr>
          <w:rFonts w:hint="eastAsia"/>
        </w:rPr>
        <w:t>发生事故时，</w:t>
      </w:r>
      <w:bookmarkStart w:id="692" w:name="_Hlk40632491"/>
      <w:r>
        <w:rPr>
          <w:rFonts w:hint="eastAsia"/>
        </w:rPr>
        <w:t>如管线、设备发生泄漏</w:t>
      </w:r>
      <w:bookmarkEnd w:id="692"/>
      <w:r>
        <w:rPr>
          <w:rFonts w:hint="eastAsia"/>
        </w:rPr>
        <w:t>事故时，上层能收集的原油回收送页岩油联合站处理</w:t>
      </w:r>
      <w:r>
        <w:t>，无法收集的原油和受浸染的土壤</w:t>
      </w:r>
      <w:r>
        <w:rPr>
          <w:rFonts w:hint="eastAsia"/>
        </w:rPr>
        <w:t>等</w:t>
      </w:r>
      <w:r>
        <w:t>含油污泥属于《国家危险废物名录》（20</w:t>
      </w:r>
      <w:r>
        <w:rPr>
          <w:rFonts w:hint="eastAsia"/>
        </w:rPr>
        <w:t>21年版</w:t>
      </w:r>
      <w:r>
        <w:t>）HW08废矿物油和含矿物油废物，交由具有相应危险废物处置资质的单位进行回收、处置</w:t>
      </w:r>
      <w:bookmarkEnd w:id="691"/>
      <w:r>
        <w:rPr>
          <w:rFonts w:hint="eastAsia"/>
        </w:rPr>
        <w:t>。若发生不可控风险事故，应立即启动《中国石油新疆油田分公司吉庆油田作业区突发环境污染事件应急预案》，由应急领导小组对事故进行处理。</w:t>
      </w:r>
    </w:p>
    <w:p w14:paraId="021936F4">
      <w:pPr>
        <w:pStyle w:val="191"/>
        <w:ind w:firstLine="480"/>
        <w:rPr>
          <w:rFonts w:hint="eastAsia"/>
        </w:rPr>
      </w:pPr>
      <w:r>
        <w:rPr>
          <w:rFonts w:hint="eastAsia"/>
        </w:rPr>
        <w:t>（2）应急预案</w:t>
      </w:r>
    </w:p>
    <w:bookmarkEnd w:id="690"/>
    <w:p w14:paraId="1C5DE2F1">
      <w:pPr>
        <w:pStyle w:val="191"/>
        <w:ind w:firstLine="480"/>
        <w:rPr>
          <w:rFonts w:hint="eastAsia"/>
        </w:rPr>
      </w:pPr>
      <w:bookmarkStart w:id="693" w:name="_Hlk12460212"/>
      <w:bookmarkStart w:id="694" w:name="_Hlk40733242"/>
      <w:bookmarkStart w:id="695" w:name="_Hlk147588542"/>
      <w:r>
        <w:rPr>
          <w:rFonts w:hint="eastAsia"/>
        </w:rPr>
        <w:t>项目投产后应纳入《中国石油新疆油田分公司吉庆油田作业区突发环境污染事件应急预案》，从而对环境风险进行有效防治。</w:t>
      </w:r>
      <w:bookmarkEnd w:id="693"/>
      <w:bookmarkEnd w:id="694"/>
      <w:bookmarkStart w:id="696" w:name="_Hlk40733273"/>
      <w:r>
        <w:rPr>
          <w:rFonts w:hint="eastAsia"/>
        </w:rPr>
        <w:t>项目实施后建设单位应根据实际建设情况</w:t>
      </w:r>
      <w:bookmarkStart w:id="697" w:name="_Hlk92216992"/>
      <w:r>
        <w:rPr>
          <w:rFonts w:hint="eastAsia"/>
        </w:rPr>
        <w:t>对应急预案中的</w:t>
      </w:r>
      <w:r>
        <w:rPr>
          <w:rFonts w:hint="eastAsia" w:cs="Arial"/>
        </w:rPr>
        <w:t>环境风险源基本情况、环境风险源识别、装置风险识别进行修改完善</w:t>
      </w:r>
      <w:bookmarkEnd w:id="697"/>
      <w:r>
        <w:rPr>
          <w:rFonts w:hint="eastAsia" w:cs="Arial"/>
        </w:rPr>
        <w:t>，其余与现有应急预案保持一致，并根据风险等级要求对现有应急预案进行修订。</w:t>
      </w:r>
    </w:p>
    <w:bookmarkEnd w:id="695"/>
    <w:p w14:paraId="58D80926">
      <w:pPr>
        <w:pStyle w:val="117"/>
        <w:ind w:firstLine="480"/>
        <w:rPr>
          <w:rStyle w:val="190"/>
          <w:rFonts w:hint="eastAsia"/>
        </w:rPr>
      </w:pPr>
      <w:bookmarkStart w:id="698" w:name="_Hlk78887558"/>
      <w:r>
        <w:rPr>
          <w:rFonts w:hint="eastAsia" w:cs="Arial"/>
          <w:kern w:val="0"/>
        </w:rPr>
        <w:t>环境风险简单分析内容详</w:t>
      </w:r>
      <w:r>
        <w:rPr>
          <w:rStyle w:val="190"/>
          <w:rFonts w:hint="eastAsia"/>
        </w:rPr>
        <w:t>见表6.4-1。</w:t>
      </w:r>
    </w:p>
    <w:p w14:paraId="72E3E03A">
      <w:pPr>
        <w:pStyle w:val="15"/>
        <w:rPr>
          <w:rFonts w:hint="eastAsia" w:ascii="黑体" w:hAnsi="黑体" w:cs="黑体"/>
          <w:kern w:val="0"/>
          <w:szCs w:val="21"/>
        </w:rPr>
      </w:pPr>
      <w:r>
        <w:rPr>
          <w:rFonts w:hint="eastAsia"/>
        </w:rPr>
        <w:t>表6.4-1</w:t>
      </w:r>
      <w:r>
        <w:rPr>
          <w:rFonts w:hint="eastAsia" w:ascii="黑体" w:hAnsi="黑体" w:cs="黑体"/>
          <w:kern w:val="0"/>
          <w:szCs w:val="21"/>
        </w:rPr>
        <w:t xml:space="preserve">  </w:t>
      </w:r>
      <w:bookmarkStart w:id="699" w:name="_Hlk80209137"/>
      <w:r>
        <w:rPr>
          <w:rFonts w:hint="eastAsia" w:ascii="黑体" w:hAnsi="黑体" w:cs="黑体"/>
          <w:kern w:val="0"/>
          <w:szCs w:val="21"/>
        </w:rPr>
        <w:t>环境风险简单分析一览表</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08"/>
        <w:gridCol w:w="7638"/>
      </w:tblGrid>
      <w:tr w14:paraId="339FD8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2B1E00B7">
            <w:pPr>
              <w:pStyle w:val="117"/>
              <w:adjustRightInd w:val="0"/>
              <w:snapToGrid w:val="0"/>
              <w:spacing w:line="300" w:lineRule="exact"/>
              <w:ind w:firstLine="0" w:firstLineChars="0"/>
              <w:jc w:val="center"/>
              <w:rPr>
                <w:rFonts w:hint="eastAsia"/>
                <w:sz w:val="21"/>
                <w:szCs w:val="21"/>
              </w:rPr>
            </w:pPr>
            <w:r>
              <w:rPr>
                <w:rFonts w:hint="eastAsia"/>
                <w:sz w:val="21"/>
                <w:szCs w:val="21"/>
              </w:rPr>
              <w:t>建设项目</w:t>
            </w:r>
          </w:p>
          <w:p w14:paraId="390E38D5">
            <w:pPr>
              <w:pStyle w:val="117"/>
              <w:adjustRightInd w:val="0"/>
              <w:snapToGrid w:val="0"/>
              <w:spacing w:line="300" w:lineRule="exact"/>
              <w:ind w:firstLine="0" w:firstLineChars="0"/>
              <w:jc w:val="center"/>
              <w:rPr>
                <w:rFonts w:hint="eastAsia"/>
                <w:sz w:val="21"/>
                <w:szCs w:val="21"/>
              </w:rPr>
            </w:pPr>
            <w:r>
              <w:rPr>
                <w:rFonts w:hint="eastAsia"/>
                <w:sz w:val="21"/>
                <w:szCs w:val="21"/>
              </w:rPr>
              <w:t>名称</w:t>
            </w:r>
          </w:p>
        </w:tc>
        <w:tc>
          <w:tcPr>
            <w:tcW w:w="4269" w:type="pct"/>
            <w:vAlign w:val="center"/>
          </w:tcPr>
          <w:p w14:paraId="71A720BD">
            <w:pPr>
              <w:pStyle w:val="117"/>
              <w:adjustRightInd w:val="0"/>
              <w:snapToGrid w:val="0"/>
              <w:spacing w:line="300" w:lineRule="exact"/>
              <w:ind w:firstLine="0" w:firstLineChars="0"/>
              <w:jc w:val="left"/>
              <w:rPr>
                <w:rFonts w:hint="eastAsia"/>
                <w:sz w:val="21"/>
                <w:szCs w:val="21"/>
              </w:rPr>
            </w:pPr>
            <w:r>
              <w:rPr>
                <w:rFonts w:hint="eastAsia"/>
                <w:sz w:val="21"/>
                <w:szCs w:val="21"/>
              </w:rPr>
              <w:t>吉木萨尔凹陷芦草沟组页岩油J10031-吉179井区JHW17-41等5口井产能建设项目</w:t>
            </w:r>
          </w:p>
        </w:tc>
      </w:tr>
      <w:tr w14:paraId="4F52A5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165246C8">
            <w:pPr>
              <w:pStyle w:val="117"/>
              <w:adjustRightInd w:val="0"/>
              <w:snapToGrid w:val="0"/>
              <w:spacing w:line="300" w:lineRule="exact"/>
              <w:ind w:firstLine="0" w:firstLineChars="0"/>
              <w:jc w:val="center"/>
              <w:rPr>
                <w:rFonts w:hint="eastAsia"/>
                <w:sz w:val="21"/>
                <w:szCs w:val="21"/>
              </w:rPr>
            </w:pPr>
            <w:r>
              <w:rPr>
                <w:rFonts w:hint="eastAsia"/>
                <w:sz w:val="21"/>
                <w:szCs w:val="21"/>
              </w:rPr>
              <w:t>建设地点</w:t>
            </w:r>
          </w:p>
        </w:tc>
        <w:tc>
          <w:tcPr>
            <w:tcW w:w="4269" w:type="pct"/>
            <w:vAlign w:val="center"/>
          </w:tcPr>
          <w:p w14:paraId="6D722718">
            <w:pPr>
              <w:pStyle w:val="117"/>
              <w:adjustRightInd w:val="0"/>
              <w:snapToGrid w:val="0"/>
              <w:spacing w:line="300" w:lineRule="exact"/>
              <w:ind w:firstLine="0" w:firstLineChars="0"/>
              <w:rPr>
                <w:rFonts w:hint="eastAsia"/>
                <w:sz w:val="21"/>
                <w:szCs w:val="21"/>
              </w:rPr>
            </w:pPr>
            <w:r>
              <w:rPr>
                <w:rFonts w:hint="eastAsia"/>
                <w:sz w:val="21"/>
                <w:szCs w:val="21"/>
              </w:rPr>
              <w:t>本项目行政隶属于新疆生产建设兵团第六师红旗农场，拟部署井西北距红旗农场中心约7km，西南距吉木萨尔县城约21km。</w:t>
            </w:r>
          </w:p>
        </w:tc>
      </w:tr>
      <w:tr w14:paraId="513747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30A9BABB">
            <w:pPr>
              <w:pStyle w:val="117"/>
              <w:adjustRightInd w:val="0"/>
              <w:snapToGrid w:val="0"/>
              <w:spacing w:line="300" w:lineRule="exact"/>
              <w:ind w:firstLine="0" w:firstLineChars="0"/>
              <w:jc w:val="center"/>
              <w:rPr>
                <w:rFonts w:hint="eastAsia"/>
                <w:sz w:val="21"/>
                <w:szCs w:val="21"/>
              </w:rPr>
            </w:pPr>
            <w:r>
              <w:rPr>
                <w:rFonts w:hint="eastAsia"/>
                <w:sz w:val="21"/>
                <w:szCs w:val="21"/>
              </w:rPr>
              <w:t>地理坐标</w:t>
            </w:r>
          </w:p>
        </w:tc>
        <w:tc>
          <w:tcPr>
            <w:tcW w:w="4269" w:type="pct"/>
            <w:vAlign w:val="center"/>
          </w:tcPr>
          <w:p w14:paraId="7A6D6136">
            <w:pPr>
              <w:pStyle w:val="117"/>
              <w:adjustRightInd w:val="0"/>
              <w:snapToGrid w:val="0"/>
              <w:spacing w:line="300" w:lineRule="exact"/>
              <w:ind w:firstLine="0" w:firstLineChars="0"/>
              <w:rPr>
                <w:rFonts w:hint="eastAsia"/>
                <w:sz w:val="21"/>
                <w:szCs w:val="21"/>
              </w:rPr>
            </w:pPr>
            <w:r>
              <w:rPr>
                <w:rFonts w:hint="eastAsia"/>
                <w:sz w:val="21"/>
                <w:szCs w:val="21"/>
              </w:rPr>
              <w:t>17号采油平台坐标：</w:t>
            </w:r>
            <w:r>
              <w:rPr>
                <w:sz w:val="21"/>
                <w:szCs w:val="21"/>
              </w:rPr>
              <w:t>N 44°11'45.41"</w:t>
            </w:r>
            <w:r>
              <w:rPr>
                <w:rFonts w:hint="eastAsia"/>
                <w:sz w:val="21"/>
                <w:szCs w:val="21"/>
              </w:rPr>
              <w:t>、</w:t>
            </w:r>
            <w:r>
              <w:rPr>
                <w:sz w:val="21"/>
                <w:szCs w:val="21"/>
              </w:rPr>
              <w:t>E 89° 9'40.31"</w:t>
            </w:r>
          </w:p>
        </w:tc>
      </w:tr>
      <w:tr w14:paraId="7DA158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50B2A593">
            <w:pPr>
              <w:pStyle w:val="117"/>
              <w:adjustRightInd w:val="0"/>
              <w:snapToGrid w:val="0"/>
              <w:spacing w:line="300" w:lineRule="exact"/>
              <w:ind w:firstLine="0" w:firstLineChars="0"/>
              <w:jc w:val="center"/>
              <w:rPr>
                <w:rFonts w:hint="eastAsia"/>
                <w:sz w:val="21"/>
                <w:szCs w:val="21"/>
              </w:rPr>
            </w:pPr>
            <w:r>
              <w:rPr>
                <w:rFonts w:hint="eastAsia"/>
                <w:sz w:val="21"/>
                <w:szCs w:val="21"/>
              </w:rPr>
              <w:t>主要危险物质及分布</w:t>
            </w:r>
          </w:p>
        </w:tc>
        <w:tc>
          <w:tcPr>
            <w:tcW w:w="4269" w:type="pct"/>
            <w:vAlign w:val="center"/>
          </w:tcPr>
          <w:p w14:paraId="7086C786">
            <w:pPr>
              <w:pStyle w:val="117"/>
              <w:adjustRightInd w:val="0"/>
              <w:snapToGrid w:val="0"/>
              <w:spacing w:line="300" w:lineRule="exact"/>
              <w:ind w:firstLine="0" w:firstLineChars="0"/>
              <w:jc w:val="left"/>
              <w:rPr>
                <w:rFonts w:hint="eastAsia"/>
                <w:sz w:val="21"/>
                <w:szCs w:val="21"/>
              </w:rPr>
            </w:pPr>
            <w:r>
              <w:rPr>
                <w:rFonts w:hint="eastAsia"/>
                <w:sz w:val="21"/>
                <w:szCs w:val="21"/>
              </w:rPr>
              <w:t>施工期风险物质为柴油，运营期危险物质主要为原油、伴生气。施工期柴油主要分布在井场，原油和伴生气主要分布在单井采油管线和集油支线。</w:t>
            </w:r>
          </w:p>
        </w:tc>
      </w:tr>
      <w:tr w14:paraId="2E2DE1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31D43F44">
            <w:pPr>
              <w:pStyle w:val="117"/>
              <w:adjustRightInd w:val="0"/>
              <w:snapToGrid w:val="0"/>
              <w:spacing w:line="300" w:lineRule="exact"/>
              <w:ind w:firstLine="0" w:firstLineChars="0"/>
              <w:jc w:val="center"/>
              <w:rPr>
                <w:rFonts w:hint="eastAsia"/>
                <w:sz w:val="21"/>
                <w:szCs w:val="21"/>
              </w:rPr>
            </w:pPr>
            <w:r>
              <w:rPr>
                <w:rFonts w:hint="eastAsia"/>
                <w:sz w:val="21"/>
                <w:szCs w:val="21"/>
              </w:rPr>
              <w:t>环境影响途径及危害后果</w:t>
            </w:r>
          </w:p>
        </w:tc>
        <w:tc>
          <w:tcPr>
            <w:tcW w:w="4269" w:type="pct"/>
            <w:vAlign w:val="center"/>
          </w:tcPr>
          <w:p w14:paraId="368BD9C3">
            <w:pPr>
              <w:pStyle w:val="117"/>
              <w:adjustRightInd w:val="0"/>
              <w:snapToGrid w:val="0"/>
              <w:spacing w:line="300" w:lineRule="exact"/>
              <w:ind w:firstLine="0" w:firstLineChars="0"/>
              <w:jc w:val="left"/>
              <w:rPr>
                <w:rFonts w:hint="eastAsia"/>
                <w:sz w:val="21"/>
                <w:szCs w:val="21"/>
              </w:rPr>
            </w:pPr>
            <w:r>
              <w:rPr>
                <w:rFonts w:hint="eastAsia"/>
                <w:sz w:val="21"/>
                <w:szCs w:val="21"/>
              </w:rPr>
              <w:t>施工期柴油储罐发生泄漏或发生井喷事故，泄漏的柴油、原油对大气、土壤和地下水环境产生一定的影响；运营期井场、管线、计量站内设备发生破损造成原油和伴生气发生泄漏，污染土壤和大气，泄漏原油可能通过包气带渗漏进入地下含水层，污染地下水；泄漏的油气若遇明火，发生火灾、爆炸，污染大气环境。</w:t>
            </w:r>
          </w:p>
        </w:tc>
      </w:tr>
      <w:tr w14:paraId="220E3B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31" w:type="pct"/>
            <w:vAlign w:val="center"/>
          </w:tcPr>
          <w:p w14:paraId="31297AE0">
            <w:pPr>
              <w:pStyle w:val="117"/>
              <w:adjustRightInd w:val="0"/>
              <w:snapToGrid w:val="0"/>
              <w:spacing w:line="300" w:lineRule="exact"/>
              <w:ind w:firstLine="0" w:firstLineChars="0"/>
              <w:jc w:val="center"/>
              <w:rPr>
                <w:rFonts w:hint="eastAsia"/>
                <w:sz w:val="21"/>
                <w:szCs w:val="21"/>
              </w:rPr>
            </w:pPr>
            <w:r>
              <w:rPr>
                <w:rFonts w:hint="eastAsia"/>
                <w:sz w:val="21"/>
                <w:szCs w:val="21"/>
              </w:rPr>
              <w:t>环境风险防范措施要求</w:t>
            </w:r>
          </w:p>
        </w:tc>
        <w:tc>
          <w:tcPr>
            <w:tcW w:w="4269" w:type="pct"/>
            <w:vAlign w:val="center"/>
          </w:tcPr>
          <w:p w14:paraId="1026B743">
            <w:pPr>
              <w:pStyle w:val="117"/>
              <w:adjustRightInd w:val="0"/>
              <w:snapToGrid w:val="0"/>
              <w:spacing w:line="300" w:lineRule="exact"/>
              <w:ind w:firstLine="0" w:firstLineChars="0"/>
              <w:rPr>
                <w:rFonts w:hint="eastAsia"/>
                <w:sz w:val="21"/>
                <w:szCs w:val="21"/>
              </w:rPr>
            </w:pPr>
            <w:r>
              <w:rPr>
                <w:rFonts w:hint="eastAsia"/>
                <w:sz w:val="21"/>
                <w:szCs w:val="21"/>
              </w:rPr>
              <w:t>（1）严格遵守钻井的安全规定，在井口安装防喷器和控制装置；井场设置明显的禁止烟火标志；井场钻井设备及电器设备、照明灯具符合防火防爆的安全要求，井场安装探照灯，以备井喷时钻台照明；在井架、井场路口等处设风向标，发生事故时人员迅速向上风向疏散；按消防规定配备灭火器、消防铁锹和其它消防器材。井场设置明显的禁止烟火标志；井下作业时要求带罐操作，最大限度避免落地油产生，而泄漏物料和落地原油应及时回收、妥善处置。</w:t>
            </w:r>
          </w:p>
          <w:p w14:paraId="6BF311AC">
            <w:pPr>
              <w:pStyle w:val="117"/>
              <w:adjustRightInd w:val="0"/>
              <w:snapToGrid w:val="0"/>
              <w:spacing w:line="300" w:lineRule="exact"/>
              <w:ind w:firstLine="0" w:firstLineChars="0"/>
              <w:rPr>
                <w:rFonts w:hint="eastAsia"/>
                <w:sz w:val="21"/>
                <w:szCs w:val="21"/>
              </w:rPr>
            </w:pPr>
            <w:r>
              <w:rPr>
                <w:rFonts w:hint="eastAsia"/>
                <w:sz w:val="21"/>
                <w:szCs w:val="21"/>
              </w:rPr>
              <w:t>（2）平面布置中尽量将火灾危险性相近的设施集中布置，并保持规定的防火距离；将全场内的明火点控制到最少，并布置在油气生产区场地边缘部位；按规定配置齐全各类消防设施，并定期进行检查，保持有效性及完好可用；站场内的装置区等均为爆炸火灾危险区域，区域内的配电设备均应采用防爆型；加强对职工的教育培训，实行上岗证制度，增强职工风险意识；井场设置风向标；在油气可能泄漏和积聚的区域设置可燃气体浓度检测报警装置。</w:t>
            </w:r>
          </w:p>
          <w:p w14:paraId="4D7243C0">
            <w:pPr>
              <w:pStyle w:val="117"/>
              <w:adjustRightInd w:val="0"/>
              <w:snapToGrid w:val="0"/>
              <w:spacing w:line="300" w:lineRule="exact"/>
              <w:ind w:firstLine="0" w:firstLineChars="0"/>
              <w:rPr>
                <w:rFonts w:hint="eastAsia"/>
                <w:sz w:val="21"/>
                <w:szCs w:val="21"/>
              </w:rPr>
            </w:pPr>
            <w:r>
              <w:rPr>
                <w:rFonts w:hint="eastAsia"/>
                <w:sz w:val="21"/>
                <w:szCs w:val="21"/>
              </w:rPr>
              <w:t>（3）定期对管线进行巡检，</w:t>
            </w:r>
            <w:r>
              <w:rPr>
                <w:sz w:val="21"/>
                <w:szCs w:val="21"/>
              </w:rPr>
              <w:t>严格按照管道施工、验收等规范进行设计、施工和验收。管线敷设前，应加强对管材和焊接质量的检查，严禁使用不合格产品</w:t>
            </w:r>
            <w:r>
              <w:rPr>
                <w:rFonts w:hint="eastAsia"/>
                <w:sz w:val="21"/>
                <w:szCs w:val="21"/>
              </w:rPr>
              <w:t>；</w:t>
            </w:r>
            <w:r>
              <w:rPr>
                <w:sz w:val="21"/>
                <w:szCs w:val="21"/>
              </w:rPr>
              <w:t>定期对管线进行超声波检查，对壁厚低于规定要求的管段应及时更换，消除爆管的隐患；定期对</w:t>
            </w:r>
            <w:r>
              <w:rPr>
                <w:rFonts w:hint="eastAsia"/>
                <w:sz w:val="21"/>
                <w:szCs w:val="21"/>
              </w:rPr>
              <w:t>管线</w:t>
            </w:r>
            <w:r>
              <w:rPr>
                <w:sz w:val="21"/>
                <w:szCs w:val="21"/>
              </w:rPr>
              <w:t>上的安全保护设施，如截断阀、安全阀、放空系统等进行检查</w:t>
            </w:r>
            <w:r>
              <w:rPr>
                <w:rFonts w:hint="eastAsia"/>
                <w:sz w:val="21"/>
                <w:szCs w:val="21"/>
              </w:rPr>
              <w:t>；严禁在管线两侧各5m范围内修筑工程，在管线上方及近旁严禁动土开挖和修建超过管道负荷的建筑物。</w:t>
            </w:r>
          </w:p>
          <w:p w14:paraId="704F020A">
            <w:pPr>
              <w:pStyle w:val="191"/>
              <w:adjustRightInd w:val="0"/>
              <w:snapToGrid w:val="0"/>
              <w:spacing w:line="300" w:lineRule="exact"/>
              <w:ind w:firstLine="0" w:firstLineChars="0"/>
              <w:rPr>
                <w:rFonts w:hint="eastAsia"/>
                <w:sz w:val="21"/>
                <w:szCs w:val="21"/>
              </w:rPr>
            </w:pPr>
            <w:r>
              <w:rPr>
                <w:rFonts w:hint="eastAsia"/>
                <w:sz w:val="21"/>
                <w:szCs w:val="21"/>
              </w:rPr>
              <w:t>（4）项目投产后应纳入《中国石油新疆油田分公司吉庆油田作业区突发环境污染事件应急预案》，从而对环境风险进行有效防治。项目实施后建设单位应根据实际建设情况对应急预案中的</w:t>
            </w:r>
            <w:r>
              <w:rPr>
                <w:rFonts w:hint="eastAsia" w:cs="Arial"/>
                <w:sz w:val="21"/>
                <w:szCs w:val="21"/>
              </w:rPr>
              <w:t>环境风险源基本情况、环境风险源识别、装置风险识别进行修改完善，其余与现有应急预案保持一致，并根据风险等级要求对现有应急预案进行修订。</w:t>
            </w:r>
          </w:p>
        </w:tc>
      </w:tr>
      <w:bookmarkEnd w:id="659"/>
      <w:bookmarkEnd w:id="660"/>
      <w:bookmarkEnd w:id="661"/>
      <w:bookmarkEnd w:id="670"/>
      <w:bookmarkEnd w:id="696"/>
      <w:bookmarkEnd w:id="698"/>
      <w:bookmarkEnd w:id="699"/>
    </w:tbl>
    <w:p w14:paraId="2A57B718">
      <w:pPr>
        <w:pStyle w:val="2"/>
        <w:rPr>
          <w:rFonts w:hint="eastAsia"/>
          <w:lang w:val="zh-CN"/>
        </w:rPr>
      </w:pPr>
      <w:bookmarkStart w:id="700" w:name="_Toc21737"/>
      <w:bookmarkStart w:id="701" w:name="_Toc445842149"/>
      <w:bookmarkStart w:id="702" w:name="_Toc475624490"/>
      <w:bookmarkStart w:id="703" w:name="_Toc448413621"/>
      <w:bookmarkStart w:id="704" w:name="_Toc9979"/>
      <w:bookmarkStart w:id="705" w:name="_Toc459026596"/>
      <w:bookmarkStart w:id="706" w:name="_Toc160382105"/>
      <w:bookmarkStart w:id="707" w:name="_Toc445840422"/>
      <w:bookmarkStart w:id="708" w:name="_Toc14918"/>
      <w:bookmarkStart w:id="709" w:name="_Toc445996468"/>
      <w:r>
        <w:rPr>
          <w:rFonts w:hint="eastAsia"/>
          <w:lang w:val="zh-CN"/>
        </w:rPr>
        <w:t>退役</w:t>
      </w:r>
      <w:r>
        <w:rPr>
          <w:lang w:val="zh-CN"/>
        </w:rPr>
        <w:t>期环境保护</w:t>
      </w:r>
      <w:r>
        <w:rPr>
          <w:rFonts w:hint="eastAsia"/>
          <w:lang w:val="zh-CN"/>
        </w:rPr>
        <w:t>措施</w:t>
      </w:r>
      <w:bookmarkEnd w:id="700"/>
      <w:bookmarkEnd w:id="701"/>
      <w:bookmarkEnd w:id="702"/>
      <w:bookmarkEnd w:id="703"/>
      <w:bookmarkEnd w:id="704"/>
      <w:bookmarkEnd w:id="705"/>
      <w:bookmarkEnd w:id="706"/>
      <w:bookmarkEnd w:id="707"/>
      <w:bookmarkEnd w:id="708"/>
      <w:bookmarkEnd w:id="709"/>
    </w:p>
    <w:p w14:paraId="0217DD87">
      <w:pPr>
        <w:pStyle w:val="4"/>
        <w:rPr>
          <w:rFonts w:hint="eastAsia"/>
          <w:lang w:val="zh-CN"/>
        </w:rPr>
      </w:pPr>
      <w:r>
        <w:rPr>
          <w:rFonts w:hint="eastAsia"/>
          <w:lang w:val="zh-CN"/>
        </w:rPr>
        <w:t>退役</w:t>
      </w:r>
      <w:r>
        <w:rPr>
          <w:lang w:val="zh-CN"/>
        </w:rPr>
        <w:t>期</w:t>
      </w:r>
      <w:r>
        <w:rPr>
          <w:rFonts w:hint="eastAsia"/>
          <w:lang w:val="zh-CN"/>
        </w:rPr>
        <w:t>大气环境保护措施</w:t>
      </w:r>
    </w:p>
    <w:p w14:paraId="689A344B">
      <w:pPr>
        <w:pStyle w:val="117"/>
        <w:ind w:firstLine="480"/>
        <w:rPr>
          <w:rFonts w:hint="eastAsia"/>
        </w:rPr>
      </w:pPr>
      <w:r>
        <w:rPr>
          <w:rFonts w:hint="eastAsia"/>
        </w:rPr>
        <w:t>（</w:t>
      </w:r>
      <w:r>
        <w:t>1）运输车辆使用符合国家标准的油品。</w:t>
      </w:r>
    </w:p>
    <w:p w14:paraId="7ED5208C">
      <w:pPr>
        <w:pStyle w:val="117"/>
        <w:ind w:firstLine="480"/>
        <w:rPr>
          <w:rFonts w:hint="eastAsia"/>
        </w:rPr>
      </w:pPr>
      <w:r>
        <w:rPr>
          <w:rFonts w:hint="eastAsia"/>
        </w:rPr>
        <w:t>（</w:t>
      </w:r>
      <w:r>
        <w:t>2）在施工操作中应做到文明施工，防止水泥等的洒落与飘散；尽量避开大风天气进行作业。</w:t>
      </w:r>
    </w:p>
    <w:p w14:paraId="50D038DA">
      <w:pPr>
        <w:pStyle w:val="4"/>
        <w:rPr>
          <w:rFonts w:hint="eastAsia"/>
          <w:lang w:val="zh-CN"/>
        </w:rPr>
      </w:pPr>
      <w:r>
        <w:rPr>
          <w:rFonts w:hint="eastAsia"/>
          <w:lang w:val="zh-CN"/>
        </w:rPr>
        <w:t>退役期水环境保护措施</w:t>
      </w:r>
    </w:p>
    <w:p w14:paraId="12F81B88">
      <w:pPr>
        <w:pStyle w:val="117"/>
        <w:ind w:firstLine="480"/>
        <w:rPr>
          <w:rFonts w:hint="eastAsia"/>
        </w:rPr>
      </w:pPr>
      <w:r>
        <w:rPr>
          <w:rFonts w:hint="eastAsia"/>
        </w:rPr>
        <w:t>对完成采油的废弃井应封堵，拆除井口装置，截去地下</w:t>
      </w:r>
      <w:r>
        <w:t>1m内管头，</w:t>
      </w:r>
      <w:r>
        <w:rPr>
          <w:rFonts w:hint="eastAsia"/>
        </w:rPr>
        <w:t>废弃井应根据《废弃井封井回填技术指南（试行）》中的相关要求进行封井回填；单井采油管线、集油干线清扫确保管线内无残留采出物，管线两端使用盲板封堵。清扫的废水集中收集后送至压裂返排液处理装置处理。</w:t>
      </w:r>
    </w:p>
    <w:p w14:paraId="2FEA624C">
      <w:pPr>
        <w:pStyle w:val="4"/>
        <w:rPr>
          <w:rFonts w:hint="eastAsia"/>
          <w:lang w:val="zh-CN"/>
        </w:rPr>
      </w:pPr>
      <w:bookmarkStart w:id="710" w:name="_Toc445996471"/>
      <w:bookmarkStart w:id="711" w:name="_Toc445840423"/>
      <w:bookmarkStart w:id="712" w:name="_Toc11580"/>
      <w:bookmarkStart w:id="713" w:name="_Toc445842153"/>
      <w:r>
        <w:rPr>
          <w:rFonts w:hint="eastAsia"/>
          <w:lang w:val="zh-CN"/>
        </w:rPr>
        <w:t>退役期</w:t>
      </w:r>
      <w:r>
        <w:rPr>
          <w:lang w:val="zh-CN"/>
        </w:rPr>
        <w:t>噪声污染防治措施</w:t>
      </w:r>
    </w:p>
    <w:p w14:paraId="4DC9D413">
      <w:pPr>
        <w:pStyle w:val="117"/>
        <w:ind w:firstLine="480"/>
        <w:rPr>
          <w:rFonts w:hint="eastAsia"/>
        </w:rPr>
      </w:pPr>
      <w:r>
        <w:rPr>
          <w:rFonts w:hint="eastAsia"/>
        </w:rPr>
        <w:t>（</w:t>
      </w:r>
      <w:r>
        <w:t>1）选用低噪声机械和车辆。</w:t>
      </w:r>
    </w:p>
    <w:p w14:paraId="52D9CE45">
      <w:pPr>
        <w:pStyle w:val="117"/>
        <w:ind w:firstLine="480"/>
        <w:rPr>
          <w:rFonts w:hint="eastAsia"/>
        </w:rPr>
      </w:pPr>
      <w:r>
        <w:rPr>
          <w:rFonts w:hint="eastAsia"/>
        </w:rPr>
        <w:t>（</w:t>
      </w:r>
      <w:r>
        <w:t>2）加强设备检查维修，保证其正常运行。</w:t>
      </w:r>
    </w:p>
    <w:p w14:paraId="08CB0017">
      <w:pPr>
        <w:pStyle w:val="117"/>
        <w:ind w:firstLine="480"/>
        <w:rPr>
          <w:rFonts w:hint="eastAsia"/>
        </w:rPr>
      </w:pPr>
      <w:r>
        <w:rPr>
          <w:rFonts w:hint="eastAsia"/>
        </w:rPr>
        <w:t>（</w:t>
      </w:r>
      <w:r>
        <w:t>3）加强运输车辆管理，合理规划运输路线，禁止运输车辆随意高声鸣笛</w:t>
      </w:r>
      <w:r>
        <w:rPr>
          <w:rFonts w:hint="eastAsia"/>
        </w:rPr>
        <w:t>。</w:t>
      </w:r>
    </w:p>
    <w:p w14:paraId="6ECF2FB8">
      <w:pPr>
        <w:pStyle w:val="4"/>
        <w:rPr>
          <w:rFonts w:hint="eastAsia"/>
          <w:lang w:val="zh-CN"/>
        </w:rPr>
      </w:pPr>
      <w:r>
        <w:rPr>
          <w:rFonts w:hint="eastAsia"/>
          <w:lang w:val="zh-CN"/>
        </w:rPr>
        <w:t>退役期固废及土壤污染防治措施</w:t>
      </w:r>
    </w:p>
    <w:p w14:paraId="1D669CFB">
      <w:pPr>
        <w:pStyle w:val="117"/>
        <w:ind w:firstLine="480"/>
        <w:rPr>
          <w:rFonts w:hint="eastAsia"/>
        </w:rPr>
      </w:pPr>
      <w:bookmarkStart w:id="714" w:name="_Toc448413622"/>
      <w:bookmarkStart w:id="715" w:name="_Toc22367"/>
      <w:bookmarkStart w:id="716" w:name="_Toc30821"/>
      <w:r>
        <w:rPr>
          <w:rFonts w:hint="eastAsia"/>
        </w:rPr>
        <w:t>（1）地面设施拆除、清理等工作中会产生废弃管线、废弃建筑残渣，应集中清理收集。管线外运清洗后可回收利用，废弃建筑残渣外运至当地建筑垃圾填埋场，不得遗留在场地内影响土壤环境质量。</w:t>
      </w:r>
    </w:p>
    <w:p w14:paraId="33B57B45">
      <w:pPr>
        <w:pStyle w:val="117"/>
        <w:ind w:firstLine="480"/>
        <w:rPr>
          <w:rFonts w:hint="eastAsia"/>
        </w:rPr>
      </w:pPr>
      <w:r>
        <w:rPr>
          <w:rFonts w:hint="eastAsia"/>
        </w:rPr>
        <w:t>（2）运输过程中，运输车辆均加盖篷布，以防止行驶过程中固体废物的散落。</w:t>
      </w:r>
    </w:p>
    <w:p w14:paraId="3EB22CF6">
      <w:pPr>
        <w:pStyle w:val="117"/>
        <w:ind w:firstLine="480"/>
        <w:rPr>
          <w:rFonts w:hint="eastAsia"/>
        </w:rPr>
      </w:pPr>
      <w:r>
        <w:rPr>
          <w:rFonts w:hint="eastAsia"/>
        </w:rPr>
        <w:t>（</w:t>
      </w:r>
      <w:r>
        <w:t>3</w:t>
      </w:r>
      <w:r>
        <w:rPr>
          <w:rFonts w:hint="eastAsia"/>
        </w:rPr>
        <w:t>）对完成采油的废弃井应封堵，拆除井口装置，截去地下1m内管头，最后清理场地，清除各种固体废弃物，植被靠自然恢复。</w:t>
      </w:r>
    </w:p>
    <w:p w14:paraId="5446C515">
      <w:pPr>
        <w:pStyle w:val="4"/>
        <w:rPr>
          <w:rFonts w:hint="eastAsia"/>
          <w:lang w:val="zh-CN"/>
        </w:rPr>
      </w:pPr>
      <w:r>
        <w:rPr>
          <w:rFonts w:hint="eastAsia"/>
          <w:lang w:val="zh-CN"/>
        </w:rPr>
        <w:t>退役期生态环境保护措施</w:t>
      </w:r>
    </w:p>
    <w:bookmarkEnd w:id="710"/>
    <w:bookmarkEnd w:id="711"/>
    <w:bookmarkEnd w:id="712"/>
    <w:bookmarkEnd w:id="713"/>
    <w:bookmarkEnd w:id="714"/>
    <w:bookmarkEnd w:id="715"/>
    <w:bookmarkEnd w:id="716"/>
    <w:p w14:paraId="3A038741">
      <w:pPr>
        <w:pStyle w:val="117"/>
        <w:ind w:firstLine="480"/>
        <w:rPr>
          <w:rFonts w:hint="eastAsia"/>
        </w:rPr>
      </w:pPr>
      <w:bookmarkStart w:id="717" w:name="_Hlk511374601"/>
      <w:bookmarkStart w:id="718" w:name="_Hlk512466345"/>
      <w:r>
        <w:rPr>
          <w:rFonts w:hint="eastAsia"/>
        </w:rPr>
        <w:t>对永久性占地范围内的水泥平台或砂砾石铺垫应进行清理，确保无环境遗留问题后根据周边区域的自然现状对其进行恢复，使站场恢复到相对自然的一种状态。</w:t>
      </w:r>
    </w:p>
    <w:p w14:paraId="34688D2C">
      <w:pPr>
        <w:pStyle w:val="4"/>
        <w:rPr>
          <w:rFonts w:hint="eastAsia"/>
          <w:lang w:val="zh-CN"/>
        </w:rPr>
      </w:pPr>
      <w:bookmarkStart w:id="719" w:name="_Hlk40721850"/>
      <w:bookmarkStart w:id="720" w:name="_Hlk512466869"/>
      <w:r>
        <w:rPr>
          <w:rFonts w:hint="eastAsia"/>
          <w:lang w:val="zh-CN"/>
        </w:rPr>
        <w:t>生态恢复治理方案</w:t>
      </w:r>
    </w:p>
    <w:bookmarkEnd w:id="719"/>
    <w:p w14:paraId="29FCB28B">
      <w:pPr>
        <w:pStyle w:val="117"/>
        <w:ind w:firstLine="480"/>
        <w:rPr>
          <w:rFonts w:hint="eastAsia"/>
        </w:rPr>
      </w:pPr>
      <w:bookmarkStart w:id="721" w:name="_Hlk80207146"/>
      <w:r>
        <w:rPr>
          <w:rFonts w:hint="eastAsia"/>
        </w:rPr>
        <w:t>（1）生态环境保护与恢复治理的一般要求</w:t>
      </w:r>
    </w:p>
    <w:p w14:paraId="5E5A4501">
      <w:pPr>
        <w:adjustRightInd w:val="0"/>
        <w:snapToGrid w:val="0"/>
        <w:spacing w:line="520" w:lineRule="exact"/>
        <w:ind w:firstLine="496"/>
        <w:rPr>
          <w:rFonts w:hint="eastAsia" w:ascii="宋体" w:hAnsi="宋体"/>
          <w:spacing w:val="4"/>
          <w:sz w:val="24"/>
          <w:szCs w:val="24"/>
        </w:rPr>
      </w:pPr>
      <w:r>
        <w:rPr>
          <w:rFonts w:hint="eastAsia" w:ascii="宋体" w:hAnsi="宋体"/>
          <w:spacing w:val="4"/>
          <w:sz w:val="24"/>
          <w:szCs w:val="24"/>
        </w:rPr>
        <w:t>根据《矿山生态环境保护与恢复治理技术规范（试行）》（HJ651-2013）、《废弃井封井回填技术指南》（试行）的相关要求，制定生态环境保护与恢复治理方案时需遵循以下要求：</w:t>
      </w:r>
    </w:p>
    <w:p w14:paraId="48160E48">
      <w:pPr>
        <w:adjustRightInd w:val="0"/>
        <w:snapToGrid w:val="0"/>
        <w:spacing w:line="520" w:lineRule="exact"/>
        <w:ind w:firstLine="496"/>
        <w:rPr>
          <w:rFonts w:hint="eastAsia" w:ascii="宋体" w:hAnsi="宋体"/>
          <w:spacing w:val="4"/>
          <w:sz w:val="24"/>
          <w:szCs w:val="24"/>
        </w:rPr>
      </w:pPr>
      <w:r>
        <w:rPr>
          <w:rFonts w:hint="eastAsia" w:ascii="宋体" w:hAnsi="宋体"/>
          <w:spacing w:val="4"/>
          <w:sz w:val="24"/>
          <w:szCs w:val="24"/>
        </w:rPr>
        <w:t>①禁止在依法划定的饮用水水源保护区内进行开采。</w:t>
      </w:r>
    </w:p>
    <w:p w14:paraId="112EAE9C">
      <w:pPr>
        <w:adjustRightInd w:val="0"/>
        <w:snapToGrid w:val="0"/>
        <w:spacing w:line="520" w:lineRule="exact"/>
        <w:ind w:firstLine="496"/>
        <w:rPr>
          <w:rFonts w:hint="eastAsia" w:ascii="宋体" w:hAnsi="宋体"/>
          <w:spacing w:val="4"/>
          <w:sz w:val="24"/>
          <w:szCs w:val="24"/>
        </w:rPr>
      </w:pPr>
      <w:r>
        <w:rPr>
          <w:rFonts w:hint="eastAsia" w:ascii="宋体" w:hAnsi="宋体"/>
          <w:spacing w:val="4"/>
          <w:sz w:val="24"/>
          <w:szCs w:val="24"/>
        </w:rPr>
        <w:t>②采取有效预防和保护措施，避免或减轻矿产资源开发活动造成的生态破坏和环境污染。</w:t>
      </w:r>
    </w:p>
    <w:p w14:paraId="46ED50F7">
      <w:pPr>
        <w:adjustRightInd w:val="0"/>
        <w:snapToGrid w:val="0"/>
        <w:spacing w:line="520" w:lineRule="exact"/>
        <w:ind w:firstLine="496"/>
        <w:rPr>
          <w:rFonts w:hint="eastAsia" w:ascii="宋体" w:hAnsi="宋体"/>
          <w:spacing w:val="4"/>
          <w:sz w:val="24"/>
          <w:szCs w:val="24"/>
        </w:rPr>
      </w:pPr>
      <w:r>
        <w:rPr>
          <w:rFonts w:hint="eastAsia" w:ascii="宋体" w:hAnsi="宋体"/>
          <w:spacing w:val="4"/>
          <w:sz w:val="24"/>
          <w:szCs w:val="24"/>
        </w:rPr>
        <w:t>③坚持“预防为主、防治结合、过程控制”的原则，将生态环境保护与恢复治理贯穿开采的全过程。</w:t>
      </w:r>
    </w:p>
    <w:p w14:paraId="1947F9B6">
      <w:pPr>
        <w:spacing w:line="360" w:lineRule="auto"/>
        <w:ind w:firstLine="480" w:firstLineChars="200"/>
        <w:rPr>
          <w:sz w:val="24"/>
        </w:rPr>
      </w:pPr>
      <w:bookmarkStart w:id="722" w:name="_Hlk72012541"/>
      <w:r>
        <w:rPr>
          <w:rFonts w:hint="eastAsia"/>
          <w:sz w:val="24"/>
        </w:rPr>
        <w:t>④贯彻“边开采，边治理，边恢复”的原则，及时治理恢复生态环境。</w:t>
      </w:r>
    </w:p>
    <w:p w14:paraId="794376C2">
      <w:pPr>
        <w:spacing w:line="360" w:lineRule="auto"/>
        <w:ind w:firstLine="480" w:firstLineChars="200"/>
        <w:rPr>
          <w:sz w:val="24"/>
        </w:rPr>
      </w:pPr>
      <w:r>
        <w:rPr>
          <w:rFonts w:hint="eastAsia"/>
          <w:sz w:val="24"/>
        </w:rPr>
        <w:t>⑤遵循矿区油气资源赋存状况、生态环境特征等条件，科学合理地确定开发方案，选择与油气藏类型相适应的先进开采技术和工艺，推广使用成熟、先进的技术装备，严禁使用国家明文规定的限制和淘汰的技术工艺及装备。</w:t>
      </w:r>
    </w:p>
    <w:bookmarkEnd w:id="722"/>
    <w:p w14:paraId="2C2FE0CC">
      <w:pPr>
        <w:pStyle w:val="117"/>
        <w:ind w:firstLine="480"/>
        <w:rPr>
          <w:rFonts w:hint="eastAsia"/>
        </w:rPr>
      </w:pPr>
      <w:r>
        <w:rPr>
          <w:rFonts w:hint="eastAsia"/>
        </w:rPr>
        <w:t>（2）站场生态恢复治理</w:t>
      </w:r>
    </w:p>
    <w:p w14:paraId="43CFB060">
      <w:pPr>
        <w:pStyle w:val="117"/>
        <w:ind w:firstLine="480"/>
        <w:rPr>
          <w:rFonts w:hint="eastAsia"/>
        </w:rPr>
      </w:pPr>
      <w:bookmarkStart w:id="723" w:name="_Hlk80530047"/>
      <w:r>
        <w:rPr>
          <w:rFonts w:hint="eastAsia"/>
        </w:rPr>
        <w:t>拆除井场、计量站各项生产设施，清除地面硬化、砾石铺垫，释放永久占地。最后进行场地清理，清除各种固体废物，并对占地进行平整，避免影响植被自然恢复。</w:t>
      </w:r>
      <w:bookmarkEnd w:id="723"/>
    </w:p>
    <w:p w14:paraId="11AE2A8B">
      <w:pPr>
        <w:pStyle w:val="117"/>
        <w:ind w:firstLine="480"/>
        <w:rPr>
          <w:rFonts w:hint="eastAsia"/>
        </w:rPr>
      </w:pPr>
      <w:r>
        <w:rPr>
          <w:rFonts w:hint="eastAsia"/>
        </w:rPr>
        <w:t>（3）管线生态恢复</w:t>
      </w:r>
    </w:p>
    <w:p w14:paraId="61A2DDE7">
      <w:pPr>
        <w:pStyle w:val="191"/>
        <w:ind w:firstLine="480"/>
        <w:rPr>
          <w:rFonts w:hint="eastAsia"/>
        </w:rPr>
      </w:pPr>
      <w:bookmarkStart w:id="724" w:name="_Hlk80530867"/>
      <w:r>
        <w:rPr>
          <w:rFonts w:hint="eastAsia"/>
        </w:rPr>
        <w:t>单井采油管线和集油干支线维持现状，避免因开挖管线对区域生态环境造成二次破坏。管线内物质应清空干净，并按要求进行吹扫，确保管线内无残留采出物，管线两端使用盲板封堵。</w:t>
      </w:r>
    </w:p>
    <w:bookmarkEnd w:id="724"/>
    <w:p w14:paraId="4027C4BA">
      <w:pPr>
        <w:pStyle w:val="117"/>
        <w:ind w:firstLine="439" w:firstLineChars="183"/>
        <w:rPr>
          <w:rFonts w:hint="eastAsia"/>
        </w:rPr>
      </w:pPr>
      <w:r>
        <w:rPr>
          <w:rFonts w:hint="eastAsia"/>
        </w:rPr>
        <w:t>（</w:t>
      </w:r>
      <w:r>
        <w:t>4</w:t>
      </w:r>
      <w:r>
        <w:rPr>
          <w:rFonts w:hint="eastAsia"/>
        </w:rPr>
        <w:t>）植被恢复措施及恢复要求</w:t>
      </w:r>
    </w:p>
    <w:p w14:paraId="50B2FD4B">
      <w:pPr>
        <w:pStyle w:val="117"/>
        <w:ind w:firstLine="480"/>
        <w:rPr>
          <w:rFonts w:hint="eastAsia"/>
        </w:rPr>
      </w:pPr>
      <w:bookmarkStart w:id="725" w:name="_Hlk40721908"/>
      <w:bookmarkStart w:id="726" w:name="_Hlk80530885"/>
      <w:r>
        <w:rPr>
          <w:rFonts w:hint="eastAsia"/>
        </w:rPr>
        <w:t>工程施工结束后，应对临时占地内的土地进行平整，做到“工完、料净、场地清”。经治理后应做到不漏油、不漏气、不漏电，无油污、无垃圾。各种机动车辆固定线路，禁止随意开路。</w:t>
      </w:r>
    </w:p>
    <w:bookmarkEnd w:id="725"/>
    <w:p w14:paraId="7DAC0B65">
      <w:pPr>
        <w:pStyle w:val="117"/>
        <w:ind w:firstLine="480"/>
        <w:rPr>
          <w:rFonts w:hint="eastAsia"/>
        </w:rPr>
      </w:pPr>
      <w:r>
        <w:rPr>
          <w:rFonts w:hint="eastAsia"/>
        </w:rPr>
        <w:t>采用自然恢复的方式对区域植被进行恢复，植被类型应于原有类型相似，并与周边自然景观协调，不得使用外来有害物种进行植被恢复。</w:t>
      </w:r>
    </w:p>
    <w:p w14:paraId="4C3E2A23">
      <w:pPr>
        <w:pStyle w:val="2"/>
        <w:rPr>
          <w:rFonts w:hint="eastAsia"/>
        </w:rPr>
      </w:pPr>
      <w:bookmarkStart w:id="727" w:name="_Toc160382106"/>
      <w:r>
        <w:rPr>
          <w:rFonts w:hint="eastAsia"/>
        </w:rPr>
        <w:t>环境保护措施可行性分析</w:t>
      </w:r>
      <w:bookmarkEnd w:id="727"/>
    </w:p>
    <w:p w14:paraId="07E351B7">
      <w:pPr>
        <w:pStyle w:val="117"/>
        <w:ind w:firstLine="480"/>
        <w:rPr>
          <w:rFonts w:hint="eastAsia"/>
          <w:kern w:val="0"/>
        </w:rPr>
      </w:pPr>
      <w:r>
        <w:rPr>
          <w:rFonts w:hint="eastAsia"/>
        </w:rPr>
        <w:t>本次评价类比中国石油新疆油田分公司吉庆油田作业区同类项目来说明采取的环境保护措施的技术可行性、经济合理性、长期稳定运行和达标排放的可靠性。中国石油新疆油田分公司吉庆油田作业区开发多年来，油气集输大部分采用密闭集输工艺，</w:t>
      </w:r>
      <w:r>
        <w:rPr>
          <w:rFonts w:hint="eastAsia" w:cs="宋体"/>
        </w:rPr>
        <w:t>且</w:t>
      </w:r>
      <w:r>
        <w:rPr>
          <w:rFonts w:hint="eastAsia"/>
          <w:kern w:val="0"/>
        </w:rPr>
        <w:t>近年来实际生产运行过程均未发生环境风险事故，</w:t>
      </w:r>
      <w:r>
        <w:rPr>
          <w:rFonts w:hint="eastAsia" w:cs="宋体"/>
        </w:rPr>
        <w:t>各类油气生产和储存设</w:t>
      </w:r>
      <w:r>
        <w:rPr>
          <w:rFonts w:hint="eastAsia"/>
          <w:kern w:val="0"/>
        </w:rPr>
        <w:t>备、设施运转、维护基本正常。</w:t>
      </w:r>
    </w:p>
    <w:p w14:paraId="36C29A85">
      <w:pPr>
        <w:pStyle w:val="117"/>
        <w:ind w:firstLine="480"/>
        <w:rPr>
          <w:rFonts w:hint="eastAsia" w:cs="宋体"/>
        </w:rPr>
      </w:pPr>
      <w:r>
        <w:rPr>
          <w:rFonts w:hint="eastAsia"/>
          <w:kern w:val="0"/>
        </w:rPr>
        <w:t>根据《</w:t>
      </w:r>
      <w:bookmarkStart w:id="728" w:name="_Hlk42181995"/>
      <w:bookmarkStart w:id="729" w:name="_Hlk34330956"/>
      <w:r>
        <w:rPr>
          <w:rFonts w:hint="eastAsia"/>
          <w:kern w:val="0"/>
        </w:rPr>
        <w:t>吉木萨尔凹陷芦草沟组油藏吉</w:t>
      </w:r>
      <w:r>
        <w:rPr>
          <w:kern w:val="0"/>
        </w:rPr>
        <w:t>305-吉17-吉37井区开发地面工程</w:t>
      </w:r>
      <w:r>
        <w:rPr>
          <w:rFonts w:hint="eastAsia"/>
          <w:kern w:val="0"/>
        </w:rPr>
        <w:t>（第一批）竣工</w:t>
      </w:r>
      <w:r>
        <w:rPr>
          <w:kern w:val="0"/>
        </w:rPr>
        <w:t>环境保护验收调查报告</w:t>
      </w:r>
      <w:r>
        <w:rPr>
          <w:rFonts w:hint="eastAsia"/>
          <w:kern w:val="0"/>
        </w:rPr>
        <w:t>》</w:t>
      </w:r>
      <w:bookmarkEnd w:id="728"/>
      <w:bookmarkEnd w:id="729"/>
      <w:r>
        <w:rPr>
          <w:rFonts w:hint="eastAsia"/>
        </w:rPr>
        <w:t>结论可知</w:t>
      </w:r>
      <w:r>
        <w:rPr>
          <w:rFonts w:hint="eastAsia" w:cs="宋体"/>
        </w:rPr>
        <w:t>，厂界非甲烷总烃</w:t>
      </w:r>
      <w:bookmarkStart w:id="730" w:name="OLE_LINK102"/>
      <w:r>
        <w:rPr>
          <w:rFonts w:hint="eastAsia"/>
        </w:rPr>
        <w:t>《陆上石油天然气开采工业大气污染物排放标准》（GB39728—2020）企业边界污染物控制要求</w:t>
      </w:r>
      <w:bookmarkEnd w:id="730"/>
      <w:r>
        <w:rPr>
          <w:rFonts w:hint="eastAsia"/>
        </w:rPr>
        <w:t>，H</w:t>
      </w:r>
      <w:r>
        <w:rPr>
          <w:vertAlign w:val="subscript"/>
        </w:rPr>
        <w:t>2</w:t>
      </w:r>
      <w:r>
        <w:t>S</w:t>
      </w:r>
      <w:r>
        <w:rPr>
          <w:rFonts w:hint="eastAsia"/>
        </w:rPr>
        <w:t>满足《恶臭污染物排放标准》(G</w:t>
      </w:r>
      <w:r>
        <w:t>B14554-1993)</w:t>
      </w:r>
      <w:r>
        <w:rPr>
          <w:rFonts w:hint="eastAsia"/>
        </w:rPr>
        <w:t>标准限值</w:t>
      </w:r>
      <w:r>
        <w:rPr>
          <w:rFonts w:hint="eastAsia" w:cs="宋体"/>
        </w:rPr>
        <w:t>；</w:t>
      </w:r>
      <w:r>
        <w:rPr>
          <w:rFonts w:cs="宋体"/>
        </w:rPr>
        <w:t>声环境质量满足《声环境质量标准》（GB3096-2008）中2类标准限值</w:t>
      </w:r>
      <w:r>
        <w:rPr>
          <w:rFonts w:hint="eastAsia" w:cs="宋体"/>
        </w:rPr>
        <w:t>；</w:t>
      </w:r>
      <w:r>
        <w:rPr>
          <w:rFonts w:hint="eastAsia" w:ascii="Times New Roman" w:hAnsi="Times New Roman"/>
          <w:kern w:val="0"/>
        </w:rPr>
        <w:t>采出水、井下作业废液送至压裂返排液处理装置处理</w:t>
      </w:r>
      <w:r>
        <w:rPr>
          <w:rFonts w:hint="eastAsia" w:cs="宋体"/>
        </w:rPr>
        <w:t>；产生的危险废物均交由有相应危险废物处理资质的单位回收处置，</w:t>
      </w:r>
      <w:r>
        <w:rPr>
          <w:rFonts w:cs="宋体"/>
        </w:rPr>
        <w:t>没有对周围环境产生重大不利影响</w:t>
      </w:r>
      <w:r>
        <w:rPr>
          <w:rFonts w:hint="eastAsia" w:cs="宋体"/>
        </w:rPr>
        <w:t>；</w:t>
      </w:r>
      <w:r>
        <w:rPr>
          <w:rFonts w:cs="宋体"/>
        </w:rPr>
        <w:t>永久性占地地面均进行了硬化处理，临时性占地范围内草本植被</w:t>
      </w:r>
      <w:r>
        <w:rPr>
          <w:rFonts w:hint="eastAsia" w:cs="宋体"/>
        </w:rPr>
        <w:t>正在</w:t>
      </w:r>
      <w:r>
        <w:rPr>
          <w:rFonts w:cs="宋体"/>
        </w:rPr>
        <w:t>恢复。</w:t>
      </w:r>
    </w:p>
    <w:p w14:paraId="62AEAD44">
      <w:pPr>
        <w:pStyle w:val="117"/>
        <w:ind w:firstLine="480"/>
        <w:rPr>
          <w:rFonts w:hint="eastAsia"/>
        </w:rPr>
      </w:pPr>
      <w:r>
        <w:rPr>
          <w:rFonts w:hint="eastAsia"/>
        </w:rPr>
        <w:t>综上所述，本次采取的环境保护措施与中国石油新疆油田分公司吉庆油田作业区现有的环境保护措施基本相同，均为技术可行、经济合理、稳定可靠、便于实施的成熟措施，在油田开发过程中得到广泛应用。综上所述，本次采取的环境保护措施为技术可行、经济合理、可以达到长期稳定运行和达标排放。</w:t>
      </w:r>
    </w:p>
    <w:bookmarkEnd w:id="717"/>
    <w:bookmarkEnd w:id="718"/>
    <w:bookmarkEnd w:id="720"/>
    <w:bookmarkEnd w:id="721"/>
    <w:bookmarkEnd w:id="726"/>
    <w:p w14:paraId="6239F872">
      <w:pPr>
        <w:pStyle w:val="2"/>
        <w:rPr>
          <w:rFonts w:hint="eastAsia"/>
        </w:rPr>
      </w:pPr>
      <w:bookmarkStart w:id="731" w:name="_Toc448413636"/>
      <w:bookmarkStart w:id="732" w:name="_Toc459026612"/>
      <w:bookmarkStart w:id="733" w:name="_Toc445996513"/>
      <w:bookmarkStart w:id="734" w:name="_Toc445840444"/>
      <w:bookmarkStart w:id="735" w:name="_Toc445829834"/>
      <w:bookmarkStart w:id="736" w:name="_Toc445842206"/>
      <w:bookmarkStart w:id="737" w:name="_Toc23463"/>
      <w:bookmarkStart w:id="738" w:name="_Toc16453"/>
      <w:bookmarkStart w:id="739" w:name="_Toc21031"/>
      <w:bookmarkStart w:id="740" w:name="_Toc475624492"/>
      <w:bookmarkStart w:id="741" w:name="_Toc160382107"/>
      <w:r>
        <w:t>环保投资分析</w:t>
      </w:r>
      <w:bookmarkEnd w:id="731"/>
      <w:bookmarkEnd w:id="732"/>
      <w:bookmarkEnd w:id="733"/>
      <w:bookmarkEnd w:id="734"/>
      <w:bookmarkEnd w:id="735"/>
      <w:bookmarkEnd w:id="736"/>
      <w:bookmarkEnd w:id="737"/>
      <w:bookmarkEnd w:id="738"/>
      <w:bookmarkEnd w:id="739"/>
      <w:bookmarkEnd w:id="740"/>
      <w:bookmarkEnd w:id="741"/>
    </w:p>
    <w:p w14:paraId="18A208C4">
      <w:pPr>
        <w:pStyle w:val="117"/>
        <w:ind w:firstLine="480"/>
        <w:rPr>
          <w:rFonts w:hint="eastAsia"/>
        </w:rPr>
      </w:pPr>
      <w:bookmarkStart w:id="742" w:name="_Hlk147588038"/>
      <w:bookmarkStart w:id="743" w:name="_Hlk40722423"/>
      <w:r>
        <w:rPr>
          <w:rFonts w:hint="eastAsia"/>
        </w:rPr>
        <w:t>项目总投资18884万元，</w:t>
      </w:r>
      <w:bookmarkStart w:id="744" w:name="OLE_LINK395"/>
      <w:r>
        <w:t>环保投资约</w:t>
      </w:r>
      <w:r>
        <w:rPr>
          <w:rFonts w:hint="eastAsia"/>
        </w:rPr>
        <w:t>459万</w:t>
      </w:r>
      <w:r>
        <w:t>元，占总投资的</w:t>
      </w:r>
      <w:r>
        <w:rPr>
          <w:rFonts w:hint="eastAsia"/>
        </w:rPr>
        <w:t>2.43</w:t>
      </w:r>
      <w:r>
        <w:t>%</w:t>
      </w:r>
      <w:bookmarkEnd w:id="744"/>
      <w:r>
        <w:rPr>
          <w:rFonts w:hint="eastAsia"/>
        </w:rPr>
        <w:t>，见表</w:t>
      </w:r>
      <w:r>
        <w:t>6.7</w:t>
      </w:r>
      <w:r>
        <w:rPr>
          <w:rFonts w:hint="eastAsia"/>
        </w:rPr>
        <w:t>-1。</w:t>
      </w:r>
    </w:p>
    <w:p w14:paraId="1B3717C1">
      <w:pPr>
        <w:pStyle w:val="109"/>
        <w:rPr>
          <w:rFonts w:hint="eastAsia"/>
        </w:rPr>
      </w:pPr>
      <w:r>
        <w:rPr>
          <w:rFonts w:hint="eastAsia"/>
        </w:rPr>
        <w:t>表</w:t>
      </w:r>
      <w:r>
        <w:t>6.7</w:t>
      </w:r>
      <w:r>
        <w:rPr>
          <w:rFonts w:hint="eastAsia"/>
        </w:rPr>
        <w:t>-</w:t>
      </w:r>
      <w:r>
        <w:t xml:space="preserve">1 </w:t>
      </w:r>
      <w:r>
        <w:rPr>
          <w:rFonts w:hint="eastAsia"/>
        </w:rPr>
        <w:t xml:space="preserve"> 环境保护投资估算一览表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Layout w:type="autofit"/>
        <w:tblCellMar>
          <w:top w:w="0" w:type="dxa"/>
          <w:left w:w="28" w:type="dxa"/>
          <w:bottom w:w="0" w:type="dxa"/>
          <w:right w:w="28" w:type="dxa"/>
        </w:tblCellMar>
      </w:tblPr>
      <w:tblGrid>
        <w:gridCol w:w="474"/>
        <w:gridCol w:w="829"/>
        <w:gridCol w:w="1835"/>
        <w:gridCol w:w="4423"/>
        <w:gridCol w:w="1205"/>
        <w:gridCol w:w="20"/>
      </w:tblGrid>
      <w:tr w14:paraId="70F85957">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Align w:val="center"/>
          </w:tcPr>
          <w:p w14:paraId="2B9704B5">
            <w:pPr>
              <w:pStyle w:val="286"/>
              <w:adjustRightInd w:val="0"/>
              <w:snapToGrid w:val="0"/>
              <w:spacing w:line="300" w:lineRule="exact"/>
              <w:rPr>
                <w:rFonts w:hint="eastAsia" w:cs="宋体"/>
                <w:sz w:val="21"/>
              </w:rPr>
            </w:pPr>
            <w:r>
              <w:rPr>
                <w:rFonts w:hint="eastAsia" w:cs="宋体"/>
                <w:sz w:val="21"/>
              </w:rPr>
              <w:t>阶段</w:t>
            </w:r>
          </w:p>
        </w:tc>
        <w:tc>
          <w:tcPr>
            <w:tcW w:w="472" w:type="pct"/>
            <w:vAlign w:val="center"/>
          </w:tcPr>
          <w:p w14:paraId="5B9C5311">
            <w:pPr>
              <w:pStyle w:val="286"/>
              <w:adjustRightInd w:val="0"/>
              <w:snapToGrid w:val="0"/>
              <w:spacing w:line="300" w:lineRule="exact"/>
              <w:rPr>
                <w:rFonts w:hint="eastAsia" w:cs="宋体"/>
                <w:sz w:val="21"/>
              </w:rPr>
            </w:pPr>
            <w:r>
              <w:rPr>
                <w:rFonts w:hint="eastAsia" w:cs="宋体"/>
                <w:sz w:val="21"/>
              </w:rPr>
              <w:t>环境</w:t>
            </w:r>
          </w:p>
          <w:p w14:paraId="172B9FAD">
            <w:pPr>
              <w:pStyle w:val="286"/>
              <w:adjustRightInd w:val="0"/>
              <w:snapToGrid w:val="0"/>
              <w:spacing w:line="300" w:lineRule="exact"/>
              <w:rPr>
                <w:rFonts w:hint="eastAsia" w:cs="宋体"/>
                <w:sz w:val="21"/>
              </w:rPr>
            </w:pPr>
            <w:r>
              <w:rPr>
                <w:rFonts w:hint="eastAsia" w:cs="宋体"/>
                <w:sz w:val="21"/>
              </w:rPr>
              <w:t>要素</w:t>
            </w:r>
          </w:p>
        </w:tc>
        <w:tc>
          <w:tcPr>
            <w:tcW w:w="1044" w:type="pct"/>
            <w:vAlign w:val="center"/>
          </w:tcPr>
          <w:p w14:paraId="7F9963EB">
            <w:pPr>
              <w:pStyle w:val="286"/>
              <w:adjustRightInd w:val="0"/>
              <w:snapToGrid w:val="0"/>
              <w:spacing w:line="300" w:lineRule="exact"/>
              <w:rPr>
                <w:rFonts w:hint="eastAsia" w:cs="宋体"/>
                <w:sz w:val="21"/>
              </w:rPr>
            </w:pPr>
            <w:r>
              <w:rPr>
                <w:rFonts w:hint="eastAsia" w:cs="宋体"/>
                <w:sz w:val="21"/>
              </w:rPr>
              <w:t>类别</w:t>
            </w:r>
          </w:p>
        </w:tc>
        <w:tc>
          <w:tcPr>
            <w:tcW w:w="2517" w:type="pct"/>
            <w:vAlign w:val="center"/>
          </w:tcPr>
          <w:p w14:paraId="3A9B37CA">
            <w:pPr>
              <w:pStyle w:val="286"/>
              <w:adjustRightInd w:val="0"/>
              <w:snapToGrid w:val="0"/>
              <w:spacing w:line="300" w:lineRule="exact"/>
              <w:rPr>
                <w:rFonts w:hint="eastAsia" w:cs="宋体"/>
                <w:sz w:val="21"/>
              </w:rPr>
            </w:pPr>
            <w:r>
              <w:rPr>
                <w:rFonts w:hint="eastAsia" w:cs="宋体"/>
                <w:sz w:val="21"/>
              </w:rPr>
              <w:t>环保措施</w:t>
            </w:r>
          </w:p>
        </w:tc>
        <w:tc>
          <w:tcPr>
            <w:tcW w:w="697" w:type="pct"/>
            <w:gridSpan w:val="2"/>
            <w:vAlign w:val="center"/>
          </w:tcPr>
          <w:p w14:paraId="6FB81F50">
            <w:pPr>
              <w:pStyle w:val="286"/>
              <w:adjustRightInd w:val="0"/>
              <w:snapToGrid w:val="0"/>
              <w:spacing w:line="300" w:lineRule="exact"/>
              <w:rPr>
                <w:rFonts w:hint="eastAsia" w:cs="宋体"/>
                <w:sz w:val="21"/>
              </w:rPr>
            </w:pPr>
            <w:r>
              <w:rPr>
                <w:rFonts w:hint="eastAsia" w:cs="宋体"/>
                <w:sz w:val="21"/>
              </w:rPr>
              <w:t>投资</w:t>
            </w:r>
          </w:p>
          <w:p w14:paraId="05964597">
            <w:pPr>
              <w:pStyle w:val="286"/>
              <w:adjustRightInd w:val="0"/>
              <w:snapToGrid w:val="0"/>
              <w:spacing w:line="300" w:lineRule="exact"/>
              <w:rPr>
                <w:rFonts w:hint="eastAsia" w:cs="宋体"/>
                <w:sz w:val="21"/>
              </w:rPr>
            </w:pPr>
            <w:r>
              <w:rPr>
                <w:rFonts w:hint="eastAsia" w:cs="宋体"/>
                <w:sz w:val="21"/>
              </w:rPr>
              <w:t>（万元）</w:t>
            </w:r>
          </w:p>
        </w:tc>
      </w:tr>
      <w:tr w14:paraId="1A5B113D">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restart"/>
            <w:vAlign w:val="center"/>
          </w:tcPr>
          <w:p w14:paraId="0288543F">
            <w:pPr>
              <w:pStyle w:val="286"/>
              <w:adjustRightInd w:val="0"/>
              <w:snapToGrid w:val="0"/>
              <w:spacing w:line="300" w:lineRule="exact"/>
              <w:rPr>
                <w:rFonts w:hint="eastAsia" w:cs="宋体"/>
                <w:sz w:val="21"/>
              </w:rPr>
            </w:pPr>
            <w:bookmarkStart w:id="745" w:name="_Hlk173872237"/>
            <w:r>
              <w:rPr>
                <w:rFonts w:hint="eastAsia" w:cs="宋体"/>
                <w:sz w:val="21"/>
              </w:rPr>
              <w:t>施</w:t>
            </w:r>
          </w:p>
          <w:p w14:paraId="4314AF42">
            <w:pPr>
              <w:pStyle w:val="286"/>
              <w:adjustRightInd w:val="0"/>
              <w:snapToGrid w:val="0"/>
              <w:spacing w:line="300" w:lineRule="exact"/>
              <w:rPr>
                <w:rFonts w:hint="eastAsia" w:cs="宋体"/>
                <w:sz w:val="21"/>
              </w:rPr>
            </w:pPr>
            <w:r>
              <w:rPr>
                <w:rFonts w:hint="eastAsia" w:cs="宋体"/>
                <w:sz w:val="21"/>
              </w:rPr>
              <w:t>工</w:t>
            </w:r>
          </w:p>
          <w:p w14:paraId="0B943D91">
            <w:pPr>
              <w:pStyle w:val="286"/>
              <w:adjustRightInd w:val="0"/>
              <w:snapToGrid w:val="0"/>
              <w:spacing w:line="300" w:lineRule="exact"/>
              <w:rPr>
                <w:rFonts w:hint="eastAsia" w:cs="宋体"/>
                <w:sz w:val="21"/>
              </w:rPr>
            </w:pPr>
            <w:r>
              <w:rPr>
                <w:rFonts w:hint="eastAsia" w:cs="宋体"/>
                <w:sz w:val="21"/>
              </w:rPr>
              <w:t>期</w:t>
            </w:r>
          </w:p>
        </w:tc>
        <w:tc>
          <w:tcPr>
            <w:tcW w:w="472" w:type="pct"/>
            <w:vAlign w:val="center"/>
          </w:tcPr>
          <w:p w14:paraId="510A8BD6">
            <w:pPr>
              <w:pStyle w:val="286"/>
              <w:adjustRightInd w:val="0"/>
              <w:snapToGrid w:val="0"/>
              <w:spacing w:line="300" w:lineRule="exact"/>
              <w:rPr>
                <w:rFonts w:hint="eastAsia" w:cs="宋体"/>
                <w:sz w:val="21"/>
              </w:rPr>
            </w:pPr>
            <w:r>
              <w:rPr>
                <w:rFonts w:hint="eastAsia" w:cs="宋体"/>
                <w:sz w:val="21"/>
              </w:rPr>
              <w:t>生态</w:t>
            </w:r>
          </w:p>
          <w:p w14:paraId="1CA3785F">
            <w:pPr>
              <w:pStyle w:val="286"/>
              <w:adjustRightInd w:val="0"/>
              <w:snapToGrid w:val="0"/>
              <w:spacing w:line="300" w:lineRule="exact"/>
              <w:rPr>
                <w:rFonts w:hint="eastAsia" w:cs="宋体"/>
                <w:sz w:val="21"/>
              </w:rPr>
            </w:pPr>
            <w:r>
              <w:rPr>
                <w:rFonts w:hint="eastAsia" w:cs="宋体"/>
                <w:sz w:val="21"/>
              </w:rPr>
              <w:t>环境</w:t>
            </w:r>
          </w:p>
        </w:tc>
        <w:tc>
          <w:tcPr>
            <w:tcW w:w="1044" w:type="pct"/>
            <w:vAlign w:val="center"/>
          </w:tcPr>
          <w:p w14:paraId="464D9001">
            <w:pPr>
              <w:pStyle w:val="286"/>
              <w:adjustRightInd w:val="0"/>
              <w:snapToGrid w:val="0"/>
              <w:spacing w:line="300" w:lineRule="exact"/>
              <w:rPr>
                <w:rFonts w:hint="eastAsia" w:cs="宋体"/>
                <w:sz w:val="21"/>
              </w:rPr>
            </w:pPr>
            <w:r>
              <w:rPr>
                <w:rFonts w:hint="eastAsia" w:cs="宋体"/>
                <w:sz w:val="21"/>
              </w:rPr>
              <w:t>临时占地</w:t>
            </w:r>
          </w:p>
        </w:tc>
        <w:tc>
          <w:tcPr>
            <w:tcW w:w="2517" w:type="pct"/>
            <w:vAlign w:val="center"/>
          </w:tcPr>
          <w:p w14:paraId="289A58BF">
            <w:pPr>
              <w:pStyle w:val="286"/>
              <w:adjustRightInd w:val="0"/>
              <w:snapToGrid w:val="0"/>
              <w:spacing w:line="300" w:lineRule="exact"/>
              <w:rPr>
                <w:rFonts w:hint="eastAsia" w:cs="宋体"/>
                <w:sz w:val="21"/>
              </w:rPr>
            </w:pPr>
            <w:r>
              <w:rPr>
                <w:rFonts w:hint="eastAsia" w:cs="宋体"/>
                <w:sz w:val="21"/>
              </w:rPr>
              <w:t>对占地造成的生态破坏进行经济补偿，完工后迹地清理并平整压实、临时占地释放后植被和土壤的恢复</w:t>
            </w:r>
          </w:p>
        </w:tc>
        <w:tc>
          <w:tcPr>
            <w:tcW w:w="697" w:type="pct"/>
            <w:gridSpan w:val="2"/>
            <w:vAlign w:val="center"/>
          </w:tcPr>
          <w:p w14:paraId="444B5DD2">
            <w:pPr>
              <w:overflowPunct w:val="0"/>
              <w:adjustRightInd w:val="0"/>
              <w:snapToGrid w:val="0"/>
              <w:spacing w:line="300" w:lineRule="exact"/>
              <w:jc w:val="center"/>
              <w:rPr>
                <w:rFonts w:hint="eastAsia" w:ascii="宋体" w:hAnsi="宋体" w:cs="宋体"/>
                <w:spacing w:val="4"/>
                <w:szCs w:val="21"/>
              </w:rPr>
            </w:pPr>
            <w:r>
              <w:rPr>
                <w:rFonts w:hint="eastAsia" w:ascii="宋体" w:hAnsi="宋体" w:cs="宋体"/>
                <w:spacing w:val="4"/>
                <w:szCs w:val="21"/>
              </w:rPr>
              <w:t>100</w:t>
            </w:r>
          </w:p>
        </w:tc>
      </w:tr>
      <w:tr w14:paraId="32356A3B">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32B123BB">
            <w:pPr>
              <w:pStyle w:val="286"/>
              <w:adjustRightInd w:val="0"/>
              <w:snapToGrid w:val="0"/>
              <w:spacing w:line="300" w:lineRule="exact"/>
              <w:rPr>
                <w:rFonts w:hint="eastAsia" w:cs="宋体"/>
                <w:sz w:val="21"/>
              </w:rPr>
            </w:pPr>
          </w:p>
        </w:tc>
        <w:tc>
          <w:tcPr>
            <w:tcW w:w="472" w:type="pct"/>
            <w:vMerge w:val="restart"/>
            <w:vAlign w:val="center"/>
          </w:tcPr>
          <w:p w14:paraId="50B49D37">
            <w:pPr>
              <w:pStyle w:val="286"/>
              <w:adjustRightInd w:val="0"/>
              <w:snapToGrid w:val="0"/>
              <w:spacing w:line="300" w:lineRule="exact"/>
              <w:rPr>
                <w:rFonts w:hint="eastAsia" w:cs="宋体"/>
                <w:sz w:val="21"/>
              </w:rPr>
            </w:pPr>
            <w:r>
              <w:rPr>
                <w:rFonts w:hint="eastAsia" w:cs="宋体"/>
                <w:sz w:val="21"/>
              </w:rPr>
              <w:t>废气</w:t>
            </w:r>
          </w:p>
        </w:tc>
        <w:tc>
          <w:tcPr>
            <w:tcW w:w="1044" w:type="pct"/>
            <w:vAlign w:val="center"/>
          </w:tcPr>
          <w:p w14:paraId="3C00307B">
            <w:pPr>
              <w:pStyle w:val="286"/>
              <w:adjustRightInd w:val="0"/>
              <w:snapToGrid w:val="0"/>
              <w:spacing w:line="300" w:lineRule="exact"/>
              <w:rPr>
                <w:rFonts w:hint="eastAsia" w:cs="宋体"/>
                <w:sz w:val="21"/>
              </w:rPr>
            </w:pPr>
            <w:r>
              <w:rPr>
                <w:rFonts w:hint="eastAsia" w:cs="宋体"/>
                <w:sz w:val="21"/>
              </w:rPr>
              <w:t>施工扬尘</w:t>
            </w:r>
          </w:p>
        </w:tc>
        <w:tc>
          <w:tcPr>
            <w:tcW w:w="2517" w:type="pct"/>
            <w:vAlign w:val="center"/>
          </w:tcPr>
          <w:p w14:paraId="6E50AEEE">
            <w:pPr>
              <w:pStyle w:val="286"/>
              <w:adjustRightInd w:val="0"/>
              <w:snapToGrid w:val="0"/>
              <w:spacing w:line="300" w:lineRule="exact"/>
              <w:rPr>
                <w:rFonts w:hint="eastAsia" w:cs="宋体"/>
                <w:sz w:val="21"/>
              </w:rPr>
            </w:pPr>
            <w:r>
              <w:rPr>
                <w:rFonts w:hint="eastAsia" w:cs="宋体"/>
                <w:sz w:val="21"/>
              </w:rPr>
              <w:t>运输车辆应加盖篷布，临时土方覆盖，防尘布（或网），逸散性材料运输采用苫布遮盖</w:t>
            </w:r>
          </w:p>
        </w:tc>
        <w:tc>
          <w:tcPr>
            <w:tcW w:w="697" w:type="pct"/>
            <w:gridSpan w:val="2"/>
            <w:vAlign w:val="center"/>
          </w:tcPr>
          <w:p w14:paraId="2853CEE8">
            <w:pPr>
              <w:pStyle w:val="286"/>
              <w:adjustRightInd w:val="0"/>
              <w:snapToGrid w:val="0"/>
              <w:spacing w:line="300" w:lineRule="exact"/>
              <w:rPr>
                <w:rFonts w:hint="eastAsia" w:cs="宋体"/>
                <w:sz w:val="21"/>
              </w:rPr>
            </w:pPr>
            <w:r>
              <w:rPr>
                <w:rFonts w:hint="eastAsia" w:cs="宋体"/>
                <w:sz w:val="21"/>
              </w:rPr>
              <w:t>1</w:t>
            </w:r>
          </w:p>
        </w:tc>
      </w:tr>
      <w:tr w14:paraId="12CC7AE3">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46392C01">
            <w:pPr>
              <w:pStyle w:val="286"/>
              <w:adjustRightInd w:val="0"/>
              <w:snapToGrid w:val="0"/>
              <w:spacing w:line="300" w:lineRule="exact"/>
              <w:rPr>
                <w:rFonts w:hint="eastAsia" w:cs="宋体"/>
                <w:sz w:val="21"/>
              </w:rPr>
            </w:pPr>
          </w:p>
        </w:tc>
        <w:tc>
          <w:tcPr>
            <w:tcW w:w="472" w:type="pct"/>
            <w:vMerge w:val="continue"/>
            <w:vAlign w:val="center"/>
          </w:tcPr>
          <w:p w14:paraId="1A5A02A6">
            <w:pPr>
              <w:pStyle w:val="286"/>
              <w:adjustRightInd w:val="0"/>
              <w:snapToGrid w:val="0"/>
              <w:spacing w:line="300" w:lineRule="exact"/>
              <w:rPr>
                <w:rFonts w:hint="eastAsia" w:cs="宋体"/>
                <w:sz w:val="21"/>
              </w:rPr>
            </w:pPr>
          </w:p>
        </w:tc>
        <w:tc>
          <w:tcPr>
            <w:tcW w:w="1044" w:type="pct"/>
            <w:vAlign w:val="center"/>
          </w:tcPr>
          <w:p w14:paraId="0A245D72">
            <w:pPr>
              <w:pStyle w:val="286"/>
              <w:adjustRightInd w:val="0"/>
              <w:snapToGrid w:val="0"/>
              <w:spacing w:line="300" w:lineRule="exact"/>
              <w:rPr>
                <w:rFonts w:hint="eastAsia" w:cs="宋体"/>
                <w:spacing w:val="-4"/>
                <w:sz w:val="21"/>
              </w:rPr>
            </w:pPr>
            <w:r>
              <w:rPr>
                <w:rFonts w:hint="eastAsia" w:cs="宋体"/>
                <w:spacing w:val="-4"/>
                <w:sz w:val="21"/>
              </w:rPr>
              <w:t>施工机械和施工车辆尾气、焊接废气</w:t>
            </w:r>
          </w:p>
        </w:tc>
        <w:tc>
          <w:tcPr>
            <w:tcW w:w="2517" w:type="pct"/>
            <w:vAlign w:val="center"/>
          </w:tcPr>
          <w:p w14:paraId="3021884D">
            <w:pPr>
              <w:pStyle w:val="286"/>
              <w:adjustRightInd w:val="0"/>
              <w:snapToGrid w:val="0"/>
              <w:spacing w:line="300" w:lineRule="exact"/>
              <w:rPr>
                <w:rFonts w:hint="eastAsia" w:cs="宋体"/>
                <w:spacing w:val="-4"/>
                <w:sz w:val="21"/>
              </w:rPr>
            </w:pPr>
            <w:r>
              <w:rPr>
                <w:rFonts w:hint="eastAsia" w:cs="宋体"/>
                <w:spacing w:val="-4"/>
                <w:sz w:val="21"/>
              </w:rPr>
              <w:t>使用达标油品，加强设备维护；使用符合国家标准的焊条</w:t>
            </w:r>
          </w:p>
        </w:tc>
        <w:tc>
          <w:tcPr>
            <w:tcW w:w="697" w:type="pct"/>
            <w:gridSpan w:val="2"/>
            <w:vAlign w:val="center"/>
          </w:tcPr>
          <w:p w14:paraId="1176BA0F">
            <w:pPr>
              <w:pStyle w:val="286"/>
              <w:adjustRightInd w:val="0"/>
              <w:snapToGrid w:val="0"/>
              <w:spacing w:line="300" w:lineRule="exact"/>
              <w:rPr>
                <w:rFonts w:hint="eastAsia" w:cs="宋体"/>
                <w:sz w:val="21"/>
              </w:rPr>
            </w:pPr>
            <w:r>
              <w:rPr>
                <w:rFonts w:hint="eastAsia" w:cs="宋体"/>
                <w:sz w:val="21"/>
              </w:rPr>
              <w:t>1</w:t>
            </w:r>
          </w:p>
        </w:tc>
      </w:tr>
      <w:tr w14:paraId="714BD9B2">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758B9D1B">
            <w:pPr>
              <w:pStyle w:val="286"/>
              <w:adjustRightInd w:val="0"/>
              <w:snapToGrid w:val="0"/>
              <w:spacing w:line="300" w:lineRule="exact"/>
              <w:rPr>
                <w:rFonts w:hint="eastAsia" w:cs="宋体"/>
                <w:sz w:val="21"/>
              </w:rPr>
            </w:pPr>
          </w:p>
        </w:tc>
        <w:tc>
          <w:tcPr>
            <w:tcW w:w="472" w:type="pct"/>
            <w:vMerge w:val="restart"/>
            <w:vAlign w:val="center"/>
          </w:tcPr>
          <w:p w14:paraId="0817050E">
            <w:pPr>
              <w:pStyle w:val="286"/>
              <w:adjustRightInd w:val="0"/>
              <w:snapToGrid w:val="0"/>
              <w:spacing w:line="300" w:lineRule="exact"/>
              <w:rPr>
                <w:rFonts w:hint="eastAsia" w:cs="宋体"/>
                <w:sz w:val="21"/>
              </w:rPr>
            </w:pPr>
            <w:r>
              <w:rPr>
                <w:rFonts w:hint="eastAsia" w:cs="宋体"/>
                <w:sz w:val="21"/>
              </w:rPr>
              <w:t>废水</w:t>
            </w:r>
          </w:p>
        </w:tc>
        <w:tc>
          <w:tcPr>
            <w:tcW w:w="1044" w:type="pct"/>
            <w:vAlign w:val="center"/>
          </w:tcPr>
          <w:p w14:paraId="7629A174">
            <w:pPr>
              <w:pStyle w:val="286"/>
              <w:adjustRightInd w:val="0"/>
              <w:snapToGrid w:val="0"/>
              <w:spacing w:line="300" w:lineRule="exact"/>
              <w:rPr>
                <w:rFonts w:hint="eastAsia" w:cs="宋体"/>
                <w:spacing w:val="-4"/>
                <w:sz w:val="21"/>
              </w:rPr>
            </w:pPr>
            <w:r>
              <w:rPr>
                <w:rFonts w:hint="eastAsia" w:cs="宋体"/>
                <w:spacing w:val="-4"/>
                <w:sz w:val="21"/>
              </w:rPr>
              <w:t>压裂返排液</w:t>
            </w:r>
          </w:p>
        </w:tc>
        <w:tc>
          <w:tcPr>
            <w:tcW w:w="2517" w:type="pct"/>
            <w:vAlign w:val="center"/>
          </w:tcPr>
          <w:p w14:paraId="3623E843">
            <w:pPr>
              <w:pStyle w:val="286"/>
              <w:adjustRightInd w:val="0"/>
              <w:snapToGrid w:val="0"/>
              <w:spacing w:line="300" w:lineRule="exact"/>
              <w:rPr>
                <w:rFonts w:hint="eastAsia" w:cs="宋体"/>
                <w:spacing w:val="-4"/>
                <w:sz w:val="21"/>
              </w:rPr>
            </w:pPr>
            <w:r>
              <w:rPr>
                <w:rFonts w:hint="eastAsia" w:cs="宋体"/>
                <w:spacing w:val="-4"/>
                <w:sz w:val="21"/>
              </w:rPr>
              <w:t>送至压裂返排液处理装置处理</w:t>
            </w:r>
          </w:p>
        </w:tc>
        <w:tc>
          <w:tcPr>
            <w:tcW w:w="697" w:type="pct"/>
            <w:gridSpan w:val="2"/>
            <w:vAlign w:val="center"/>
          </w:tcPr>
          <w:p w14:paraId="1A921567">
            <w:pPr>
              <w:pStyle w:val="286"/>
              <w:adjustRightInd w:val="0"/>
              <w:snapToGrid w:val="0"/>
              <w:spacing w:line="300" w:lineRule="exact"/>
              <w:rPr>
                <w:rFonts w:hint="eastAsia" w:cs="宋体"/>
                <w:sz w:val="21"/>
              </w:rPr>
            </w:pPr>
            <w:r>
              <w:rPr>
                <w:rFonts w:hint="eastAsia" w:cs="宋体"/>
                <w:sz w:val="21"/>
              </w:rPr>
              <w:t>3</w:t>
            </w:r>
          </w:p>
        </w:tc>
      </w:tr>
      <w:tr w14:paraId="046B3B61">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7C937E12">
            <w:pPr>
              <w:pStyle w:val="286"/>
              <w:adjustRightInd w:val="0"/>
              <w:snapToGrid w:val="0"/>
              <w:spacing w:line="300" w:lineRule="exact"/>
              <w:rPr>
                <w:rFonts w:hint="eastAsia" w:cs="宋体"/>
                <w:sz w:val="21"/>
              </w:rPr>
            </w:pPr>
          </w:p>
        </w:tc>
        <w:tc>
          <w:tcPr>
            <w:tcW w:w="472" w:type="pct"/>
            <w:vMerge w:val="continue"/>
            <w:vAlign w:val="center"/>
          </w:tcPr>
          <w:p w14:paraId="41587D89">
            <w:pPr>
              <w:pStyle w:val="286"/>
              <w:adjustRightInd w:val="0"/>
              <w:snapToGrid w:val="0"/>
              <w:spacing w:line="300" w:lineRule="exact"/>
              <w:rPr>
                <w:rFonts w:hint="eastAsia" w:cs="宋体"/>
                <w:sz w:val="21"/>
              </w:rPr>
            </w:pPr>
          </w:p>
        </w:tc>
        <w:tc>
          <w:tcPr>
            <w:tcW w:w="1044" w:type="pct"/>
            <w:vAlign w:val="center"/>
          </w:tcPr>
          <w:p w14:paraId="7AD4DA7D">
            <w:pPr>
              <w:pStyle w:val="286"/>
              <w:adjustRightInd w:val="0"/>
              <w:snapToGrid w:val="0"/>
              <w:spacing w:line="300" w:lineRule="exact"/>
              <w:rPr>
                <w:rFonts w:hint="eastAsia" w:cs="宋体"/>
                <w:spacing w:val="-4"/>
                <w:sz w:val="21"/>
              </w:rPr>
            </w:pPr>
            <w:r>
              <w:rPr>
                <w:rFonts w:hint="eastAsia" w:cs="宋体"/>
                <w:spacing w:val="-4"/>
                <w:sz w:val="21"/>
              </w:rPr>
              <w:t>生活污水</w:t>
            </w:r>
          </w:p>
        </w:tc>
        <w:tc>
          <w:tcPr>
            <w:tcW w:w="2517" w:type="pct"/>
            <w:vAlign w:val="center"/>
          </w:tcPr>
          <w:p w14:paraId="52CEF8ED">
            <w:pPr>
              <w:pStyle w:val="286"/>
              <w:adjustRightInd w:val="0"/>
              <w:snapToGrid w:val="0"/>
              <w:spacing w:line="300" w:lineRule="exact"/>
              <w:rPr>
                <w:rFonts w:hint="eastAsia" w:cs="宋体"/>
                <w:spacing w:val="-4"/>
                <w:sz w:val="21"/>
              </w:rPr>
            </w:pPr>
            <w:r>
              <w:rPr>
                <w:rFonts w:hint="eastAsia" w:cs="宋体"/>
                <w:spacing w:val="-4"/>
                <w:sz w:val="21"/>
              </w:rPr>
              <w:t>排至防渗收集池中，由协议单位清运至吉木萨尔县生活污水处理厂处理</w:t>
            </w:r>
          </w:p>
        </w:tc>
        <w:tc>
          <w:tcPr>
            <w:tcW w:w="697" w:type="pct"/>
            <w:gridSpan w:val="2"/>
            <w:vAlign w:val="center"/>
          </w:tcPr>
          <w:p w14:paraId="69307E54">
            <w:pPr>
              <w:pStyle w:val="286"/>
              <w:adjustRightInd w:val="0"/>
              <w:snapToGrid w:val="0"/>
              <w:spacing w:line="300" w:lineRule="exact"/>
              <w:rPr>
                <w:rFonts w:hint="eastAsia" w:cs="宋体"/>
                <w:sz w:val="21"/>
              </w:rPr>
            </w:pPr>
            <w:r>
              <w:rPr>
                <w:rFonts w:hint="eastAsia" w:cs="宋体"/>
                <w:sz w:val="21"/>
              </w:rPr>
              <w:t>2</w:t>
            </w:r>
          </w:p>
        </w:tc>
      </w:tr>
      <w:tr w14:paraId="2C13DE91">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49931B19">
            <w:pPr>
              <w:pStyle w:val="286"/>
              <w:adjustRightInd w:val="0"/>
              <w:snapToGrid w:val="0"/>
              <w:spacing w:line="300" w:lineRule="exact"/>
              <w:rPr>
                <w:rFonts w:hint="eastAsia" w:cs="宋体"/>
                <w:sz w:val="21"/>
              </w:rPr>
            </w:pPr>
          </w:p>
        </w:tc>
        <w:tc>
          <w:tcPr>
            <w:tcW w:w="472" w:type="pct"/>
            <w:vAlign w:val="center"/>
          </w:tcPr>
          <w:p w14:paraId="2B83769C">
            <w:pPr>
              <w:pStyle w:val="286"/>
              <w:adjustRightInd w:val="0"/>
              <w:snapToGrid w:val="0"/>
              <w:spacing w:line="300" w:lineRule="exact"/>
              <w:rPr>
                <w:rFonts w:hint="eastAsia" w:cs="宋体"/>
                <w:sz w:val="21"/>
              </w:rPr>
            </w:pPr>
            <w:r>
              <w:rPr>
                <w:rFonts w:hint="eastAsia" w:cs="宋体"/>
                <w:sz w:val="21"/>
              </w:rPr>
              <w:t>噪声</w:t>
            </w:r>
          </w:p>
        </w:tc>
        <w:tc>
          <w:tcPr>
            <w:tcW w:w="1044" w:type="pct"/>
            <w:vAlign w:val="center"/>
          </w:tcPr>
          <w:p w14:paraId="6D6A010E">
            <w:pPr>
              <w:pStyle w:val="286"/>
              <w:adjustRightInd w:val="0"/>
              <w:snapToGrid w:val="0"/>
              <w:spacing w:line="300" w:lineRule="exact"/>
              <w:rPr>
                <w:rFonts w:hint="eastAsia" w:cs="宋体"/>
                <w:spacing w:val="-4"/>
                <w:sz w:val="21"/>
              </w:rPr>
            </w:pPr>
            <w:r>
              <w:rPr>
                <w:rFonts w:hint="eastAsia" w:cs="宋体"/>
                <w:spacing w:val="-4"/>
                <w:sz w:val="21"/>
              </w:rPr>
              <w:t>噪声</w:t>
            </w:r>
          </w:p>
        </w:tc>
        <w:tc>
          <w:tcPr>
            <w:tcW w:w="2517" w:type="pct"/>
            <w:vAlign w:val="center"/>
          </w:tcPr>
          <w:p w14:paraId="16B773BE">
            <w:pPr>
              <w:pStyle w:val="286"/>
              <w:adjustRightInd w:val="0"/>
              <w:snapToGrid w:val="0"/>
              <w:spacing w:line="300" w:lineRule="exact"/>
              <w:rPr>
                <w:rFonts w:hint="eastAsia" w:cs="宋体"/>
                <w:spacing w:val="-4"/>
                <w:sz w:val="21"/>
              </w:rPr>
            </w:pPr>
            <w:r>
              <w:rPr>
                <w:rFonts w:hint="eastAsia" w:cs="宋体"/>
                <w:spacing w:val="-4"/>
                <w:sz w:val="21"/>
              </w:rPr>
              <w:t>采用低噪声设备、基础减震，加强维修</w:t>
            </w:r>
          </w:p>
        </w:tc>
        <w:tc>
          <w:tcPr>
            <w:tcW w:w="697" w:type="pct"/>
            <w:gridSpan w:val="2"/>
            <w:vAlign w:val="center"/>
          </w:tcPr>
          <w:p w14:paraId="16E00B08">
            <w:pPr>
              <w:pStyle w:val="286"/>
              <w:adjustRightInd w:val="0"/>
              <w:snapToGrid w:val="0"/>
              <w:spacing w:line="300" w:lineRule="exact"/>
              <w:rPr>
                <w:rFonts w:hint="eastAsia" w:cs="宋体"/>
                <w:sz w:val="21"/>
              </w:rPr>
            </w:pPr>
            <w:r>
              <w:rPr>
                <w:rFonts w:hint="eastAsia" w:cs="宋体"/>
                <w:sz w:val="21"/>
              </w:rPr>
              <w:t>1</w:t>
            </w:r>
          </w:p>
        </w:tc>
      </w:tr>
      <w:tr w14:paraId="2D92ED58">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43C80DEA">
            <w:pPr>
              <w:pStyle w:val="286"/>
              <w:adjustRightInd w:val="0"/>
              <w:snapToGrid w:val="0"/>
              <w:spacing w:line="300" w:lineRule="exact"/>
              <w:rPr>
                <w:rFonts w:hint="eastAsia" w:cs="宋体"/>
                <w:sz w:val="21"/>
              </w:rPr>
            </w:pPr>
          </w:p>
        </w:tc>
        <w:tc>
          <w:tcPr>
            <w:tcW w:w="472" w:type="pct"/>
            <w:vMerge w:val="restart"/>
            <w:vAlign w:val="center"/>
          </w:tcPr>
          <w:p w14:paraId="45F9283E">
            <w:pPr>
              <w:pStyle w:val="286"/>
              <w:adjustRightInd w:val="0"/>
              <w:snapToGrid w:val="0"/>
              <w:spacing w:line="300" w:lineRule="exact"/>
              <w:rPr>
                <w:rFonts w:hint="eastAsia" w:cs="宋体"/>
                <w:sz w:val="21"/>
              </w:rPr>
            </w:pPr>
            <w:r>
              <w:rPr>
                <w:rFonts w:hint="eastAsia" w:cs="宋体"/>
                <w:sz w:val="21"/>
              </w:rPr>
              <w:t>固体</w:t>
            </w:r>
          </w:p>
          <w:p w14:paraId="6CCAB407">
            <w:pPr>
              <w:pStyle w:val="286"/>
              <w:adjustRightInd w:val="0"/>
              <w:snapToGrid w:val="0"/>
              <w:spacing w:line="300" w:lineRule="exact"/>
              <w:rPr>
                <w:rFonts w:hint="eastAsia" w:cs="宋体"/>
                <w:sz w:val="21"/>
              </w:rPr>
            </w:pPr>
            <w:r>
              <w:rPr>
                <w:rFonts w:hint="eastAsia" w:cs="宋体"/>
                <w:sz w:val="21"/>
              </w:rPr>
              <w:t>废物</w:t>
            </w:r>
          </w:p>
        </w:tc>
        <w:tc>
          <w:tcPr>
            <w:tcW w:w="1044" w:type="pct"/>
            <w:vAlign w:val="center"/>
          </w:tcPr>
          <w:p w14:paraId="37697192">
            <w:pPr>
              <w:pStyle w:val="286"/>
              <w:adjustRightInd w:val="0"/>
              <w:snapToGrid w:val="0"/>
              <w:spacing w:line="300" w:lineRule="exact"/>
              <w:rPr>
                <w:rFonts w:hint="eastAsia" w:cs="宋体"/>
                <w:spacing w:val="-4"/>
                <w:sz w:val="21"/>
              </w:rPr>
            </w:pPr>
            <w:r>
              <w:rPr>
                <w:rFonts w:hint="eastAsia" w:cs="宋体"/>
                <w:spacing w:val="-4"/>
                <w:sz w:val="21"/>
              </w:rPr>
              <w:t>钻井岩屑</w:t>
            </w:r>
          </w:p>
        </w:tc>
        <w:tc>
          <w:tcPr>
            <w:tcW w:w="2517" w:type="pct"/>
            <w:vAlign w:val="center"/>
          </w:tcPr>
          <w:p w14:paraId="6336BFC9">
            <w:pPr>
              <w:pStyle w:val="286"/>
              <w:adjustRightInd w:val="0"/>
              <w:snapToGrid w:val="0"/>
              <w:spacing w:line="300" w:lineRule="exact"/>
              <w:rPr>
                <w:rFonts w:hint="eastAsia" w:cs="宋体"/>
                <w:spacing w:val="-4"/>
                <w:sz w:val="21"/>
              </w:rPr>
            </w:pPr>
            <w:r>
              <w:rPr>
                <w:rFonts w:hint="eastAsia" w:cs="宋体"/>
                <w:spacing w:val="-4"/>
                <w:sz w:val="21"/>
              </w:rPr>
              <w:t>采用不落地系统处理，分离出的水基钻井岩屑交由岩屑处置单位处理，油基钻井岩屑交由有相应危险废物处理资质的单位处理</w:t>
            </w:r>
          </w:p>
        </w:tc>
        <w:tc>
          <w:tcPr>
            <w:tcW w:w="697" w:type="pct"/>
            <w:gridSpan w:val="2"/>
            <w:vAlign w:val="center"/>
          </w:tcPr>
          <w:p w14:paraId="46686261">
            <w:pPr>
              <w:pStyle w:val="286"/>
              <w:adjustRightInd w:val="0"/>
              <w:snapToGrid w:val="0"/>
              <w:spacing w:line="300" w:lineRule="exact"/>
              <w:rPr>
                <w:rFonts w:hint="eastAsia" w:cs="宋体"/>
                <w:sz w:val="21"/>
              </w:rPr>
            </w:pPr>
            <w:r>
              <w:rPr>
                <w:rFonts w:hint="eastAsia" w:cs="宋体"/>
                <w:sz w:val="21"/>
              </w:rPr>
              <w:t>150</w:t>
            </w:r>
          </w:p>
        </w:tc>
      </w:tr>
      <w:tr w14:paraId="2934546A">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0478AEF8">
            <w:pPr>
              <w:pStyle w:val="286"/>
              <w:adjustRightInd w:val="0"/>
              <w:snapToGrid w:val="0"/>
              <w:spacing w:line="300" w:lineRule="exact"/>
              <w:rPr>
                <w:rFonts w:hint="eastAsia" w:cs="宋体"/>
                <w:sz w:val="21"/>
              </w:rPr>
            </w:pPr>
          </w:p>
        </w:tc>
        <w:tc>
          <w:tcPr>
            <w:tcW w:w="472" w:type="pct"/>
            <w:vMerge w:val="continue"/>
            <w:vAlign w:val="center"/>
          </w:tcPr>
          <w:p w14:paraId="24DD1991">
            <w:pPr>
              <w:pStyle w:val="286"/>
              <w:adjustRightInd w:val="0"/>
              <w:snapToGrid w:val="0"/>
              <w:spacing w:line="300" w:lineRule="exact"/>
              <w:rPr>
                <w:rFonts w:hint="eastAsia" w:cs="宋体"/>
                <w:sz w:val="21"/>
              </w:rPr>
            </w:pPr>
          </w:p>
        </w:tc>
        <w:tc>
          <w:tcPr>
            <w:tcW w:w="1044" w:type="pct"/>
            <w:vAlign w:val="center"/>
          </w:tcPr>
          <w:p w14:paraId="512A8F5D">
            <w:pPr>
              <w:pStyle w:val="286"/>
              <w:adjustRightInd w:val="0"/>
              <w:snapToGrid w:val="0"/>
              <w:spacing w:line="300" w:lineRule="exact"/>
              <w:rPr>
                <w:rFonts w:hint="eastAsia" w:cs="宋体"/>
                <w:spacing w:val="-4"/>
                <w:sz w:val="21"/>
              </w:rPr>
            </w:pPr>
            <w:r>
              <w:rPr>
                <w:rFonts w:hint="eastAsia" w:cs="宋体"/>
                <w:spacing w:val="-4"/>
                <w:sz w:val="21"/>
              </w:rPr>
              <w:t>废润滑油、废润滑油桶和沾油废防渗材料</w:t>
            </w:r>
          </w:p>
        </w:tc>
        <w:tc>
          <w:tcPr>
            <w:tcW w:w="2517" w:type="pct"/>
            <w:vAlign w:val="center"/>
          </w:tcPr>
          <w:p w14:paraId="68CACBC2">
            <w:pPr>
              <w:pStyle w:val="286"/>
              <w:adjustRightInd w:val="0"/>
              <w:snapToGrid w:val="0"/>
              <w:spacing w:line="300" w:lineRule="exact"/>
              <w:rPr>
                <w:rFonts w:hint="eastAsia" w:cs="宋体"/>
                <w:spacing w:val="-4"/>
                <w:sz w:val="21"/>
              </w:rPr>
            </w:pPr>
            <w:r>
              <w:rPr>
                <w:rFonts w:hint="eastAsia" w:cs="宋体"/>
                <w:spacing w:val="-4"/>
                <w:sz w:val="21"/>
              </w:rPr>
              <w:t>交由有相应危险废物处理资质的单位处理</w:t>
            </w:r>
          </w:p>
        </w:tc>
        <w:tc>
          <w:tcPr>
            <w:tcW w:w="697" w:type="pct"/>
            <w:gridSpan w:val="2"/>
            <w:vAlign w:val="center"/>
          </w:tcPr>
          <w:p w14:paraId="46F7BDAC">
            <w:pPr>
              <w:pStyle w:val="286"/>
              <w:adjustRightInd w:val="0"/>
              <w:snapToGrid w:val="0"/>
              <w:spacing w:line="300" w:lineRule="exact"/>
              <w:rPr>
                <w:rFonts w:hint="eastAsia" w:cs="宋体"/>
                <w:sz w:val="21"/>
              </w:rPr>
            </w:pPr>
            <w:r>
              <w:rPr>
                <w:rFonts w:hint="eastAsia" w:cs="宋体"/>
                <w:sz w:val="21"/>
              </w:rPr>
              <w:t>3</w:t>
            </w:r>
          </w:p>
        </w:tc>
      </w:tr>
      <w:tr w14:paraId="28072570">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7954C634">
            <w:pPr>
              <w:pStyle w:val="286"/>
              <w:adjustRightInd w:val="0"/>
              <w:snapToGrid w:val="0"/>
              <w:spacing w:line="300" w:lineRule="exact"/>
              <w:rPr>
                <w:rFonts w:hint="eastAsia" w:cs="宋体"/>
                <w:sz w:val="21"/>
              </w:rPr>
            </w:pPr>
          </w:p>
        </w:tc>
        <w:tc>
          <w:tcPr>
            <w:tcW w:w="472" w:type="pct"/>
            <w:vMerge w:val="continue"/>
            <w:vAlign w:val="center"/>
          </w:tcPr>
          <w:p w14:paraId="4444A3F7">
            <w:pPr>
              <w:pStyle w:val="286"/>
              <w:adjustRightInd w:val="0"/>
              <w:snapToGrid w:val="0"/>
              <w:spacing w:line="300" w:lineRule="exact"/>
              <w:rPr>
                <w:rFonts w:hint="eastAsia" w:cs="宋体"/>
                <w:sz w:val="21"/>
              </w:rPr>
            </w:pPr>
          </w:p>
        </w:tc>
        <w:tc>
          <w:tcPr>
            <w:tcW w:w="1044" w:type="pct"/>
            <w:vAlign w:val="center"/>
          </w:tcPr>
          <w:p w14:paraId="185303F0">
            <w:pPr>
              <w:pStyle w:val="286"/>
              <w:adjustRightInd w:val="0"/>
              <w:snapToGrid w:val="0"/>
              <w:spacing w:line="300" w:lineRule="exact"/>
              <w:rPr>
                <w:rFonts w:hint="eastAsia" w:cs="宋体"/>
                <w:spacing w:val="-4"/>
                <w:sz w:val="21"/>
              </w:rPr>
            </w:pPr>
            <w:r>
              <w:rPr>
                <w:rFonts w:hint="eastAsia" w:cs="宋体"/>
                <w:spacing w:val="-4"/>
                <w:sz w:val="21"/>
              </w:rPr>
              <w:t>生活垃圾</w:t>
            </w:r>
          </w:p>
        </w:tc>
        <w:tc>
          <w:tcPr>
            <w:tcW w:w="2517" w:type="pct"/>
            <w:vAlign w:val="center"/>
          </w:tcPr>
          <w:p w14:paraId="43CAD36C">
            <w:pPr>
              <w:pStyle w:val="286"/>
              <w:adjustRightInd w:val="0"/>
              <w:snapToGrid w:val="0"/>
              <w:spacing w:line="300" w:lineRule="exact"/>
              <w:rPr>
                <w:rFonts w:hint="eastAsia" w:cs="宋体"/>
                <w:spacing w:val="-4"/>
                <w:sz w:val="21"/>
              </w:rPr>
            </w:pPr>
            <w:r>
              <w:rPr>
                <w:rFonts w:hint="eastAsia" w:cs="宋体"/>
                <w:spacing w:val="-4"/>
                <w:sz w:val="21"/>
              </w:rPr>
              <w:t>送至吉木萨尔县生活垃圾填埋场</w:t>
            </w:r>
          </w:p>
        </w:tc>
        <w:tc>
          <w:tcPr>
            <w:tcW w:w="697" w:type="pct"/>
            <w:gridSpan w:val="2"/>
            <w:vAlign w:val="center"/>
          </w:tcPr>
          <w:p w14:paraId="571DA9C7">
            <w:pPr>
              <w:pStyle w:val="286"/>
              <w:adjustRightInd w:val="0"/>
              <w:snapToGrid w:val="0"/>
              <w:spacing w:line="300" w:lineRule="exact"/>
              <w:rPr>
                <w:rFonts w:hint="eastAsia" w:cs="宋体"/>
                <w:sz w:val="21"/>
              </w:rPr>
            </w:pPr>
            <w:r>
              <w:rPr>
                <w:rFonts w:hint="eastAsia" w:cs="宋体"/>
                <w:sz w:val="21"/>
              </w:rPr>
              <w:t>1</w:t>
            </w:r>
          </w:p>
        </w:tc>
      </w:tr>
      <w:tr w14:paraId="1CDC48F4">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3E84BB80">
            <w:pPr>
              <w:pStyle w:val="286"/>
              <w:adjustRightInd w:val="0"/>
              <w:snapToGrid w:val="0"/>
              <w:spacing w:line="300" w:lineRule="exact"/>
              <w:rPr>
                <w:rFonts w:hint="eastAsia" w:cs="宋体"/>
                <w:sz w:val="21"/>
              </w:rPr>
            </w:pPr>
          </w:p>
        </w:tc>
        <w:tc>
          <w:tcPr>
            <w:tcW w:w="472" w:type="pct"/>
            <w:vMerge w:val="continue"/>
            <w:vAlign w:val="center"/>
          </w:tcPr>
          <w:p w14:paraId="0519E4E9">
            <w:pPr>
              <w:pStyle w:val="286"/>
              <w:adjustRightInd w:val="0"/>
              <w:snapToGrid w:val="0"/>
              <w:spacing w:line="300" w:lineRule="exact"/>
              <w:rPr>
                <w:rFonts w:hint="eastAsia" w:cs="宋体"/>
                <w:sz w:val="21"/>
              </w:rPr>
            </w:pPr>
          </w:p>
        </w:tc>
        <w:tc>
          <w:tcPr>
            <w:tcW w:w="1044" w:type="pct"/>
            <w:vAlign w:val="center"/>
          </w:tcPr>
          <w:p w14:paraId="4D6F7617">
            <w:pPr>
              <w:pStyle w:val="286"/>
              <w:adjustRightInd w:val="0"/>
              <w:snapToGrid w:val="0"/>
              <w:spacing w:line="300" w:lineRule="exact"/>
              <w:rPr>
                <w:rFonts w:hint="eastAsia" w:cs="宋体"/>
                <w:spacing w:val="-4"/>
                <w:sz w:val="21"/>
              </w:rPr>
            </w:pPr>
            <w:r>
              <w:rPr>
                <w:rFonts w:hint="eastAsia" w:cs="宋体"/>
                <w:sz w:val="21"/>
              </w:rPr>
              <w:t>建筑垃圾</w:t>
            </w:r>
          </w:p>
        </w:tc>
        <w:tc>
          <w:tcPr>
            <w:tcW w:w="2517" w:type="pct"/>
            <w:vAlign w:val="center"/>
          </w:tcPr>
          <w:p w14:paraId="48123A14">
            <w:pPr>
              <w:pStyle w:val="286"/>
              <w:adjustRightInd w:val="0"/>
              <w:snapToGrid w:val="0"/>
              <w:spacing w:line="300" w:lineRule="exact"/>
              <w:rPr>
                <w:rFonts w:hint="eastAsia" w:cs="宋体"/>
                <w:spacing w:val="-4"/>
                <w:sz w:val="21"/>
              </w:rPr>
            </w:pPr>
            <w:r>
              <w:rPr>
                <w:rFonts w:hint="eastAsia" w:cs="宋体"/>
                <w:sz w:val="21"/>
              </w:rPr>
              <w:t>送至当地建筑垃圾填埋场</w:t>
            </w:r>
          </w:p>
        </w:tc>
        <w:tc>
          <w:tcPr>
            <w:tcW w:w="697" w:type="pct"/>
            <w:gridSpan w:val="2"/>
            <w:vAlign w:val="center"/>
          </w:tcPr>
          <w:p w14:paraId="7E4AF66A">
            <w:pPr>
              <w:pStyle w:val="286"/>
              <w:adjustRightInd w:val="0"/>
              <w:snapToGrid w:val="0"/>
              <w:spacing w:line="300" w:lineRule="exact"/>
              <w:rPr>
                <w:rFonts w:hint="eastAsia" w:cs="宋体"/>
                <w:sz w:val="21"/>
              </w:rPr>
            </w:pPr>
            <w:r>
              <w:rPr>
                <w:rFonts w:hint="eastAsia" w:cs="宋体"/>
                <w:sz w:val="21"/>
              </w:rPr>
              <w:t>1</w:t>
            </w:r>
          </w:p>
        </w:tc>
      </w:tr>
      <w:tr w14:paraId="77B3BAAE">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0D796EE0">
            <w:pPr>
              <w:pStyle w:val="286"/>
              <w:adjustRightInd w:val="0"/>
              <w:snapToGrid w:val="0"/>
              <w:spacing w:line="300" w:lineRule="exact"/>
              <w:rPr>
                <w:rFonts w:hint="eastAsia" w:cs="宋体"/>
                <w:sz w:val="21"/>
              </w:rPr>
            </w:pPr>
          </w:p>
        </w:tc>
        <w:tc>
          <w:tcPr>
            <w:tcW w:w="472" w:type="pct"/>
            <w:vMerge w:val="restart"/>
            <w:vAlign w:val="center"/>
          </w:tcPr>
          <w:p w14:paraId="069F2E44">
            <w:pPr>
              <w:pStyle w:val="286"/>
              <w:adjustRightInd w:val="0"/>
              <w:snapToGrid w:val="0"/>
              <w:spacing w:line="300" w:lineRule="exact"/>
              <w:rPr>
                <w:rFonts w:hint="eastAsia" w:cs="宋体"/>
                <w:sz w:val="21"/>
              </w:rPr>
            </w:pPr>
            <w:r>
              <w:rPr>
                <w:rFonts w:hint="eastAsia" w:cs="宋体"/>
                <w:sz w:val="21"/>
              </w:rPr>
              <w:t>环境风险</w:t>
            </w:r>
          </w:p>
        </w:tc>
        <w:tc>
          <w:tcPr>
            <w:tcW w:w="1044" w:type="pct"/>
            <w:vAlign w:val="center"/>
          </w:tcPr>
          <w:p w14:paraId="23BEA499">
            <w:pPr>
              <w:pStyle w:val="286"/>
              <w:adjustRightInd w:val="0"/>
              <w:snapToGrid w:val="0"/>
              <w:spacing w:line="300" w:lineRule="exact"/>
              <w:rPr>
                <w:rFonts w:hint="eastAsia" w:cs="宋体"/>
                <w:sz w:val="21"/>
              </w:rPr>
            </w:pPr>
            <w:r>
              <w:rPr>
                <w:rFonts w:hint="eastAsia" w:cs="宋体"/>
                <w:sz w:val="21"/>
              </w:rPr>
              <w:t>井控装置</w:t>
            </w:r>
          </w:p>
        </w:tc>
        <w:tc>
          <w:tcPr>
            <w:tcW w:w="2517" w:type="pct"/>
            <w:vAlign w:val="center"/>
          </w:tcPr>
          <w:p w14:paraId="63BD3668">
            <w:pPr>
              <w:pStyle w:val="286"/>
              <w:adjustRightInd w:val="0"/>
              <w:snapToGrid w:val="0"/>
              <w:spacing w:line="300" w:lineRule="exact"/>
              <w:rPr>
                <w:rFonts w:hint="eastAsia" w:cs="宋体"/>
                <w:sz w:val="21"/>
              </w:rPr>
            </w:pPr>
            <w:r>
              <w:rPr>
                <w:rFonts w:hint="eastAsia" w:cs="宋体"/>
                <w:sz w:val="21"/>
              </w:rPr>
              <w:t>每口井设1座井控装置</w:t>
            </w:r>
          </w:p>
        </w:tc>
        <w:tc>
          <w:tcPr>
            <w:tcW w:w="697" w:type="pct"/>
            <w:gridSpan w:val="2"/>
            <w:vAlign w:val="center"/>
          </w:tcPr>
          <w:p w14:paraId="6CDD0FCA">
            <w:pPr>
              <w:pStyle w:val="286"/>
              <w:adjustRightInd w:val="0"/>
              <w:snapToGrid w:val="0"/>
              <w:spacing w:line="300" w:lineRule="exact"/>
              <w:rPr>
                <w:rFonts w:hint="eastAsia" w:cs="宋体"/>
                <w:sz w:val="21"/>
              </w:rPr>
            </w:pPr>
            <w:r>
              <w:rPr>
                <w:rFonts w:hint="eastAsia" w:cs="宋体"/>
                <w:sz w:val="21"/>
              </w:rPr>
              <w:t>50</w:t>
            </w:r>
          </w:p>
        </w:tc>
      </w:tr>
      <w:tr w14:paraId="4BF9EF92">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17E75B13">
            <w:pPr>
              <w:pStyle w:val="286"/>
              <w:adjustRightInd w:val="0"/>
              <w:snapToGrid w:val="0"/>
              <w:spacing w:line="300" w:lineRule="exact"/>
              <w:rPr>
                <w:rFonts w:hint="eastAsia" w:cs="宋体"/>
                <w:sz w:val="21"/>
              </w:rPr>
            </w:pPr>
          </w:p>
        </w:tc>
        <w:tc>
          <w:tcPr>
            <w:tcW w:w="472" w:type="pct"/>
            <w:vMerge w:val="continue"/>
            <w:vAlign w:val="center"/>
          </w:tcPr>
          <w:p w14:paraId="219DA8B8">
            <w:pPr>
              <w:pStyle w:val="286"/>
              <w:adjustRightInd w:val="0"/>
              <w:snapToGrid w:val="0"/>
              <w:spacing w:line="300" w:lineRule="exact"/>
              <w:rPr>
                <w:rFonts w:hint="eastAsia" w:cs="宋体"/>
                <w:sz w:val="21"/>
              </w:rPr>
            </w:pPr>
          </w:p>
        </w:tc>
        <w:tc>
          <w:tcPr>
            <w:tcW w:w="1044" w:type="pct"/>
            <w:vAlign w:val="center"/>
          </w:tcPr>
          <w:p w14:paraId="385E52E4">
            <w:pPr>
              <w:pStyle w:val="286"/>
              <w:adjustRightInd w:val="0"/>
              <w:snapToGrid w:val="0"/>
              <w:spacing w:line="300" w:lineRule="exact"/>
              <w:rPr>
                <w:rFonts w:hint="eastAsia" w:cs="宋体"/>
                <w:sz w:val="21"/>
              </w:rPr>
            </w:pPr>
            <w:r>
              <w:rPr>
                <w:rFonts w:hint="eastAsia" w:cs="宋体"/>
                <w:sz w:val="21"/>
              </w:rPr>
              <w:t>硫化氢检测仪</w:t>
            </w:r>
          </w:p>
        </w:tc>
        <w:tc>
          <w:tcPr>
            <w:tcW w:w="2517" w:type="pct"/>
            <w:vAlign w:val="center"/>
          </w:tcPr>
          <w:p w14:paraId="159EC993">
            <w:pPr>
              <w:pStyle w:val="286"/>
              <w:adjustRightInd w:val="0"/>
              <w:snapToGrid w:val="0"/>
              <w:spacing w:line="300" w:lineRule="exact"/>
              <w:rPr>
                <w:rFonts w:hint="eastAsia" w:cs="宋体"/>
                <w:sz w:val="21"/>
              </w:rPr>
            </w:pPr>
            <w:r>
              <w:rPr>
                <w:rFonts w:hint="eastAsia" w:cs="宋体"/>
                <w:sz w:val="21"/>
              </w:rPr>
              <w:t>每口钻井时均设硫化氢检测仪</w:t>
            </w:r>
          </w:p>
        </w:tc>
        <w:tc>
          <w:tcPr>
            <w:tcW w:w="697" w:type="pct"/>
            <w:gridSpan w:val="2"/>
            <w:vAlign w:val="center"/>
          </w:tcPr>
          <w:p w14:paraId="07A7D097">
            <w:pPr>
              <w:pStyle w:val="286"/>
              <w:adjustRightInd w:val="0"/>
              <w:snapToGrid w:val="0"/>
              <w:spacing w:line="300" w:lineRule="exact"/>
              <w:rPr>
                <w:rFonts w:hint="eastAsia" w:cs="宋体"/>
                <w:sz w:val="21"/>
              </w:rPr>
            </w:pPr>
            <w:r>
              <w:rPr>
                <w:rFonts w:hint="eastAsia" w:cs="宋体"/>
                <w:sz w:val="21"/>
              </w:rPr>
              <w:t>5</w:t>
            </w:r>
          </w:p>
        </w:tc>
      </w:tr>
      <w:tr w14:paraId="13CC6159">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restart"/>
            <w:vAlign w:val="center"/>
          </w:tcPr>
          <w:p w14:paraId="6AC5DED2">
            <w:pPr>
              <w:pStyle w:val="286"/>
              <w:adjustRightInd w:val="0"/>
              <w:snapToGrid w:val="0"/>
              <w:spacing w:line="300" w:lineRule="exact"/>
              <w:rPr>
                <w:rFonts w:hint="eastAsia" w:cs="宋体"/>
                <w:sz w:val="21"/>
              </w:rPr>
            </w:pPr>
            <w:r>
              <w:rPr>
                <w:rFonts w:hint="eastAsia" w:cs="宋体"/>
                <w:sz w:val="21"/>
              </w:rPr>
              <w:t>运</w:t>
            </w:r>
          </w:p>
          <w:p w14:paraId="4402192C">
            <w:pPr>
              <w:pStyle w:val="286"/>
              <w:adjustRightInd w:val="0"/>
              <w:snapToGrid w:val="0"/>
              <w:spacing w:line="300" w:lineRule="exact"/>
              <w:rPr>
                <w:rFonts w:hint="eastAsia" w:cs="宋体"/>
                <w:sz w:val="21"/>
              </w:rPr>
            </w:pPr>
            <w:r>
              <w:rPr>
                <w:rFonts w:hint="eastAsia" w:cs="宋体"/>
                <w:sz w:val="21"/>
              </w:rPr>
              <w:t>营</w:t>
            </w:r>
          </w:p>
          <w:p w14:paraId="1F8C82A1">
            <w:pPr>
              <w:pStyle w:val="286"/>
              <w:adjustRightInd w:val="0"/>
              <w:snapToGrid w:val="0"/>
              <w:spacing w:line="300" w:lineRule="exact"/>
              <w:rPr>
                <w:rFonts w:hint="eastAsia" w:cs="宋体"/>
                <w:sz w:val="21"/>
              </w:rPr>
            </w:pPr>
            <w:r>
              <w:rPr>
                <w:rFonts w:hint="eastAsia" w:cs="宋体"/>
                <w:sz w:val="21"/>
              </w:rPr>
              <w:t>期</w:t>
            </w:r>
          </w:p>
        </w:tc>
        <w:tc>
          <w:tcPr>
            <w:tcW w:w="472" w:type="pct"/>
            <w:vMerge w:val="restart"/>
            <w:vAlign w:val="center"/>
          </w:tcPr>
          <w:p w14:paraId="6C7C2590">
            <w:pPr>
              <w:pStyle w:val="286"/>
              <w:adjustRightInd w:val="0"/>
              <w:snapToGrid w:val="0"/>
              <w:spacing w:line="300" w:lineRule="exact"/>
              <w:rPr>
                <w:rFonts w:hint="eastAsia" w:cs="宋体"/>
                <w:sz w:val="21"/>
              </w:rPr>
            </w:pPr>
            <w:r>
              <w:rPr>
                <w:rFonts w:hint="eastAsia" w:cs="宋体"/>
                <w:sz w:val="21"/>
              </w:rPr>
              <w:t>废气</w:t>
            </w:r>
          </w:p>
        </w:tc>
        <w:tc>
          <w:tcPr>
            <w:tcW w:w="1044" w:type="pct"/>
            <w:vAlign w:val="center"/>
          </w:tcPr>
          <w:p w14:paraId="71BA05A9">
            <w:pPr>
              <w:pStyle w:val="286"/>
              <w:adjustRightInd w:val="0"/>
              <w:snapToGrid w:val="0"/>
              <w:spacing w:line="300" w:lineRule="exact"/>
              <w:rPr>
                <w:rFonts w:hint="eastAsia" w:cs="宋体"/>
                <w:sz w:val="21"/>
              </w:rPr>
            </w:pPr>
            <w:r>
              <w:rPr>
                <w:rFonts w:hint="eastAsia" w:cs="宋体"/>
                <w:sz w:val="21"/>
              </w:rPr>
              <w:t>无组织挥发烃类</w:t>
            </w:r>
          </w:p>
        </w:tc>
        <w:tc>
          <w:tcPr>
            <w:tcW w:w="2517" w:type="pct"/>
            <w:vAlign w:val="center"/>
          </w:tcPr>
          <w:p w14:paraId="08782A72">
            <w:pPr>
              <w:pStyle w:val="286"/>
              <w:adjustRightInd w:val="0"/>
              <w:snapToGrid w:val="0"/>
              <w:spacing w:line="300" w:lineRule="exact"/>
              <w:rPr>
                <w:rFonts w:hint="eastAsia" w:cs="宋体"/>
                <w:sz w:val="21"/>
              </w:rPr>
            </w:pPr>
            <w:r>
              <w:rPr>
                <w:rFonts w:hint="eastAsia" w:cs="宋体"/>
                <w:sz w:val="21"/>
              </w:rPr>
              <w:t>选用技术质量可靠的设备、仪表控制、阀门，加强巡检，拉油罐采用固定顶罐，采用顶部浸没式装载或底部装载，设有气相平衡系统</w:t>
            </w:r>
          </w:p>
        </w:tc>
        <w:tc>
          <w:tcPr>
            <w:tcW w:w="697" w:type="pct"/>
            <w:gridSpan w:val="2"/>
            <w:vAlign w:val="center"/>
          </w:tcPr>
          <w:p w14:paraId="0501093F">
            <w:pPr>
              <w:pStyle w:val="286"/>
              <w:adjustRightInd w:val="0"/>
              <w:snapToGrid w:val="0"/>
              <w:spacing w:line="300" w:lineRule="exact"/>
              <w:rPr>
                <w:rFonts w:hint="eastAsia" w:cs="宋体"/>
                <w:sz w:val="21"/>
              </w:rPr>
            </w:pPr>
            <w:r>
              <w:rPr>
                <w:rFonts w:hint="eastAsia" w:cs="宋体"/>
                <w:sz w:val="21"/>
              </w:rPr>
              <w:t>50</w:t>
            </w:r>
          </w:p>
        </w:tc>
      </w:tr>
      <w:tr w14:paraId="6057F889">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6158C2C8">
            <w:pPr>
              <w:pStyle w:val="286"/>
              <w:adjustRightInd w:val="0"/>
              <w:snapToGrid w:val="0"/>
              <w:spacing w:line="300" w:lineRule="exact"/>
              <w:rPr>
                <w:rFonts w:hint="eastAsia" w:cs="宋体"/>
                <w:sz w:val="21"/>
              </w:rPr>
            </w:pPr>
          </w:p>
        </w:tc>
        <w:tc>
          <w:tcPr>
            <w:tcW w:w="472" w:type="pct"/>
            <w:vMerge w:val="continue"/>
            <w:vAlign w:val="center"/>
          </w:tcPr>
          <w:p w14:paraId="25355A22">
            <w:pPr>
              <w:pStyle w:val="286"/>
              <w:adjustRightInd w:val="0"/>
              <w:snapToGrid w:val="0"/>
              <w:spacing w:line="300" w:lineRule="exact"/>
              <w:rPr>
                <w:rFonts w:hint="eastAsia" w:cs="宋体"/>
                <w:sz w:val="21"/>
              </w:rPr>
            </w:pPr>
          </w:p>
        </w:tc>
        <w:tc>
          <w:tcPr>
            <w:tcW w:w="1044" w:type="pct"/>
            <w:vAlign w:val="center"/>
          </w:tcPr>
          <w:p w14:paraId="0ACF9E46">
            <w:pPr>
              <w:pStyle w:val="286"/>
              <w:adjustRightInd w:val="0"/>
              <w:snapToGrid w:val="0"/>
              <w:spacing w:line="300" w:lineRule="exact"/>
              <w:rPr>
                <w:rFonts w:hint="eastAsia" w:cs="宋体"/>
                <w:sz w:val="21"/>
              </w:rPr>
            </w:pPr>
            <w:r>
              <w:rPr>
                <w:rFonts w:hint="eastAsia" w:cs="宋体"/>
                <w:sz w:val="21"/>
              </w:rPr>
              <w:t>无组织硫化氢</w:t>
            </w:r>
          </w:p>
        </w:tc>
        <w:tc>
          <w:tcPr>
            <w:tcW w:w="2517" w:type="pct"/>
            <w:vAlign w:val="center"/>
          </w:tcPr>
          <w:p w14:paraId="59F7A7B0">
            <w:pPr>
              <w:pStyle w:val="286"/>
              <w:adjustRightInd w:val="0"/>
              <w:snapToGrid w:val="0"/>
              <w:spacing w:line="300" w:lineRule="exact"/>
              <w:rPr>
                <w:rFonts w:hint="eastAsia" w:cs="宋体"/>
                <w:sz w:val="21"/>
              </w:rPr>
            </w:pPr>
            <w:r>
              <w:rPr>
                <w:rFonts w:hint="eastAsia" w:cs="宋体"/>
                <w:sz w:val="21"/>
              </w:rPr>
              <w:t>设置除硫加药装置</w:t>
            </w:r>
          </w:p>
        </w:tc>
        <w:tc>
          <w:tcPr>
            <w:tcW w:w="697" w:type="pct"/>
            <w:gridSpan w:val="2"/>
            <w:vAlign w:val="center"/>
          </w:tcPr>
          <w:p w14:paraId="0CE8F6FD">
            <w:pPr>
              <w:pStyle w:val="286"/>
              <w:adjustRightInd w:val="0"/>
              <w:snapToGrid w:val="0"/>
              <w:spacing w:line="300" w:lineRule="exact"/>
              <w:rPr>
                <w:rFonts w:hint="eastAsia" w:cs="宋体"/>
                <w:sz w:val="21"/>
              </w:rPr>
            </w:pPr>
            <w:r>
              <w:rPr>
                <w:rFonts w:hint="eastAsia" w:cs="宋体"/>
                <w:sz w:val="21"/>
              </w:rPr>
              <w:t>50</w:t>
            </w:r>
          </w:p>
        </w:tc>
      </w:tr>
      <w:tr w14:paraId="19F480F3">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5A732645">
            <w:pPr>
              <w:pStyle w:val="286"/>
              <w:adjustRightInd w:val="0"/>
              <w:snapToGrid w:val="0"/>
              <w:spacing w:line="300" w:lineRule="exact"/>
              <w:rPr>
                <w:rFonts w:hint="eastAsia" w:cs="宋体"/>
                <w:sz w:val="21"/>
              </w:rPr>
            </w:pPr>
          </w:p>
        </w:tc>
        <w:tc>
          <w:tcPr>
            <w:tcW w:w="472" w:type="pct"/>
            <w:vMerge w:val="continue"/>
            <w:vAlign w:val="center"/>
          </w:tcPr>
          <w:p w14:paraId="0E8FF95D">
            <w:pPr>
              <w:pStyle w:val="286"/>
              <w:adjustRightInd w:val="0"/>
              <w:snapToGrid w:val="0"/>
              <w:spacing w:line="300" w:lineRule="exact"/>
              <w:rPr>
                <w:rFonts w:hint="eastAsia" w:cs="宋体"/>
                <w:sz w:val="21"/>
              </w:rPr>
            </w:pPr>
          </w:p>
        </w:tc>
        <w:tc>
          <w:tcPr>
            <w:tcW w:w="1044" w:type="pct"/>
            <w:vAlign w:val="center"/>
          </w:tcPr>
          <w:p w14:paraId="445E2586">
            <w:pPr>
              <w:pStyle w:val="286"/>
              <w:adjustRightInd w:val="0"/>
              <w:snapToGrid w:val="0"/>
              <w:spacing w:line="300" w:lineRule="exact"/>
              <w:rPr>
                <w:rFonts w:hint="eastAsia" w:cs="宋体"/>
                <w:sz w:val="21"/>
              </w:rPr>
            </w:pPr>
            <w:r>
              <w:rPr>
                <w:rFonts w:hint="eastAsia" w:cs="宋体"/>
                <w:sz w:val="21"/>
              </w:rPr>
              <w:t>放空火炬燃烧废气</w:t>
            </w:r>
          </w:p>
        </w:tc>
        <w:tc>
          <w:tcPr>
            <w:tcW w:w="2517" w:type="pct"/>
            <w:vAlign w:val="center"/>
          </w:tcPr>
          <w:p w14:paraId="6AD25D1E">
            <w:pPr>
              <w:pStyle w:val="286"/>
              <w:adjustRightInd w:val="0"/>
              <w:snapToGrid w:val="0"/>
              <w:spacing w:line="300" w:lineRule="exact"/>
              <w:rPr>
                <w:rFonts w:hint="eastAsia" w:cs="宋体"/>
                <w:sz w:val="21"/>
              </w:rPr>
            </w:pPr>
            <w:r>
              <w:rPr>
                <w:rFonts w:hint="eastAsia" w:cs="宋体"/>
                <w:sz w:val="21"/>
              </w:rPr>
              <w:t>1根放空火炬</w:t>
            </w:r>
          </w:p>
        </w:tc>
        <w:tc>
          <w:tcPr>
            <w:tcW w:w="697" w:type="pct"/>
            <w:gridSpan w:val="2"/>
            <w:vAlign w:val="center"/>
          </w:tcPr>
          <w:p w14:paraId="234B4721">
            <w:pPr>
              <w:pStyle w:val="286"/>
              <w:adjustRightInd w:val="0"/>
              <w:snapToGrid w:val="0"/>
              <w:spacing w:line="300" w:lineRule="exact"/>
              <w:rPr>
                <w:rFonts w:hint="eastAsia" w:cs="宋体"/>
                <w:sz w:val="21"/>
              </w:rPr>
            </w:pPr>
            <w:r>
              <w:rPr>
                <w:rFonts w:hint="eastAsia" w:cs="宋体"/>
                <w:sz w:val="21"/>
              </w:rPr>
              <w:t>2</w:t>
            </w:r>
          </w:p>
        </w:tc>
      </w:tr>
      <w:tr w14:paraId="180991CE">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22BF544C">
            <w:pPr>
              <w:pStyle w:val="286"/>
              <w:adjustRightInd w:val="0"/>
              <w:snapToGrid w:val="0"/>
              <w:spacing w:line="300" w:lineRule="exact"/>
              <w:rPr>
                <w:rFonts w:hint="eastAsia" w:cs="宋体"/>
                <w:sz w:val="21"/>
              </w:rPr>
            </w:pPr>
          </w:p>
        </w:tc>
        <w:tc>
          <w:tcPr>
            <w:tcW w:w="472" w:type="pct"/>
            <w:vAlign w:val="center"/>
          </w:tcPr>
          <w:p w14:paraId="2111AD98">
            <w:pPr>
              <w:pStyle w:val="286"/>
              <w:adjustRightInd w:val="0"/>
              <w:snapToGrid w:val="0"/>
              <w:spacing w:line="300" w:lineRule="exact"/>
              <w:rPr>
                <w:rFonts w:hint="eastAsia" w:cs="宋体"/>
                <w:sz w:val="21"/>
              </w:rPr>
            </w:pPr>
            <w:r>
              <w:rPr>
                <w:rFonts w:hint="eastAsia" w:cs="宋体"/>
                <w:sz w:val="21"/>
              </w:rPr>
              <w:t>废水</w:t>
            </w:r>
          </w:p>
        </w:tc>
        <w:tc>
          <w:tcPr>
            <w:tcW w:w="1044" w:type="pct"/>
            <w:vAlign w:val="center"/>
          </w:tcPr>
          <w:p w14:paraId="3E3D6CB9">
            <w:pPr>
              <w:pStyle w:val="286"/>
              <w:adjustRightInd w:val="0"/>
              <w:snapToGrid w:val="0"/>
              <w:spacing w:line="300" w:lineRule="exact"/>
              <w:rPr>
                <w:rFonts w:hint="eastAsia" w:cs="宋体"/>
                <w:sz w:val="21"/>
              </w:rPr>
            </w:pPr>
            <w:r>
              <w:rPr>
                <w:rFonts w:hint="eastAsia" w:cs="宋体"/>
                <w:sz w:val="21"/>
              </w:rPr>
              <w:t>洗井废水和井下作业废液</w:t>
            </w:r>
          </w:p>
        </w:tc>
        <w:tc>
          <w:tcPr>
            <w:tcW w:w="2517" w:type="pct"/>
            <w:vAlign w:val="center"/>
          </w:tcPr>
          <w:p w14:paraId="5580BA24">
            <w:pPr>
              <w:pStyle w:val="286"/>
              <w:adjustRightInd w:val="0"/>
              <w:snapToGrid w:val="0"/>
              <w:spacing w:line="300" w:lineRule="exact"/>
              <w:rPr>
                <w:rFonts w:hint="eastAsia" w:cs="宋体"/>
                <w:sz w:val="21"/>
              </w:rPr>
            </w:pPr>
            <w:r>
              <w:rPr>
                <w:rFonts w:hint="eastAsia" w:cs="宋体"/>
                <w:sz w:val="21"/>
              </w:rPr>
              <w:t>送至压裂返排液处理装置处理</w:t>
            </w:r>
          </w:p>
        </w:tc>
        <w:tc>
          <w:tcPr>
            <w:tcW w:w="697" w:type="pct"/>
            <w:gridSpan w:val="2"/>
            <w:vAlign w:val="center"/>
          </w:tcPr>
          <w:p w14:paraId="4671D51D">
            <w:pPr>
              <w:pStyle w:val="286"/>
              <w:adjustRightInd w:val="0"/>
              <w:snapToGrid w:val="0"/>
              <w:spacing w:line="300" w:lineRule="exact"/>
              <w:rPr>
                <w:rFonts w:hint="eastAsia" w:cs="宋体"/>
                <w:sz w:val="21"/>
              </w:rPr>
            </w:pPr>
            <w:r>
              <w:rPr>
                <w:rFonts w:hint="eastAsia" w:cs="宋体"/>
                <w:sz w:val="21"/>
              </w:rPr>
              <w:t>2</w:t>
            </w:r>
          </w:p>
        </w:tc>
      </w:tr>
      <w:tr w14:paraId="44B2691E">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422B3E43">
            <w:pPr>
              <w:pStyle w:val="286"/>
              <w:adjustRightInd w:val="0"/>
              <w:snapToGrid w:val="0"/>
              <w:spacing w:line="300" w:lineRule="exact"/>
              <w:rPr>
                <w:rFonts w:hint="eastAsia" w:cs="宋体"/>
                <w:sz w:val="21"/>
              </w:rPr>
            </w:pPr>
          </w:p>
        </w:tc>
        <w:tc>
          <w:tcPr>
            <w:tcW w:w="472" w:type="pct"/>
            <w:vAlign w:val="center"/>
          </w:tcPr>
          <w:p w14:paraId="1000738C">
            <w:pPr>
              <w:adjustRightInd w:val="0"/>
              <w:snapToGrid w:val="0"/>
              <w:spacing w:line="300" w:lineRule="exact"/>
              <w:jc w:val="center"/>
              <w:rPr>
                <w:rFonts w:hint="eastAsia" w:ascii="宋体" w:hAnsi="宋体" w:cs="宋体"/>
                <w:spacing w:val="4"/>
                <w:szCs w:val="21"/>
              </w:rPr>
            </w:pPr>
            <w:r>
              <w:rPr>
                <w:rFonts w:hint="eastAsia" w:ascii="宋体" w:hAnsi="宋体" w:cs="宋体"/>
                <w:spacing w:val="4"/>
                <w:szCs w:val="21"/>
                <w:lang w:bidi="ar"/>
              </w:rPr>
              <w:t>噪声</w:t>
            </w:r>
          </w:p>
        </w:tc>
        <w:tc>
          <w:tcPr>
            <w:tcW w:w="1044" w:type="pct"/>
            <w:vAlign w:val="center"/>
          </w:tcPr>
          <w:p w14:paraId="7C5D8837">
            <w:pPr>
              <w:adjustRightInd w:val="0"/>
              <w:snapToGrid w:val="0"/>
              <w:spacing w:line="300" w:lineRule="exact"/>
              <w:jc w:val="center"/>
              <w:rPr>
                <w:rFonts w:hint="eastAsia" w:ascii="宋体" w:hAnsi="宋体" w:cs="宋体"/>
                <w:spacing w:val="4"/>
                <w:szCs w:val="21"/>
              </w:rPr>
            </w:pPr>
            <w:r>
              <w:rPr>
                <w:rFonts w:hint="eastAsia" w:ascii="宋体" w:hAnsi="宋体" w:cs="宋体"/>
                <w:spacing w:val="4"/>
                <w:szCs w:val="21"/>
                <w:lang w:bidi="ar"/>
              </w:rPr>
              <w:t>站场噪声</w:t>
            </w:r>
          </w:p>
        </w:tc>
        <w:tc>
          <w:tcPr>
            <w:tcW w:w="2517" w:type="pct"/>
            <w:vAlign w:val="center"/>
          </w:tcPr>
          <w:p w14:paraId="2B3F9553">
            <w:pPr>
              <w:adjustRightInd w:val="0"/>
              <w:snapToGrid w:val="0"/>
              <w:spacing w:line="300" w:lineRule="exact"/>
              <w:jc w:val="center"/>
              <w:rPr>
                <w:rFonts w:hint="eastAsia" w:ascii="宋体" w:hAnsi="宋体" w:cs="宋体"/>
                <w:spacing w:val="4"/>
                <w:szCs w:val="21"/>
              </w:rPr>
            </w:pPr>
            <w:r>
              <w:rPr>
                <w:rFonts w:hint="eastAsia" w:ascii="宋体" w:hAnsi="宋体" w:cs="宋体"/>
                <w:szCs w:val="21"/>
                <w:lang w:bidi="ar"/>
              </w:rPr>
              <w:t>采用低噪声设备、基础减震</w:t>
            </w:r>
          </w:p>
        </w:tc>
        <w:tc>
          <w:tcPr>
            <w:tcW w:w="697" w:type="pct"/>
            <w:gridSpan w:val="2"/>
            <w:vAlign w:val="center"/>
          </w:tcPr>
          <w:p w14:paraId="415067FF">
            <w:pPr>
              <w:adjustRightInd w:val="0"/>
              <w:snapToGrid w:val="0"/>
              <w:spacing w:line="300" w:lineRule="exact"/>
              <w:jc w:val="center"/>
              <w:rPr>
                <w:rFonts w:hint="eastAsia" w:ascii="宋体" w:hAnsi="宋体" w:cs="宋体"/>
                <w:spacing w:val="4"/>
                <w:szCs w:val="21"/>
              </w:rPr>
            </w:pPr>
            <w:r>
              <w:rPr>
                <w:rFonts w:hint="eastAsia" w:ascii="宋体" w:hAnsi="宋体" w:cs="宋体"/>
                <w:spacing w:val="4"/>
                <w:szCs w:val="21"/>
              </w:rPr>
              <w:t>1</w:t>
            </w:r>
          </w:p>
        </w:tc>
      </w:tr>
      <w:tr w14:paraId="5E3B4A08">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0B7788AE">
            <w:pPr>
              <w:pStyle w:val="286"/>
              <w:adjustRightInd w:val="0"/>
              <w:snapToGrid w:val="0"/>
              <w:spacing w:line="300" w:lineRule="exact"/>
              <w:rPr>
                <w:rFonts w:hint="eastAsia" w:cs="宋体"/>
                <w:sz w:val="21"/>
              </w:rPr>
            </w:pPr>
          </w:p>
        </w:tc>
        <w:tc>
          <w:tcPr>
            <w:tcW w:w="472" w:type="pct"/>
            <w:vMerge w:val="restart"/>
            <w:vAlign w:val="center"/>
          </w:tcPr>
          <w:p w14:paraId="03C33A74">
            <w:pPr>
              <w:adjustRightInd w:val="0"/>
              <w:snapToGrid w:val="0"/>
              <w:spacing w:line="300" w:lineRule="exact"/>
              <w:jc w:val="center"/>
              <w:rPr>
                <w:rFonts w:hint="eastAsia" w:ascii="宋体" w:hAnsi="宋体" w:cs="宋体"/>
                <w:spacing w:val="4"/>
                <w:szCs w:val="21"/>
                <w:lang w:bidi="ar"/>
              </w:rPr>
            </w:pPr>
            <w:r>
              <w:rPr>
                <w:rFonts w:hint="eastAsia" w:ascii="宋体" w:hAnsi="宋体" w:cs="宋体"/>
                <w:spacing w:val="4"/>
                <w:szCs w:val="21"/>
                <w:lang w:bidi="ar"/>
              </w:rPr>
              <w:t>固体</w:t>
            </w:r>
          </w:p>
          <w:p w14:paraId="73A6334D">
            <w:pPr>
              <w:adjustRightInd w:val="0"/>
              <w:snapToGrid w:val="0"/>
              <w:spacing w:line="300" w:lineRule="exact"/>
              <w:jc w:val="center"/>
              <w:rPr>
                <w:rFonts w:hint="eastAsia" w:ascii="宋体" w:hAnsi="宋体" w:cs="宋体"/>
                <w:spacing w:val="4"/>
                <w:szCs w:val="21"/>
                <w:lang w:bidi="ar"/>
              </w:rPr>
            </w:pPr>
            <w:r>
              <w:rPr>
                <w:rFonts w:hint="eastAsia" w:ascii="宋体" w:hAnsi="宋体" w:cs="宋体"/>
                <w:spacing w:val="4"/>
                <w:szCs w:val="21"/>
                <w:lang w:bidi="ar"/>
              </w:rPr>
              <w:t>废物</w:t>
            </w:r>
          </w:p>
        </w:tc>
        <w:tc>
          <w:tcPr>
            <w:tcW w:w="1044" w:type="pct"/>
            <w:vAlign w:val="center"/>
          </w:tcPr>
          <w:p w14:paraId="4A0B15E5">
            <w:pPr>
              <w:adjustRightInd w:val="0"/>
              <w:snapToGrid w:val="0"/>
              <w:spacing w:line="300" w:lineRule="exact"/>
              <w:jc w:val="center"/>
              <w:rPr>
                <w:rFonts w:hint="eastAsia" w:ascii="宋体" w:hAnsi="宋体" w:cs="宋体"/>
                <w:spacing w:val="4"/>
                <w:szCs w:val="21"/>
                <w:lang w:bidi="ar"/>
              </w:rPr>
            </w:pPr>
            <w:r>
              <w:rPr>
                <w:rFonts w:hint="eastAsia"/>
                <w:szCs w:val="21"/>
              </w:rPr>
              <w:t>清罐底泥、废润滑油、废润滑油桶、沾油废防渗材料及含油废抹布、劳保用品</w:t>
            </w:r>
          </w:p>
        </w:tc>
        <w:tc>
          <w:tcPr>
            <w:tcW w:w="2517" w:type="pct"/>
            <w:vAlign w:val="center"/>
          </w:tcPr>
          <w:p w14:paraId="2653D506">
            <w:pPr>
              <w:adjustRightInd w:val="0"/>
              <w:snapToGrid w:val="0"/>
              <w:spacing w:line="300" w:lineRule="exact"/>
              <w:jc w:val="center"/>
              <w:rPr>
                <w:rFonts w:hint="eastAsia" w:ascii="宋体" w:hAnsi="宋体" w:cs="宋体"/>
                <w:szCs w:val="21"/>
                <w:lang w:bidi="ar"/>
              </w:rPr>
            </w:pPr>
            <w:r>
              <w:rPr>
                <w:rFonts w:hint="eastAsia"/>
                <w:szCs w:val="21"/>
              </w:rPr>
              <w:t>集中收集后交由有相应危险废物处理资质的单位回收处置</w:t>
            </w:r>
          </w:p>
        </w:tc>
        <w:tc>
          <w:tcPr>
            <w:tcW w:w="697" w:type="pct"/>
            <w:gridSpan w:val="2"/>
            <w:vAlign w:val="center"/>
          </w:tcPr>
          <w:p w14:paraId="7920110E">
            <w:pPr>
              <w:adjustRightInd w:val="0"/>
              <w:snapToGrid w:val="0"/>
              <w:spacing w:line="300" w:lineRule="exact"/>
              <w:jc w:val="center"/>
              <w:rPr>
                <w:rFonts w:hint="eastAsia" w:ascii="宋体" w:hAnsi="宋体" w:cs="宋体"/>
                <w:spacing w:val="4"/>
                <w:szCs w:val="21"/>
                <w:lang w:bidi="ar"/>
              </w:rPr>
            </w:pPr>
            <w:r>
              <w:rPr>
                <w:rFonts w:hint="eastAsia" w:ascii="宋体" w:hAnsi="宋体" w:cs="宋体"/>
                <w:spacing w:val="4"/>
                <w:szCs w:val="21"/>
                <w:lang w:bidi="ar"/>
              </w:rPr>
              <w:t>3</w:t>
            </w:r>
          </w:p>
        </w:tc>
      </w:tr>
      <w:tr w14:paraId="619979F0">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77F4B4D8">
            <w:pPr>
              <w:pStyle w:val="286"/>
              <w:adjustRightInd w:val="0"/>
              <w:snapToGrid w:val="0"/>
              <w:spacing w:line="300" w:lineRule="exact"/>
              <w:rPr>
                <w:rFonts w:hint="eastAsia" w:cs="宋体"/>
                <w:sz w:val="21"/>
              </w:rPr>
            </w:pPr>
          </w:p>
        </w:tc>
        <w:tc>
          <w:tcPr>
            <w:tcW w:w="472" w:type="pct"/>
            <w:vMerge w:val="continue"/>
            <w:vAlign w:val="center"/>
          </w:tcPr>
          <w:p w14:paraId="01CAB557">
            <w:pPr>
              <w:adjustRightInd w:val="0"/>
              <w:snapToGrid w:val="0"/>
              <w:spacing w:line="300" w:lineRule="exact"/>
              <w:jc w:val="center"/>
              <w:rPr>
                <w:rFonts w:hint="eastAsia" w:ascii="宋体" w:hAnsi="宋体" w:cs="宋体"/>
                <w:spacing w:val="4"/>
                <w:szCs w:val="21"/>
                <w:lang w:bidi="ar"/>
              </w:rPr>
            </w:pPr>
          </w:p>
        </w:tc>
        <w:tc>
          <w:tcPr>
            <w:tcW w:w="1044" w:type="pct"/>
            <w:vAlign w:val="center"/>
          </w:tcPr>
          <w:p w14:paraId="589B6940">
            <w:pPr>
              <w:adjustRightInd w:val="0"/>
              <w:snapToGrid w:val="0"/>
              <w:spacing w:line="300" w:lineRule="exact"/>
              <w:jc w:val="center"/>
              <w:rPr>
                <w:szCs w:val="21"/>
              </w:rPr>
            </w:pPr>
            <w:r>
              <w:rPr>
                <w:rFonts w:hint="eastAsia"/>
                <w:szCs w:val="21"/>
              </w:rPr>
              <w:t>废药剂包装物</w:t>
            </w:r>
          </w:p>
        </w:tc>
        <w:tc>
          <w:tcPr>
            <w:tcW w:w="2517" w:type="pct"/>
            <w:vAlign w:val="center"/>
          </w:tcPr>
          <w:p w14:paraId="5D21A141">
            <w:pPr>
              <w:adjustRightInd w:val="0"/>
              <w:snapToGrid w:val="0"/>
              <w:spacing w:line="300" w:lineRule="exact"/>
              <w:jc w:val="center"/>
              <w:rPr>
                <w:szCs w:val="21"/>
              </w:rPr>
            </w:pPr>
            <w:r>
              <w:rPr>
                <w:rFonts w:hint="eastAsia"/>
                <w:szCs w:val="21"/>
              </w:rPr>
              <w:t>由厂家回收处置</w:t>
            </w:r>
          </w:p>
        </w:tc>
        <w:tc>
          <w:tcPr>
            <w:tcW w:w="697" w:type="pct"/>
            <w:gridSpan w:val="2"/>
            <w:vAlign w:val="center"/>
          </w:tcPr>
          <w:p w14:paraId="6E3425C2">
            <w:pPr>
              <w:adjustRightInd w:val="0"/>
              <w:snapToGrid w:val="0"/>
              <w:spacing w:line="300" w:lineRule="exact"/>
              <w:jc w:val="center"/>
              <w:rPr>
                <w:rFonts w:hint="eastAsia" w:ascii="宋体" w:hAnsi="宋体" w:cs="宋体"/>
                <w:spacing w:val="4"/>
                <w:szCs w:val="21"/>
                <w:lang w:bidi="ar"/>
              </w:rPr>
            </w:pPr>
            <w:r>
              <w:rPr>
                <w:rFonts w:hint="eastAsia" w:ascii="宋体" w:hAnsi="宋体" w:cs="宋体"/>
                <w:spacing w:val="4"/>
                <w:szCs w:val="21"/>
                <w:lang w:bidi="ar"/>
              </w:rPr>
              <w:t>1</w:t>
            </w:r>
          </w:p>
        </w:tc>
      </w:tr>
      <w:tr w14:paraId="2F59B41D">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restart"/>
            <w:vAlign w:val="center"/>
          </w:tcPr>
          <w:p w14:paraId="2394102A">
            <w:pPr>
              <w:pStyle w:val="286"/>
              <w:adjustRightInd w:val="0"/>
              <w:snapToGrid w:val="0"/>
              <w:spacing w:line="300" w:lineRule="exact"/>
              <w:rPr>
                <w:rFonts w:hint="eastAsia" w:cs="宋体"/>
                <w:sz w:val="21"/>
              </w:rPr>
            </w:pPr>
            <w:r>
              <w:rPr>
                <w:rFonts w:hint="eastAsia" w:cs="宋体"/>
                <w:sz w:val="21"/>
              </w:rPr>
              <w:t>退役期</w:t>
            </w:r>
          </w:p>
        </w:tc>
        <w:tc>
          <w:tcPr>
            <w:tcW w:w="472" w:type="pct"/>
            <w:tcBorders>
              <w:top w:val="single" w:color="auto" w:sz="4" w:space="0"/>
              <w:left w:val="single" w:color="auto" w:sz="6" w:space="0"/>
              <w:right w:val="single" w:color="auto" w:sz="4" w:space="0"/>
            </w:tcBorders>
            <w:vAlign w:val="center"/>
          </w:tcPr>
          <w:p w14:paraId="023CED62">
            <w:pPr>
              <w:pStyle w:val="286"/>
              <w:adjustRightInd w:val="0"/>
              <w:snapToGrid w:val="0"/>
              <w:spacing w:line="300" w:lineRule="exact"/>
              <w:rPr>
                <w:rFonts w:hint="eastAsia" w:cs="宋体"/>
                <w:sz w:val="21"/>
              </w:rPr>
            </w:pPr>
            <w:r>
              <w:rPr>
                <w:rFonts w:hint="eastAsia" w:cs="宋体"/>
                <w:sz w:val="21"/>
              </w:rPr>
              <w:t>固体</w:t>
            </w:r>
          </w:p>
          <w:p w14:paraId="766B7F12">
            <w:pPr>
              <w:pStyle w:val="286"/>
              <w:adjustRightInd w:val="0"/>
              <w:snapToGrid w:val="0"/>
              <w:spacing w:line="300" w:lineRule="exact"/>
              <w:rPr>
                <w:rFonts w:hint="eastAsia" w:cs="宋体"/>
                <w:sz w:val="21"/>
              </w:rPr>
            </w:pPr>
            <w:r>
              <w:rPr>
                <w:rFonts w:hint="eastAsia" w:cs="宋体"/>
                <w:sz w:val="21"/>
              </w:rPr>
              <w:t>废物</w:t>
            </w:r>
          </w:p>
        </w:tc>
        <w:tc>
          <w:tcPr>
            <w:tcW w:w="1044" w:type="pct"/>
            <w:tcBorders>
              <w:top w:val="single" w:color="auto" w:sz="4" w:space="0"/>
              <w:left w:val="single" w:color="auto" w:sz="6" w:space="0"/>
              <w:bottom w:val="single" w:color="auto" w:sz="4" w:space="0"/>
              <w:right w:val="single" w:color="auto" w:sz="4" w:space="0"/>
            </w:tcBorders>
            <w:vAlign w:val="center"/>
          </w:tcPr>
          <w:p w14:paraId="14F6D7C5">
            <w:pPr>
              <w:pStyle w:val="286"/>
              <w:adjustRightInd w:val="0"/>
              <w:snapToGrid w:val="0"/>
              <w:spacing w:line="300" w:lineRule="exact"/>
              <w:rPr>
                <w:rFonts w:hint="eastAsia" w:cs="宋体"/>
                <w:sz w:val="21"/>
              </w:rPr>
            </w:pPr>
            <w:r>
              <w:rPr>
                <w:rFonts w:hint="eastAsia" w:cs="宋体"/>
                <w:sz w:val="21"/>
              </w:rPr>
              <w:t>站场及管线拆除的建筑垃圾</w:t>
            </w:r>
          </w:p>
        </w:tc>
        <w:tc>
          <w:tcPr>
            <w:tcW w:w="2517" w:type="pct"/>
            <w:tcBorders>
              <w:top w:val="single" w:color="auto" w:sz="4" w:space="0"/>
              <w:left w:val="single" w:color="auto" w:sz="6" w:space="0"/>
              <w:bottom w:val="single" w:color="auto" w:sz="4" w:space="0"/>
              <w:right w:val="single" w:color="auto" w:sz="4" w:space="0"/>
            </w:tcBorders>
            <w:vAlign w:val="center"/>
          </w:tcPr>
          <w:p w14:paraId="5CC05F48">
            <w:pPr>
              <w:pStyle w:val="286"/>
              <w:adjustRightInd w:val="0"/>
              <w:snapToGrid w:val="0"/>
              <w:spacing w:line="300" w:lineRule="exact"/>
              <w:rPr>
                <w:rFonts w:hint="eastAsia" w:cs="宋体"/>
                <w:sz w:val="21"/>
              </w:rPr>
            </w:pPr>
            <w:r>
              <w:rPr>
                <w:rFonts w:hint="eastAsia" w:cs="宋体"/>
                <w:sz w:val="21"/>
              </w:rPr>
              <w:t>建筑垃圾清运至当地建筑垃圾填埋场</w:t>
            </w:r>
          </w:p>
        </w:tc>
        <w:tc>
          <w:tcPr>
            <w:tcW w:w="697" w:type="pct"/>
            <w:gridSpan w:val="2"/>
            <w:tcBorders>
              <w:top w:val="single" w:color="auto" w:sz="4" w:space="0"/>
              <w:left w:val="single" w:color="auto" w:sz="6" w:space="0"/>
              <w:bottom w:val="single" w:color="auto" w:sz="4" w:space="0"/>
            </w:tcBorders>
            <w:vAlign w:val="center"/>
          </w:tcPr>
          <w:p w14:paraId="5B142845">
            <w:pPr>
              <w:pStyle w:val="286"/>
              <w:adjustRightInd w:val="0"/>
              <w:snapToGrid w:val="0"/>
              <w:spacing w:line="300" w:lineRule="exact"/>
              <w:rPr>
                <w:rFonts w:hint="eastAsia" w:cs="宋体"/>
                <w:sz w:val="21"/>
              </w:rPr>
            </w:pPr>
            <w:r>
              <w:rPr>
                <w:rFonts w:hint="eastAsia" w:cs="宋体"/>
                <w:sz w:val="21"/>
              </w:rPr>
              <w:t>10</w:t>
            </w:r>
          </w:p>
        </w:tc>
      </w:tr>
      <w:tr w14:paraId="4470B55C">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28" w:type="dxa"/>
            <w:bottom w:w="0" w:type="dxa"/>
            <w:right w:w="28" w:type="dxa"/>
          </w:tblCellMar>
        </w:tblPrEx>
        <w:trPr>
          <w:trHeight w:val="340" w:hRule="atLeast"/>
          <w:jc w:val="center"/>
        </w:trPr>
        <w:tc>
          <w:tcPr>
            <w:tcW w:w="270" w:type="pct"/>
            <w:vMerge w:val="continue"/>
            <w:vAlign w:val="center"/>
          </w:tcPr>
          <w:p w14:paraId="1F5F763B">
            <w:pPr>
              <w:pStyle w:val="286"/>
              <w:adjustRightInd w:val="0"/>
              <w:snapToGrid w:val="0"/>
              <w:spacing w:line="300" w:lineRule="exact"/>
              <w:rPr>
                <w:rFonts w:hint="eastAsia" w:cs="宋体"/>
                <w:sz w:val="21"/>
              </w:rPr>
            </w:pPr>
          </w:p>
        </w:tc>
        <w:tc>
          <w:tcPr>
            <w:tcW w:w="472" w:type="pct"/>
            <w:tcBorders>
              <w:top w:val="single" w:color="auto" w:sz="4" w:space="0"/>
              <w:left w:val="single" w:color="auto" w:sz="6" w:space="0"/>
              <w:bottom w:val="single" w:color="auto" w:sz="4" w:space="0"/>
              <w:right w:val="single" w:color="auto" w:sz="4" w:space="0"/>
            </w:tcBorders>
            <w:vAlign w:val="center"/>
          </w:tcPr>
          <w:p w14:paraId="2C478A07">
            <w:pPr>
              <w:pStyle w:val="286"/>
              <w:adjustRightInd w:val="0"/>
              <w:snapToGrid w:val="0"/>
              <w:spacing w:line="300" w:lineRule="exact"/>
              <w:rPr>
                <w:rFonts w:hint="eastAsia" w:cs="宋体"/>
                <w:sz w:val="21"/>
              </w:rPr>
            </w:pPr>
            <w:r>
              <w:rPr>
                <w:rFonts w:hint="eastAsia" w:cs="宋体"/>
                <w:sz w:val="21"/>
              </w:rPr>
              <w:t>生态</w:t>
            </w:r>
          </w:p>
          <w:p w14:paraId="4F870B27">
            <w:pPr>
              <w:pStyle w:val="286"/>
              <w:adjustRightInd w:val="0"/>
              <w:snapToGrid w:val="0"/>
              <w:spacing w:line="300" w:lineRule="exact"/>
              <w:rPr>
                <w:rFonts w:hint="eastAsia" w:cs="宋体"/>
                <w:sz w:val="21"/>
              </w:rPr>
            </w:pPr>
            <w:r>
              <w:rPr>
                <w:rFonts w:hint="eastAsia" w:cs="宋体"/>
                <w:sz w:val="21"/>
              </w:rPr>
              <w:t>恢复</w:t>
            </w:r>
          </w:p>
        </w:tc>
        <w:tc>
          <w:tcPr>
            <w:tcW w:w="1044" w:type="pct"/>
            <w:tcBorders>
              <w:top w:val="single" w:color="auto" w:sz="4" w:space="0"/>
              <w:left w:val="single" w:color="auto" w:sz="6" w:space="0"/>
              <w:bottom w:val="single" w:color="auto" w:sz="4" w:space="0"/>
              <w:right w:val="single" w:color="auto" w:sz="4" w:space="0"/>
            </w:tcBorders>
            <w:vAlign w:val="center"/>
          </w:tcPr>
          <w:p w14:paraId="0AC3C47E">
            <w:pPr>
              <w:pStyle w:val="286"/>
              <w:adjustRightInd w:val="0"/>
              <w:snapToGrid w:val="0"/>
              <w:spacing w:line="300" w:lineRule="exact"/>
              <w:rPr>
                <w:rFonts w:hint="eastAsia" w:cs="宋体"/>
                <w:sz w:val="21"/>
              </w:rPr>
            </w:pPr>
            <w:r>
              <w:rPr>
                <w:rFonts w:hint="eastAsia" w:cs="宋体"/>
                <w:sz w:val="21"/>
              </w:rPr>
              <w:t>临时占地和永久占地</w:t>
            </w:r>
          </w:p>
        </w:tc>
        <w:tc>
          <w:tcPr>
            <w:tcW w:w="2517" w:type="pct"/>
            <w:tcBorders>
              <w:top w:val="single" w:color="auto" w:sz="4" w:space="0"/>
              <w:left w:val="single" w:color="auto" w:sz="6" w:space="0"/>
              <w:bottom w:val="single" w:color="auto" w:sz="4" w:space="0"/>
              <w:right w:val="single" w:color="auto" w:sz="4" w:space="0"/>
            </w:tcBorders>
            <w:vAlign w:val="center"/>
          </w:tcPr>
          <w:p w14:paraId="1355C9C7">
            <w:pPr>
              <w:pStyle w:val="286"/>
              <w:adjustRightInd w:val="0"/>
              <w:snapToGrid w:val="0"/>
              <w:spacing w:line="300" w:lineRule="exact"/>
              <w:rPr>
                <w:rFonts w:hint="eastAsia" w:cs="宋体"/>
                <w:sz w:val="21"/>
              </w:rPr>
            </w:pPr>
            <w:r>
              <w:rPr>
                <w:rFonts w:hint="eastAsia" w:cs="宋体"/>
                <w:sz w:val="21"/>
              </w:rPr>
              <w:t>完工后迹地清理并平整压实、施工临时占地和永久占地释放后植被和土壤的恢复</w:t>
            </w:r>
          </w:p>
        </w:tc>
        <w:tc>
          <w:tcPr>
            <w:tcW w:w="697" w:type="pct"/>
            <w:gridSpan w:val="2"/>
            <w:tcBorders>
              <w:top w:val="single" w:color="auto" w:sz="4" w:space="0"/>
              <w:left w:val="single" w:color="auto" w:sz="6" w:space="0"/>
              <w:bottom w:val="single" w:color="auto" w:sz="4" w:space="0"/>
            </w:tcBorders>
            <w:vAlign w:val="center"/>
          </w:tcPr>
          <w:p w14:paraId="5D2A8D04">
            <w:pPr>
              <w:pStyle w:val="286"/>
              <w:adjustRightInd w:val="0"/>
              <w:snapToGrid w:val="0"/>
              <w:spacing w:line="300" w:lineRule="exact"/>
              <w:rPr>
                <w:rFonts w:hint="eastAsia" w:cs="宋体"/>
                <w:sz w:val="21"/>
              </w:rPr>
            </w:pPr>
            <w:r>
              <w:rPr>
                <w:rFonts w:hint="eastAsia" w:cs="宋体"/>
                <w:sz w:val="21"/>
              </w:rPr>
              <w:t>5</w:t>
            </w:r>
          </w:p>
        </w:tc>
      </w:tr>
      <w:tr w14:paraId="56822A1E">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gridAfter w:val="1"/>
          <w:wAfter w:w="11" w:type="pct"/>
          <w:trHeight w:val="340" w:hRule="atLeast"/>
          <w:jc w:val="center"/>
        </w:trPr>
        <w:tc>
          <w:tcPr>
            <w:tcW w:w="742" w:type="pct"/>
            <w:gridSpan w:val="2"/>
            <w:vMerge w:val="restart"/>
            <w:vAlign w:val="center"/>
          </w:tcPr>
          <w:p w14:paraId="32EA5B45">
            <w:pPr>
              <w:pStyle w:val="286"/>
              <w:adjustRightInd w:val="0"/>
              <w:snapToGrid w:val="0"/>
              <w:spacing w:line="300" w:lineRule="exact"/>
              <w:rPr>
                <w:rFonts w:hint="eastAsia" w:cs="宋体"/>
                <w:sz w:val="21"/>
              </w:rPr>
            </w:pPr>
            <w:r>
              <w:rPr>
                <w:rFonts w:hint="eastAsia" w:cs="宋体"/>
                <w:sz w:val="21"/>
              </w:rPr>
              <w:t>环境管理</w:t>
            </w:r>
          </w:p>
        </w:tc>
        <w:tc>
          <w:tcPr>
            <w:tcW w:w="1044" w:type="pct"/>
            <w:vAlign w:val="center"/>
          </w:tcPr>
          <w:p w14:paraId="63BC3F87">
            <w:pPr>
              <w:pStyle w:val="286"/>
              <w:adjustRightInd w:val="0"/>
              <w:snapToGrid w:val="0"/>
              <w:spacing w:line="300" w:lineRule="exact"/>
              <w:rPr>
                <w:rFonts w:hint="eastAsia" w:cs="宋体"/>
                <w:sz w:val="21"/>
              </w:rPr>
            </w:pPr>
            <w:r>
              <w:rPr>
                <w:rFonts w:hint="eastAsia" w:cs="宋体"/>
                <w:sz w:val="21"/>
              </w:rPr>
              <w:t>环境监理</w:t>
            </w:r>
          </w:p>
        </w:tc>
        <w:tc>
          <w:tcPr>
            <w:tcW w:w="2517" w:type="pct"/>
            <w:vAlign w:val="center"/>
          </w:tcPr>
          <w:p w14:paraId="47DE1999">
            <w:pPr>
              <w:pStyle w:val="286"/>
              <w:adjustRightInd w:val="0"/>
              <w:snapToGrid w:val="0"/>
              <w:spacing w:line="300" w:lineRule="exact"/>
              <w:rPr>
                <w:rFonts w:hint="eastAsia" w:cs="宋体"/>
                <w:sz w:val="21"/>
              </w:rPr>
            </w:pPr>
            <w:r>
              <w:rPr>
                <w:rFonts w:hint="eastAsia" w:cs="宋体"/>
                <w:sz w:val="21"/>
              </w:rPr>
              <w:t>防渗措施落实情况；严格监督各项环保措施落实情况，确保各项污染防治措施有效实施；</w:t>
            </w:r>
          </w:p>
        </w:tc>
        <w:tc>
          <w:tcPr>
            <w:tcW w:w="686" w:type="pct"/>
            <w:vAlign w:val="center"/>
          </w:tcPr>
          <w:p w14:paraId="2E88F094">
            <w:pPr>
              <w:pStyle w:val="286"/>
              <w:adjustRightInd w:val="0"/>
              <w:snapToGrid w:val="0"/>
              <w:spacing w:line="300" w:lineRule="exact"/>
              <w:rPr>
                <w:rFonts w:hint="eastAsia" w:cs="宋体"/>
                <w:sz w:val="21"/>
              </w:rPr>
            </w:pPr>
            <w:r>
              <w:rPr>
                <w:rFonts w:hint="eastAsia" w:cs="宋体"/>
                <w:sz w:val="21"/>
              </w:rPr>
              <w:t>5</w:t>
            </w:r>
          </w:p>
        </w:tc>
      </w:tr>
      <w:tr w14:paraId="21431A0E">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gridAfter w:val="1"/>
          <w:wAfter w:w="11" w:type="pct"/>
          <w:trHeight w:val="340" w:hRule="atLeast"/>
          <w:jc w:val="center"/>
        </w:trPr>
        <w:tc>
          <w:tcPr>
            <w:tcW w:w="742" w:type="pct"/>
            <w:gridSpan w:val="2"/>
            <w:vMerge w:val="continue"/>
            <w:vAlign w:val="center"/>
          </w:tcPr>
          <w:p w14:paraId="1B0F88FB">
            <w:pPr>
              <w:pStyle w:val="286"/>
              <w:adjustRightInd w:val="0"/>
              <w:snapToGrid w:val="0"/>
              <w:spacing w:line="300" w:lineRule="exact"/>
              <w:rPr>
                <w:rFonts w:hint="eastAsia" w:cs="宋体"/>
                <w:sz w:val="21"/>
              </w:rPr>
            </w:pPr>
          </w:p>
        </w:tc>
        <w:tc>
          <w:tcPr>
            <w:tcW w:w="1044" w:type="pct"/>
            <w:vAlign w:val="center"/>
          </w:tcPr>
          <w:p w14:paraId="3E06BCC8">
            <w:pPr>
              <w:pStyle w:val="286"/>
              <w:adjustRightInd w:val="0"/>
              <w:snapToGrid w:val="0"/>
              <w:spacing w:line="300" w:lineRule="exact"/>
              <w:rPr>
                <w:rFonts w:hint="eastAsia" w:cs="宋体"/>
                <w:sz w:val="21"/>
              </w:rPr>
            </w:pPr>
            <w:r>
              <w:rPr>
                <w:rFonts w:hint="eastAsia" w:cs="宋体"/>
                <w:sz w:val="21"/>
              </w:rPr>
              <w:t>环境监测</w:t>
            </w:r>
          </w:p>
        </w:tc>
        <w:tc>
          <w:tcPr>
            <w:tcW w:w="2517" w:type="pct"/>
            <w:vAlign w:val="center"/>
          </w:tcPr>
          <w:p w14:paraId="238515F5">
            <w:pPr>
              <w:pStyle w:val="286"/>
              <w:adjustRightInd w:val="0"/>
              <w:snapToGrid w:val="0"/>
              <w:spacing w:line="300" w:lineRule="exact"/>
              <w:rPr>
                <w:rFonts w:hint="eastAsia" w:cs="宋体"/>
                <w:sz w:val="21"/>
              </w:rPr>
            </w:pPr>
            <w:r>
              <w:rPr>
                <w:rFonts w:hint="eastAsia" w:cs="宋体"/>
                <w:sz w:val="21"/>
              </w:rPr>
              <w:t>土壤和地下水跟踪监测</w:t>
            </w:r>
          </w:p>
        </w:tc>
        <w:tc>
          <w:tcPr>
            <w:tcW w:w="686" w:type="pct"/>
            <w:vAlign w:val="center"/>
          </w:tcPr>
          <w:p w14:paraId="43A80E8D">
            <w:pPr>
              <w:pStyle w:val="286"/>
              <w:adjustRightInd w:val="0"/>
              <w:snapToGrid w:val="0"/>
              <w:spacing w:line="300" w:lineRule="exact"/>
              <w:rPr>
                <w:rFonts w:hint="eastAsia" w:cs="宋体"/>
                <w:sz w:val="21"/>
              </w:rPr>
            </w:pPr>
            <w:r>
              <w:rPr>
                <w:rFonts w:hint="eastAsia" w:cs="宋体"/>
                <w:sz w:val="21"/>
              </w:rPr>
              <w:t>10</w:t>
            </w:r>
          </w:p>
        </w:tc>
      </w:tr>
      <w:tr w14:paraId="44CBA2D2">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gridAfter w:val="1"/>
          <w:wAfter w:w="11" w:type="pct"/>
          <w:trHeight w:val="340" w:hRule="atLeast"/>
          <w:jc w:val="center"/>
        </w:trPr>
        <w:tc>
          <w:tcPr>
            <w:tcW w:w="742" w:type="pct"/>
            <w:gridSpan w:val="2"/>
            <w:vAlign w:val="center"/>
          </w:tcPr>
          <w:p w14:paraId="5A969E42">
            <w:pPr>
              <w:pStyle w:val="286"/>
              <w:adjustRightInd w:val="0"/>
              <w:snapToGrid w:val="0"/>
              <w:spacing w:line="300" w:lineRule="exact"/>
              <w:rPr>
                <w:rFonts w:hint="eastAsia" w:cs="宋体"/>
                <w:sz w:val="21"/>
              </w:rPr>
            </w:pPr>
            <w:r>
              <w:rPr>
                <w:rFonts w:hint="eastAsia" w:cs="宋体"/>
                <w:sz w:val="21"/>
              </w:rPr>
              <w:t>地下水保护措施</w:t>
            </w:r>
          </w:p>
        </w:tc>
        <w:tc>
          <w:tcPr>
            <w:tcW w:w="3561" w:type="pct"/>
            <w:gridSpan w:val="2"/>
            <w:vAlign w:val="center"/>
          </w:tcPr>
          <w:p w14:paraId="5F423041">
            <w:pPr>
              <w:pStyle w:val="286"/>
              <w:adjustRightInd w:val="0"/>
              <w:snapToGrid w:val="0"/>
              <w:spacing w:line="300" w:lineRule="exact"/>
              <w:rPr>
                <w:rFonts w:hint="eastAsia" w:cs="宋体"/>
                <w:sz w:val="21"/>
              </w:rPr>
            </w:pPr>
            <w:r>
              <w:rPr>
                <w:rFonts w:hint="eastAsia" w:cs="宋体"/>
                <w:sz w:val="21"/>
              </w:rPr>
              <w:t>井场的防渗措施</w:t>
            </w:r>
          </w:p>
        </w:tc>
        <w:tc>
          <w:tcPr>
            <w:tcW w:w="686" w:type="pct"/>
            <w:vAlign w:val="center"/>
          </w:tcPr>
          <w:p w14:paraId="09420522">
            <w:pPr>
              <w:pStyle w:val="286"/>
              <w:adjustRightInd w:val="0"/>
              <w:snapToGrid w:val="0"/>
              <w:spacing w:line="300" w:lineRule="exact"/>
              <w:rPr>
                <w:rFonts w:hint="eastAsia" w:cs="宋体"/>
                <w:sz w:val="21"/>
              </w:rPr>
            </w:pPr>
            <w:r>
              <w:rPr>
                <w:rFonts w:hint="eastAsia" w:cs="宋体"/>
                <w:sz w:val="21"/>
              </w:rPr>
              <w:t>2</w:t>
            </w:r>
          </w:p>
        </w:tc>
      </w:tr>
      <w:bookmarkEnd w:id="745"/>
      <w:tr w14:paraId="507365C8">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gridAfter w:val="1"/>
          <w:wAfter w:w="11" w:type="pct"/>
          <w:trHeight w:val="340" w:hRule="atLeast"/>
          <w:jc w:val="center"/>
        </w:trPr>
        <w:tc>
          <w:tcPr>
            <w:tcW w:w="742" w:type="pct"/>
            <w:gridSpan w:val="2"/>
            <w:vAlign w:val="center"/>
          </w:tcPr>
          <w:p w14:paraId="2114BDDD">
            <w:pPr>
              <w:pStyle w:val="286"/>
              <w:adjustRightInd w:val="0"/>
              <w:snapToGrid w:val="0"/>
              <w:spacing w:line="300" w:lineRule="exact"/>
              <w:rPr>
                <w:rFonts w:hint="eastAsia" w:cs="宋体"/>
                <w:sz w:val="21"/>
              </w:rPr>
            </w:pPr>
            <w:r>
              <w:rPr>
                <w:rFonts w:hint="eastAsia" w:cs="宋体"/>
                <w:sz w:val="21"/>
              </w:rPr>
              <w:t>合计</w:t>
            </w:r>
          </w:p>
        </w:tc>
        <w:tc>
          <w:tcPr>
            <w:tcW w:w="3561" w:type="pct"/>
            <w:gridSpan w:val="2"/>
            <w:vAlign w:val="center"/>
          </w:tcPr>
          <w:p w14:paraId="33C4852D">
            <w:pPr>
              <w:pStyle w:val="286"/>
              <w:adjustRightInd w:val="0"/>
              <w:snapToGrid w:val="0"/>
              <w:spacing w:line="300" w:lineRule="exact"/>
              <w:rPr>
                <w:rFonts w:hint="eastAsia" w:cs="宋体"/>
                <w:sz w:val="21"/>
              </w:rPr>
            </w:pPr>
            <w:r>
              <w:rPr>
                <w:rFonts w:hint="eastAsia" w:cs="宋体"/>
                <w:sz w:val="21"/>
              </w:rPr>
              <w:t>/</w:t>
            </w:r>
          </w:p>
        </w:tc>
        <w:tc>
          <w:tcPr>
            <w:tcW w:w="686" w:type="pct"/>
            <w:vAlign w:val="center"/>
          </w:tcPr>
          <w:p w14:paraId="1535EA8A">
            <w:pPr>
              <w:pStyle w:val="286"/>
              <w:adjustRightInd w:val="0"/>
              <w:snapToGrid w:val="0"/>
              <w:spacing w:line="300" w:lineRule="exact"/>
              <w:rPr>
                <w:rFonts w:hint="eastAsia" w:cs="宋体"/>
                <w:sz w:val="21"/>
              </w:rPr>
            </w:pPr>
            <w:r>
              <w:rPr>
                <w:rFonts w:hint="eastAsia" w:cs="宋体"/>
                <w:sz w:val="21"/>
              </w:rPr>
              <w:t>459</w:t>
            </w:r>
          </w:p>
        </w:tc>
      </w:tr>
      <w:bookmarkEnd w:id="742"/>
    </w:tbl>
    <w:p w14:paraId="2D61BEC5">
      <w:pPr>
        <w:pStyle w:val="3"/>
        <w:rPr>
          <w:rFonts w:hint="eastAsia"/>
        </w:rPr>
      </w:pPr>
      <w:r>
        <w:br w:type="page"/>
      </w:r>
      <w:bookmarkEnd w:id="743"/>
      <w:bookmarkStart w:id="746" w:name="_Toc468307959"/>
      <w:bookmarkStart w:id="747" w:name="_Toc471933676"/>
      <w:bookmarkStart w:id="748" w:name="_Toc160382108"/>
      <w:bookmarkStart w:id="749" w:name="_Toc459026608"/>
      <w:r>
        <w:rPr>
          <w:rFonts w:hint="eastAsia"/>
        </w:rPr>
        <w:t>环境管理与监测</w:t>
      </w:r>
      <w:bookmarkEnd w:id="746"/>
      <w:bookmarkEnd w:id="747"/>
      <w:r>
        <w:rPr>
          <w:rFonts w:hint="eastAsia"/>
        </w:rPr>
        <w:t>计划</w:t>
      </w:r>
      <w:bookmarkEnd w:id="748"/>
    </w:p>
    <w:p w14:paraId="6D6E5FEC">
      <w:pPr>
        <w:pStyle w:val="2"/>
        <w:rPr>
          <w:rFonts w:hint="eastAsia"/>
        </w:rPr>
      </w:pPr>
      <w:bookmarkStart w:id="750" w:name="_Toc160382109"/>
      <w:bookmarkStart w:id="751" w:name="_Toc471933677"/>
      <w:bookmarkStart w:id="752" w:name="_Toc468307960"/>
      <w:r>
        <w:rPr>
          <w:rFonts w:hint="eastAsia"/>
        </w:rPr>
        <w:t>环境</w:t>
      </w:r>
      <w:bookmarkEnd w:id="749"/>
      <w:r>
        <w:t>管理</w:t>
      </w:r>
      <w:r>
        <w:rPr>
          <w:rFonts w:hint="eastAsia"/>
        </w:rPr>
        <w:t>机构</w:t>
      </w:r>
      <w:bookmarkEnd w:id="750"/>
      <w:bookmarkEnd w:id="751"/>
      <w:bookmarkEnd w:id="752"/>
    </w:p>
    <w:p w14:paraId="628E71D7">
      <w:pPr>
        <w:pStyle w:val="117"/>
        <w:ind w:firstLine="480"/>
        <w:rPr>
          <w:rFonts w:hint="eastAsia"/>
          <w:kern w:val="0"/>
        </w:rPr>
      </w:pPr>
      <w:r>
        <w:rPr>
          <w:rFonts w:hint="eastAsia"/>
          <w:kern w:val="0"/>
        </w:rPr>
        <w:t>本项目依托吉庆油田作业区在环境管理上建立的健康、安全与环境管理体系（</w:t>
      </w:r>
      <w:r>
        <w:rPr>
          <w:kern w:val="0"/>
        </w:rPr>
        <w:t>HSE</w:t>
      </w:r>
      <w:r>
        <w:rPr>
          <w:rFonts w:hint="eastAsia"/>
          <w:kern w:val="0"/>
        </w:rPr>
        <w:t>管理体系），减少建设期和运营期对周围环境的影响，落实各项环保和安全措施，作业区编制有《吉庆油田作业区质量、健康、安全与环境管理体系管理手册》（版本号A/O，2020年6月8日实施）。</w:t>
      </w:r>
    </w:p>
    <w:p w14:paraId="0542FCA0">
      <w:pPr>
        <w:pStyle w:val="117"/>
        <w:ind w:firstLine="480"/>
        <w:rPr>
          <w:rFonts w:hint="eastAsia"/>
          <w:kern w:val="0"/>
        </w:rPr>
      </w:pPr>
      <w:r>
        <w:rPr>
          <w:rFonts w:hint="eastAsia"/>
          <w:kern w:val="0"/>
        </w:rPr>
        <w:t>作业区在环境管理机构设置上实行逐级负责制，作业区管理体系最高管理者负责制定环境方针和环境目标，为环境管理方案的执行提供必要的支持和物质保障等；日常环境管理工作由安全环保科负责，在环境管理中行使职权，监督体系的建立和实施等；作业区安全环保科负责环境标准的贯彻实施，确保所有有关管理体系方面要求和管理文件能正确、完全的执行；各单位安全环保负责人负责解决油田开发过程中出现的各类环境问题以及发生污染事故的处理等。</w:t>
      </w:r>
    </w:p>
    <w:p w14:paraId="4D7A92E9">
      <w:pPr>
        <w:pStyle w:val="2"/>
        <w:rPr>
          <w:rFonts w:hint="eastAsia"/>
        </w:rPr>
      </w:pPr>
      <w:bookmarkStart w:id="753" w:name="_Toc459026609"/>
      <w:bookmarkStart w:id="754" w:name="_Toc468307961"/>
      <w:bookmarkStart w:id="755" w:name="_Toc471933678"/>
      <w:bookmarkStart w:id="756" w:name="_Toc160382110"/>
      <w:r>
        <w:rPr>
          <w:rFonts w:hint="eastAsia"/>
        </w:rPr>
        <w:t>生产区</w:t>
      </w:r>
      <w:r>
        <w:t>环境管理</w:t>
      </w:r>
      <w:bookmarkEnd w:id="753"/>
      <w:bookmarkEnd w:id="754"/>
      <w:bookmarkEnd w:id="755"/>
      <w:bookmarkEnd w:id="756"/>
    </w:p>
    <w:p w14:paraId="10B58E63">
      <w:pPr>
        <w:pStyle w:val="4"/>
        <w:rPr>
          <w:rFonts w:hint="eastAsia"/>
        </w:rPr>
      </w:pPr>
      <w:r>
        <w:rPr>
          <w:rFonts w:hint="eastAsia"/>
        </w:rPr>
        <w:t>施工期环境</w:t>
      </w:r>
      <w:r>
        <w:t>管理</w:t>
      </w:r>
    </w:p>
    <w:p w14:paraId="2024225D">
      <w:pPr>
        <w:pStyle w:val="117"/>
        <w:ind w:firstLine="480"/>
        <w:rPr>
          <w:rStyle w:val="233"/>
          <w:rFonts w:hint="eastAsia"/>
        </w:rPr>
      </w:pPr>
      <w:r>
        <w:rPr>
          <w:rFonts w:hint="eastAsia"/>
        </w:rPr>
        <w:t>建设单位在施工期应加强对施工单位环境保护工作的监督与管理，施工单位应遵守相关环境保护法律法规，并严格落实本报告以及环评批复中提出的施工期环境保护要求；建立环境保护档案，对施工期采取的环境保护工作进行记录，保留施工前后施工区域的影像资料，便于建设单位进行监督检查。</w:t>
      </w:r>
      <w:r>
        <w:rPr>
          <w:rFonts w:hint="eastAsia" w:cs="宋体"/>
          <w:lang w:bidi="ar"/>
        </w:rPr>
        <w:t>施工期相关的施工期环境保护行动计划</w:t>
      </w:r>
      <w:r>
        <w:rPr>
          <w:rStyle w:val="233"/>
          <w:rFonts w:hint="eastAsia"/>
        </w:rPr>
        <w:t>见</w:t>
      </w:r>
      <w:r>
        <w:rPr>
          <w:rFonts w:hint="eastAsia"/>
        </w:rPr>
        <w:t>表</w:t>
      </w:r>
      <w:r>
        <w:t>7.2</w:t>
      </w:r>
      <w:r>
        <w:rPr>
          <w:rFonts w:hint="eastAsia"/>
        </w:rPr>
        <w:t>-</w:t>
      </w:r>
      <w:r>
        <w:t>1</w:t>
      </w:r>
      <w:r>
        <w:rPr>
          <w:rStyle w:val="233"/>
          <w:rFonts w:hint="eastAsia"/>
        </w:rPr>
        <w:t>。</w:t>
      </w:r>
    </w:p>
    <w:p w14:paraId="25471EAE">
      <w:pPr>
        <w:pStyle w:val="15"/>
        <w:rPr>
          <w:rFonts w:hint="eastAsia"/>
        </w:rPr>
      </w:pPr>
      <w:bookmarkStart w:id="757" w:name="_Ref468827344"/>
      <w:r>
        <w:t>表</w:t>
      </w:r>
      <w:bookmarkEnd w:id="757"/>
      <w:r>
        <w:t>7.2-1</w:t>
      </w:r>
      <w:r>
        <w:rPr>
          <w:rFonts w:hint="eastAsia"/>
        </w:rPr>
        <w:t xml:space="preserve">  </w:t>
      </w:r>
      <w:bookmarkStart w:id="758" w:name="_Hlk33482327"/>
      <w:r>
        <w:rPr>
          <w:rFonts w:hint="eastAsia"/>
        </w:rPr>
        <w:t>施工期</w:t>
      </w:r>
      <w:r>
        <w:t>环境保护行动计划</w:t>
      </w:r>
    </w:p>
    <w:bookmarkEnd w:id="758"/>
    <w:tbl>
      <w:tblPr>
        <w:tblStyle w:val="51"/>
        <w:tblW w:w="8900"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85" w:type="dxa"/>
          <w:bottom w:w="0" w:type="dxa"/>
          <w:right w:w="85" w:type="dxa"/>
        </w:tblCellMar>
      </w:tblPr>
      <w:tblGrid>
        <w:gridCol w:w="631"/>
        <w:gridCol w:w="645"/>
        <w:gridCol w:w="5884"/>
        <w:gridCol w:w="722"/>
        <w:gridCol w:w="1018"/>
      </w:tblGrid>
      <w:tr w14:paraId="403702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tblHeader/>
          <w:jc w:val="center"/>
        </w:trPr>
        <w:tc>
          <w:tcPr>
            <w:tcW w:w="631" w:type="dxa"/>
            <w:vAlign w:val="center"/>
          </w:tcPr>
          <w:p w14:paraId="3470CB55">
            <w:pPr>
              <w:pStyle w:val="286"/>
              <w:spacing w:line="280" w:lineRule="exact"/>
              <w:rPr>
                <w:rFonts w:hint="eastAsia" w:cs="Arial"/>
                <w:kern w:val="2"/>
                <w:sz w:val="21"/>
              </w:rPr>
            </w:pPr>
            <w:r>
              <w:rPr>
                <w:rFonts w:hint="eastAsia" w:cs="Arial"/>
                <w:kern w:val="2"/>
                <w:sz w:val="21"/>
              </w:rPr>
              <w:t>序号</w:t>
            </w:r>
          </w:p>
        </w:tc>
        <w:tc>
          <w:tcPr>
            <w:tcW w:w="645" w:type="dxa"/>
            <w:vAlign w:val="center"/>
          </w:tcPr>
          <w:p w14:paraId="663558B7">
            <w:pPr>
              <w:pStyle w:val="286"/>
              <w:spacing w:line="280" w:lineRule="exact"/>
              <w:rPr>
                <w:rFonts w:hint="eastAsia" w:cs="Arial"/>
                <w:kern w:val="2"/>
                <w:sz w:val="21"/>
              </w:rPr>
            </w:pPr>
            <w:r>
              <w:rPr>
                <w:rFonts w:hint="eastAsia" w:cs="Arial"/>
                <w:kern w:val="2"/>
                <w:sz w:val="21"/>
              </w:rPr>
              <w:t>影响</w:t>
            </w:r>
          </w:p>
          <w:p w14:paraId="27994058">
            <w:pPr>
              <w:pStyle w:val="286"/>
              <w:spacing w:line="280" w:lineRule="exact"/>
              <w:rPr>
                <w:rFonts w:hint="eastAsia" w:cs="Arial"/>
                <w:kern w:val="2"/>
                <w:sz w:val="21"/>
              </w:rPr>
            </w:pPr>
            <w:r>
              <w:rPr>
                <w:rFonts w:hint="eastAsia" w:cs="Arial"/>
                <w:kern w:val="2"/>
                <w:sz w:val="21"/>
              </w:rPr>
              <w:t>因素</w:t>
            </w:r>
          </w:p>
        </w:tc>
        <w:tc>
          <w:tcPr>
            <w:tcW w:w="5884" w:type="dxa"/>
            <w:vAlign w:val="center"/>
          </w:tcPr>
          <w:p w14:paraId="3D463DF8">
            <w:pPr>
              <w:pStyle w:val="286"/>
              <w:spacing w:line="280" w:lineRule="exact"/>
              <w:rPr>
                <w:rFonts w:hint="eastAsia" w:cs="Arial"/>
                <w:kern w:val="2"/>
                <w:sz w:val="21"/>
              </w:rPr>
            </w:pPr>
            <w:r>
              <w:rPr>
                <w:rFonts w:hint="eastAsia" w:cs="Arial"/>
                <w:kern w:val="2"/>
                <w:sz w:val="21"/>
              </w:rPr>
              <w:t>环保措施</w:t>
            </w:r>
          </w:p>
        </w:tc>
        <w:tc>
          <w:tcPr>
            <w:tcW w:w="722" w:type="dxa"/>
            <w:vAlign w:val="center"/>
          </w:tcPr>
          <w:p w14:paraId="4AC4304E">
            <w:pPr>
              <w:pStyle w:val="286"/>
              <w:spacing w:line="280" w:lineRule="exact"/>
              <w:rPr>
                <w:rFonts w:hint="eastAsia" w:cs="Arial"/>
                <w:kern w:val="2"/>
                <w:sz w:val="21"/>
              </w:rPr>
            </w:pPr>
            <w:r>
              <w:rPr>
                <w:rFonts w:hint="eastAsia" w:cs="Arial"/>
                <w:kern w:val="2"/>
                <w:sz w:val="21"/>
              </w:rPr>
              <w:t>实施</w:t>
            </w:r>
          </w:p>
          <w:p w14:paraId="637DF8AD">
            <w:pPr>
              <w:pStyle w:val="286"/>
              <w:spacing w:line="280" w:lineRule="exact"/>
              <w:rPr>
                <w:rFonts w:hint="eastAsia" w:cs="Arial"/>
                <w:kern w:val="2"/>
                <w:sz w:val="21"/>
              </w:rPr>
            </w:pPr>
            <w:r>
              <w:rPr>
                <w:rFonts w:hint="eastAsia" w:cs="Arial"/>
                <w:kern w:val="2"/>
                <w:sz w:val="21"/>
              </w:rPr>
              <w:t>单位</w:t>
            </w:r>
          </w:p>
        </w:tc>
        <w:tc>
          <w:tcPr>
            <w:tcW w:w="1018" w:type="dxa"/>
            <w:vAlign w:val="center"/>
          </w:tcPr>
          <w:p w14:paraId="72B9E49A">
            <w:pPr>
              <w:pStyle w:val="286"/>
              <w:spacing w:line="280" w:lineRule="exact"/>
              <w:rPr>
                <w:rFonts w:hint="eastAsia" w:cs="Arial"/>
                <w:kern w:val="2"/>
                <w:sz w:val="21"/>
              </w:rPr>
            </w:pPr>
            <w:r>
              <w:rPr>
                <w:rFonts w:hint="eastAsia" w:cs="Arial"/>
                <w:kern w:val="2"/>
                <w:sz w:val="21"/>
              </w:rPr>
              <w:t>监督</w:t>
            </w:r>
          </w:p>
          <w:p w14:paraId="6083ED64">
            <w:pPr>
              <w:pStyle w:val="286"/>
              <w:spacing w:line="280" w:lineRule="exact"/>
              <w:rPr>
                <w:rFonts w:hint="eastAsia" w:cs="Arial"/>
                <w:kern w:val="2"/>
                <w:sz w:val="21"/>
              </w:rPr>
            </w:pPr>
            <w:r>
              <w:rPr>
                <w:rFonts w:hint="eastAsia" w:cs="Arial"/>
                <w:kern w:val="2"/>
                <w:sz w:val="21"/>
              </w:rPr>
              <w:t>单位</w:t>
            </w:r>
          </w:p>
        </w:tc>
      </w:tr>
      <w:tr w14:paraId="1ED2C0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1967B4EE">
            <w:pPr>
              <w:pStyle w:val="286"/>
              <w:spacing w:line="280" w:lineRule="exact"/>
              <w:rPr>
                <w:rFonts w:hint="eastAsia" w:cs="Arial"/>
                <w:kern w:val="2"/>
                <w:sz w:val="21"/>
              </w:rPr>
            </w:pPr>
            <w:r>
              <w:rPr>
                <w:rFonts w:hint="eastAsia" w:cs="Arial"/>
                <w:kern w:val="2"/>
                <w:sz w:val="21"/>
              </w:rPr>
              <w:t>1</w:t>
            </w:r>
          </w:p>
        </w:tc>
        <w:tc>
          <w:tcPr>
            <w:tcW w:w="645" w:type="dxa"/>
            <w:vAlign w:val="center"/>
          </w:tcPr>
          <w:p w14:paraId="3A94CC6D">
            <w:pPr>
              <w:pStyle w:val="286"/>
              <w:spacing w:line="280" w:lineRule="exact"/>
              <w:rPr>
                <w:rFonts w:hint="eastAsia" w:cs="Arial"/>
                <w:kern w:val="2"/>
                <w:sz w:val="21"/>
              </w:rPr>
            </w:pPr>
            <w:r>
              <w:rPr>
                <w:rFonts w:hint="eastAsia" w:cs="Arial"/>
                <w:kern w:val="2"/>
                <w:sz w:val="21"/>
              </w:rPr>
              <w:t>生态</w:t>
            </w:r>
          </w:p>
          <w:p w14:paraId="797353C0">
            <w:pPr>
              <w:pStyle w:val="286"/>
              <w:spacing w:line="280" w:lineRule="exact"/>
              <w:rPr>
                <w:rFonts w:hint="eastAsia" w:cs="Arial"/>
                <w:kern w:val="2"/>
                <w:sz w:val="21"/>
              </w:rPr>
            </w:pPr>
            <w:r>
              <w:rPr>
                <w:rFonts w:hint="eastAsia" w:cs="Arial"/>
                <w:kern w:val="2"/>
                <w:sz w:val="21"/>
              </w:rPr>
              <w:t>环境</w:t>
            </w:r>
          </w:p>
        </w:tc>
        <w:tc>
          <w:tcPr>
            <w:tcW w:w="5884" w:type="dxa"/>
            <w:vAlign w:val="center"/>
          </w:tcPr>
          <w:p w14:paraId="5860EB01">
            <w:pPr>
              <w:pStyle w:val="286"/>
              <w:spacing w:line="280" w:lineRule="exact"/>
              <w:jc w:val="left"/>
              <w:rPr>
                <w:rFonts w:hint="eastAsia" w:cs="Arial"/>
                <w:kern w:val="2"/>
                <w:sz w:val="21"/>
              </w:rPr>
            </w:pPr>
            <w:r>
              <w:rPr>
                <w:rFonts w:hint="eastAsia" w:cs="Arial"/>
                <w:kern w:val="2"/>
                <w:sz w:val="21"/>
              </w:rPr>
              <w:t>施工过程中严格控制占地面积，规定施工活动范围，减少临时占地和对地表的扰动。施工结束后，施工单位应负责及时清理现场，使之尽快自然恢复，将施工期对生态环境影响降到最低。严禁施工人员踩踏植被和猎捕野生动物。</w:t>
            </w:r>
          </w:p>
        </w:tc>
        <w:tc>
          <w:tcPr>
            <w:tcW w:w="722" w:type="dxa"/>
            <w:vMerge w:val="restart"/>
            <w:vAlign w:val="center"/>
          </w:tcPr>
          <w:p w14:paraId="192461C1">
            <w:pPr>
              <w:pStyle w:val="286"/>
              <w:spacing w:line="280" w:lineRule="exact"/>
              <w:rPr>
                <w:rFonts w:hint="eastAsia" w:cs="Arial"/>
                <w:kern w:val="2"/>
                <w:sz w:val="21"/>
              </w:rPr>
            </w:pPr>
            <w:r>
              <w:rPr>
                <w:rFonts w:hint="eastAsia" w:cs="Arial"/>
                <w:kern w:val="2"/>
                <w:sz w:val="21"/>
              </w:rPr>
              <w:t>施工单位</w:t>
            </w:r>
          </w:p>
        </w:tc>
        <w:tc>
          <w:tcPr>
            <w:tcW w:w="1018" w:type="dxa"/>
            <w:vMerge w:val="restart"/>
            <w:vAlign w:val="center"/>
          </w:tcPr>
          <w:p w14:paraId="23C6DB2B">
            <w:pPr>
              <w:pStyle w:val="286"/>
              <w:spacing w:line="280" w:lineRule="exact"/>
              <w:rPr>
                <w:rFonts w:hint="eastAsia" w:cs="Arial"/>
                <w:kern w:val="2"/>
                <w:sz w:val="21"/>
              </w:rPr>
            </w:pPr>
            <w:r>
              <w:rPr>
                <w:rFonts w:hint="eastAsia" w:cs="Arial"/>
                <w:kern w:val="2"/>
                <w:sz w:val="21"/>
              </w:rPr>
              <w:t>新疆生产建设兵团生态环境局、第六师五家渠市生态环境局</w:t>
            </w:r>
          </w:p>
        </w:tc>
      </w:tr>
      <w:tr w14:paraId="0FA909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16425E83">
            <w:pPr>
              <w:pStyle w:val="286"/>
              <w:spacing w:line="280" w:lineRule="exact"/>
              <w:rPr>
                <w:rFonts w:hint="eastAsia" w:cs="Arial"/>
                <w:kern w:val="2"/>
                <w:sz w:val="21"/>
              </w:rPr>
            </w:pPr>
            <w:r>
              <w:rPr>
                <w:rFonts w:hint="eastAsia" w:cs="Arial"/>
                <w:kern w:val="2"/>
                <w:sz w:val="21"/>
              </w:rPr>
              <w:t>2</w:t>
            </w:r>
          </w:p>
        </w:tc>
        <w:tc>
          <w:tcPr>
            <w:tcW w:w="645" w:type="dxa"/>
            <w:vAlign w:val="center"/>
          </w:tcPr>
          <w:p w14:paraId="0B308EB3">
            <w:pPr>
              <w:pStyle w:val="286"/>
              <w:spacing w:line="280" w:lineRule="exact"/>
              <w:rPr>
                <w:rFonts w:hint="eastAsia" w:cs="Arial"/>
                <w:kern w:val="2"/>
                <w:sz w:val="21"/>
              </w:rPr>
            </w:pPr>
            <w:r>
              <w:rPr>
                <w:rFonts w:hint="eastAsia" w:cs="Arial"/>
                <w:kern w:val="2"/>
                <w:sz w:val="21"/>
              </w:rPr>
              <w:t>水环境</w:t>
            </w:r>
          </w:p>
        </w:tc>
        <w:tc>
          <w:tcPr>
            <w:tcW w:w="5884" w:type="dxa"/>
            <w:vAlign w:val="center"/>
          </w:tcPr>
          <w:p w14:paraId="60DF2AF6">
            <w:pPr>
              <w:pStyle w:val="286"/>
              <w:spacing w:line="280" w:lineRule="exact"/>
              <w:jc w:val="left"/>
              <w:rPr>
                <w:rFonts w:hint="eastAsia" w:cs="Arial"/>
                <w:kern w:val="2"/>
                <w:sz w:val="21"/>
              </w:rPr>
            </w:pPr>
            <w:r>
              <w:rPr>
                <w:rFonts w:hint="eastAsia" w:cs="Arial"/>
                <w:kern w:val="2"/>
                <w:sz w:val="21"/>
              </w:rPr>
              <w:t>管线试压废水和混凝土养护废水用于施工洒水抑尘，生活污水送至吉木萨尔县生活污水处理厂处理，废压裂液送至压裂返排液处理装置处理。</w:t>
            </w:r>
          </w:p>
        </w:tc>
        <w:tc>
          <w:tcPr>
            <w:tcW w:w="722" w:type="dxa"/>
            <w:vMerge w:val="continue"/>
            <w:vAlign w:val="center"/>
          </w:tcPr>
          <w:p w14:paraId="6C801993">
            <w:pPr>
              <w:pStyle w:val="286"/>
              <w:spacing w:line="280" w:lineRule="exact"/>
              <w:rPr>
                <w:rFonts w:hint="eastAsia" w:cs="Arial"/>
                <w:kern w:val="2"/>
                <w:sz w:val="21"/>
              </w:rPr>
            </w:pPr>
          </w:p>
        </w:tc>
        <w:tc>
          <w:tcPr>
            <w:tcW w:w="1018" w:type="dxa"/>
            <w:vMerge w:val="continue"/>
            <w:vAlign w:val="center"/>
          </w:tcPr>
          <w:p w14:paraId="09620010">
            <w:pPr>
              <w:pStyle w:val="286"/>
              <w:spacing w:line="280" w:lineRule="exact"/>
              <w:rPr>
                <w:rFonts w:hint="eastAsia" w:cs="Arial"/>
                <w:kern w:val="2"/>
                <w:sz w:val="21"/>
              </w:rPr>
            </w:pPr>
          </w:p>
        </w:tc>
      </w:tr>
      <w:tr w14:paraId="27A1E2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62DA98F8">
            <w:pPr>
              <w:pStyle w:val="286"/>
              <w:spacing w:line="280" w:lineRule="exact"/>
              <w:rPr>
                <w:rFonts w:hint="eastAsia" w:cs="Arial"/>
                <w:kern w:val="2"/>
                <w:sz w:val="21"/>
              </w:rPr>
            </w:pPr>
            <w:r>
              <w:rPr>
                <w:rFonts w:hint="eastAsia" w:cs="Arial"/>
                <w:kern w:val="2"/>
                <w:sz w:val="21"/>
              </w:rPr>
              <w:t>3</w:t>
            </w:r>
          </w:p>
        </w:tc>
        <w:tc>
          <w:tcPr>
            <w:tcW w:w="645" w:type="dxa"/>
            <w:vAlign w:val="center"/>
          </w:tcPr>
          <w:p w14:paraId="772B5927">
            <w:pPr>
              <w:pStyle w:val="286"/>
              <w:spacing w:line="280" w:lineRule="exact"/>
              <w:rPr>
                <w:rFonts w:hint="eastAsia" w:cs="Arial"/>
                <w:kern w:val="2"/>
                <w:sz w:val="21"/>
              </w:rPr>
            </w:pPr>
            <w:r>
              <w:rPr>
                <w:rFonts w:hint="eastAsia" w:cs="Arial"/>
                <w:kern w:val="2"/>
                <w:sz w:val="21"/>
              </w:rPr>
              <w:t>土壤</w:t>
            </w:r>
          </w:p>
          <w:p w14:paraId="55081F0F">
            <w:pPr>
              <w:pStyle w:val="286"/>
              <w:spacing w:line="280" w:lineRule="exact"/>
              <w:rPr>
                <w:rFonts w:hint="eastAsia" w:cs="Arial"/>
                <w:kern w:val="2"/>
                <w:sz w:val="21"/>
              </w:rPr>
            </w:pPr>
            <w:r>
              <w:rPr>
                <w:rFonts w:hint="eastAsia" w:cs="Arial"/>
                <w:kern w:val="2"/>
                <w:sz w:val="21"/>
              </w:rPr>
              <w:t>环境</w:t>
            </w:r>
          </w:p>
        </w:tc>
        <w:tc>
          <w:tcPr>
            <w:tcW w:w="5884" w:type="dxa"/>
            <w:vAlign w:val="center"/>
          </w:tcPr>
          <w:p w14:paraId="339C5FE3">
            <w:pPr>
              <w:pStyle w:val="286"/>
              <w:spacing w:line="280" w:lineRule="exact"/>
              <w:jc w:val="left"/>
              <w:rPr>
                <w:rFonts w:hint="eastAsia" w:cs="Arial"/>
                <w:kern w:val="2"/>
                <w:sz w:val="21"/>
              </w:rPr>
            </w:pPr>
            <w:r>
              <w:rPr>
                <w:rFonts w:hint="eastAsia" w:cs="Arial"/>
                <w:kern w:val="2"/>
                <w:sz w:val="21"/>
              </w:rPr>
              <w:t>按规定的施工范围进行作业，可有效减少土壤扰动，施工产生的建筑垃圾及时清运，可避免污染物进入土壤环境造成污染。</w:t>
            </w:r>
          </w:p>
        </w:tc>
        <w:tc>
          <w:tcPr>
            <w:tcW w:w="722" w:type="dxa"/>
            <w:vMerge w:val="continue"/>
            <w:vAlign w:val="center"/>
          </w:tcPr>
          <w:p w14:paraId="11174E5A">
            <w:pPr>
              <w:pStyle w:val="286"/>
              <w:spacing w:line="280" w:lineRule="exact"/>
              <w:rPr>
                <w:rFonts w:hint="eastAsia" w:cs="Arial"/>
                <w:kern w:val="2"/>
                <w:sz w:val="21"/>
              </w:rPr>
            </w:pPr>
          </w:p>
        </w:tc>
        <w:tc>
          <w:tcPr>
            <w:tcW w:w="1018" w:type="dxa"/>
            <w:vMerge w:val="continue"/>
            <w:vAlign w:val="center"/>
          </w:tcPr>
          <w:p w14:paraId="46257FBA">
            <w:pPr>
              <w:pStyle w:val="286"/>
              <w:spacing w:line="280" w:lineRule="exact"/>
              <w:rPr>
                <w:rFonts w:hint="eastAsia" w:cs="Arial"/>
                <w:kern w:val="2"/>
                <w:sz w:val="21"/>
              </w:rPr>
            </w:pPr>
          </w:p>
        </w:tc>
      </w:tr>
      <w:tr w14:paraId="1A27AB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0885CED4">
            <w:pPr>
              <w:pStyle w:val="286"/>
              <w:spacing w:line="280" w:lineRule="exact"/>
              <w:rPr>
                <w:rFonts w:hint="eastAsia" w:cs="Arial"/>
                <w:kern w:val="2"/>
                <w:sz w:val="21"/>
              </w:rPr>
            </w:pPr>
            <w:r>
              <w:rPr>
                <w:rFonts w:cs="Arial"/>
                <w:kern w:val="2"/>
                <w:sz w:val="21"/>
              </w:rPr>
              <w:t>4</w:t>
            </w:r>
          </w:p>
        </w:tc>
        <w:tc>
          <w:tcPr>
            <w:tcW w:w="645" w:type="dxa"/>
            <w:vAlign w:val="center"/>
          </w:tcPr>
          <w:p w14:paraId="105C4906">
            <w:pPr>
              <w:pStyle w:val="286"/>
              <w:spacing w:line="280" w:lineRule="exact"/>
              <w:rPr>
                <w:rFonts w:hint="eastAsia" w:cs="Arial"/>
                <w:kern w:val="2"/>
                <w:sz w:val="21"/>
              </w:rPr>
            </w:pPr>
            <w:r>
              <w:rPr>
                <w:rFonts w:hint="eastAsia" w:cs="Arial"/>
                <w:kern w:val="2"/>
                <w:sz w:val="21"/>
              </w:rPr>
              <w:t>声环境</w:t>
            </w:r>
          </w:p>
        </w:tc>
        <w:tc>
          <w:tcPr>
            <w:tcW w:w="5884" w:type="dxa"/>
            <w:vAlign w:val="center"/>
          </w:tcPr>
          <w:p w14:paraId="3F6A32E3">
            <w:pPr>
              <w:pStyle w:val="286"/>
              <w:spacing w:line="280" w:lineRule="exact"/>
              <w:jc w:val="left"/>
              <w:rPr>
                <w:rFonts w:hint="eastAsia" w:cs="Arial"/>
                <w:kern w:val="2"/>
                <w:sz w:val="21"/>
              </w:rPr>
            </w:pPr>
            <w:r>
              <w:rPr>
                <w:rFonts w:hint="eastAsia" w:cs="Arial"/>
                <w:kern w:val="2"/>
                <w:sz w:val="21"/>
              </w:rPr>
              <w:t>选用低噪声设备，并注意设备的正确使用和经常性维护，保持较低噪声水平。运输车辆限速、尽量减少鸣笛。</w:t>
            </w:r>
          </w:p>
        </w:tc>
        <w:tc>
          <w:tcPr>
            <w:tcW w:w="722" w:type="dxa"/>
            <w:vMerge w:val="continue"/>
            <w:vAlign w:val="center"/>
          </w:tcPr>
          <w:p w14:paraId="682F01C8">
            <w:pPr>
              <w:pStyle w:val="286"/>
              <w:spacing w:line="280" w:lineRule="exact"/>
              <w:rPr>
                <w:rFonts w:hint="eastAsia" w:cs="Arial"/>
                <w:kern w:val="2"/>
                <w:sz w:val="21"/>
              </w:rPr>
            </w:pPr>
          </w:p>
        </w:tc>
        <w:tc>
          <w:tcPr>
            <w:tcW w:w="1018" w:type="dxa"/>
            <w:vMerge w:val="continue"/>
            <w:vAlign w:val="center"/>
          </w:tcPr>
          <w:p w14:paraId="6E645542">
            <w:pPr>
              <w:pStyle w:val="286"/>
              <w:spacing w:line="280" w:lineRule="exact"/>
              <w:rPr>
                <w:rFonts w:hint="eastAsia" w:cs="Arial"/>
                <w:kern w:val="2"/>
                <w:sz w:val="21"/>
              </w:rPr>
            </w:pPr>
          </w:p>
        </w:tc>
      </w:tr>
      <w:tr w14:paraId="419664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7EF013A1">
            <w:pPr>
              <w:pStyle w:val="286"/>
              <w:spacing w:line="280" w:lineRule="exact"/>
              <w:rPr>
                <w:rFonts w:hint="eastAsia" w:cs="Arial"/>
                <w:kern w:val="2"/>
                <w:sz w:val="21"/>
              </w:rPr>
            </w:pPr>
            <w:r>
              <w:rPr>
                <w:rFonts w:cs="Arial"/>
                <w:kern w:val="2"/>
                <w:sz w:val="21"/>
              </w:rPr>
              <w:t>5</w:t>
            </w:r>
          </w:p>
        </w:tc>
        <w:tc>
          <w:tcPr>
            <w:tcW w:w="645" w:type="dxa"/>
            <w:vAlign w:val="center"/>
          </w:tcPr>
          <w:p w14:paraId="5B2E0704">
            <w:pPr>
              <w:pStyle w:val="286"/>
              <w:spacing w:line="280" w:lineRule="exact"/>
              <w:rPr>
                <w:rFonts w:hint="eastAsia" w:cs="Arial"/>
                <w:kern w:val="2"/>
                <w:sz w:val="21"/>
              </w:rPr>
            </w:pPr>
            <w:r>
              <w:rPr>
                <w:rFonts w:hint="eastAsia" w:cs="Arial"/>
                <w:kern w:val="2"/>
                <w:sz w:val="21"/>
              </w:rPr>
              <w:t>大气</w:t>
            </w:r>
          </w:p>
          <w:p w14:paraId="0FD0044A">
            <w:pPr>
              <w:pStyle w:val="286"/>
              <w:spacing w:line="280" w:lineRule="exact"/>
              <w:rPr>
                <w:rFonts w:hint="eastAsia" w:cs="Arial"/>
                <w:kern w:val="2"/>
                <w:sz w:val="21"/>
              </w:rPr>
            </w:pPr>
            <w:r>
              <w:rPr>
                <w:rFonts w:hint="eastAsia" w:cs="Arial"/>
                <w:kern w:val="2"/>
                <w:sz w:val="21"/>
              </w:rPr>
              <w:t>环境</w:t>
            </w:r>
          </w:p>
        </w:tc>
        <w:tc>
          <w:tcPr>
            <w:tcW w:w="5884" w:type="dxa"/>
            <w:vAlign w:val="center"/>
          </w:tcPr>
          <w:p w14:paraId="3A414A93">
            <w:pPr>
              <w:pStyle w:val="286"/>
              <w:spacing w:line="280" w:lineRule="exact"/>
              <w:jc w:val="left"/>
              <w:rPr>
                <w:rFonts w:hint="eastAsia" w:cs="Arial"/>
                <w:kern w:val="2"/>
                <w:sz w:val="21"/>
              </w:rPr>
            </w:pPr>
            <w:r>
              <w:rPr>
                <w:rFonts w:hint="eastAsia" w:cs="Arial"/>
                <w:kern w:val="2"/>
                <w:sz w:val="21"/>
              </w:rPr>
              <w:t>逸散性材料运输、装卸和堆放过程中采取加盖苫布等抑尘措施，严禁散落和尘土飞扬。施工期各机械设备应使用符合国家标准的油品，加强设备的维护，减少大气污染物的排放量。</w:t>
            </w:r>
          </w:p>
        </w:tc>
        <w:tc>
          <w:tcPr>
            <w:tcW w:w="722" w:type="dxa"/>
            <w:vMerge w:val="continue"/>
            <w:vAlign w:val="center"/>
          </w:tcPr>
          <w:p w14:paraId="75D6AC03">
            <w:pPr>
              <w:pStyle w:val="286"/>
              <w:spacing w:line="280" w:lineRule="exact"/>
              <w:rPr>
                <w:rFonts w:hint="eastAsia" w:cs="Arial"/>
                <w:kern w:val="2"/>
                <w:sz w:val="21"/>
              </w:rPr>
            </w:pPr>
          </w:p>
        </w:tc>
        <w:tc>
          <w:tcPr>
            <w:tcW w:w="1018" w:type="dxa"/>
            <w:vMerge w:val="continue"/>
            <w:vAlign w:val="center"/>
          </w:tcPr>
          <w:p w14:paraId="4791DB49">
            <w:pPr>
              <w:pStyle w:val="286"/>
              <w:spacing w:line="280" w:lineRule="exact"/>
              <w:rPr>
                <w:rFonts w:hint="eastAsia" w:cs="Arial"/>
                <w:kern w:val="2"/>
                <w:sz w:val="21"/>
              </w:rPr>
            </w:pPr>
          </w:p>
        </w:tc>
      </w:tr>
      <w:tr w14:paraId="5E3228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41985CF4">
            <w:pPr>
              <w:pStyle w:val="286"/>
              <w:spacing w:line="280" w:lineRule="exact"/>
              <w:rPr>
                <w:rFonts w:hint="eastAsia" w:cs="Arial"/>
                <w:kern w:val="2"/>
                <w:sz w:val="21"/>
              </w:rPr>
            </w:pPr>
            <w:r>
              <w:rPr>
                <w:rFonts w:cs="Arial"/>
                <w:kern w:val="2"/>
                <w:sz w:val="21"/>
              </w:rPr>
              <w:t>6</w:t>
            </w:r>
          </w:p>
        </w:tc>
        <w:tc>
          <w:tcPr>
            <w:tcW w:w="645" w:type="dxa"/>
            <w:vAlign w:val="center"/>
          </w:tcPr>
          <w:p w14:paraId="0D32D9EE">
            <w:pPr>
              <w:pStyle w:val="286"/>
              <w:spacing w:line="280" w:lineRule="exact"/>
              <w:rPr>
                <w:rFonts w:hint="eastAsia" w:cs="Arial"/>
                <w:kern w:val="2"/>
                <w:sz w:val="21"/>
              </w:rPr>
            </w:pPr>
            <w:r>
              <w:rPr>
                <w:rFonts w:hint="eastAsia" w:cs="Arial"/>
                <w:kern w:val="2"/>
                <w:sz w:val="21"/>
              </w:rPr>
              <w:t>水土</w:t>
            </w:r>
          </w:p>
          <w:p w14:paraId="72DF3867">
            <w:pPr>
              <w:pStyle w:val="286"/>
              <w:spacing w:line="280" w:lineRule="exact"/>
              <w:rPr>
                <w:rFonts w:hint="eastAsia" w:cs="Arial"/>
                <w:kern w:val="2"/>
                <w:sz w:val="21"/>
              </w:rPr>
            </w:pPr>
            <w:r>
              <w:rPr>
                <w:rFonts w:hint="eastAsia" w:cs="Arial"/>
                <w:kern w:val="2"/>
                <w:sz w:val="21"/>
              </w:rPr>
              <w:t>流失</w:t>
            </w:r>
          </w:p>
        </w:tc>
        <w:tc>
          <w:tcPr>
            <w:tcW w:w="5884" w:type="dxa"/>
            <w:vAlign w:val="center"/>
          </w:tcPr>
          <w:p w14:paraId="7883C96A">
            <w:pPr>
              <w:pStyle w:val="286"/>
              <w:spacing w:line="280" w:lineRule="exact"/>
              <w:jc w:val="left"/>
              <w:rPr>
                <w:rFonts w:hint="eastAsia" w:cs="Arial"/>
                <w:kern w:val="2"/>
                <w:sz w:val="21"/>
              </w:rPr>
            </w:pPr>
            <w:r>
              <w:rPr>
                <w:rFonts w:hint="eastAsia" w:cs="Arial"/>
                <w:kern w:val="2"/>
                <w:sz w:val="21"/>
              </w:rPr>
              <w:t>严格按规划的施工范围进行施工作业，不得随意开辟施工便道。施工后期，及时做好施工迹地的清理工作。做好施工后期的迹地恢复工作，包括土地平整，创造局部小环境以利于植被的恢复等，防止水土流失。</w:t>
            </w:r>
          </w:p>
        </w:tc>
        <w:tc>
          <w:tcPr>
            <w:tcW w:w="722" w:type="dxa"/>
            <w:vMerge w:val="continue"/>
            <w:vAlign w:val="center"/>
          </w:tcPr>
          <w:p w14:paraId="72D2ED67">
            <w:pPr>
              <w:pStyle w:val="286"/>
              <w:spacing w:line="280" w:lineRule="exact"/>
              <w:rPr>
                <w:rFonts w:hint="eastAsia" w:cs="Arial"/>
                <w:kern w:val="2"/>
                <w:sz w:val="21"/>
              </w:rPr>
            </w:pPr>
          </w:p>
        </w:tc>
        <w:tc>
          <w:tcPr>
            <w:tcW w:w="1018" w:type="dxa"/>
            <w:vMerge w:val="continue"/>
            <w:vAlign w:val="center"/>
          </w:tcPr>
          <w:p w14:paraId="20EA790A">
            <w:pPr>
              <w:pStyle w:val="286"/>
              <w:spacing w:line="280" w:lineRule="exact"/>
              <w:rPr>
                <w:rFonts w:hint="eastAsia" w:cs="Arial"/>
                <w:kern w:val="2"/>
                <w:sz w:val="21"/>
              </w:rPr>
            </w:pPr>
          </w:p>
        </w:tc>
      </w:tr>
      <w:tr w14:paraId="44ACDA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85" w:type="dxa"/>
            <w:bottom w:w="0" w:type="dxa"/>
            <w:right w:w="85" w:type="dxa"/>
          </w:tblCellMar>
        </w:tblPrEx>
        <w:trPr>
          <w:trHeight w:val="340" w:hRule="atLeast"/>
          <w:jc w:val="center"/>
        </w:trPr>
        <w:tc>
          <w:tcPr>
            <w:tcW w:w="631" w:type="dxa"/>
            <w:vAlign w:val="center"/>
          </w:tcPr>
          <w:p w14:paraId="45450B54">
            <w:pPr>
              <w:pStyle w:val="286"/>
              <w:spacing w:line="280" w:lineRule="exact"/>
              <w:rPr>
                <w:rFonts w:hint="eastAsia" w:cs="Arial"/>
                <w:kern w:val="2"/>
                <w:sz w:val="21"/>
              </w:rPr>
            </w:pPr>
            <w:r>
              <w:rPr>
                <w:rFonts w:hint="eastAsia" w:cs="Arial"/>
                <w:kern w:val="2"/>
                <w:sz w:val="21"/>
              </w:rPr>
              <w:t>7</w:t>
            </w:r>
          </w:p>
        </w:tc>
        <w:tc>
          <w:tcPr>
            <w:tcW w:w="645" w:type="dxa"/>
            <w:vAlign w:val="center"/>
          </w:tcPr>
          <w:p w14:paraId="04D05E6D">
            <w:pPr>
              <w:pStyle w:val="286"/>
              <w:spacing w:line="280" w:lineRule="exact"/>
              <w:rPr>
                <w:rFonts w:hint="eastAsia" w:cs="Arial"/>
                <w:kern w:val="2"/>
                <w:sz w:val="21"/>
              </w:rPr>
            </w:pPr>
            <w:r>
              <w:rPr>
                <w:rFonts w:hint="eastAsia" w:cs="Arial"/>
                <w:kern w:val="2"/>
                <w:sz w:val="21"/>
              </w:rPr>
              <w:t>固体</w:t>
            </w:r>
          </w:p>
          <w:p w14:paraId="48C324F5">
            <w:pPr>
              <w:pStyle w:val="286"/>
              <w:spacing w:line="280" w:lineRule="exact"/>
              <w:rPr>
                <w:rFonts w:hint="eastAsia" w:cs="Arial"/>
                <w:kern w:val="2"/>
                <w:sz w:val="21"/>
              </w:rPr>
            </w:pPr>
            <w:r>
              <w:rPr>
                <w:rFonts w:hint="eastAsia" w:cs="Arial"/>
                <w:kern w:val="2"/>
                <w:sz w:val="21"/>
              </w:rPr>
              <w:t>废物</w:t>
            </w:r>
          </w:p>
        </w:tc>
        <w:tc>
          <w:tcPr>
            <w:tcW w:w="5884" w:type="dxa"/>
            <w:vAlign w:val="center"/>
          </w:tcPr>
          <w:p w14:paraId="016DAF0A">
            <w:pPr>
              <w:pStyle w:val="286"/>
              <w:spacing w:line="280" w:lineRule="exact"/>
              <w:jc w:val="left"/>
              <w:rPr>
                <w:rFonts w:hint="eastAsia" w:cs="Arial"/>
                <w:kern w:val="2"/>
                <w:sz w:val="21"/>
              </w:rPr>
            </w:pPr>
            <w:r>
              <w:rPr>
                <w:rFonts w:hint="eastAsia" w:cs="Arial"/>
                <w:kern w:val="2"/>
                <w:sz w:val="21"/>
              </w:rPr>
              <w:t>水基钻井岩屑交由岩屑处置单位处理，油基钻井岩屑、废润滑油、废润滑油桶和沾油废防渗材料交由有相应危险废物处理资质的单位回收处置，生活垃圾由协议单位清运至吉木萨尔县生活垃圾填埋场处理，建筑垃圾集中收集后送至当地建筑垃圾填埋场处理。</w:t>
            </w:r>
          </w:p>
        </w:tc>
        <w:tc>
          <w:tcPr>
            <w:tcW w:w="722" w:type="dxa"/>
            <w:vMerge w:val="continue"/>
            <w:vAlign w:val="center"/>
          </w:tcPr>
          <w:p w14:paraId="67E0B28D">
            <w:pPr>
              <w:pStyle w:val="286"/>
              <w:spacing w:line="280" w:lineRule="exact"/>
              <w:rPr>
                <w:rFonts w:hint="eastAsia" w:cs="Arial"/>
                <w:kern w:val="2"/>
                <w:sz w:val="21"/>
              </w:rPr>
            </w:pPr>
          </w:p>
        </w:tc>
        <w:tc>
          <w:tcPr>
            <w:tcW w:w="1018" w:type="dxa"/>
            <w:vMerge w:val="continue"/>
            <w:vAlign w:val="center"/>
          </w:tcPr>
          <w:p w14:paraId="322EB39A">
            <w:pPr>
              <w:pStyle w:val="286"/>
              <w:spacing w:line="280" w:lineRule="exact"/>
              <w:rPr>
                <w:rFonts w:hint="eastAsia" w:cs="Arial"/>
                <w:kern w:val="2"/>
                <w:sz w:val="21"/>
              </w:rPr>
            </w:pPr>
          </w:p>
        </w:tc>
      </w:tr>
    </w:tbl>
    <w:p w14:paraId="36550170">
      <w:pPr>
        <w:pStyle w:val="4"/>
        <w:rPr>
          <w:rFonts w:hint="eastAsia"/>
        </w:rPr>
      </w:pPr>
      <w:r>
        <w:rPr>
          <w:rFonts w:hint="eastAsia"/>
        </w:rPr>
        <w:t>运营期环境管理</w:t>
      </w:r>
    </w:p>
    <w:p w14:paraId="76250585">
      <w:pPr>
        <w:pStyle w:val="117"/>
        <w:ind w:firstLine="480"/>
        <w:rPr>
          <w:rFonts w:hint="eastAsia"/>
        </w:rPr>
      </w:pPr>
      <w:bookmarkStart w:id="759" w:name="_Ref468827447"/>
      <w:r>
        <w:rPr>
          <w:rFonts w:hint="eastAsia"/>
        </w:rPr>
        <w:t>（1）建立和实施运营期的健康、安全与环境（HSE）管理体系。</w:t>
      </w:r>
    </w:p>
    <w:p w14:paraId="0551A55F">
      <w:pPr>
        <w:pStyle w:val="117"/>
        <w:ind w:firstLine="480"/>
        <w:rPr>
          <w:rFonts w:hint="eastAsia"/>
        </w:rPr>
      </w:pPr>
      <w:r>
        <w:rPr>
          <w:rFonts w:hint="eastAsia"/>
        </w:rPr>
        <w:t>（2）贯彻执行国家、地方及上级部门有关环境保护方针、政策、法律及法规。</w:t>
      </w:r>
    </w:p>
    <w:p w14:paraId="2841F046">
      <w:pPr>
        <w:pStyle w:val="117"/>
        <w:ind w:firstLine="480"/>
        <w:rPr>
          <w:rFonts w:hint="eastAsia"/>
        </w:rPr>
      </w:pPr>
      <w:r>
        <w:rPr>
          <w:rFonts w:hint="eastAsia"/>
        </w:rPr>
        <w:t>（3</w:t>
      </w:r>
      <w:r>
        <w:t>）</w:t>
      </w:r>
      <w:r>
        <w:rPr>
          <w:rFonts w:hint="eastAsia"/>
        </w:rPr>
        <w:t>加强环保管理人员的培训、教育，学习先进的环保管理理念，提高管理人员的技术水平与业务能力，定期对运营期环境保护工作进行总结和分析，根据环保水平的发展进步持续改进、强化运营期的环境保护与管理要求。</w:t>
      </w:r>
    </w:p>
    <w:p w14:paraId="04AB8134">
      <w:pPr>
        <w:pStyle w:val="117"/>
        <w:ind w:firstLine="480"/>
        <w:rPr>
          <w:rFonts w:hint="eastAsia"/>
        </w:rPr>
      </w:pPr>
      <w:r>
        <w:rPr>
          <w:rFonts w:hint="eastAsia"/>
        </w:rPr>
        <w:t>（</w:t>
      </w:r>
      <w:r>
        <w:t>4</w:t>
      </w:r>
      <w:r>
        <w:rPr>
          <w:rFonts w:hint="eastAsia"/>
        </w:rPr>
        <w:t>）组织开展环境保护宣传教育、技术和经验交流活动，推广先进技术和科研成果；参加调查、分析、处理环境污染事故，并负责统计上报事故的基本情况及处理结果，协同有关部门制定防治污染事故措施，并监督实施。</w:t>
      </w:r>
    </w:p>
    <w:p w14:paraId="42885E37">
      <w:pPr>
        <w:pStyle w:val="117"/>
        <w:ind w:firstLine="480"/>
        <w:rPr>
          <w:rFonts w:hint="eastAsia"/>
        </w:rPr>
      </w:pPr>
      <w:r>
        <w:rPr>
          <w:rFonts w:hint="eastAsia"/>
        </w:rPr>
        <w:t>（5）项目运行后3至5年内，须组织开展环境影响后评价工作，对实际产生的环境影响以及污染防治、生态保护和风险防范措施的有效性进行跟踪监测和验证评价，对存在问题提出补救方案或者改进措施，不断完善和提高建设项目环境影响评价的有效性，切实落实各项环境保护措施。</w:t>
      </w:r>
    </w:p>
    <w:p w14:paraId="049331E9">
      <w:pPr>
        <w:pStyle w:val="117"/>
        <w:ind w:firstLine="480"/>
        <w:rPr>
          <w:rFonts w:hint="eastAsia"/>
        </w:rPr>
      </w:pPr>
      <w:r>
        <w:rPr>
          <w:rFonts w:hint="eastAsia"/>
        </w:rPr>
        <w:t>（6）运营期各环境要素的污染防治措施见表</w:t>
      </w:r>
      <w:r>
        <w:t>7.2</w:t>
      </w:r>
      <w:r>
        <w:rPr>
          <w:rFonts w:hint="eastAsia"/>
        </w:rPr>
        <w:t>-</w:t>
      </w:r>
      <w:r>
        <w:t>2</w:t>
      </w:r>
      <w:r>
        <w:rPr>
          <w:rFonts w:hint="eastAsia"/>
        </w:rPr>
        <w:t>。</w:t>
      </w:r>
    </w:p>
    <w:p w14:paraId="0344D7AB">
      <w:pPr>
        <w:pStyle w:val="15"/>
        <w:rPr>
          <w:rFonts w:hint="eastAsia"/>
        </w:rPr>
      </w:pPr>
    </w:p>
    <w:p w14:paraId="752115A4">
      <w:pPr>
        <w:pStyle w:val="15"/>
        <w:rPr>
          <w:rFonts w:hint="eastAsia"/>
        </w:rPr>
      </w:pPr>
    </w:p>
    <w:p w14:paraId="19994659">
      <w:pPr>
        <w:pStyle w:val="15"/>
        <w:rPr>
          <w:rFonts w:hint="eastAsia"/>
        </w:rPr>
      </w:pPr>
    </w:p>
    <w:p w14:paraId="1DEE6787">
      <w:pPr>
        <w:pStyle w:val="15"/>
        <w:rPr>
          <w:rFonts w:hint="eastAsia"/>
        </w:rPr>
      </w:pPr>
      <w:r>
        <w:t>表</w:t>
      </w:r>
      <w:bookmarkEnd w:id="759"/>
      <w:r>
        <w:t>7.2-2</w:t>
      </w:r>
      <w:r>
        <w:rPr>
          <w:rFonts w:hint="eastAsia"/>
        </w:rPr>
        <w:t xml:space="preserve">  运营期</w:t>
      </w:r>
      <w:r>
        <w:t>环境保护</w:t>
      </w:r>
      <w:r>
        <w:rPr>
          <w:rFonts w:hint="eastAsia"/>
        </w:rPr>
        <w:t>行动计划</w:t>
      </w:r>
    </w:p>
    <w:tbl>
      <w:tblPr>
        <w:tblStyle w:val="5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134"/>
        <w:gridCol w:w="5244"/>
        <w:gridCol w:w="709"/>
        <w:gridCol w:w="1325"/>
      </w:tblGrid>
      <w:tr w14:paraId="551D1B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34" w:type="dxa"/>
            <w:vAlign w:val="center"/>
          </w:tcPr>
          <w:p w14:paraId="5E065C24">
            <w:pPr>
              <w:pStyle w:val="286"/>
              <w:adjustRightInd w:val="0"/>
              <w:snapToGrid w:val="0"/>
              <w:spacing w:line="300" w:lineRule="exact"/>
              <w:rPr>
                <w:rFonts w:hint="eastAsia" w:cs="Arial"/>
                <w:kern w:val="2"/>
                <w:sz w:val="21"/>
              </w:rPr>
            </w:pPr>
            <w:r>
              <w:rPr>
                <w:rFonts w:hint="eastAsia" w:cs="Arial"/>
                <w:kern w:val="2"/>
                <w:sz w:val="21"/>
              </w:rPr>
              <w:t>序号</w:t>
            </w:r>
          </w:p>
        </w:tc>
        <w:tc>
          <w:tcPr>
            <w:tcW w:w="1134" w:type="dxa"/>
            <w:vAlign w:val="center"/>
          </w:tcPr>
          <w:p w14:paraId="3509B076">
            <w:pPr>
              <w:pStyle w:val="286"/>
              <w:adjustRightInd w:val="0"/>
              <w:snapToGrid w:val="0"/>
              <w:spacing w:line="300" w:lineRule="exact"/>
              <w:rPr>
                <w:rFonts w:hint="eastAsia" w:cs="Arial"/>
                <w:kern w:val="2"/>
                <w:sz w:val="21"/>
              </w:rPr>
            </w:pPr>
            <w:r>
              <w:rPr>
                <w:rFonts w:hint="eastAsia" w:cs="Arial"/>
                <w:kern w:val="2"/>
                <w:sz w:val="21"/>
              </w:rPr>
              <w:t>影响因素</w:t>
            </w:r>
          </w:p>
        </w:tc>
        <w:tc>
          <w:tcPr>
            <w:tcW w:w="5244" w:type="dxa"/>
            <w:vAlign w:val="center"/>
          </w:tcPr>
          <w:p w14:paraId="4FC38179">
            <w:pPr>
              <w:pStyle w:val="286"/>
              <w:adjustRightInd w:val="0"/>
              <w:snapToGrid w:val="0"/>
              <w:spacing w:line="300" w:lineRule="exact"/>
              <w:rPr>
                <w:rFonts w:hint="eastAsia" w:cs="Arial"/>
                <w:kern w:val="2"/>
                <w:sz w:val="21"/>
              </w:rPr>
            </w:pPr>
            <w:r>
              <w:rPr>
                <w:rFonts w:hint="eastAsia" w:cs="Arial"/>
                <w:kern w:val="2"/>
                <w:sz w:val="21"/>
              </w:rPr>
              <w:t>环保措施</w:t>
            </w:r>
          </w:p>
        </w:tc>
        <w:tc>
          <w:tcPr>
            <w:tcW w:w="709" w:type="dxa"/>
            <w:vAlign w:val="center"/>
          </w:tcPr>
          <w:p w14:paraId="1A4ADA4C">
            <w:pPr>
              <w:pStyle w:val="286"/>
              <w:adjustRightInd w:val="0"/>
              <w:snapToGrid w:val="0"/>
              <w:spacing w:line="300" w:lineRule="exact"/>
              <w:rPr>
                <w:rFonts w:hint="eastAsia" w:cs="Arial"/>
                <w:kern w:val="2"/>
                <w:sz w:val="21"/>
              </w:rPr>
            </w:pPr>
            <w:r>
              <w:rPr>
                <w:rFonts w:hint="eastAsia" w:cs="Arial"/>
                <w:kern w:val="2"/>
                <w:sz w:val="21"/>
              </w:rPr>
              <w:t>实施单位</w:t>
            </w:r>
          </w:p>
        </w:tc>
        <w:tc>
          <w:tcPr>
            <w:tcW w:w="1325" w:type="dxa"/>
            <w:vAlign w:val="center"/>
          </w:tcPr>
          <w:p w14:paraId="44A55932">
            <w:pPr>
              <w:pStyle w:val="286"/>
              <w:adjustRightInd w:val="0"/>
              <w:snapToGrid w:val="0"/>
              <w:spacing w:line="300" w:lineRule="exact"/>
              <w:rPr>
                <w:rFonts w:hint="eastAsia" w:cs="Arial"/>
                <w:kern w:val="2"/>
                <w:sz w:val="21"/>
              </w:rPr>
            </w:pPr>
            <w:r>
              <w:rPr>
                <w:rFonts w:hint="eastAsia" w:cs="Arial"/>
                <w:kern w:val="2"/>
                <w:sz w:val="21"/>
              </w:rPr>
              <w:t>监督</w:t>
            </w:r>
          </w:p>
          <w:p w14:paraId="165BA6DD">
            <w:pPr>
              <w:pStyle w:val="286"/>
              <w:adjustRightInd w:val="0"/>
              <w:snapToGrid w:val="0"/>
              <w:spacing w:line="300" w:lineRule="exact"/>
              <w:rPr>
                <w:rFonts w:hint="eastAsia" w:cs="Arial"/>
                <w:kern w:val="2"/>
                <w:sz w:val="21"/>
              </w:rPr>
            </w:pPr>
            <w:r>
              <w:rPr>
                <w:rFonts w:hint="eastAsia" w:cs="Arial"/>
                <w:kern w:val="2"/>
                <w:sz w:val="21"/>
              </w:rPr>
              <w:t>单位</w:t>
            </w:r>
          </w:p>
        </w:tc>
      </w:tr>
      <w:tr w14:paraId="0699B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58BA34A0">
            <w:pPr>
              <w:pStyle w:val="286"/>
              <w:adjustRightInd w:val="0"/>
              <w:snapToGrid w:val="0"/>
              <w:spacing w:line="300" w:lineRule="exact"/>
              <w:rPr>
                <w:rFonts w:hint="eastAsia" w:cs="Arial"/>
                <w:kern w:val="2"/>
                <w:sz w:val="21"/>
              </w:rPr>
            </w:pPr>
            <w:r>
              <w:rPr>
                <w:rFonts w:hint="eastAsia" w:cs="Arial"/>
                <w:kern w:val="2"/>
                <w:sz w:val="21"/>
              </w:rPr>
              <w:t>1</w:t>
            </w:r>
          </w:p>
        </w:tc>
        <w:tc>
          <w:tcPr>
            <w:tcW w:w="1134" w:type="dxa"/>
            <w:vAlign w:val="center"/>
          </w:tcPr>
          <w:p w14:paraId="7A81B3FD">
            <w:pPr>
              <w:pStyle w:val="286"/>
              <w:adjustRightInd w:val="0"/>
              <w:snapToGrid w:val="0"/>
              <w:spacing w:line="300" w:lineRule="exact"/>
              <w:rPr>
                <w:rFonts w:hint="eastAsia" w:cs="Arial"/>
                <w:kern w:val="2"/>
                <w:sz w:val="21"/>
              </w:rPr>
            </w:pPr>
            <w:r>
              <w:rPr>
                <w:rFonts w:hint="eastAsia" w:cs="Arial"/>
                <w:kern w:val="2"/>
                <w:sz w:val="21"/>
              </w:rPr>
              <w:t>大气环境</w:t>
            </w:r>
          </w:p>
        </w:tc>
        <w:tc>
          <w:tcPr>
            <w:tcW w:w="5244" w:type="dxa"/>
            <w:vAlign w:val="center"/>
          </w:tcPr>
          <w:p w14:paraId="5CE2F741">
            <w:pPr>
              <w:pStyle w:val="117"/>
              <w:adjustRightInd w:val="0"/>
              <w:snapToGrid w:val="0"/>
              <w:spacing w:line="300" w:lineRule="exact"/>
              <w:ind w:firstLine="0" w:firstLineChars="0"/>
              <w:jc w:val="center"/>
              <w:rPr>
                <w:rFonts w:hint="eastAsia" w:cs="Arial"/>
                <w:szCs w:val="21"/>
              </w:rPr>
            </w:pPr>
            <w:r>
              <w:rPr>
                <w:rFonts w:hint="eastAsia" w:cs="宋体"/>
                <w:kern w:val="0"/>
                <w:sz w:val="21"/>
                <w:szCs w:val="21"/>
                <w:lang w:bidi="ar"/>
              </w:rPr>
              <w:t>选用质量可靠的设备、仪表、阀门等；定期对站场内各设备、阀门、各类管线等检查、检修；拉油罐采用固定顶罐，装车采用底部装载或顶部浸没式装载方式，采用顶部浸没式装载的，拉油罐和罐车之间采用气相平衡系统。</w:t>
            </w:r>
          </w:p>
        </w:tc>
        <w:tc>
          <w:tcPr>
            <w:tcW w:w="709" w:type="dxa"/>
            <w:vMerge w:val="restart"/>
            <w:vAlign w:val="center"/>
          </w:tcPr>
          <w:p w14:paraId="0A346CAE">
            <w:pPr>
              <w:pStyle w:val="286"/>
              <w:adjustRightInd w:val="0"/>
              <w:snapToGrid w:val="0"/>
              <w:spacing w:line="300" w:lineRule="exact"/>
              <w:rPr>
                <w:rFonts w:hint="eastAsia" w:cs="Arial"/>
                <w:kern w:val="2"/>
                <w:sz w:val="21"/>
              </w:rPr>
            </w:pPr>
            <w:r>
              <w:rPr>
                <w:rFonts w:hint="eastAsia" w:cs="Arial"/>
                <w:kern w:val="2"/>
                <w:sz w:val="21"/>
              </w:rPr>
              <w:t>中国石油新疆油田分公司吉庆油田作业区</w:t>
            </w:r>
          </w:p>
        </w:tc>
        <w:tc>
          <w:tcPr>
            <w:tcW w:w="1325" w:type="dxa"/>
            <w:vMerge w:val="restart"/>
            <w:vAlign w:val="center"/>
          </w:tcPr>
          <w:p w14:paraId="183A108D">
            <w:pPr>
              <w:pStyle w:val="286"/>
              <w:adjustRightInd w:val="0"/>
              <w:snapToGrid w:val="0"/>
              <w:spacing w:line="300" w:lineRule="exact"/>
              <w:rPr>
                <w:rFonts w:hint="eastAsia" w:cs="Arial"/>
                <w:kern w:val="2"/>
                <w:sz w:val="21"/>
              </w:rPr>
            </w:pPr>
            <w:r>
              <w:rPr>
                <w:rFonts w:hint="eastAsia" w:cs="Arial"/>
                <w:kern w:val="2"/>
                <w:sz w:val="21"/>
              </w:rPr>
              <w:t>新疆生产建设兵团生态环境局、第六师五家渠市生态环境局</w:t>
            </w:r>
          </w:p>
        </w:tc>
      </w:tr>
      <w:tr w14:paraId="03DAAC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518F1ED5">
            <w:pPr>
              <w:pStyle w:val="286"/>
              <w:adjustRightInd w:val="0"/>
              <w:snapToGrid w:val="0"/>
              <w:spacing w:line="300" w:lineRule="exact"/>
              <w:rPr>
                <w:rFonts w:hint="eastAsia" w:cs="Arial"/>
                <w:kern w:val="2"/>
                <w:sz w:val="21"/>
              </w:rPr>
            </w:pPr>
            <w:r>
              <w:rPr>
                <w:rFonts w:hint="eastAsia" w:cs="Arial"/>
                <w:kern w:val="2"/>
                <w:sz w:val="21"/>
              </w:rPr>
              <w:t>2</w:t>
            </w:r>
          </w:p>
        </w:tc>
        <w:tc>
          <w:tcPr>
            <w:tcW w:w="1134" w:type="dxa"/>
            <w:vAlign w:val="center"/>
          </w:tcPr>
          <w:p w14:paraId="7A9EBE8C">
            <w:pPr>
              <w:pStyle w:val="286"/>
              <w:adjustRightInd w:val="0"/>
              <w:snapToGrid w:val="0"/>
              <w:spacing w:line="300" w:lineRule="exact"/>
              <w:rPr>
                <w:rFonts w:hint="eastAsia" w:cs="Arial"/>
                <w:kern w:val="2"/>
                <w:sz w:val="21"/>
              </w:rPr>
            </w:pPr>
            <w:r>
              <w:rPr>
                <w:rFonts w:hint="eastAsia" w:cs="Arial"/>
                <w:kern w:val="2"/>
                <w:sz w:val="21"/>
              </w:rPr>
              <w:t>水环境</w:t>
            </w:r>
          </w:p>
        </w:tc>
        <w:tc>
          <w:tcPr>
            <w:tcW w:w="5244" w:type="dxa"/>
            <w:vAlign w:val="center"/>
          </w:tcPr>
          <w:p w14:paraId="3700F3A6">
            <w:pPr>
              <w:pStyle w:val="117"/>
              <w:adjustRightInd w:val="0"/>
              <w:snapToGrid w:val="0"/>
              <w:spacing w:line="300" w:lineRule="exact"/>
              <w:ind w:firstLine="0" w:firstLineChars="0"/>
              <w:jc w:val="center"/>
              <w:rPr>
                <w:rFonts w:hint="eastAsia" w:cs="宋体"/>
                <w:kern w:val="0"/>
                <w:sz w:val="21"/>
                <w:szCs w:val="21"/>
                <w:lang w:bidi="ar"/>
              </w:rPr>
            </w:pPr>
            <w:r>
              <w:rPr>
                <w:rFonts w:hint="eastAsia" w:cs="宋体"/>
                <w:kern w:val="0"/>
                <w:sz w:val="21"/>
                <w:szCs w:val="21"/>
                <w:lang w:bidi="ar"/>
              </w:rPr>
              <w:t>洗井废水和井下作业废液由罐车拉运至压裂返排液处理装置处理，出水水质达标后用于压裂液复配。</w:t>
            </w:r>
          </w:p>
        </w:tc>
        <w:tc>
          <w:tcPr>
            <w:tcW w:w="709" w:type="dxa"/>
            <w:vMerge w:val="continue"/>
            <w:vAlign w:val="center"/>
          </w:tcPr>
          <w:p w14:paraId="3A900BA2">
            <w:pPr>
              <w:pStyle w:val="286"/>
              <w:adjustRightInd w:val="0"/>
              <w:snapToGrid w:val="0"/>
              <w:spacing w:line="300" w:lineRule="exact"/>
              <w:rPr>
                <w:rFonts w:hint="eastAsia" w:cs="Arial"/>
                <w:kern w:val="2"/>
                <w:sz w:val="21"/>
              </w:rPr>
            </w:pPr>
          </w:p>
        </w:tc>
        <w:tc>
          <w:tcPr>
            <w:tcW w:w="1325" w:type="dxa"/>
            <w:vMerge w:val="continue"/>
            <w:vAlign w:val="center"/>
          </w:tcPr>
          <w:p w14:paraId="431B2802">
            <w:pPr>
              <w:pStyle w:val="286"/>
              <w:adjustRightInd w:val="0"/>
              <w:snapToGrid w:val="0"/>
              <w:spacing w:line="300" w:lineRule="exact"/>
              <w:rPr>
                <w:rFonts w:hint="eastAsia" w:cs="Arial"/>
                <w:kern w:val="2"/>
                <w:sz w:val="21"/>
              </w:rPr>
            </w:pPr>
          </w:p>
        </w:tc>
      </w:tr>
      <w:tr w14:paraId="7A89B0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771D05B5">
            <w:pPr>
              <w:pStyle w:val="286"/>
              <w:adjustRightInd w:val="0"/>
              <w:snapToGrid w:val="0"/>
              <w:spacing w:line="300" w:lineRule="exact"/>
              <w:rPr>
                <w:rFonts w:hint="eastAsia" w:cs="Arial"/>
                <w:kern w:val="2"/>
                <w:sz w:val="21"/>
              </w:rPr>
            </w:pPr>
            <w:r>
              <w:rPr>
                <w:rFonts w:hint="eastAsia" w:cs="Arial"/>
                <w:kern w:val="2"/>
                <w:sz w:val="21"/>
              </w:rPr>
              <w:t>3</w:t>
            </w:r>
          </w:p>
        </w:tc>
        <w:tc>
          <w:tcPr>
            <w:tcW w:w="1134" w:type="dxa"/>
            <w:vAlign w:val="center"/>
          </w:tcPr>
          <w:p w14:paraId="2F70E891">
            <w:pPr>
              <w:pStyle w:val="286"/>
              <w:adjustRightInd w:val="0"/>
              <w:snapToGrid w:val="0"/>
              <w:spacing w:line="300" w:lineRule="exact"/>
              <w:rPr>
                <w:rFonts w:hint="eastAsia" w:cs="Arial"/>
                <w:kern w:val="2"/>
                <w:sz w:val="21"/>
              </w:rPr>
            </w:pPr>
            <w:r>
              <w:rPr>
                <w:rFonts w:hint="eastAsia" w:cs="Arial"/>
                <w:kern w:val="2"/>
                <w:sz w:val="21"/>
              </w:rPr>
              <w:t>声环境</w:t>
            </w:r>
          </w:p>
        </w:tc>
        <w:tc>
          <w:tcPr>
            <w:tcW w:w="5244" w:type="dxa"/>
            <w:vAlign w:val="center"/>
          </w:tcPr>
          <w:p w14:paraId="1996C73D">
            <w:pPr>
              <w:pStyle w:val="286"/>
              <w:adjustRightInd w:val="0"/>
              <w:snapToGrid w:val="0"/>
              <w:spacing w:line="300" w:lineRule="exact"/>
              <w:rPr>
                <w:rFonts w:hint="eastAsia" w:cs="Arial"/>
                <w:kern w:val="2"/>
                <w:sz w:val="21"/>
              </w:rPr>
            </w:pPr>
            <w:r>
              <w:rPr>
                <w:rFonts w:hint="eastAsia" w:cs="Arial"/>
                <w:kern w:val="2"/>
                <w:sz w:val="21"/>
              </w:rPr>
              <w:t>选用低噪声设备，定期对设备进行检修和维护，使其处于运行良好的状态。对站场厂界噪声进行定期监测</w:t>
            </w:r>
          </w:p>
        </w:tc>
        <w:tc>
          <w:tcPr>
            <w:tcW w:w="709" w:type="dxa"/>
            <w:vMerge w:val="continue"/>
            <w:vAlign w:val="center"/>
          </w:tcPr>
          <w:p w14:paraId="48662A5A">
            <w:pPr>
              <w:pStyle w:val="286"/>
              <w:adjustRightInd w:val="0"/>
              <w:snapToGrid w:val="0"/>
              <w:spacing w:line="300" w:lineRule="exact"/>
              <w:rPr>
                <w:rFonts w:hint="eastAsia" w:cs="Arial"/>
                <w:kern w:val="2"/>
                <w:sz w:val="21"/>
              </w:rPr>
            </w:pPr>
          </w:p>
        </w:tc>
        <w:tc>
          <w:tcPr>
            <w:tcW w:w="1325" w:type="dxa"/>
            <w:vMerge w:val="continue"/>
            <w:vAlign w:val="center"/>
          </w:tcPr>
          <w:p w14:paraId="1273AB92">
            <w:pPr>
              <w:pStyle w:val="286"/>
              <w:adjustRightInd w:val="0"/>
              <w:snapToGrid w:val="0"/>
              <w:spacing w:line="300" w:lineRule="exact"/>
              <w:rPr>
                <w:rFonts w:hint="eastAsia" w:cs="Arial"/>
                <w:kern w:val="2"/>
                <w:sz w:val="21"/>
              </w:rPr>
            </w:pPr>
          </w:p>
        </w:tc>
      </w:tr>
      <w:tr w14:paraId="1BBC1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0F4885AC">
            <w:pPr>
              <w:pStyle w:val="286"/>
              <w:adjustRightInd w:val="0"/>
              <w:snapToGrid w:val="0"/>
              <w:spacing w:line="300" w:lineRule="exact"/>
              <w:rPr>
                <w:rFonts w:hint="eastAsia" w:cs="Arial"/>
                <w:kern w:val="2"/>
                <w:sz w:val="21"/>
              </w:rPr>
            </w:pPr>
            <w:r>
              <w:rPr>
                <w:rFonts w:hint="eastAsia" w:cs="Arial"/>
                <w:kern w:val="2"/>
                <w:sz w:val="21"/>
              </w:rPr>
              <w:t>4</w:t>
            </w:r>
          </w:p>
        </w:tc>
        <w:tc>
          <w:tcPr>
            <w:tcW w:w="1134" w:type="dxa"/>
            <w:vAlign w:val="center"/>
          </w:tcPr>
          <w:p w14:paraId="6C3CD1DA">
            <w:pPr>
              <w:pStyle w:val="286"/>
              <w:adjustRightInd w:val="0"/>
              <w:snapToGrid w:val="0"/>
              <w:spacing w:line="300" w:lineRule="exact"/>
              <w:rPr>
                <w:rFonts w:hint="eastAsia" w:cs="Arial"/>
                <w:kern w:val="2"/>
                <w:sz w:val="21"/>
              </w:rPr>
            </w:pPr>
            <w:r>
              <w:rPr>
                <w:rFonts w:hint="eastAsia" w:cs="Arial"/>
                <w:kern w:val="2"/>
                <w:sz w:val="21"/>
              </w:rPr>
              <w:t>固体废物处置</w:t>
            </w:r>
          </w:p>
        </w:tc>
        <w:tc>
          <w:tcPr>
            <w:tcW w:w="5244" w:type="dxa"/>
            <w:vAlign w:val="center"/>
          </w:tcPr>
          <w:p w14:paraId="744B8523">
            <w:pPr>
              <w:pStyle w:val="286"/>
              <w:adjustRightInd w:val="0"/>
              <w:snapToGrid w:val="0"/>
              <w:spacing w:line="300" w:lineRule="exact"/>
              <w:rPr>
                <w:rFonts w:hint="eastAsia" w:cs="Arial"/>
                <w:kern w:val="2"/>
                <w:sz w:val="21"/>
              </w:rPr>
            </w:pPr>
            <w:r>
              <w:rPr>
                <w:rFonts w:hint="eastAsia" w:cs="Arial"/>
                <w:kern w:val="2"/>
                <w:sz w:val="21"/>
              </w:rPr>
              <w:t>清罐底泥、废润滑油、废润滑油桶、沾油废防渗材料和含油废抹布、劳保用品集中收集后交由有相应危险废物处理资质的单位回收处置；废药剂包装物由厂家回收处置</w:t>
            </w:r>
          </w:p>
        </w:tc>
        <w:tc>
          <w:tcPr>
            <w:tcW w:w="709" w:type="dxa"/>
            <w:vMerge w:val="continue"/>
            <w:vAlign w:val="center"/>
          </w:tcPr>
          <w:p w14:paraId="103F941E">
            <w:pPr>
              <w:pStyle w:val="286"/>
              <w:adjustRightInd w:val="0"/>
              <w:snapToGrid w:val="0"/>
              <w:spacing w:line="300" w:lineRule="exact"/>
              <w:rPr>
                <w:rFonts w:hint="eastAsia" w:cs="Arial"/>
                <w:kern w:val="2"/>
                <w:sz w:val="21"/>
              </w:rPr>
            </w:pPr>
          </w:p>
        </w:tc>
        <w:tc>
          <w:tcPr>
            <w:tcW w:w="1325" w:type="dxa"/>
            <w:vMerge w:val="continue"/>
            <w:vAlign w:val="center"/>
          </w:tcPr>
          <w:p w14:paraId="7221F4DF">
            <w:pPr>
              <w:pStyle w:val="286"/>
              <w:adjustRightInd w:val="0"/>
              <w:snapToGrid w:val="0"/>
              <w:spacing w:line="300" w:lineRule="exact"/>
              <w:rPr>
                <w:rFonts w:hint="eastAsia" w:cs="Arial"/>
                <w:kern w:val="2"/>
                <w:sz w:val="21"/>
              </w:rPr>
            </w:pPr>
          </w:p>
        </w:tc>
      </w:tr>
      <w:tr w14:paraId="755406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19839897">
            <w:pPr>
              <w:pStyle w:val="286"/>
              <w:adjustRightInd w:val="0"/>
              <w:snapToGrid w:val="0"/>
              <w:spacing w:line="300" w:lineRule="exact"/>
              <w:rPr>
                <w:rFonts w:hint="eastAsia" w:cs="Arial"/>
                <w:kern w:val="2"/>
                <w:sz w:val="21"/>
              </w:rPr>
            </w:pPr>
            <w:r>
              <w:rPr>
                <w:rFonts w:hint="eastAsia" w:cs="Arial"/>
                <w:kern w:val="2"/>
                <w:sz w:val="21"/>
              </w:rPr>
              <w:t>5</w:t>
            </w:r>
          </w:p>
        </w:tc>
        <w:tc>
          <w:tcPr>
            <w:tcW w:w="1134" w:type="dxa"/>
            <w:vAlign w:val="center"/>
          </w:tcPr>
          <w:p w14:paraId="68818729">
            <w:pPr>
              <w:pStyle w:val="286"/>
              <w:adjustRightInd w:val="0"/>
              <w:snapToGrid w:val="0"/>
              <w:spacing w:line="300" w:lineRule="exact"/>
              <w:rPr>
                <w:rFonts w:hint="eastAsia" w:cs="Arial"/>
                <w:kern w:val="2"/>
                <w:sz w:val="21"/>
              </w:rPr>
            </w:pPr>
            <w:r>
              <w:rPr>
                <w:rFonts w:hint="eastAsia" w:cs="Arial"/>
                <w:kern w:val="2"/>
                <w:sz w:val="21"/>
              </w:rPr>
              <w:t>生态环境</w:t>
            </w:r>
          </w:p>
        </w:tc>
        <w:tc>
          <w:tcPr>
            <w:tcW w:w="5244" w:type="dxa"/>
            <w:vAlign w:val="center"/>
          </w:tcPr>
          <w:p w14:paraId="4C2B1379">
            <w:pPr>
              <w:pStyle w:val="286"/>
              <w:adjustRightInd w:val="0"/>
              <w:snapToGrid w:val="0"/>
              <w:spacing w:line="300" w:lineRule="exact"/>
              <w:rPr>
                <w:rFonts w:hint="eastAsia" w:cs="Arial"/>
                <w:kern w:val="2"/>
                <w:sz w:val="21"/>
              </w:rPr>
            </w:pPr>
            <w:r>
              <w:rPr>
                <w:rFonts w:hint="eastAsia" w:cs="Arial"/>
                <w:kern w:val="2"/>
                <w:sz w:val="21"/>
              </w:rPr>
              <w:t>继续做好施工地的地表恢复工作，培训巡检人员相关环境保护知识，更好的保护沿线植被；对管道设施定期巡查，及时维修保养</w:t>
            </w:r>
          </w:p>
        </w:tc>
        <w:tc>
          <w:tcPr>
            <w:tcW w:w="709" w:type="dxa"/>
            <w:vMerge w:val="continue"/>
            <w:vAlign w:val="center"/>
          </w:tcPr>
          <w:p w14:paraId="2B96F228">
            <w:pPr>
              <w:pStyle w:val="286"/>
              <w:adjustRightInd w:val="0"/>
              <w:snapToGrid w:val="0"/>
              <w:spacing w:line="300" w:lineRule="exact"/>
              <w:rPr>
                <w:rFonts w:hint="eastAsia" w:cs="Arial"/>
                <w:kern w:val="2"/>
                <w:sz w:val="21"/>
              </w:rPr>
            </w:pPr>
          </w:p>
        </w:tc>
        <w:tc>
          <w:tcPr>
            <w:tcW w:w="1325" w:type="dxa"/>
            <w:vMerge w:val="continue"/>
            <w:vAlign w:val="center"/>
          </w:tcPr>
          <w:p w14:paraId="58D4C345">
            <w:pPr>
              <w:pStyle w:val="286"/>
              <w:adjustRightInd w:val="0"/>
              <w:snapToGrid w:val="0"/>
              <w:spacing w:line="300" w:lineRule="exact"/>
              <w:rPr>
                <w:rFonts w:hint="eastAsia" w:cs="Arial"/>
                <w:kern w:val="2"/>
                <w:sz w:val="21"/>
              </w:rPr>
            </w:pPr>
          </w:p>
        </w:tc>
      </w:tr>
      <w:tr w14:paraId="3D3F42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338F4327">
            <w:pPr>
              <w:pStyle w:val="286"/>
              <w:adjustRightInd w:val="0"/>
              <w:snapToGrid w:val="0"/>
              <w:spacing w:line="300" w:lineRule="exact"/>
              <w:rPr>
                <w:rFonts w:hint="eastAsia" w:cs="Arial"/>
                <w:kern w:val="2"/>
                <w:sz w:val="21"/>
              </w:rPr>
            </w:pPr>
            <w:r>
              <w:rPr>
                <w:rFonts w:cs="Arial"/>
                <w:kern w:val="2"/>
                <w:sz w:val="21"/>
              </w:rPr>
              <w:t>6</w:t>
            </w:r>
          </w:p>
        </w:tc>
        <w:tc>
          <w:tcPr>
            <w:tcW w:w="1134" w:type="dxa"/>
            <w:vAlign w:val="center"/>
          </w:tcPr>
          <w:p w14:paraId="1A1001F7">
            <w:pPr>
              <w:pStyle w:val="286"/>
              <w:adjustRightInd w:val="0"/>
              <w:snapToGrid w:val="0"/>
              <w:spacing w:line="300" w:lineRule="exact"/>
              <w:rPr>
                <w:rFonts w:hint="eastAsia" w:cs="Arial"/>
                <w:kern w:val="2"/>
                <w:sz w:val="21"/>
              </w:rPr>
            </w:pPr>
            <w:r>
              <w:rPr>
                <w:rFonts w:hint="eastAsia" w:cs="Arial"/>
                <w:kern w:val="2"/>
                <w:sz w:val="21"/>
              </w:rPr>
              <w:t>风险防范措施</w:t>
            </w:r>
          </w:p>
        </w:tc>
        <w:tc>
          <w:tcPr>
            <w:tcW w:w="5244" w:type="dxa"/>
            <w:vAlign w:val="center"/>
          </w:tcPr>
          <w:p w14:paraId="73282F8D">
            <w:pPr>
              <w:pStyle w:val="286"/>
              <w:adjustRightInd w:val="0"/>
              <w:snapToGrid w:val="0"/>
              <w:spacing w:line="300" w:lineRule="exact"/>
              <w:rPr>
                <w:rFonts w:hint="eastAsia" w:cs="Arial"/>
                <w:kern w:val="2"/>
                <w:sz w:val="21"/>
              </w:rPr>
            </w:pPr>
            <w:r>
              <w:rPr>
                <w:rFonts w:hint="eastAsia" w:cs="Arial"/>
                <w:kern w:val="2"/>
                <w:sz w:val="21"/>
              </w:rPr>
              <w:t>制定事故应急预案，对重大隐患和重大事故能够快速做出反应并及时处理</w:t>
            </w:r>
          </w:p>
        </w:tc>
        <w:tc>
          <w:tcPr>
            <w:tcW w:w="709" w:type="dxa"/>
            <w:vMerge w:val="continue"/>
            <w:vAlign w:val="center"/>
          </w:tcPr>
          <w:p w14:paraId="67B537B8">
            <w:pPr>
              <w:pStyle w:val="286"/>
              <w:adjustRightInd w:val="0"/>
              <w:snapToGrid w:val="0"/>
              <w:spacing w:line="300" w:lineRule="exact"/>
              <w:rPr>
                <w:rFonts w:hint="eastAsia" w:cs="Arial"/>
                <w:kern w:val="2"/>
                <w:sz w:val="21"/>
              </w:rPr>
            </w:pPr>
          </w:p>
        </w:tc>
        <w:tc>
          <w:tcPr>
            <w:tcW w:w="1325" w:type="dxa"/>
            <w:vMerge w:val="continue"/>
            <w:vAlign w:val="center"/>
          </w:tcPr>
          <w:p w14:paraId="2E2785A8">
            <w:pPr>
              <w:pStyle w:val="286"/>
              <w:adjustRightInd w:val="0"/>
              <w:snapToGrid w:val="0"/>
              <w:spacing w:line="300" w:lineRule="exact"/>
              <w:rPr>
                <w:rFonts w:hint="eastAsia" w:cs="Arial"/>
                <w:kern w:val="2"/>
                <w:sz w:val="21"/>
              </w:rPr>
            </w:pPr>
          </w:p>
        </w:tc>
      </w:tr>
      <w:tr w14:paraId="7328E1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4" w:type="dxa"/>
            <w:vAlign w:val="center"/>
          </w:tcPr>
          <w:p w14:paraId="3EE79C8B">
            <w:pPr>
              <w:pStyle w:val="286"/>
              <w:adjustRightInd w:val="0"/>
              <w:snapToGrid w:val="0"/>
              <w:spacing w:line="300" w:lineRule="exact"/>
              <w:rPr>
                <w:rFonts w:hint="eastAsia" w:cs="Arial"/>
                <w:kern w:val="2"/>
                <w:sz w:val="21"/>
              </w:rPr>
            </w:pPr>
            <w:r>
              <w:rPr>
                <w:rFonts w:cs="Arial"/>
                <w:kern w:val="2"/>
                <w:sz w:val="21"/>
              </w:rPr>
              <w:t>7</w:t>
            </w:r>
          </w:p>
        </w:tc>
        <w:tc>
          <w:tcPr>
            <w:tcW w:w="1134" w:type="dxa"/>
            <w:vAlign w:val="center"/>
          </w:tcPr>
          <w:p w14:paraId="566D4B20">
            <w:pPr>
              <w:pStyle w:val="286"/>
              <w:adjustRightInd w:val="0"/>
              <w:snapToGrid w:val="0"/>
              <w:spacing w:line="300" w:lineRule="exact"/>
              <w:rPr>
                <w:rFonts w:hint="eastAsia" w:cs="Arial"/>
                <w:kern w:val="2"/>
                <w:sz w:val="21"/>
              </w:rPr>
            </w:pPr>
            <w:r>
              <w:rPr>
                <w:rFonts w:hint="eastAsia" w:cs="Arial"/>
                <w:kern w:val="2"/>
                <w:sz w:val="21"/>
              </w:rPr>
              <w:t>环境管理</w:t>
            </w:r>
          </w:p>
        </w:tc>
        <w:tc>
          <w:tcPr>
            <w:tcW w:w="5244" w:type="dxa"/>
            <w:vAlign w:val="center"/>
          </w:tcPr>
          <w:p w14:paraId="39E7E12B">
            <w:pPr>
              <w:pStyle w:val="286"/>
              <w:adjustRightInd w:val="0"/>
              <w:snapToGrid w:val="0"/>
              <w:spacing w:line="300" w:lineRule="exact"/>
              <w:rPr>
                <w:rFonts w:hint="eastAsia" w:cs="Arial"/>
                <w:kern w:val="2"/>
                <w:sz w:val="21"/>
              </w:rPr>
            </w:pPr>
            <w:r>
              <w:rPr>
                <w:rFonts w:hint="eastAsia" w:cs="Arial"/>
                <w:kern w:val="2"/>
                <w:sz w:val="21"/>
              </w:rPr>
              <w:t>建立环境管理体系和事故应急体系，实施环境监测计划</w:t>
            </w:r>
          </w:p>
        </w:tc>
        <w:tc>
          <w:tcPr>
            <w:tcW w:w="709" w:type="dxa"/>
            <w:vMerge w:val="continue"/>
            <w:vAlign w:val="center"/>
          </w:tcPr>
          <w:p w14:paraId="0FB60099">
            <w:pPr>
              <w:pStyle w:val="286"/>
              <w:adjustRightInd w:val="0"/>
              <w:snapToGrid w:val="0"/>
              <w:spacing w:line="300" w:lineRule="exact"/>
              <w:rPr>
                <w:rFonts w:hint="eastAsia" w:cs="Arial"/>
                <w:kern w:val="2"/>
                <w:sz w:val="21"/>
              </w:rPr>
            </w:pPr>
          </w:p>
        </w:tc>
        <w:tc>
          <w:tcPr>
            <w:tcW w:w="1325" w:type="dxa"/>
            <w:vMerge w:val="continue"/>
            <w:vAlign w:val="center"/>
          </w:tcPr>
          <w:p w14:paraId="5441961E">
            <w:pPr>
              <w:pStyle w:val="286"/>
              <w:adjustRightInd w:val="0"/>
              <w:snapToGrid w:val="0"/>
              <w:spacing w:line="300" w:lineRule="exact"/>
              <w:rPr>
                <w:rFonts w:hint="eastAsia" w:cs="Arial"/>
                <w:kern w:val="2"/>
                <w:sz w:val="21"/>
              </w:rPr>
            </w:pPr>
          </w:p>
        </w:tc>
      </w:tr>
    </w:tbl>
    <w:p w14:paraId="024CB09E">
      <w:pPr>
        <w:pStyle w:val="4"/>
        <w:rPr>
          <w:rFonts w:hint="eastAsia"/>
        </w:rPr>
      </w:pPr>
      <w:r>
        <w:rPr>
          <w:rFonts w:hint="eastAsia"/>
        </w:rPr>
        <w:t>排污许可管理</w:t>
      </w:r>
    </w:p>
    <w:p w14:paraId="53205B5D">
      <w:pPr>
        <w:pStyle w:val="117"/>
        <w:ind w:firstLine="480"/>
        <w:rPr>
          <w:rFonts w:hint="eastAsia"/>
        </w:rPr>
      </w:pPr>
      <w:bookmarkStart w:id="760" w:name="_Hlk160377308"/>
      <w:r>
        <w:rPr>
          <w:rFonts w:hint="eastAsia"/>
        </w:rPr>
        <w:t>《固定污染源排污许可分类管理名录》（2</w:t>
      </w:r>
      <w:r>
        <w:t>019</w:t>
      </w:r>
      <w:r>
        <w:rPr>
          <w:rFonts w:hint="eastAsia"/>
        </w:rPr>
        <w:t>年版）第六条规定：“属于本名录第</w:t>
      </w:r>
      <w:r>
        <w:t>1</w:t>
      </w:r>
      <w:r>
        <w:rPr>
          <w:rFonts w:hint="eastAsia"/>
        </w:rPr>
        <w:t>至</w:t>
      </w:r>
      <w:r>
        <w:t>107</w:t>
      </w:r>
      <w:r>
        <w:rPr>
          <w:rFonts w:hint="eastAsia"/>
        </w:rPr>
        <w:t>类行业的排污单位，按照本名录第</w:t>
      </w:r>
      <w:r>
        <w:t>109</w:t>
      </w:r>
      <w:r>
        <w:rPr>
          <w:rFonts w:hint="eastAsia"/>
        </w:rPr>
        <w:t>至</w:t>
      </w:r>
      <w:r>
        <w:t>112</w:t>
      </w:r>
      <w:r>
        <w:rPr>
          <w:rFonts w:hint="eastAsia"/>
        </w:rPr>
        <w:t>类规定的锅炉、工业炉窑、表面处理、水处理等通用工序实施重点管理或者简化管理的，只需对其涉及的通用工序申请取得排污许可证，不需要对其他生产设施和相应的排放口等申请取得排污许可证”。本项目不涉及锅炉、工业炉窑、表面处理和水处理等通用工序，不申领排污许可证。</w:t>
      </w:r>
    </w:p>
    <w:bookmarkEnd w:id="760"/>
    <w:p w14:paraId="1B5DE0F2">
      <w:pPr>
        <w:pStyle w:val="4"/>
        <w:rPr>
          <w:rFonts w:hint="eastAsia"/>
        </w:rPr>
      </w:pPr>
      <w:r>
        <w:rPr>
          <w:rFonts w:hint="eastAsia"/>
        </w:rPr>
        <w:t>退役期</w:t>
      </w:r>
      <w:r>
        <w:t>环境管理</w:t>
      </w:r>
    </w:p>
    <w:p w14:paraId="7B8B6C71">
      <w:pPr>
        <w:pStyle w:val="117"/>
        <w:ind w:firstLine="480"/>
        <w:rPr>
          <w:rFonts w:hint="eastAsia"/>
        </w:rPr>
      </w:pPr>
      <w:r>
        <w:rPr>
          <w:rFonts w:hint="eastAsia"/>
        </w:rPr>
        <w:t>退役期环境管理</w:t>
      </w:r>
      <w:r>
        <w:t>的主要内容见</w:t>
      </w:r>
      <w:r>
        <w:rPr>
          <w:rFonts w:hint="eastAsia"/>
        </w:rPr>
        <w:t>表</w:t>
      </w:r>
      <w:r>
        <w:t>7.2-3</w:t>
      </w:r>
      <w:r>
        <w:rPr>
          <w:rFonts w:hint="eastAsia"/>
        </w:rPr>
        <w:t>。</w:t>
      </w:r>
    </w:p>
    <w:p w14:paraId="47B310FE">
      <w:pPr>
        <w:pStyle w:val="15"/>
        <w:rPr>
          <w:rStyle w:val="163"/>
          <w:rFonts w:hint="eastAsia"/>
        </w:rPr>
      </w:pPr>
      <w:bookmarkStart w:id="761" w:name="_Ref468827454"/>
    </w:p>
    <w:p w14:paraId="798B7E04">
      <w:pPr>
        <w:pStyle w:val="15"/>
        <w:rPr>
          <w:rStyle w:val="163"/>
          <w:rFonts w:hint="eastAsia"/>
        </w:rPr>
      </w:pPr>
    </w:p>
    <w:p w14:paraId="5D6D2367">
      <w:pPr>
        <w:pStyle w:val="15"/>
        <w:rPr>
          <w:rStyle w:val="163"/>
          <w:rFonts w:hint="eastAsia"/>
        </w:rPr>
      </w:pPr>
    </w:p>
    <w:p w14:paraId="2ECC24A9">
      <w:pPr>
        <w:pStyle w:val="15"/>
        <w:rPr>
          <w:rStyle w:val="163"/>
          <w:rFonts w:hint="eastAsia"/>
        </w:rPr>
      </w:pPr>
      <w:r>
        <w:rPr>
          <w:rStyle w:val="163"/>
        </w:rPr>
        <w:t>表</w:t>
      </w:r>
      <w:bookmarkEnd w:id="761"/>
      <w:r>
        <w:rPr>
          <w:rStyle w:val="163"/>
        </w:rPr>
        <w:t>7.2-3</w:t>
      </w:r>
      <w:r>
        <w:rPr>
          <w:rStyle w:val="163"/>
          <w:rFonts w:hint="eastAsia"/>
        </w:rPr>
        <w:t xml:space="preserve">  退役</w:t>
      </w:r>
      <w:r>
        <w:rPr>
          <w:rStyle w:val="163"/>
        </w:rPr>
        <w:t>期</w:t>
      </w:r>
      <w:r>
        <w:rPr>
          <w:rStyle w:val="163"/>
          <w:rFonts w:hint="eastAsia"/>
        </w:rPr>
        <w:t>的</w:t>
      </w:r>
      <w:r>
        <w:rPr>
          <w:rStyle w:val="163"/>
        </w:rPr>
        <w:t>环境保护</w:t>
      </w:r>
      <w:r>
        <w:rPr>
          <w:rStyle w:val="163"/>
          <w:rFonts w:hint="eastAsia"/>
        </w:rPr>
        <w:t>行动计划</w:t>
      </w:r>
    </w:p>
    <w:tbl>
      <w:tblPr>
        <w:tblStyle w:val="5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26"/>
        <w:gridCol w:w="1082"/>
        <w:gridCol w:w="4874"/>
        <w:gridCol w:w="1163"/>
        <w:gridCol w:w="1101"/>
      </w:tblGrid>
      <w:tr w14:paraId="7B4B56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406" w:type="pct"/>
            <w:vAlign w:val="center"/>
          </w:tcPr>
          <w:p w14:paraId="68A739BD">
            <w:pPr>
              <w:pStyle w:val="286"/>
              <w:spacing w:line="280" w:lineRule="exact"/>
              <w:rPr>
                <w:rFonts w:hint="eastAsia" w:cs="Arial"/>
                <w:sz w:val="21"/>
              </w:rPr>
            </w:pPr>
            <w:r>
              <w:rPr>
                <w:rFonts w:hint="eastAsia" w:cs="Arial"/>
                <w:sz w:val="21"/>
              </w:rPr>
              <w:t>序号</w:t>
            </w:r>
          </w:p>
        </w:tc>
        <w:tc>
          <w:tcPr>
            <w:tcW w:w="605" w:type="pct"/>
            <w:vAlign w:val="center"/>
          </w:tcPr>
          <w:p w14:paraId="725EF966">
            <w:pPr>
              <w:pStyle w:val="286"/>
              <w:spacing w:line="280" w:lineRule="exact"/>
              <w:rPr>
                <w:rFonts w:hint="eastAsia" w:cs="Arial"/>
                <w:sz w:val="21"/>
              </w:rPr>
            </w:pPr>
            <w:r>
              <w:rPr>
                <w:rFonts w:hint="eastAsia" w:cs="Arial"/>
                <w:sz w:val="21"/>
              </w:rPr>
              <w:t>影响因素</w:t>
            </w:r>
          </w:p>
        </w:tc>
        <w:tc>
          <w:tcPr>
            <w:tcW w:w="2724" w:type="pct"/>
            <w:vAlign w:val="center"/>
          </w:tcPr>
          <w:p w14:paraId="4092B3EB">
            <w:pPr>
              <w:pStyle w:val="286"/>
              <w:spacing w:line="280" w:lineRule="exact"/>
              <w:rPr>
                <w:rFonts w:hint="eastAsia" w:cs="Arial"/>
                <w:sz w:val="21"/>
              </w:rPr>
            </w:pPr>
            <w:r>
              <w:rPr>
                <w:rFonts w:hint="eastAsia" w:cs="Arial"/>
                <w:sz w:val="21"/>
              </w:rPr>
              <w:t>环保措施</w:t>
            </w:r>
          </w:p>
        </w:tc>
        <w:tc>
          <w:tcPr>
            <w:tcW w:w="650" w:type="pct"/>
            <w:vAlign w:val="center"/>
          </w:tcPr>
          <w:p w14:paraId="2ACE73A8">
            <w:pPr>
              <w:pStyle w:val="286"/>
              <w:spacing w:line="280" w:lineRule="exact"/>
              <w:rPr>
                <w:rFonts w:hint="eastAsia" w:cs="Arial"/>
                <w:sz w:val="21"/>
              </w:rPr>
            </w:pPr>
            <w:r>
              <w:rPr>
                <w:rFonts w:hint="eastAsia" w:cs="Arial"/>
                <w:sz w:val="21"/>
              </w:rPr>
              <w:t>实施单位</w:t>
            </w:r>
          </w:p>
        </w:tc>
        <w:tc>
          <w:tcPr>
            <w:tcW w:w="615" w:type="pct"/>
            <w:vAlign w:val="center"/>
          </w:tcPr>
          <w:p w14:paraId="6C8667DC">
            <w:pPr>
              <w:pStyle w:val="286"/>
              <w:spacing w:line="280" w:lineRule="exact"/>
              <w:rPr>
                <w:rFonts w:hint="eastAsia" w:cs="Arial"/>
                <w:sz w:val="21"/>
              </w:rPr>
            </w:pPr>
            <w:r>
              <w:rPr>
                <w:rFonts w:hint="eastAsia" w:cs="Arial"/>
                <w:sz w:val="21"/>
              </w:rPr>
              <w:t>监督单位</w:t>
            </w:r>
          </w:p>
        </w:tc>
      </w:tr>
      <w:tr w14:paraId="099936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6" w:type="pct"/>
            <w:vAlign w:val="center"/>
          </w:tcPr>
          <w:p w14:paraId="143DEA5C">
            <w:pPr>
              <w:pStyle w:val="286"/>
              <w:spacing w:line="280" w:lineRule="exact"/>
              <w:rPr>
                <w:rFonts w:hint="eastAsia" w:cs="Arial"/>
                <w:sz w:val="21"/>
              </w:rPr>
            </w:pPr>
            <w:r>
              <w:rPr>
                <w:rFonts w:hint="eastAsia" w:cs="Arial"/>
                <w:sz w:val="21"/>
              </w:rPr>
              <w:t>1</w:t>
            </w:r>
          </w:p>
        </w:tc>
        <w:tc>
          <w:tcPr>
            <w:tcW w:w="605" w:type="pct"/>
            <w:vAlign w:val="center"/>
          </w:tcPr>
          <w:p w14:paraId="26548F89">
            <w:pPr>
              <w:pStyle w:val="286"/>
              <w:spacing w:line="280" w:lineRule="exact"/>
              <w:rPr>
                <w:rFonts w:hint="eastAsia" w:cs="Arial"/>
                <w:sz w:val="21"/>
              </w:rPr>
            </w:pPr>
            <w:r>
              <w:rPr>
                <w:rFonts w:hint="eastAsia" w:cs="Arial"/>
                <w:sz w:val="21"/>
              </w:rPr>
              <w:t>生态环境</w:t>
            </w:r>
          </w:p>
        </w:tc>
        <w:tc>
          <w:tcPr>
            <w:tcW w:w="2724" w:type="pct"/>
            <w:vAlign w:val="center"/>
          </w:tcPr>
          <w:p w14:paraId="15133285">
            <w:pPr>
              <w:pStyle w:val="286"/>
              <w:spacing w:line="280" w:lineRule="exact"/>
              <w:rPr>
                <w:rFonts w:hint="eastAsia" w:cs="Arial"/>
                <w:sz w:val="21"/>
              </w:rPr>
            </w:pPr>
            <w:r>
              <w:rPr>
                <w:rFonts w:hint="eastAsia" w:cs="Arial"/>
                <w:sz w:val="21"/>
              </w:rPr>
              <w:t>做好退役期的地表恢复工作，拆卸、迁移设备，恢复地貌。</w:t>
            </w:r>
          </w:p>
        </w:tc>
        <w:tc>
          <w:tcPr>
            <w:tcW w:w="650" w:type="pct"/>
            <w:vMerge w:val="restart"/>
            <w:vAlign w:val="center"/>
          </w:tcPr>
          <w:p w14:paraId="1C85D131">
            <w:pPr>
              <w:pStyle w:val="286"/>
              <w:spacing w:line="280" w:lineRule="exact"/>
              <w:rPr>
                <w:rFonts w:hint="eastAsia" w:cs="Arial"/>
                <w:sz w:val="21"/>
              </w:rPr>
            </w:pPr>
            <w:r>
              <w:rPr>
                <w:rFonts w:hint="eastAsia" w:cs="Arial"/>
                <w:kern w:val="2"/>
                <w:sz w:val="21"/>
              </w:rPr>
              <w:t>中国石油新疆油田分公司吉庆油田作业区</w:t>
            </w:r>
          </w:p>
        </w:tc>
        <w:tc>
          <w:tcPr>
            <w:tcW w:w="615" w:type="pct"/>
            <w:vMerge w:val="restart"/>
            <w:vAlign w:val="center"/>
          </w:tcPr>
          <w:p w14:paraId="54B6F31B">
            <w:pPr>
              <w:pStyle w:val="286"/>
              <w:spacing w:line="280" w:lineRule="exact"/>
              <w:rPr>
                <w:rFonts w:hint="eastAsia" w:cs="Arial"/>
                <w:sz w:val="21"/>
              </w:rPr>
            </w:pPr>
            <w:r>
              <w:rPr>
                <w:rFonts w:hint="eastAsia" w:cs="Arial"/>
                <w:kern w:val="2"/>
                <w:sz w:val="21"/>
              </w:rPr>
              <w:t>新疆生产建设兵团生态环境局、第六师五家渠市生态环境局</w:t>
            </w:r>
          </w:p>
        </w:tc>
      </w:tr>
      <w:tr w14:paraId="0E4950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6" w:type="pct"/>
            <w:vAlign w:val="center"/>
          </w:tcPr>
          <w:p w14:paraId="55C85D2A">
            <w:pPr>
              <w:pStyle w:val="286"/>
              <w:spacing w:line="280" w:lineRule="exact"/>
              <w:rPr>
                <w:rFonts w:hint="eastAsia" w:cs="Arial"/>
                <w:sz w:val="21"/>
              </w:rPr>
            </w:pPr>
            <w:r>
              <w:rPr>
                <w:rFonts w:hint="eastAsia" w:cs="Arial"/>
                <w:sz w:val="21"/>
              </w:rPr>
              <w:t>2</w:t>
            </w:r>
          </w:p>
        </w:tc>
        <w:tc>
          <w:tcPr>
            <w:tcW w:w="605" w:type="pct"/>
            <w:vAlign w:val="center"/>
          </w:tcPr>
          <w:p w14:paraId="02AAEF00">
            <w:pPr>
              <w:pStyle w:val="286"/>
              <w:spacing w:line="280" w:lineRule="exact"/>
              <w:rPr>
                <w:rFonts w:hint="eastAsia" w:cs="Arial"/>
                <w:sz w:val="21"/>
              </w:rPr>
            </w:pPr>
            <w:r>
              <w:rPr>
                <w:rFonts w:hint="eastAsia" w:cs="Arial"/>
                <w:sz w:val="21"/>
              </w:rPr>
              <w:t>声环境</w:t>
            </w:r>
          </w:p>
        </w:tc>
        <w:tc>
          <w:tcPr>
            <w:tcW w:w="2724" w:type="pct"/>
            <w:vAlign w:val="center"/>
          </w:tcPr>
          <w:p w14:paraId="729F8533">
            <w:pPr>
              <w:pStyle w:val="286"/>
              <w:spacing w:line="280" w:lineRule="exact"/>
              <w:rPr>
                <w:rFonts w:hint="eastAsia" w:cs="Arial"/>
                <w:sz w:val="21"/>
              </w:rPr>
            </w:pPr>
            <w:r>
              <w:rPr>
                <w:rFonts w:hint="eastAsia" w:cs="Arial"/>
                <w:sz w:val="21"/>
              </w:rPr>
              <w:t>退役期间加强施工设备维护保养，合理安排施工时间。</w:t>
            </w:r>
          </w:p>
        </w:tc>
        <w:tc>
          <w:tcPr>
            <w:tcW w:w="650" w:type="pct"/>
            <w:vMerge w:val="continue"/>
            <w:vAlign w:val="center"/>
          </w:tcPr>
          <w:p w14:paraId="6CC5EA31">
            <w:pPr>
              <w:pStyle w:val="286"/>
              <w:spacing w:line="280" w:lineRule="exact"/>
              <w:rPr>
                <w:rFonts w:hint="eastAsia" w:cs="Arial"/>
                <w:sz w:val="21"/>
              </w:rPr>
            </w:pPr>
          </w:p>
        </w:tc>
        <w:tc>
          <w:tcPr>
            <w:tcW w:w="615" w:type="pct"/>
            <w:vMerge w:val="continue"/>
            <w:vAlign w:val="center"/>
          </w:tcPr>
          <w:p w14:paraId="7FB64385">
            <w:pPr>
              <w:pStyle w:val="286"/>
              <w:spacing w:line="280" w:lineRule="exact"/>
              <w:rPr>
                <w:rFonts w:hint="eastAsia" w:cs="Arial"/>
                <w:sz w:val="21"/>
              </w:rPr>
            </w:pPr>
          </w:p>
        </w:tc>
      </w:tr>
      <w:tr w14:paraId="10483C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6" w:type="pct"/>
            <w:vAlign w:val="center"/>
          </w:tcPr>
          <w:p w14:paraId="2DB1BD68">
            <w:pPr>
              <w:pStyle w:val="286"/>
              <w:spacing w:line="280" w:lineRule="exact"/>
              <w:rPr>
                <w:rFonts w:hint="eastAsia" w:cs="Arial"/>
                <w:sz w:val="21"/>
              </w:rPr>
            </w:pPr>
            <w:r>
              <w:rPr>
                <w:rFonts w:hint="eastAsia" w:cs="Arial"/>
                <w:sz w:val="21"/>
              </w:rPr>
              <w:t>3</w:t>
            </w:r>
          </w:p>
        </w:tc>
        <w:tc>
          <w:tcPr>
            <w:tcW w:w="605" w:type="pct"/>
            <w:vAlign w:val="center"/>
          </w:tcPr>
          <w:p w14:paraId="16BC128E">
            <w:pPr>
              <w:pStyle w:val="286"/>
              <w:spacing w:line="280" w:lineRule="exact"/>
              <w:rPr>
                <w:rFonts w:hint="eastAsia" w:cs="Arial"/>
                <w:sz w:val="21"/>
              </w:rPr>
            </w:pPr>
            <w:r>
              <w:rPr>
                <w:rFonts w:hint="eastAsia" w:cs="Arial"/>
                <w:sz w:val="21"/>
              </w:rPr>
              <w:t>大气环境</w:t>
            </w:r>
          </w:p>
        </w:tc>
        <w:tc>
          <w:tcPr>
            <w:tcW w:w="2724" w:type="pct"/>
            <w:vAlign w:val="center"/>
          </w:tcPr>
          <w:p w14:paraId="482087E9">
            <w:pPr>
              <w:pStyle w:val="286"/>
              <w:spacing w:line="280" w:lineRule="exact"/>
              <w:rPr>
                <w:rFonts w:hint="eastAsia" w:cs="Arial"/>
                <w:sz w:val="21"/>
              </w:rPr>
            </w:pPr>
            <w:r>
              <w:rPr>
                <w:rFonts w:hint="eastAsia" w:cs="Arial"/>
                <w:sz w:val="21"/>
              </w:rPr>
              <w:t>在对原有的设备拆卸、转移过程中会产生一定的扬尘，闭井工作避开大风等恶劣天气，避免对周围空气造成影响。</w:t>
            </w:r>
          </w:p>
        </w:tc>
        <w:tc>
          <w:tcPr>
            <w:tcW w:w="650" w:type="pct"/>
            <w:vMerge w:val="continue"/>
            <w:vAlign w:val="center"/>
          </w:tcPr>
          <w:p w14:paraId="230AC392">
            <w:pPr>
              <w:pStyle w:val="286"/>
              <w:spacing w:line="280" w:lineRule="exact"/>
              <w:rPr>
                <w:rFonts w:hint="eastAsia" w:cs="Arial"/>
                <w:sz w:val="21"/>
              </w:rPr>
            </w:pPr>
          </w:p>
        </w:tc>
        <w:tc>
          <w:tcPr>
            <w:tcW w:w="615" w:type="pct"/>
            <w:vMerge w:val="continue"/>
            <w:vAlign w:val="center"/>
          </w:tcPr>
          <w:p w14:paraId="6EFD8E47">
            <w:pPr>
              <w:pStyle w:val="286"/>
              <w:spacing w:line="280" w:lineRule="exact"/>
              <w:rPr>
                <w:rFonts w:hint="eastAsia" w:cs="Arial"/>
                <w:sz w:val="21"/>
              </w:rPr>
            </w:pPr>
          </w:p>
        </w:tc>
      </w:tr>
      <w:tr w14:paraId="2C1DAD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6" w:type="pct"/>
            <w:vAlign w:val="center"/>
          </w:tcPr>
          <w:p w14:paraId="3E4A58EF">
            <w:pPr>
              <w:pStyle w:val="286"/>
              <w:spacing w:line="280" w:lineRule="exact"/>
              <w:rPr>
                <w:rFonts w:hint="eastAsia" w:cs="Arial"/>
                <w:sz w:val="21"/>
              </w:rPr>
            </w:pPr>
            <w:r>
              <w:rPr>
                <w:rFonts w:hint="eastAsia" w:cs="Arial"/>
                <w:sz w:val="21"/>
              </w:rPr>
              <w:t>4</w:t>
            </w:r>
          </w:p>
        </w:tc>
        <w:tc>
          <w:tcPr>
            <w:tcW w:w="605" w:type="pct"/>
            <w:vAlign w:val="center"/>
          </w:tcPr>
          <w:p w14:paraId="45429301">
            <w:pPr>
              <w:pStyle w:val="286"/>
              <w:spacing w:line="280" w:lineRule="exact"/>
              <w:rPr>
                <w:rFonts w:hint="eastAsia" w:cs="Arial"/>
                <w:sz w:val="21"/>
              </w:rPr>
            </w:pPr>
            <w:r>
              <w:rPr>
                <w:rFonts w:hint="eastAsia" w:cs="Arial"/>
                <w:sz w:val="21"/>
              </w:rPr>
              <w:t>水环境</w:t>
            </w:r>
          </w:p>
        </w:tc>
        <w:tc>
          <w:tcPr>
            <w:tcW w:w="2724" w:type="pct"/>
            <w:vAlign w:val="center"/>
          </w:tcPr>
          <w:p w14:paraId="260E6076">
            <w:pPr>
              <w:pStyle w:val="286"/>
              <w:spacing w:line="280" w:lineRule="exact"/>
              <w:rPr>
                <w:rFonts w:hint="eastAsia" w:cs="Arial"/>
                <w:sz w:val="21"/>
              </w:rPr>
            </w:pPr>
            <w:r>
              <w:rPr>
                <w:rFonts w:hint="eastAsia" w:cs="Arial"/>
                <w:sz w:val="21"/>
              </w:rPr>
              <w:t>管线进行清扫封堵，产生的废液送至压裂返排液处理装置处理。</w:t>
            </w:r>
          </w:p>
        </w:tc>
        <w:tc>
          <w:tcPr>
            <w:tcW w:w="650" w:type="pct"/>
            <w:vMerge w:val="continue"/>
            <w:vAlign w:val="center"/>
          </w:tcPr>
          <w:p w14:paraId="10975334">
            <w:pPr>
              <w:pStyle w:val="286"/>
              <w:spacing w:line="280" w:lineRule="exact"/>
              <w:rPr>
                <w:rFonts w:hint="eastAsia" w:cs="Arial"/>
                <w:sz w:val="21"/>
              </w:rPr>
            </w:pPr>
          </w:p>
        </w:tc>
        <w:tc>
          <w:tcPr>
            <w:tcW w:w="615" w:type="pct"/>
            <w:vMerge w:val="continue"/>
            <w:vAlign w:val="center"/>
          </w:tcPr>
          <w:p w14:paraId="185FBE8C">
            <w:pPr>
              <w:pStyle w:val="286"/>
              <w:spacing w:line="280" w:lineRule="exact"/>
              <w:rPr>
                <w:rFonts w:hint="eastAsia" w:cs="Arial"/>
                <w:sz w:val="21"/>
              </w:rPr>
            </w:pPr>
          </w:p>
        </w:tc>
      </w:tr>
      <w:tr w14:paraId="1F63B6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6" w:type="pct"/>
            <w:vAlign w:val="center"/>
          </w:tcPr>
          <w:p w14:paraId="0990C4F2">
            <w:pPr>
              <w:pStyle w:val="286"/>
              <w:spacing w:line="280" w:lineRule="exact"/>
              <w:rPr>
                <w:rFonts w:hint="eastAsia" w:cs="Arial"/>
                <w:sz w:val="21"/>
              </w:rPr>
            </w:pPr>
            <w:r>
              <w:rPr>
                <w:rFonts w:hint="eastAsia" w:cs="Arial"/>
                <w:sz w:val="21"/>
              </w:rPr>
              <w:t>5</w:t>
            </w:r>
          </w:p>
        </w:tc>
        <w:tc>
          <w:tcPr>
            <w:tcW w:w="605" w:type="pct"/>
            <w:vAlign w:val="center"/>
          </w:tcPr>
          <w:p w14:paraId="11E02A92">
            <w:pPr>
              <w:pStyle w:val="286"/>
              <w:spacing w:line="280" w:lineRule="exact"/>
              <w:rPr>
                <w:rFonts w:hint="eastAsia" w:cs="Arial"/>
                <w:sz w:val="21"/>
              </w:rPr>
            </w:pPr>
            <w:r>
              <w:rPr>
                <w:rFonts w:hint="eastAsia" w:cs="Arial"/>
                <w:sz w:val="21"/>
              </w:rPr>
              <w:t>固体废物</w:t>
            </w:r>
          </w:p>
        </w:tc>
        <w:tc>
          <w:tcPr>
            <w:tcW w:w="2724" w:type="pct"/>
            <w:vAlign w:val="center"/>
          </w:tcPr>
          <w:p w14:paraId="5FCDCE6C">
            <w:pPr>
              <w:pStyle w:val="286"/>
              <w:spacing w:line="280" w:lineRule="exact"/>
              <w:rPr>
                <w:rFonts w:hint="eastAsia" w:cs="Arial"/>
                <w:sz w:val="21"/>
              </w:rPr>
            </w:pPr>
            <w:r>
              <w:rPr>
                <w:rFonts w:hint="eastAsia" w:cs="Arial"/>
                <w:sz w:val="21"/>
              </w:rPr>
              <w:t>固体废弃物分类收集，及时清运。</w:t>
            </w:r>
          </w:p>
        </w:tc>
        <w:tc>
          <w:tcPr>
            <w:tcW w:w="650" w:type="pct"/>
            <w:vMerge w:val="continue"/>
            <w:vAlign w:val="center"/>
          </w:tcPr>
          <w:p w14:paraId="7574E597">
            <w:pPr>
              <w:pStyle w:val="286"/>
              <w:spacing w:line="280" w:lineRule="exact"/>
              <w:rPr>
                <w:rFonts w:hint="eastAsia" w:cs="Arial"/>
                <w:sz w:val="21"/>
              </w:rPr>
            </w:pPr>
          </w:p>
        </w:tc>
        <w:tc>
          <w:tcPr>
            <w:tcW w:w="615" w:type="pct"/>
            <w:vMerge w:val="continue"/>
            <w:vAlign w:val="center"/>
          </w:tcPr>
          <w:p w14:paraId="2098C253">
            <w:pPr>
              <w:pStyle w:val="286"/>
              <w:spacing w:line="280" w:lineRule="exact"/>
              <w:rPr>
                <w:rFonts w:hint="eastAsia" w:cs="Arial"/>
                <w:sz w:val="21"/>
              </w:rPr>
            </w:pPr>
          </w:p>
        </w:tc>
      </w:tr>
    </w:tbl>
    <w:p w14:paraId="4F57907B">
      <w:pPr>
        <w:pStyle w:val="2"/>
        <w:rPr>
          <w:rFonts w:hint="eastAsia"/>
        </w:rPr>
      </w:pPr>
      <w:bookmarkStart w:id="762" w:name="_Toc160382111"/>
      <w:bookmarkStart w:id="763" w:name="_Toc459026610"/>
      <w:bookmarkStart w:id="764" w:name="_Toc468307962"/>
      <w:bookmarkStart w:id="765" w:name="_Toc471933679"/>
      <w:r>
        <w:rPr>
          <w:rFonts w:hint="eastAsia"/>
        </w:rPr>
        <w:t>污染物排放的管理要求</w:t>
      </w:r>
      <w:bookmarkEnd w:id="762"/>
    </w:p>
    <w:p w14:paraId="2507AB8E">
      <w:pPr>
        <w:pStyle w:val="117"/>
        <w:ind w:firstLine="480"/>
        <w:jc w:val="left"/>
        <w:rPr>
          <w:rFonts w:hint="eastAsia"/>
        </w:rPr>
      </w:pPr>
      <w:r>
        <w:rPr>
          <w:rFonts w:hint="eastAsia"/>
        </w:rPr>
        <w:t>污染物排放清单及管理要求见表</w:t>
      </w:r>
      <w:r>
        <w:t>7</w:t>
      </w:r>
      <w:r>
        <w:rPr>
          <w:rFonts w:hint="eastAsia"/>
        </w:rPr>
        <w:t>.3-1、表</w:t>
      </w:r>
      <w:r>
        <w:t>7</w:t>
      </w:r>
      <w:r>
        <w:rPr>
          <w:rFonts w:hint="eastAsia"/>
        </w:rPr>
        <w:t>.3-</w:t>
      </w:r>
      <w:r>
        <w:t>2</w:t>
      </w:r>
      <w:r>
        <w:rPr>
          <w:rFonts w:hint="eastAsia"/>
        </w:rPr>
        <w:t>、表7.3-3。</w:t>
      </w:r>
    </w:p>
    <w:p w14:paraId="5E97FCD2">
      <w:pPr>
        <w:pStyle w:val="2"/>
        <w:rPr>
          <w:rFonts w:hint="eastAsia"/>
        </w:rPr>
      </w:pPr>
      <w:bookmarkStart w:id="766" w:name="_Toc160382112"/>
      <w:r>
        <w:rPr>
          <w:rFonts w:hint="eastAsia"/>
        </w:rPr>
        <w:t>企业环境信息公开</w:t>
      </w:r>
      <w:bookmarkEnd w:id="766"/>
    </w:p>
    <w:p w14:paraId="07CAFD74">
      <w:pPr>
        <w:pStyle w:val="117"/>
        <w:ind w:firstLine="480"/>
        <w:rPr>
          <w:rFonts w:hint="eastAsia"/>
        </w:rPr>
      </w:pPr>
      <w:r>
        <w:rPr>
          <w:rFonts w:hint="eastAsia"/>
        </w:rPr>
        <w:t>中国石油新疆油田分公司吉庆油田作业区应根据《企业环境信息依法披露管理办法》（生态环境部 部令第2</w:t>
      </w:r>
      <w:r>
        <w:t>4</w:t>
      </w:r>
      <w:r>
        <w:rPr>
          <w:rFonts w:hint="eastAsia"/>
        </w:rPr>
        <w:t>号）、《企业环境信息依法披露格式准则》（环办综合〔2</w:t>
      </w:r>
      <w:r>
        <w:t>021</w:t>
      </w:r>
      <w:r>
        <w:rPr>
          <w:rFonts w:hint="eastAsia"/>
        </w:rPr>
        <w:t>〕3</w:t>
      </w:r>
      <w:r>
        <w:t>2</w:t>
      </w:r>
      <w:r>
        <w:rPr>
          <w:rFonts w:hint="eastAsia"/>
        </w:rPr>
        <w:t>号</w:t>
      </w:r>
      <w:r>
        <w:t>）规定，并结合新疆</w:t>
      </w:r>
      <w:r>
        <w:rPr>
          <w:rFonts w:hint="eastAsia"/>
        </w:rPr>
        <w:t>维吾尔自治区</w:t>
      </w:r>
      <w:r>
        <w:t>的相关要求，可通过政府网站、报刊、广播、电视等便于公众知晓的方式公布。公司应公开以下内容：</w:t>
      </w:r>
    </w:p>
    <w:p w14:paraId="1169F39B">
      <w:pPr>
        <w:pStyle w:val="117"/>
        <w:ind w:firstLine="480"/>
        <w:rPr>
          <w:rFonts w:hint="eastAsia"/>
        </w:rPr>
      </w:pPr>
      <w:r>
        <w:rPr>
          <w:rFonts w:hint="eastAsia"/>
        </w:rPr>
        <w:t>（</w:t>
      </w:r>
      <w:r>
        <w:t>1）</w:t>
      </w:r>
      <w:r>
        <w:rPr>
          <w:rFonts w:hint="eastAsia"/>
        </w:rPr>
        <w:t>企业基本</w:t>
      </w:r>
      <w:r>
        <w:t>信息，包括</w:t>
      </w:r>
      <w:r>
        <w:rPr>
          <w:rFonts w:hint="eastAsia"/>
        </w:rPr>
        <w:t>中文名称、法定代表人、注册地址、生产地址、行业类别、企业联系人及联系方式、企业性质、以及属于重点排污单位、实施强制性清洁生产审核的企业等情况，还包括主要产品与服务、生产工艺的名称，以及生产工艺属于国家、地方等公布的鼓励类、限制类或淘汰类目录（名录）的情况</w:t>
      </w:r>
      <w:r>
        <w:t>；</w:t>
      </w:r>
    </w:p>
    <w:p w14:paraId="416C85F9">
      <w:pPr>
        <w:pStyle w:val="117"/>
        <w:ind w:firstLine="480"/>
        <w:rPr>
          <w:rFonts w:hint="eastAsia"/>
        </w:rPr>
      </w:pPr>
      <w:r>
        <w:rPr>
          <w:rFonts w:hint="eastAsia"/>
        </w:rPr>
        <w:t>（</w:t>
      </w:r>
      <w:r>
        <w:t>2）</w:t>
      </w:r>
      <w:r>
        <w:rPr>
          <w:rFonts w:hint="eastAsia"/>
        </w:rPr>
        <w:t>环境管理</w:t>
      </w:r>
      <w:r>
        <w:t>信息，</w:t>
      </w:r>
      <w:r>
        <w:rPr>
          <w:rFonts w:hint="eastAsia"/>
        </w:rPr>
        <w:t>主要为有效期内或正在申请核发或变更的全部生态环境行政许可（包括但不限于排污许可、建设项目环境影响评价等）的相关信息；还包括环境保护税缴纳信息、依法投保环境污染责任保险信息、环保信用评价等级等情况；</w:t>
      </w:r>
    </w:p>
    <w:p w14:paraId="30931768">
      <w:pPr>
        <w:pStyle w:val="117"/>
        <w:ind w:firstLine="480"/>
        <w:rPr>
          <w:rFonts w:hint="eastAsia"/>
        </w:rPr>
      </w:pPr>
      <w:r>
        <w:rPr>
          <w:rFonts w:hint="eastAsia"/>
        </w:rPr>
        <w:t>（3）污染物产生、治理与排放信息，</w:t>
      </w:r>
      <w:r>
        <w:t>包括主要</w:t>
      </w:r>
      <w:r>
        <w:rPr>
          <w:rFonts w:hint="eastAsia"/>
        </w:rPr>
        <w:t>污染防治设施的名称、对应的产污环节、处理的污染物、对应排污口的名称、编号、年度非正常运行的设施名称、排放的污染物、次数、日期及时长、主要原因；污染防治设施由第三方负责运行维</w:t>
      </w:r>
    </w:p>
    <w:p w14:paraId="18C1FBCB">
      <w:pPr>
        <w:pStyle w:val="117"/>
        <w:ind w:firstLine="480"/>
        <w:jc w:val="left"/>
        <w:rPr>
          <w:rFonts w:hint="eastAsia"/>
        </w:rPr>
        <w:sectPr>
          <w:pgSz w:w="11906" w:h="16838"/>
          <w:pgMar w:top="1418" w:right="1588" w:bottom="1418" w:left="1588" w:header="1020" w:footer="1020" w:gutter="0"/>
          <w:cols w:space="720" w:num="1"/>
          <w:docGrid w:type="lines" w:linePitch="312" w:charSpace="0"/>
        </w:sectPr>
      </w:pPr>
    </w:p>
    <w:p w14:paraId="58AA6911">
      <w:pPr>
        <w:pStyle w:val="15"/>
        <w:rPr>
          <w:rFonts w:hint="eastAsia"/>
        </w:rPr>
      </w:pPr>
      <w:bookmarkStart w:id="767" w:name="OLE_LINK406"/>
      <w:r>
        <w:rPr>
          <w:rFonts w:hint="eastAsia"/>
        </w:rPr>
        <w:t>表</w:t>
      </w:r>
      <w:r>
        <w:t>7.3</w:t>
      </w:r>
      <w:r>
        <w:rPr>
          <w:rFonts w:hint="eastAsia"/>
        </w:rPr>
        <w:t>-</w:t>
      </w:r>
      <w:r>
        <w:t>1</w:t>
      </w:r>
      <w:r>
        <w:rPr>
          <w:rFonts w:hint="eastAsia"/>
        </w:rPr>
        <w:t xml:space="preserve"> </w:t>
      </w:r>
      <w:r>
        <w:t xml:space="preserve"> </w:t>
      </w:r>
      <w:r>
        <w:rPr>
          <w:rFonts w:hint="eastAsia"/>
        </w:rPr>
        <w:t>一期工程无组织废气污染物排放清单</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350"/>
        <w:gridCol w:w="1134"/>
        <w:gridCol w:w="1417"/>
        <w:gridCol w:w="5245"/>
        <w:gridCol w:w="1873"/>
        <w:gridCol w:w="2347"/>
      </w:tblGrid>
      <w:tr w14:paraId="36A513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tcMar>
              <w:left w:w="0" w:type="dxa"/>
              <w:right w:w="0" w:type="dxa"/>
            </w:tcMar>
            <w:vAlign w:val="center"/>
          </w:tcPr>
          <w:p w14:paraId="1C8D9FC6">
            <w:pPr>
              <w:adjustRightInd w:val="0"/>
              <w:snapToGrid w:val="0"/>
              <w:spacing w:line="300" w:lineRule="exact"/>
              <w:jc w:val="center"/>
              <w:rPr>
                <w:rFonts w:hint="eastAsia" w:ascii="宋体" w:hAnsi="宋体"/>
                <w:szCs w:val="21"/>
              </w:rPr>
            </w:pPr>
            <w:r>
              <w:rPr>
                <w:rFonts w:hint="eastAsia" w:ascii="宋体" w:hAnsi="宋体"/>
                <w:szCs w:val="21"/>
              </w:rPr>
              <w:t>序号</w:t>
            </w:r>
          </w:p>
        </w:tc>
        <w:tc>
          <w:tcPr>
            <w:tcW w:w="482" w:type="pct"/>
            <w:vAlign w:val="center"/>
          </w:tcPr>
          <w:p w14:paraId="24C3810C">
            <w:pPr>
              <w:adjustRightInd w:val="0"/>
              <w:snapToGrid w:val="0"/>
              <w:spacing w:line="300" w:lineRule="exact"/>
              <w:jc w:val="center"/>
              <w:rPr>
                <w:rFonts w:hint="eastAsia" w:ascii="宋体" w:hAnsi="宋体"/>
                <w:szCs w:val="21"/>
              </w:rPr>
            </w:pPr>
            <w:r>
              <w:rPr>
                <w:rFonts w:hint="eastAsia" w:ascii="宋体" w:hAnsi="宋体"/>
                <w:szCs w:val="21"/>
              </w:rPr>
              <w:t>污染源</w:t>
            </w:r>
          </w:p>
        </w:tc>
        <w:tc>
          <w:tcPr>
            <w:tcW w:w="405" w:type="pct"/>
            <w:tcMar>
              <w:left w:w="0" w:type="dxa"/>
              <w:right w:w="0" w:type="dxa"/>
            </w:tcMar>
            <w:vAlign w:val="center"/>
          </w:tcPr>
          <w:p w14:paraId="5EC53ABA">
            <w:pPr>
              <w:adjustRightInd w:val="0"/>
              <w:snapToGrid w:val="0"/>
              <w:spacing w:line="300" w:lineRule="exact"/>
              <w:jc w:val="center"/>
              <w:rPr>
                <w:rFonts w:hint="eastAsia" w:ascii="宋体" w:hAnsi="宋体"/>
                <w:szCs w:val="21"/>
              </w:rPr>
            </w:pPr>
            <w:r>
              <w:rPr>
                <w:rFonts w:hint="eastAsia" w:ascii="宋体" w:hAnsi="宋体"/>
                <w:szCs w:val="21"/>
              </w:rPr>
              <w:t>污染物</w:t>
            </w:r>
          </w:p>
        </w:tc>
        <w:tc>
          <w:tcPr>
            <w:tcW w:w="506" w:type="pct"/>
            <w:tcMar>
              <w:left w:w="0" w:type="dxa"/>
              <w:right w:w="0" w:type="dxa"/>
            </w:tcMar>
            <w:vAlign w:val="center"/>
          </w:tcPr>
          <w:p w14:paraId="4F6ADAD8">
            <w:pPr>
              <w:adjustRightInd w:val="0"/>
              <w:snapToGrid w:val="0"/>
              <w:spacing w:line="300" w:lineRule="exact"/>
              <w:jc w:val="center"/>
              <w:rPr>
                <w:rFonts w:hint="eastAsia" w:ascii="宋体" w:hAnsi="宋体"/>
                <w:szCs w:val="21"/>
              </w:rPr>
            </w:pPr>
            <w:r>
              <w:rPr>
                <w:rFonts w:hint="eastAsia" w:ascii="宋体" w:hAnsi="宋体"/>
                <w:szCs w:val="21"/>
              </w:rPr>
              <w:t>产生量</w:t>
            </w:r>
          </w:p>
        </w:tc>
        <w:tc>
          <w:tcPr>
            <w:tcW w:w="1873" w:type="pct"/>
            <w:tcMar>
              <w:left w:w="0" w:type="dxa"/>
              <w:right w:w="0" w:type="dxa"/>
            </w:tcMar>
            <w:vAlign w:val="center"/>
          </w:tcPr>
          <w:p w14:paraId="515A8090">
            <w:pPr>
              <w:adjustRightInd w:val="0"/>
              <w:snapToGrid w:val="0"/>
              <w:spacing w:line="300" w:lineRule="exact"/>
              <w:jc w:val="center"/>
              <w:rPr>
                <w:rFonts w:hint="eastAsia" w:ascii="宋体" w:hAnsi="宋体"/>
                <w:szCs w:val="21"/>
              </w:rPr>
            </w:pPr>
            <w:r>
              <w:rPr>
                <w:rFonts w:hint="eastAsia" w:ascii="宋体" w:hAnsi="宋体"/>
                <w:szCs w:val="21"/>
              </w:rPr>
              <w:t>治理措施</w:t>
            </w:r>
          </w:p>
        </w:tc>
        <w:tc>
          <w:tcPr>
            <w:tcW w:w="669" w:type="pct"/>
            <w:tcMar>
              <w:left w:w="0" w:type="dxa"/>
              <w:right w:w="0" w:type="dxa"/>
            </w:tcMar>
            <w:vAlign w:val="center"/>
          </w:tcPr>
          <w:p w14:paraId="1802E3F7">
            <w:pPr>
              <w:adjustRightInd w:val="0"/>
              <w:snapToGrid w:val="0"/>
              <w:spacing w:line="300" w:lineRule="exact"/>
              <w:jc w:val="center"/>
              <w:rPr>
                <w:rFonts w:hint="eastAsia" w:ascii="宋体" w:hAnsi="宋体"/>
                <w:szCs w:val="21"/>
              </w:rPr>
            </w:pPr>
            <w:r>
              <w:rPr>
                <w:rFonts w:hint="eastAsia" w:ascii="宋体" w:hAnsi="宋体"/>
                <w:szCs w:val="21"/>
              </w:rPr>
              <w:t>实际排放量</w:t>
            </w:r>
          </w:p>
        </w:tc>
        <w:tc>
          <w:tcPr>
            <w:tcW w:w="838" w:type="pct"/>
            <w:tcMar>
              <w:left w:w="0" w:type="dxa"/>
              <w:right w:w="0" w:type="dxa"/>
            </w:tcMar>
            <w:vAlign w:val="center"/>
          </w:tcPr>
          <w:p w14:paraId="41F0316E">
            <w:pPr>
              <w:adjustRightInd w:val="0"/>
              <w:snapToGrid w:val="0"/>
              <w:spacing w:line="300" w:lineRule="exact"/>
              <w:jc w:val="center"/>
              <w:rPr>
                <w:rFonts w:hint="eastAsia" w:ascii="宋体" w:hAnsi="宋体"/>
                <w:szCs w:val="21"/>
              </w:rPr>
            </w:pPr>
            <w:r>
              <w:rPr>
                <w:rFonts w:hint="eastAsia" w:ascii="宋体" w:hAnsi="宋体"/>
                <w:szCs w:val="21"/>
              </w:rPr>
              <w:t>厂界浓度（mg</w:t>
            </w:r>
            <w:r>
              <w:rPr>
                <w:rFonts w:ascii="宋体" w:hAnsi="宋体"/>
                <w:szCs w:val="21"/>
              </w:rPr>
              <w:t>/</w:t>
            </w:r>
            <w:r>
              <w:rPr>
                <w:rFonts w:hint="eastAsia" w:ascii="宋体" w:hAnsi="宋体"/>
                <w:szCs w:val="21"/>
              </w:rPr>
              <w:t>m</w:t>
            </w:r>
            <w:r>
              <w:rPr>
                <w:rFonts w:ascii="宋体" w:hAnsi="宋体"/>
                <w:szCs w:val="21"/>
                <w:vertAlign w:val="superscript"/>
              </w:rPr>
              <w:t>3</w:t>
            </w:r>
            <w:r>
              <w:rPr>
                <w:rFonts w:hint="eastAsia" w:ascii="宋体" w:hAnsi="宋体"/>
                <w:szCs w:val="21"/>
              </w:rPr>
              <w:t>）</w:t>
            </w:r>
          </w:p>
        </w:tc>
      </w:tr>
      <w:tr w14:paraId="472F40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restart"/>
            <w:tcMar>
              <w:left w:w="0" w:type="dxa"/>
              <w:right w:w="0" w:type="dxa"/>
            </w:tcMar>
            <w:vAlign w:val="center"/>
          </w:tcPr>
          <w:p w14:paraId="75E4BEC8">
            <w:pPr>
              <w:adjustRightInd w:val="0"/>
              <w:snapToGrid w:val="0"/>
              <w:spacing w:line="300" w:lineRule="exact"/>
              <w:jc w:val="center"/>
              <w:rPr>
                <w:rFonts w:hint="eastAsia" w:ascii="宋体" w:hAnsi="宋体"/>
                <w:szCs w:val="21"/>
              </w:rPr>
            </w:pPr>
            <w:bookmarkStart w:id="768" w:name="_Hlk173437104"/>
            <w:bookmarkStart w:id="769" w:name="_Hlk173929176"/>
            <w:r>
              <w:rPr>
                <w:rFonts w:hint="eastAsia" w:ascii="宋体" w:hAnsi="宋体"/>
                <w:szCs w:val="21"/>
              </w:rPr>
              <w:t>1</w:t>
            </w:r>
          </w:p>
        </w:tc>
        <w:tc>
          <w:tcPr>
            <w:tcW w:w="482" w:type="pct"/>
            <w:vMerge w:val="restart"/>
            <w:vAlign w:val="center"/>
          </w:tcPr>
          <w:p w14:paraId="0E2587EA">
            <w:pPr>
              <w:adjustRightInd w:val="0"/>
              <w:snapToGrid w:val="0"/>
              <w:spacing w:line="300" w:lineRule="exact"/>
              <w:jc w:val="center"/>
              <w:rPr>
                <w:rFonts w:hint="eastAsia" w:ascii="宋体" w:hAnsi="宋体"/>
                <w:szCs w:val="21"/>
              </w:rPr>
            </w:pPr>
            <w:r>
              <w:rPr>
                <w:rFonts w:hint="eastAsia" w:ascii="宋体" w:hAnsi="宋体"/>
                <w:szCs w:val="21"/>
              </w:rPr>
              <w:t>采油井场</w:t>
            </w:r>
          </w:p>
        </w:tc>
        <w:tc>
          <w:tcPr>
            <w:tcW w:w="405" w:type="pct"/>
            <w:tcMar>
              <w:left w:w="0" w:type="dxa"/>
              <w:right w:w="0" w:type="dxa"/>
            </w:tcMar>
            <w:vAlign w:val="center"/>
          </w:tcPr>
          <w:p w14:paraId="50DBC4EB">
            <w:pPr>
              <w:adjustRightInd w:val="0"/>
              <w:snapToGrid w:val="0"/>
              <w:spacing w:line="300" w:lineRule="exact"/>
              <w:jc w:val="center"/>
              <w:rPr>
                <w:rFonts w:hint="eastAsia" w:ascii="宋体" w:hAnsi="宋体"/>
                <w:szCs w:val="21"/>
              </w:rPr>
            </w:pPr>
            <w:bookmarkStart w:id="770" w:name="OLE_LINK106"/>
            <w:r>
              <w:rPr>
                <w:rFonts w:hint="eastAsia" w:ascii="宋体" w:hAnsi="宋体"/>
                <w:szCs w:val="21"/>
              </w:rPr>
              <w:t>N</w:t>
            </w:r>
            <w:r>
              <w:rPr>
                <w:rFonts w:ascii="宋体" w:hAnsi="宋体"/>
                <w:szCs w:val="21"/>
              </w:rPr>
              <w:t>MHC</w:t>
            </w:r>
            <w:bookmarkEnd w:id="770"/>
          </w:p>
        </w:tc>
        <w:tc>
          <w:tcPr>
            <w:tcW w:w="506" w:type="pct"/>
            <w:tcMar>
              <w:left w:w="0" w:type="dxa"/>
              <w:right w:w="0" w:type="dxa"/>
            </w:tcMar>
            <w:vAlign w:val="center"/>
          </w:tcPr>
          <w:p w14:paraId="1A1E4BF5">
            <w:pPr>
              <w:adjustRightInd w:val="0"/>
              <w:snapToGrid w:val="0"/>
              <w:spacing w:line="300" w:lineRule="exact"/>
              <w:jc w:val="center"/>
              <w:rPr>
                <w:rFonts w:hint="eastAsia" w:ascii="宋体" w:hAnsi="宋体"/>
                <w:szCs w:val="21"/>
              </w:rPr>
            </w:pPr>
            <w:r>
              <w:rPr>
                <w:rFonts w:hint="eastAsia" w:ascii="宋体" w:hAnsi="宋体"/>
                <w:szCs w:val="21"/>
              </w:rPr>
              <w:t>0.3386t/a</w:t>
            </w:r>
          </w:p>
        </w:tc>
        <w:tc>
          <w:tcPr>
            <w:tcW w:w="1873" w:type="pct"/>
            <w:vMerge w:val="restart"/>
            <w:tcMar>
              <w:left w:w="0" w:type="dxa"/>
              <w:right w:w="0" w:type="dxa"/>
            </w:tcMar>
            <w:vAlign w:val="center"/>
          </w:tcPr>
          <w:p w14:paraId="1754AEA7">
            <w:pPr>
              <w:adjustRightInd w:val="0"/>
              <w:snapToGrid w:val="0"/>
              <w:spacing w:line="300" w:lineRule="exact"/>
              <w:jc w:val="center"/>
              <w:rPr>
                <w:rFonts w:hint="eastAsia" w:ascii="宋体" w:hAnsi="宋体"/>
                <w:szCs w:val="21"/>
              </w:rPr>
            </w:pPr>
            <w:r>
              <w:rPr>
                <w:rFonts w:hint="eastAsia" w:ascii="宋体" w:hAnsi="宋体" w:cs="宋体"/>
                <w:bCs/>
                <w:snapToGrid w:val="0"/>
                <w:szCs w:val="21"/>
              </w:rPr>
              <w:t>选用质量可靠的设备、仪表、阀门等；定期对设备、阀门等检查</w:t>
            </w:r>
          </w:p>
        </w:tc>
        <w:tc>
          <w:tcPr>
            <w:tcW w:w="669" w:type="pct"/>
            <w:tcMar>
              <w:left w:w="0" w:type="dxa"/>
              <w:right w:w="0" w:type="dxa"/>
            </w:tcMar>
            <w:vAlign w:val="center"/>
          </w:tcPr>
          <w:p w14:paraId="26BCFC6F">
            <w:pPr>
              <w:adjustRightInd w:val="0"/>
              <w:snapToGrid w:val="0"/>
              <w:spacing w:line="300" w:lineRule="exact"/>
              <w:jc w:val="center"/>
              <w:rPr>
                <w:rFonts w:hint="eastAsia" w:ascii="宋体" w:hAnsi="宋体"/>
                <w:szCs w:val="21"/>
              </w:rPr>
            </w:pPr>
            <w:r>
              <w:rPr>
                <w:rFonts w:hint="eastAsia" w:ascii="宋体" w:hAnsi="宋体"/>
                <w:szCs w:val="21"/>
              </w:rPr>
              <w:t>0.3386t/a</w:t>
            </w:r>
          </w:p>
        </w:tc>
        <w:tc>
          <w:tcPr>
            <w:tcW w:w="838" w:type="pct"/>
            <w:tcMar>
              <w:left w:w="0" w:type="dxa"/>
              <w:right w:w="0" w:type="dxa"/>
            </w:tcMar>
            <w:vAlign w:val="center"/>
          </w:tcPr>
          <w:p w14:paraId="3B2CF7E8">
            <w:pPr>
              <w:adjustRightInd w:val="0"/>
              <w:snapToGrid w:val="0"/>
              <w:spacing w:line="300" w:lineRule="exact"/>
              <w:jc w:val="center"/>
              <w:rPr>
                <w:rFonts w:hint="eastAsia" w:ascii="宋体" w:hAnsi="宋体"/>
                <w:szCs w:val="21"/>
              </w:rPr>
            </w:pPr>
            <w:r>
              <w:rPr>
                <w:rFonts w:hint="eastAsia" w:ascii="宋体" w:hAnsi="宋体"/>
                <w:szCs w:val="21"/>
              </w:rPr>
              <w:t>4</w:t>
            </w:r>
          </w:p>
        </w:tc>
      </w:tr>
      <w:tr w14:paraId="011A17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continue"/>
            <w:tcMar>
              <w:left w:w="0" w:type="dxa"/>
              <w:right w:w="0" w:type="dxa"/>
            </w:tcMar>
            <w:vAlign w:val="center"/>
          </w:tcPr>
          <w:p w14:paraId="4690C994">
            <w:pPr>
              <w:adjustRightInd w:val="0"/>
              <w:snapToGrid w:val="0"/>
              <w:spacing w:line="300" w:lineRule="exact"/>
              <w:jc w:val="center"/>
              <w:rPr>
                <w:rFonts w:hint="eastAsia" w:ascii="宋体" w:hAnsi="宋体"/>
                <w:szCs w:val="21"/>
              </w:rPr>
            </w:pPr>
          </w:p>
        </w:tc>
        <w:tc>
          <w:tcPr>
            <w:tcW w:w="482" w:type="pct"/>
            <w:vMerge w:val="continue"/>
            <w:vAlign w:val="center"/>
          </w:tcPr>
          <w:p w14:paraId="3B9218F8">
            <w:pPr>
              <w:adjustRightInd w:val="0"/>
              <w:snapToGrid w:val="0"/>
              <w:spacing w:line="300" w:lineRule="exact"/>
              <w:jc w:val="center"/>
              <w:rPr>
                <w:rFonts w:hint="eastAsia" w:ascii="宋体" w:hAnsi="宋体"/>
                <w:szCs w:val="21"/>
              </w:rPr>
            </w:pPr>
          </w:p>
        </w:tc>
        <w:tc>
          <w:tcPr>
            <w:tcW w:w="405" w:type="pct"/>
            <w:tcMar>
              <w:left w:w="0" w:type="dxa"/>
              <w:right w:w="0" w:type="dxa"/>
            </w:tcMar>
            <w:vAlign w:val="center"/>
          </w:tcPr>
          <w:p w14:paraId="6ED4B2A4">
            <w:pPr>
              <w:adjustRightInd w:val="0"/>
              <w:snapToGrid w:val="0"/>
              <w:spacing w:line="300" w:lineRule="exact"/>
              <w:jc w:val="center"/>
              <w:rPr>
                <w:rFonts w:hint="eastAsia" w:ascii="宋体" w:hAnsi="宋体"/>
                <w:szCs w:val="21"/>
              </w:rPr>
            </w:pPr>
            <w:bookmarkStart w:id="771" w:name="OLE_LINK105"/>
            <w:r>
              <w:rPr>
                <w:rFonts w:hint="eastAsia" w:ascii="宋体" w:hAnsi="宋体"/>
                <w:szCs w:val="21"/>
              </w:rPr>
              <w:t>硫化氢</w:t>
            </w:r>
            <w:bookmarkEnd w:id="771"/>
          </w:p>
        </w:tc>
        <w:tc>
          <w:tcPr>
            <w:tcW w:w="506" w:type="pct"/>
            <w:tcMar>
              <w:left w:w="0" w:type="dxa"/>
              <w:right w:w="0" w:type="dxa"/>
            </w:tcMar>
            <w:vAlign w:val="center"/>
          </w:tcPr>
          <w:p w14:paraId="70D62188">
            <w:pPr>
              <w:adjustRightInd w:val="0"/>
              <w:snapToGrid w:val="0"/>
              <w:spacing w:line="300" w:lineRule="exact"/>
              <w:jc w:val="center"/>
              <w:rPr>
                <w:rFonts w:hint="eastAsia" w:ascii="宋体" w:hAnsi="宋体"/>
                <w:szCs w:val="21"/>
              </w:rPr>
            </w:pPr>
            <w:r>
              <w:rPr>
                <w:rFonts w:hint="eastAsia" w:ascii="宋体" w:hAnsi="宋体"/>
                <w:szCs w:val="21"/>
              </w:rPr>
              <w:t>0.3305kg/a</w:t>
            </w:r>
          </w:p>
        </w:tc>
        <w:tc>
          <w:tcPr>
            <w:tcW w:w="1873" w:type="pct"/>
            <w:vMerge w:val="continue"/>
            <w:tcMar>
              <w:left w:w="0" w:type="dxa"/>
              <w:right w:w="0" w:type="dxa"/>
            </w:tcMar>
            <w:vAlign w:val="center"/>
          </w:tcPr>
          <w:p w14:paraId="61D1443B">
            <w:pPr>
              <w:adjustRightInd w:val="0"/>
              <w:snapToGrid w:val="0"/>
              <w:spacing w:line="300" w:lineRule="exact"/>
              <w:jc w:val="center"/>
              <w:rPr>
                <w:rFonts w:hint="eastAsia" w:ascii="宋体" w:hAnsi="宋体" w:cs="宋体"/>
                <w:bCs/>
                <w:snapToGrid w:val="0"/>
                <w:szCs w:val="21"/>
              </w:rPr>
            </w:pPr>
          </w:p>
        </w:tc>
        <w:tc>
          <w:tcPr>
            <w:tcW w:w="669" w:type="pct"/>
            <w:tcMar>
              <w:left w:w="0" w:type="dxa"/>
              <w:right w:w="0" w:type="dxa"/>
            </w:tcMar>
            <w:vAlign w:val="center"/>
          </w:tcPr>
          <w:p w14:paraId="343385F1">
            <w:pPr>
              <w:adjustRightInd w:val="0"/>
              <w:snapToGrid w:val="0"/>
              <w:spacing w:line="300" w:lineRule="exact"/>
              <w:jc w:val="center"/>
              <w:rPr>
                <w:rFonts w:hint="eastAsia" w:ascii="宋体" w:hAnsi="宋体"/>
                <w:szCs w:val="21"/>
              </w:rPr>
            </w:pPr>
            <w:r>
              <w:rPr>
                <w:rFonts w:hint="eastAsia" w:ascii="宋体" w:hAnsi="宋体"/>
                <w:szCs w:val="21"/>
              </w:rPr>
              <w:t>0.3305kg/a</w:t>
            </w:r>
          </w:p>
        </w:tc>
        <w:tc>
          <w:tcPr>
            <w:tcW w:w="838" w:type="pct"/>
            <w:tcMar>
              <w:left w:w="0" w:type="dxa"/>
              <w:right w:w="0" w:type="dxa"/>
            </w:tcMar>
            <w:vAlign w:val="center"/>
          </w:tcPr>
          <w:p w14:paraId="37A647B7">
            <w:pPr>
              <w:adjustRightInd w:val="0"/>
              <w:snapToGrid w:val="0"/>
              <w:spacing w:line="300" w:lineRule="exact"/>
              <w:jc w:val="center"/>
              <w:rPr>
                <w:rFonts w:hint="eastAsia" w:ascii="宋体" w:hAnsi="宋体"/>
                <w:szCs w:val="21"/>
              </w:rPr>
            </w:pPr>
            <w:r>
              <w:rPr>
                <w:rFonts w:hint="eastAsia" w:ascii="宋体" w:hAnsi="宋体"/>
                <w:szCs w:val="21"/>
              </w:rPr>
              <w:t>0.06</w:t>
            </w:r>
          </w:p>
        </w:tc>
      </w:tr>
      <w:bookmarkEnd w:id="768"/>
      <w:tr w14:paraId="0EA36E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restart"/>
            <w:tcMar>
              <w:left w:w="0" w:type="dxa"/>
              <w:right w:w="0" w:type="dxa"/>
            </w:tcMar>
            <w:vAlign w:val="center"/>
          </w:tcPr>
          <w:p w14:paraId="1D207028">
            <w:pPr>
              <w:adjustRightInd w:val="0"/>
              <w:snapToGrid w:val="0"/>
              <w:spacing w:line="300" w:lineRule="exact"/>
              <w:jc w:val="center"/>
              <w:rPr>
                <w:rFonts w:hint="eastAsia" w:ascii="宋体" w:hAnsi="宋体"/>
                <w:szCs w:val="21"/>
              </w:rPr>
            </w:pPr>
            <w:r>
              <w:rPr>
                <w:rFonts w:hint="eastAsia" w:ascii="宋体" w:hAnsi="宋体"/>
                <w:szCs w:val="21"/>
              </w:rPr>
              <w:t>2</w:t>
            </w:r>
          </w:p>
        </w:tc>
        <w:tc>
          <w:tcPr>
            <w:tcW w:w="482" w:type="pct"/>
            <w:vMerge w:val="restart"/>
            <w:vAlign w:val="center"/>
          </w:tcPr>
          <w:p w14:paraId="007B780A">
            <w:pPr>
              <w:adjustRightInd w:val="0"/>
              <w:snapToGrid w:val="0"/>
              <w:spacing w:line="300" w:lineRule="exact"/>
              <w:jc w:val="center"/>
              <w:rPr>
                <w:rFonts w:hint="eastAsia" w:ascii="宋体" w:hAnsi="宋体"/>
                <w:szCs w:val="21"/>
              </w:rPr>
            </w:pPr>
            <w:r>
              <w:rPr>
                <w:rFonts w:hint="eastAsia" w:ascii="宋体" w:hAnsi="宋体"/>
                <w:szCs w:val="21"/>
              </w:rPr>
              <w:t>计量拉油站</w:t>
            </w:r>
          </w:p>
        </w:tc>
        <w:tc>
          <w:tcPr>
            <w:tcW w:w="405" w:type="pct"/>
            <w:tcMar>
              <w:left w:w="0" w:type="dxa"/>
              <w:right w:w="0" w:type="dxa"/>
            </w:tcMar>
            <w:vAlign w:val="center"/>
          </w:tcPr>
          <w:p w14:paraId="1BB8D261">
            <w:pPr>
              <w:adjustRightInd w:val="0"/>
              <w:snapToGrid w:val="0"/>
              <w:spacing w:line="300" w:lineRule="exact"/>
              <w:jc w:val="center"/>
              <w:rPr>
                <w:rFonts w:hint="eastAsia" w:ascii="宋体" w:hAnsi="宋体"/>
                <w:szCs w:val="21"/>
              </w:rPr>
            </w:pPr>
            <w:r>
              <w:rPr>
                <w:rFonts w:hint="eastAsia" w:ascii="宋体" w:hAnsi="宋体"/>
                <w:szCs w:val="21"/>
              </w:rPr>
              <w:t>N</w:t>
            </w:r>
            <w:r>
              <w:rPr>
                <w:rFonts w:ascii="宋体" w:hAnsi="宋体"/>
                <w:szCs w:val="21"/>
              </w:rPr>
              <w:t>MHC</w:t>
            </w:r>
          </w:p>
        </w:tc>
        <w:tc>
          <w:tcPr>
            <w:tcW w:w="506" w:type="pct"/>
            <w:tcMar>
              <w:left w:w="0" w:type="dxa"/>
              <w:right w:w="0" w:type="dxa"/>
            </w:tcMar>
            <w:vAlign w:val="center"/>
          </w:tcPr>
          <w:p w14:paraId="1C6B964E">
            <w:pPr>
              <w:adjustRightInd w:val="0"/>
              <w:snapToGrid w:val="0"/>
              <w:spacing w:line="300" w:lineRule="exact"/>
              <w:jc w:val="center"/>
              <w:rPr>
                <w:rFonts w:hint="eastAsia" w:ascii="宋体" w:hAnsi="宋体"/>
                <w:szCs w:val="21"/>
              </w:rPr>
            </w:pPr>
            <w:r>
              <w:rPr>
                <w:rFonts w:hint="eastAsia" w:ascii="宋体" w:hAnsi="宋体"/>
                <w:szCs w:val="21"/>
              </w:rPr>
              <w:t>2.1689t/a</w:t>
            </w:r>
          </w:p>
        </w:tc>
        <w:tc>
          <w:tcPr>
            <w:tcW w:w="1873" w:type="pct"/>
            <w:vMerge w:val="restart"/>
            <w:tcMar>
              <w:left w:w="0" w:type="dxa"/>
              <w:right w:w="0" w:type="dxa"/>
            </w:tcMar>
            <w:vAlign w:val="center"/>
          </w:tcPr>
          <w:p w14:paraId="6671DCC1">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选用质量可靠的设备、仪表、阀门等；定期对设备、阀门等检查，采用固定顶罐，装车采用顶部浸没式装载；及时检维修</w:t>
            </w:r>
          </w:p>
        </w:tc>
        <w:tc>
          <w:tcPr>
            <w:tcW w:w="669" w:type="pct"/>
            <w:tcMar>
              <w:left w:w="0" w:type="dxa"/>
              <w:right w:w="0" w:type="dxa"/>
            </w:tcMar>
            <w:vAlign w:val="center"/>
          </w:tcPr>
          <w:p w14:paraId="392EB2F7">
            <w:pPr>
              <w:adjustRightInd w:val="0"/>
              <w:snapToGrid w:val="0"/>
              <w:spacing w:line="300" w:lineRule="exact"/>
              <w:jc w:val="center"/>
              <w:rPr>
                <w:rFonts w:hint="eastAsia" w:ascii="宋体" w:hAnsi="宋体"/>
                <w:szCs w:val="21"/>
              </w:rPr>
            </w:pPr>
            <w:r>
              <w:rPr>
                <w:rFonts w:hint="eastAsia" w:ascii="宋体" w:hAnsi="宋体"/>
                <w:szCs w:val="21"/>
              </w:rPr>
              <w:t>2.1689t/a</w:t>
            </w:r>
          </w:p>
        </w:tc>
        <w:tc>
          <w:tcPr>
            <w:tcW w:w="838" w:type="pct"/>
            <w:tcMar>
              <w:left w:w="0" w:type="dxa"/>
              <w:right w:w="0" w:type="dxa"/>
            </w:tcMar>
            <w:vAlign w:val="center"/>
          </w:tcPr>
          <w:p w14:paraId="4F947D9A">
            <w:pPr>
              <w:adjustRightInd w:val="0"/>
              <w:snapToGrid w:val="0"/>
              <w:spacing w:line="300" w:lineRule="exact"/>
              <w:jc w:val="center"/>
              <w:rPr>
                <w:rFonts w:hint="eastAsia" w:ascii="宋体" w:hAnsi="宋体"/>
                <w:szCs w:val="21"/>
              </w:rPr>
            </w:pPr>
            <w:r>
              <w:rPr>
                <w:rFonts w:hint="eastAsia" w:ascii="宋体" w:hAnsi="宋体"/>
                <w:szCs w:val="21"/>
              </w:rPr>
              <w:t>4</w:t>
            </w:r>
          </w:p>
        </w:tc>
      </w:tr>
      <w:bookmarkEnd w:id="767"/>
      <w:tr w14:paraId="0F8792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continue"/>
            <w:tcMar>
              <w:left w:w="0" w:type="dxa"/>
              <w:right w:w="0" w:type="dxa"/>
            </w:tcMar>
            <w:vAlign w:val="center"/>
          </w:tcPr>
          <w:p w14:paraId="711920B0">
            <w:pPr>
              <w:adjustRightInd w:val="0"/>
              <w:snapToGrid w:val="0"/>
              <w:spacing w:line="300" w:lineRule="exact"/>
              <w:jc w:val="center"/>
              <w:rPr>
                <w:rFonts w:hint="eastAsia" w:ascii="宋体" w:hAnsi="宋体"/>
                <w:szCs w:val="21"/>
              </w:rPr>
            </w:pPr>
            <w:bookmarkStart w:id="772" w:name="_Hlk173929215"/>
          </w:p>
        </w:tc>
        <w:tc>
          <w:tcPr>
            <w:tcW w:w="482" w:type="pct"/>
            <w:vMerge w:val="continue"/>
            <w:vAlign w:val="center"/>
          </w:tcPr>
          <w:p w14:paraId="6C07E889">
            <w:pPr>
              <w:adjustRightInd w:val="0"/>
              <w:snapToGrid w:val="0"/>
              <w:spacing w:line="300" w:lineRule="exact"/>
              <w:jc w:val="center"/>
              <w:rPr>
                <w:rFonts w:hint="eastAsia" w:ascii="宋体" w:hAnsi="宋体"/>
                <w:szCs w:val="21"/>
              </w:rPr>
            </w:pPr>
          </w:p>
        </w:tc>
        <w:tc>
          <w:tcPr>
            <w:tcW w:w="405" w:type="pct"/>
            <w:tcMar>
              <w:left w:w="0" w:type="dxa"/>
              <w:right w:w="0" w:type="dxa"/>
            </w:tcMar>
            <w:vAlign w:val="center"/>
          </w:tcPr>
          <w:p w14:paraId="0670BF7E">
            <w:pPr>
              <w:adjustRightInd w:val="0"/>
              <w:snapToGrid w:val="0"/>
              <w:spacing w:line="300" w:lineRule="exact"/>
              <w:jc w:val="center"/>
              <w:rPr>
                <w:rFonts w:hint="eastAsia" w:ascii="宋体" w:hAnsi="宋体"/>
                <w:szCs w:val="21"/>
              </w:rPr>
            </w:pPr>
            <w:r>
              <w:rPr>
                <w:rFonts w:hint="eastAsia" w:ascii="宋体" w:hAnsi="宋体"/>
                <w:szCs w:val="21"/>
              </w:rPr>
              <w:t>硫化氢</w:t>
            </w:r>
          </w:p>
        </w:tc>
        <w:tc>
          <w:tcPr>
            <w:tcW w:w="506" w:type="pct"/>
            <w:tcMar>
              <w:left w:w="0" w:type="dxa"/>
              <w:right w:w="0" w:type="dxa"/>
            </w:tcMar>
            <w:vAlign w:val="center"/>
          </w:tcPr>
          <w:p w14:paraId="2E6EF1A8">
            <w:pPr>
              <w:adjustRightInd w:val="0"/>
              <w:snapToGrid w:val="0"/>
              <w:spacing w:line="300" w:lineRule="exact"/>
              <w:jc w:val="center"/>
              <w:rPr>
                <w:rFonts w:hint="eastAsia" w:ascii="宋体" w:hAnsi="宋体"/>
                <w:szCs w:val="21"/>
              </w:rPr>
            </w:pPr>
            <w:r>
              <w:rPr>
                <w:rFonts w:hint="eastAsia" w:ascii="宋体" w:hAnsi="宋体"/>
                <w:szCs w:val="21"/>
              </w:rPr>
              <w:t>0.1586kg/a</w:t>
            </w:r>
          </w:p>
        </w:tc>
        <w:tc>
          <w:tcPr>
            <w:tcW w:w="1873" w:type="pct"/>
            <w:vMerge w:val="continue"/>
            <w:tcMar>
              <w:left w:w="0" w:type="dxa"/>
              <w:right w:w="0" w:type="dxa"/>
            </w:tcMar>
            <w:vAlign w:val="center"/>
          </w:tcPr>
          <w:p w14:paraId="71398C4D">
            <w:pPr>
              <w:adjustRightInd w:val="0"/>
              <w:snapToGrid w:val="0"/>
              <w:spacing w:line="300" w:lineRule="exact"/>
              <w:jc w:val="center"/>
              <w:rPr>
                <w:rFonts w:hint="eastAsia" w:ascii="宋体" w:hAnsi="宋体" w:cs="宋体"/>
                <w:bCs/>
                <w:snapToGrid w:val="0"/>
                <w:szCs w:val="21"/>
              </w:rPr>
            </w:pPr>
          </w:p>
        </w:tc>
        <w:tc>
          <w:tcPr>
            <w:tcW w:w="669" w:type="pct"/>
            <w:tcMar>
              <w:left w:w="0" w:type="dxa"/>
              <w:right w:w="0" w:type="dxa"/>
            </w:tcMar>
            <w:vAlign w:val="center"/>
          </w:tcPr>
          <w:p w14:paraId="47C850BF">
            <w:pPr>
              <w:adjustRightInd w:val="0"/>
              <w:snapToGrid w:val="0"/>
              <w:spacing w:line="300" w:lineRule="exact"/>
              <w:jc w:val="center"/>
              <w:rPr>
                <w:rFonts w:hint="eastAsia" w:ascii="宋体" w:hAnsi="宋体"/>
                <w:szCs w:val="21"/>
              </w:rPr>
            </w:pPr>
            <w:r>
              <w:rPr>
                <w:rFonts w:hint="eastAsia" w:ascii="宋体" w:hAnsi="宋体"/>
                <w:szCs w:val="21"/>
              </w:rPr>
              <w:t>0.1586kg/a</w:t>
            </w:r>
          </w:p>
        </w:tc>
        <w:tc>
          <w:tcPr>
            <w:tcW w:w="838" w:type="pct"/>
            <w:tcMar>
              <w:left w:w="0" w:type="dxa"/>
              <w:right w:w="0" w:type="dxa"/>
            </w:tcMar>
            <w:vAlign w:val="center"/>
          </w:tcPr>
          <w:p w14:paraId="6ACE8314">
            <w:pPr>
              <w:adjustRightInd w:val="0"/>
              <w:snapToGrid w:val="0"/>
              <w:spacing w:line="300" w:lineRule="exact"/>
              <w:jc w:val="center"/>
              <w:rPr>
                <w:rFonts w:hint="eastAsia" w:ascii="宋体" w:hAnsi="宋体"/>
                <w:szCs w:val="21"/>
              </w:rPr>
            </w:pPr>
            <w:r>
              <w:rPr>
                <w:rFonts w:hint="eastAsia" w:ascii="宋体" w:hAnsi="宋体"/>
                <w:szCs w:val="21"/>
              </w:rPr>
              <w:t>0.06</w:t>
            </w:r>
          </w:p>
        </w:tc>
      </w:tr>
      <w:bookmarkEnd w:id="769"/>
      <w:bookmarkEnd w:id="772"/>
    </w:tbl>
    <w:p w14:paraId="1A4F1912">
      <w:pPr>
        <w:pStyle w:val="15"/>
        <w:rPr>
          <w:rFonts w:hint="eastAsia"/>
        </w:rPr>
      </w:pPr>
      <w:r>
        <w:rPr>
          <w:rFonts w:hint="eastAsia"/>
        </w:rPr>
        <w:t>表</w:t>
      </w:r>
      <w:r>
        <w:t>7.3</w:t>
      </w:r>
      <w:r>
        <w:rPr>
          <w:rFonts w:hint="eastAsia"/>
        </w:rPr>
        <w:t xml:space="preserve">-2 </w:t>
      </w:r>
      <w:r>
        <w:t xml:space="preserve"> </w:t>
      </w:r>
      <w:r>
        <w:rPr>
          <w:rFonts w:hint="eastAsia"/>
        </w:rPr>
        <w:t>二期工程无组织废气污染物排放清单</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350"/>
        <w:gridCol w:w="1134"/>
        <w:gridCol w:w="1417"/>
        <w:gridCol w:w="5245"/>
        <w:gridCol w:w="1873"/>
        <w:gridCol w:w="2347"/>
      </w:tblGrid>
      <w:tr w14:paraId="27EA19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tcMar>
              <w:left w:w="0" w:type="dxa"/>
              <w:right w:w="0" w:type="dxa"/>
            </w:tcMar>
            <w:vAlign w:val="center"/>
          </w:tcPr>
          <w:p w14:paraId="678194DD">
            <w:pPr>
              <w:adjustRightInd w:val="0"/>
              <w:snapToGrid w:val="0"/>
              <w:spacing w:line="300" w:lineRule="exact"/>
              <w:jc w:val="center"/>
              <w:rPr>
                <w:rFonts w:hint="eastAsia" w:ascii="宋体" w:hAnsi="宋体"/>
                <w:szCs w:val="21"/>
              </w:rPr>
            </w:pPr>
            <w:r>
              <w:rPr>
                <w:rFonts w:hint="eastAsia" w:ascii="宋体" w:hAnsi="宋体"/>
                <w:szCs w:val="21"/>
              </w:rPr>
              <w:t>序号</w:t>
            </w:r>
          </w:p>
        </w:tc>
        <w:tc>
          <w:tcPr>
            <w:tcW w:w="482" w:type="pct"/>
            <w:vAlign w:val="center"/>
          </w:tcPr>
          <w:p w14:paraId="7138CD81">
            <w:pPr>
              <w:adjustRightInd w:val="0"/>
              <w:snapToGrid w:val="0"/>
              <w:spacing w:line="300" w:lineRule="exact"/>
              <w:jc w:val="center"/>
              <w:rPr>
                <w:rFonts w:hint="eastAsia" w:ascii="宋体" w:hAnsi="宋体"/>
                <w:szCs w:val="21"/>
              </w:rPr>
            </w:pPr>
            <w:r>
              <w:rPr>
                <w:rFonts w:hint="eastAsia" w:ascii="宋体" w:hAnsi="宋体"/>
                <w:szCs w:val="21"/>
              </w:rPr>
              <w:t>污染源</w:t>
            </w:r>
          </w:p>
        </w:tc>
        <w:tc>
          <w:tcPr>
            <w:tcW w:w="405" w:type="pct"/>
            <w:tcMar>
              <w:left w:w="0" w:type="dxa"/>
              <w:right w:w="0" w:type="dxa"/>
            </w:tcMar>
            <w:vAlign w:val="center"/>
          </w:tcPr>
          <w:p w14:paraId="2B30CB4B">
            <w:pPr>
              <w:adjustRightInd w:val="0"/>
              <w:snapToGrid w:val="0"/>
              <w:spacing w:line="300" w:lineRule="exact"/>
              <w:jc w:val="center"/>
              <w:rPr>
                <w:rFonts w:hint="eastAsia" w:ascii="宋体" w:hAnsi="宋体"/>
                <w:szCs w:val="21"/>
              </w:rPr>
            </w:pPr>
            <w:r>
              <w:rPr>
                <w:rFonts w:hint="eastAsia" w:ascii="宋体" w:hAnsi="宋体"/>
                <w:szCs w:val="21"/>
              </w:rPr>
              <w:t>污染物</w:t>
            </w:r>
          </w:p>
        </w:tc>
        <w:tc>
          <w:tcPr>
            <w:tcW w:w="506" w:type="pct"/>
            <w:tcMar>
              <w:left w:w="0" w:type="dxa"/>
              <w:right w:w="0" w:type="dxa"/>
            </w:tcMar>
            <w:vAlign w:val="center"/>
          </w:tcPr>
          <w:p w14:paraId="09F3D8C9">
            <w:pPr>
              <w:adjustRightInd w:val="0"/>
              <w:snapToGrid w:val="0"/>
              <w:spacing w:line="300" w:lineRule="exact"/>
              <w:jc w:val="center"/>
              <w:rPr>
                <w:rFonts w:hint="eastAsia" w:ascii="宋体" w:hAnsi="宋体"/>
                <w:szCs w:val="21"/>
              </w:rPr>
            </w:pPr>
            <w:r>
              <w:rPr>
                <w:rFonts w:hint="eastAsia" w:ascii="宋体" w:hAnsi="宋体"/>
                <w:szCs w:val="21"/>
              </w:rPr>
              <w:t>产生量</w:t>
            </w:r>
          </w:p>
        </w:tc>
        <w:tc>
          <w:tcPr>
            <w:tcW w:w="1873" w:type="pct"/>
            <w:tcMar>
              <w:left w:w="0" w:type="dxa"/>
              <w:right w:w="0" w:type="dxa"/>
            </w:tcMar>
            <w:vAlign w:val="center"/>
          </w:tcPr>
          <w:p w14:paraId="6AD05702">
            <w:pPr>
              <w:adjustRightInd w:val="0"/>
              <w:snapToGrid w:val="0"/>
              <w:spacing w:line="300" w:lineRule="exact"/>
              <w:jc w:val="center"/>
              <w:rPr>
                <w:rFonts w:hint="eastAsia" w:ascii="宋体" w:hAnsi="宋体"/>
                <w:szCs w:val="21"/>
              </w:rPr>
            </w:pPr>
            <w:r>
              <w:rPr>
                <w:rFonts w:hint="eastAsia" w:ascii="宋体" w:hAnsi="宋体"/>
                <w:szCs w:val="21"/>
              </w:rPr>
              <w:t>治理措施</w:t>
            </w:r>
          </w:p>
        </w:tc>
        <w:tc>
          <w:tcPr>
            <w:tcW w:w="669" w:type="pct"/>
            <w:tcMar>
              <w:left w:w="0" w:type="dxa"/>
              <w:right w:w="0" w:type="dxa"/>
            </w:tcMar>
            <w:vAlign w:val="center"/>
          </w:tcPr>
          <w:p w14:paraId="55A6C636">
            <w:pPr>
              <w:adjustRightInd w:val="0"/>
              <w:snapToGrid w:val="0"/>
              <w:spacing w:line="300" w:lineRule="exact"/>
              <w:jc w:val="center"/>
              <w:rPr>
                <w:rFonts w:hint="eastAsia" w:ascii="宋体" w:hAnsi="宋体"/>
                <w:szCs w:val="21"/>
              </w:rPr>
            </w:pPr>
            <w:r>
              <w:rPr>
                <w:rFonts w:hint="eastAsia" w:ascii="宋体" w:hAnsi="宋体"/>
                <w:szCs w:val="21"/>
              </w:rPr>
              <w:t>实际排放量</w:t>
            </w:r>
          </w:p>
        </w:tc>
        <w:tc>
          <w:tcPr>
            <w:tcW w:w="838" w:type="pct"/>
            <w:tcMar>
              <w:left w:w="0" w:type="dxa"/>
              <w:right w:w="0" w:type="dxa"/>
            </w:tcMar>
            <w:vAlign w:val="center"/>
          </w:tcPr>
          <w:p w14:paraId="7A0EE167">
            <w:pPr>
              <w:adjustRightInd w:val="0"/>
              <w:snapToGrid w:val="0"/>
              <w:spacing w:line="300" w:lineRule="exact"/>
              <w:jc w:val="center"/>
              <w:rPr>
                <w:rFonts w:hint="eastAsia" w:ascii="宋体" w:hAnsi="宋体"/>
                <w:szCs w:val="21"/>
              </w:rPr>
            </w:pPr>
            <w:r>
              <w:rPr>
                <w:rFonts w:hint="eastAsia" w:ascii="宋体" w:hAnsi="宋体"/>
                <w:szCs w:val="21"/>
              </w:rPr>
              <w:t>厂界浓度（mg</w:t>
            </w:r>
            <w:r>
              <w:rPr>
                <w:rFonts w:ascii="宋体" w:hAnsi="宋体"/>
                <w:szCs w:val="21"/>
              </w:rPr>
              <w:t>/</w:t>
            </w:r>
            <w:r>
              <w:rPr>
                <w:rFonts w:hint="eastAsia" w:ascii="宋体" w:hAnsi="宋体"/>
                <w:szCs w:val="21"/>
              </w:rPr>
              <w:t>m</w:t>
            </w:r>
            <w:r>
              <w:rPr>
                <w:rFonts w:ascii="宋体" w:hAnsi="宋体"/>
                <w:szCs w:val="21"/>
                <w:vertAlign w:val="superscript"/>
              </w:rPr>
              <w:t>3</w:t>
            </w:r>
            <w:r>
              <w:rPr>
                <w:rFonts w:hint="eastAsia" w:ascii="宋体" w:hAnsi="宋体"/>
                <w:szCs w:val="21"/>
              </w:rPr>
              <w:t>）</w:t>
            </w:r>
          </w:p>
        </w:tc>
      </w:tr>
      <w:tr w14:paraId="7F28B8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restart"/>
            <w:tcMar>
              <w:left w:w="0" w:type="dxa"/>
              <w:right w:w="0" w:type="dxa"/>
            </w:tcMar>
            <w:vAlign w:val="center"/>
          </w:tcPr>
          <w:p w14:paraId="5AED21E5">
            <w:pPr>
              <w:adjustRightInd w:val="0"/>
              <w:snapToGrid w:val="0"/>
              <w:spacing w:line="300" w:lineRule="exact"/>
              <w:jc w:val="center"/>
              <w:rPr>
                <w:rFonts w:hint="eastAsia" w:ascii="宋体" w:hAnsi="宋体"/>
                <w:szCs w:val="21"/>
              </w:rPr>
            </w:pPr>
            <w:r>
              <w:rPr>
                <w:rFonts w:hint="eastAsia" w:ascii="宋体" w:hAnsi="宋体"/>
                <w:szCs w:val="21"/>
              </w:rPr>
              <w:t>1</w:t>
            </w:r>
          </w:p>
        </w:tc>
        <w:tc>
          <w:tcPr>
            <w:tcW w:w="482" w:type="pct"/>
            <w:vMerge w:val="restart"/>
            <w:vAlign w:val="center"/>
          </w:tcPr>
          <w:p w14:paraId="563A2628">
            <w:pPr>
              <w:adjustRightInd w:val="0"/>
              <w:snapToGrid w:val="0"/>
              <w:spacing w:line="300" w:lineRule="exact"/>
              <w:jc w:val="center"/>
              <w:rPr>
                <w:rFonts w:hint="eastAsia" w:ascii="宋体" w:hAnsi="宋体"/>
                <w:szCs w:val="21"/>
              </w:rPr>
            </w:pPr>
            <w:r>
              <w:rPr>
                <w:rFonts w:hint="eastAsia" w:ascii="宋体" w:hAnsi="宋体"/>
                <w:szCs w:val="21"/>
              </w:rPr>
              <w:t>采油井场</w:t>
            </w:r>
          </w:p>
        </w:tc>
        <w:tc>
          <w:tcPr>
            <w:tcW w:w="405" w:type="pct"/>
            <w:tcMar>
              <w:left w:w="0" w:type="dxa"/>
              <w:right w:w="0" w:type="dxa"/>
            </w:tcMar>
            <w:vAlign w:val="center"/>
          </w:tcPr>
          <w:p w14:paraId="0FD6AFD1">
            <w:pPr>
              <w:adjustRightInd w:val="0"/>
              <w:snapToGrid w:val="0"/>
              <w:spacing w:line="300" w:lineRule="exact"/>
              <w:jc w:val="center"/>
              <w:rPr>
                <w:rFonts w:hint="eastAsia" w:ascii="宋体" w:hAnsi="宋体"/>
                <w:szCs w:val="21"/>
              </w:rPr>
            </w:pPr>
            <w:r>
              <w:rPr>
                <w:rFonts w:hint="eastAsia" w:ascii="宋体" w:hAnsi="宋体"/>
                <w:szCs w:val="21"/>
              </w:rPr>
              <w:t>N</w:t>
            </w:r>
            <w:r>
              <w:rPr>
                <w:rFonts w:ascii="宋体" w:hAnsi="宋体"/>
                <w:szCs w:val="21"/>
              </w:rPr>
              <w:t>MHC</w:t>
            </w:r>
          </w:p>
        </w:tc>
        <w:tc>
          <w:tcPr>
            <w:tcW w:w="506" w:type="pct"/>
            <w:tcMar>
              <w:left w:w="0" w:type="dxa"/>
              <w:right w:w="0" w:type="dxa"/>
            </w:tcMar>
            <w:vAlign w:val="center"/>
          </w:tcPr>
          <w:p w14:paraId="3A238BE4">
            <w:pPr>
              <w:adjustRightInd w:val="0"/>
              <w:snapToGrid w:val="0"/>
              <w:spacing w:line="300" w:lineRule="exact"/>
              <w:jc w:val="center"/>
              <w:rPr>
                <w:rFonts w:hint="eastAsia" w:ascii="宋体" w:hAnsi="宋体"/>
                <w:szCs w:val="21"/>
              </w:rPr>
            </w:pPr>
            <w:r>
              <w:rPr>
                <w:rFonts w:hint="eastAsia" w:ascii="宋体" w:hAnsi="宋体"/>
                <w:szCs w:val="21"/>
              </w:rPr>
              <w:t>0.3386t/a</w:t>
            </w:r>
          </w:p>
        </w:tc>
        <w:tc>
          <w:tcPr>
            <w:tcW w:w="1873" w:type="pct"/>
            <w:vMerge w:val="restart"/>
            <w:tcMar>
              <w:left w:w="0" w:type="dxa"/>
              <w:right w:w="0" w:type="dxa"/>
            </w:tcMar>
            <w:vAlign w:val="center"/>
          </w:tcPr>
          <w:p w14:paraId="00BA6EB1">
            <w:pPr>
              <w:adjustRightInd w:val="0"/>
              <w:snapToGrid w:val="0"/>
              <w:spacing w:line="300" w:lineRule="exact"/>
              <w:jc w:val="center"/>
              <w:rPr>
                <w:rFonts w:hint="eastAsia" w:ascii="宋体" w:hAnsi="宋体"/>
                <w:szCs w:val="21"/>
              </w:rPr>
            </w:pPr>
            <w:r>
              <w:rPr>
                <w:rFonts w:hint="eastAsia" w:ascii="宋体" w:hAnsi="宋体" w:cs="宋体"/>
                <w:bCs/>
                <w:snapToGrid w:val="0"/>
                <w:szCs w:val="21"/>
              </w:rPr>
              <w:t>选用质量可靠的设备、仪表、阀门等；定期对设备、阀门等检查</w:t>
            </w:r>
          </w:p>
        </w:tc>
        <w:tc>
          <w:tcPr>
            <w:tcW w:w="669" w:type="pct"/>
            <w:tcMar>
              <w:left w:w="0" w:type="dxa"/>
              <w:right w:w="0" w:type="dxa"/>
            </w:tcMar>
            <w:vAlign w:val="center"/>
          </w:tcPr>
          <w:p w14:paraId="0B352D02">
            <w:pPr>
              <w:adjustRightInd w:val="0"/>
              <w:snapToGrid w:val="0"/>
              <w:spacing w:line="300" w:lineRule="exact"/>
              <w:jc w:val="center"/>
              <w:rPr>
                <w:rFonts w:hint="eastAsia" w:ascii="宋体" w:hAnsi="宋体"/>
                <w:szCs w:val="21"/>
              </w:rPr>
            </w:pPr>
            <w:r>
              <w:rPr>
                <w:rFonts w:hint="eastAsia" w:ascii="宋体" w:hAnsi="宋体"/>
                <w:szCs w:val="21"/>
              </w:rPr>
              <w:t>0.3386t/a</w:t>
            </w:r>
          </w:p>
        </w:tc>
        <w:tc>
          <w:tcPr>
            <w:tcW w:w="838" w:type="pct"/>
            <w:tcMar>
              <w:left w:w="0" w:type="dxa"/>
              <w:right w:w="0" w:type="dxa"/>
            </w:tcMar>
            <w:vAlign w:val="center"/>
          </w:tcPr>
          <w:p w14:paraId="120C5BC1">
            <w:pPr>
              <w:adjustRightInd w:val="0"/>
              <w:snapToGrid w:val="0"/>
              <w:spacing w:line="300" w:lineRule="exact"/>
              <w:jc w:val="center"/>
              <w:rPr>
                <w:rFonts w:hint="eastAsia" w:ascii="宋体" w:hAnsi="宋体"/>
                <w:szCs w:val="21"/>
              </w:rPr>
            </w:pPr>
            <w:r>
              <w:rPr>
                <w:rFonts w:hint="eastAsia" w:ascii="宋体" w:hAnsi="宋体"/>
                <w:szCs w:val="21"/>
              </w:rPr>
              <w:t>4</w:t>
            </w:r>
          </w:p>
        </w:tc>
      </w:tr>
      <w:tr w14:paraId="3ADCD5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continue"/>
            <w:tcMar>
              <w:left w:w="0" w:type="dxa"/>
              <w:right w:w="0" w:type="dxa"/>
            </w:tcMar>
            <w:vAlign w:val="center"/>
          </w:tcPr>
          <w:p w14:paraId="58414722">
            <w:pPr>
              <w:adjustRightInd w:val="0"/>
              <w:snapToGrid w:val="0"/>
              <w:spacing w:line="300" w:lineRule="exact"/>
              <w:jc w:val="center"/>
              <w:rPr>
                <w:rFonts w:hint="eastAsia" w:ascii="宋体" w:hAnsi="宋体"/>
                <w:szCs w:val="21"/>
              </w:rPr>
            </w:pPr>
          </w:p>
        </w:tc>
        <w:tc>
          <w:tcPr>
            <w:tcW w:w="482" w:type="pct"/>
            <w:vMerge w:val="continue"/>
            <w:vAlign w:val="center"/>
          </w:tcPr>
          <w:p w14:paraId="5B52BED6">
            <w:pPr>
              <w:adjustRightInd w:val="0"/>
              <w:snapToGrid w:val="0"/>
              <w:spacing w:line="300" w:lineRule="exact"/>
              <w:jc w:val="center"/>
              <w:rPr>
                <w:rFonts w:hint="eastAsia" w:ascii="宋体" w:hAnsi="宋体"/>
                <w:szCs w:val="21"/>
              </w:rPr>
            </w:pPr>
          </w:p>
        </w:tc>
        <w:tc>
          <w:tcPr>
            <w:tcW w:w="405" w:type="pct"/>
            <w:tcMar>
              <w:left w:w="0" w:type="dxa"/>
              <w:right w:w="0" w:type="dxa"/>
            </w:tcMar>
            <w:vAlign w:val="center"/>
          </w:tcPr>
          <w:p w14:paraId="10700FA1">
            <w:pPr>
              <w:adjustRightInd w:val="0"/>
              <w:snapToGrid w:val="0"/>
              <w:spacing w:line="300" w:lineRule="exact"/>
              <w:jc w:val="center"/>
              <w:rPr>
                <w:rFonts w:hint="eastAsia" w:ascii="宋体" w:hAnsi="宋体"/>
                <w:szCs w:val="21"/>
              </w:rPr>
            </w:pPr>
            <w:r>
              <w:rPr>
                <w:rFonts w:hint="eastAsia" w:ascii="宋体" w:hAnsi="宋体"/>
                <w:szCs w:val="21"/>
              </w:rPr>
              <w:t>硫化氢</w:t>
            </w:r>
          </w:p>
        </w:tc>
        <w:tc>
          <w:tcPr>
            <w:tcW w:w="506" w:type="pct"/>
            <w:tcMar>
              <w:left w:w="0" w:type="dxa"/>
              <w:right w:w="0" w:type="dxa"/>
            </w:tcMar>
            <w:vAlign w:val="center"/>
          </w:tcPr>
          <w:p w14:paraId="36145EF1">
            <w:pPr>
              <w:adjustRightInd w:val="0"/>
              <w:snapToGrid w:val="0"/>
              <w:spacing w:line="300" w:lineRule="exact"/>
              <w:jc w:val="center"/>
              <w:rPr>
                <w:rFonts w:hint="eastAsia" w:ascii="宋体" w:hAnsi="宋体"/>
                <w:szCs w:val="21"/>
              </w:rPr>
            </w:pPr>
            <w:r>
              <w:rPr>
                <w:rFonts w:hint="eastAsia" w:ascii="宋体" w:hAnsi="宋体"/>
                <w:szCs w:val="21"/>
              </w:rPr>
              <w:t>0.3305kg/a</w:t>
            </w:r>
          </w:p>
        </w:tc>
        <w:tc>
          <w:tcPr>
            <w:tcW w:w="1873" w:type="pct"/>
            <w:vMerge w:val="continue"/>
            <w:tcMar>
              <w:left w:w="0" w:type="dxa"/>
              <w:right w:w="0" w:type="dxa"/>
            </w:tcMar>
            <w:vAlign w:val="center"/>
          </w:tcPr>
          <w:p w14:paraId="468B1A05">
            <w:pPr>
              <w:adjustRightInd w:val="0"/>
              <w:snapToGrid w:val="0"/>
              <w:spacing w:line="300" w:lineRule="exact"/>
              <w:jc w:val="center"/>
              <w:rPr>
                <w:rFonts w:hint="eastAsia" w:ascii="宋体" w:hAnsi="宋体" w:cs="宋体"/>
                <w:bCs/>
                <w:snapToGrid w:val="0"/>
                <w:szCs w:val="21"/>
              </w:rPr>
            </w:pPr>
          </w:p>
        </w:tc>
        <w:tc>
          <w:tcPr>
            <w:tcW w:w="669" w:type="pct"/>
            <w:tcMar>
              <w:left w:w="0" w:type="dxa"/>
              <w:right w:w="0" w:type="dxa"/>
            </w:tcMar>
            <w:vAlign w:val="center"/>
          </w:tcPr>
          <w:p w14:paraId="6171FCD1">
            <w:pPr>
              <w:adjustRightInd w:val="0"/>
              <w:snapToGrid w:val="0"/>
              <w:spacing w:line="300" w:lineRule="exact"/>
              <w:jc w:val="center"/>
              <w:rPr>
                <w:rFonts w:hint="eastAsia" w:ascii="宋体" w:hAnsi="宋体"/>
                <w:szCs w:val="21"/>
              </w:rPr>
            </w:pPr>
            <w:r>
              <w:rPr>
                <w:rFonts w:hint="eastAsia" w:ascii="宋体" w:hAnsi="宋体"/>
                <w:szCs w:val="21"/>
              </w:rPr>
              <w:t>0.3305kg/a</w:t>
            </w:r>
          </w:p>
        </w:tc>
        <w:tc>
          <w:tcPr>
            <w:tcW w:w="838" w:type="pct"/>
            <w:tcMar>
              <w:left w:w="0" w:type="dxa"/>
              <w:right w:w="0" w:type="dxa"/>
            </w:tcMar>
            <w:vAlign w:val="center"/>
          </w:tcPr>
          <w:p w14:paraId="6CFCD74F">
            <w:pPr>
              <w:adjustRightInd w:val="0"/>
              <w:snapToGrid w:val="0"/>
              <w:spacing w:line="300" w:lineRule="exact"/>
              <w:jc w:val="center"/>
              <w:rPr>
                <w:rFonts w:hint="eastAsia" w:ascii="宋体" w:hAnsi="宋体"/>
                <w:szCs w:val="21"/>
              </w:rPr>
            </w:pPr>
            <w:r>
              <w:rPr>
                <w:rFonts w:hint="eastAsia" w:ascii="宋体" w:hAnsi="宋体"/>
                <w:szCs w:val="21"/>
              </w:rPr>
              <w:t>0.06</w:t>
            </w:r>
          </w:p>
        </w:tc>
      </w:tr>
      <w:tr w14:paraId="193437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restart"/>
            <w:tcMar>
              <w:left w:w="0" w:type="dxa"/>
              <w:right w:w="0" w:type="dxa"/>
            </w:tcMar>
            <w:vAlign w:val="center"/>
          </w:tcPr>
          <w:p w14:paraId="44F4ADCF">
            <w:pPr>
              <w:adjustRightInd w:val="0"/>
              <w:snapToGrid w:val="0"/>
              <w:spacing w:line="300" w:lineRule="exact"/>
              <w:jc w:val="center"/>
              <w:rPr>
                <w:rFonts w:hint="eastAsia" w:ascii="宋体" w:hAnsi="宋体"/>
                <w:szCs w:val="21"/>
              </w:rPr>
            </w:pPr>
            <w:bookmarkStart w:id="773" w:name="_Hlk173929240"/>
            <w:r>
              <w:rPr>
                <w:rFonts w:hint="eastAsia" w:ascii="宋体" w:hAnsi="宋体"/>
                <w:szCs w:val="21"/>
              </w:rPr>
              <w:t>2</w:t>
            </w:r>
          </w:p>
        </w:tc>
        <w:tc>
          <w:tcPr>
            <w:tcW w:w="482" w:type="pct"/>
            <w:vMerge w:val="restart"/>
            <w:vAlign w:val="center"/>
          </w:tcPr>
          <w:p w14:paraId="79BCB7A9">
            <w:pPr>
              <w:adjustRightInd w:val="0"/>
              <w:snapToGrid w:val="0"/>
              <w:spacing w:line="300" w:lineRule="exact"/>
              <w:jc w:val="center"/>
              <w:rPr>
                <w:rFonts w:hint="eastAsia" w:ascii="宋体" w:hAnsi="宋体"/>
                <w:szCs w:val="21"/>
              </w:rPr>
            </w:pPr>
            <w:r>
              <w:rPr>
                <w:rFonts w:hint="eastAsia" w:ascii="宋体" w:hAnsi="宋体"/>
                <w:szCs w:val="21"/>
              </w:rPr>
              <w:t>计量站</w:t>
            </w:r>
          </w:p>
        </w:tc>
        <w:tc>
          <w:tcPr>
            <w:tcW w:w="405" w:type="pct"/>
            <w:tcMar>
              <w:left w:w="0" w:type="dxa"/>
              <w:right w:w="0" w:type="dxa"/>
            </w:tcMar>
            <w:vAlign w:val="center"/>
          </w:tcPr>
          <w:p w14:paraId="57DEC9F3">
            <w:pPr>
              <w:adjustRightInd w:val="0"/>
              <w:snapToGrid w:val="0"/>
              <w:spacing w:line="300" w:lineRule="exact"/>
              <w:jc w:val="center"/>
              <w:rPr>
                <w:rFonts w:hint="eastAsia" w:ascii="宋体" w:hAnsi="宋体"/>
                <w:szCs w:val="21"/>
              </w:rPr>
            </w:pPr>
            <w:r>
              <w:rPr>
                <w:rFonts w:hint="eastAsia" w:ascii="宋体" w:hAnsi="宋体"/>
                <w:szCs w:val="21"/>
              </w:rPr>
              <w:t>N</w:t>
            </w:r>
            <w:r>
              <w:rPr>
                <w:rFonts w:ascii="宋体" w:hAnsi="宋体"/>
                <w:szCs w:val="21"/>
              </w:rPr>
              <w:t>MHC</w:t>
            </w:r>
          </w:p>
        </w:tc>
        <w:tc>
          <w:tcPr>
            <w:tcW w:w="506" w:type="pct"/>
            <w:tcMar>
              <w:left w:w="0" w:type="dxa"/>
              <w:right w:w="0" w:type="dxa"/>
            </w:tcMar>
            <w:vAlign w:val="center"/>
          </w:tcPr>
          <w:p w14:paraId="18F65D5A">
            <w:pPr>
              <w:adjustRightInd w:val="0"/>
              <w:snapToGrid w:val="0"/>
              <w:spacing w:line="300" w:lineRule="exact"/>
              <w:jc w:val="center"/>
              <w:rPr>
                <w:rFonts w:hint="eastAsia" w:ascii="宋体" w:hAnsi="宋体"/>
                <w:szCs w:val="21"/>
              </w:rPr>
            </w:pPr>
            <w:r>
              <w:rPr>
                <w:rFonts w:hint="eastAsia" w:ascii="宋体" w:hAnsi="宋体"/>
                <w:szCs w:val="21"/>
              </w:rPr>
              <w:t>0.1685t/a</w:t>
            </w:r>
          </w:p>
        </w:tc>
        <w:tc>
          <w:tcPr>
            <w:tcW w:w="1873" w:type="pct"/>
            <w:vMerge w:val="restart"/>
            <w:tcMar>
              <w:left w:w="0" w:type="dxa"/>
              <w:right w:w="0" w:type="dxa"/>
            </w:tcMar>
            <w:vAlign w:val="center"/>
          </w:tcPr>
          <w:p w14:paraId="3E67F2A7">
            <w:pPr>
              <w:adjustRightInd w:val="0"/>
              <w:snapToGrid w:val="0"/>
              <w:spacing w:line="300" w:lineRule="exact"/>
              <w:jc w:val="center"/>
              <w:rPr>
                <w:rFonts w:hint="eastAsia" w:ascii="宋体" w:hAnsi="宋体" w:cs="宋体"/>
                <w:bCs/>
                <w:snapToGrid w:val="0"/>
                <w:szCs w:val="21"/>
              </w:rPr>
            </w:pPr>
            <w:r>
              <w:rPr>
                <w:rFonts w:hint="eastAsia" w:ascii="宋体" w:hAnsi="宋体" w:cs="宋体"/>
                <w:bCs/>
                <w:snapToGrid w:val="0"/>
                <w:szCs w:val="21"/>
              </w:rPr>
              <w:t>选用质量可靠的设备、仪表、阀门等；定期对设备、阀门等检查</w:t>
            </w:r>
          </w:p>
        </w:tc>
        <w:tc>
          <w:tcPr>
            <w:tcW w:w="669" w:type="pct"/>
            <w:tcMar>
              <w:left w:w="0" w:type="dxa"/>
              <w:right w:w="0" w:type="dxa"/>
            </w:tcMar>
            <w:vAlign w:val="center"/>
          </w:tcPr>
          <w:p w14:paraId="34D4C9E9">
            <w:pPr>
              <w:adjustRightInd w:val="0"/>
              <w:snapToGrid w:val="0"/>
              <w:spacing w:line="300" w:lineRule="exact"/>
              <w:jc w:val="center"/>
              <w:rPr>
                <w:rFonts w:hint="eastAsia" w:ascii="宋体" w:hAnsi="宋体"/>
                <w:szCs w:val="21"/>
              </w:rPr>
            </w:pPr>
            <w:r>
              <w:rPr>
                <w:rFonts w:hint="eastAsia" w:ascii="宋体" w:hAnsi="宋体"/>
                <w:szCs w:val="21"/>
              </w:rPr>
              <w:t>0.1685t/a</w:t>
            </w:r>
          </w:p>
        </w:tc>
        <w:tc>
          <w:tcPr>
            <w:tcW w:w="838" w:type="pct"/>
            <w:tcMar>
              <w:left w:w="0" w:type="dxa"/>
              <w:right w:w="0" w:type="dxa"/>
            </w:tcMar>
            <w:vAlign w:val="center"/>
          </w:tcPr>
          <w:p w14:paraId="6252AFEE">
            <w:pPr>
              <w:adjustRightInd w:val="0"/>
              <w:snapToGrid w:val="0"/>
              <w:spacing w:line="300" w:lineRule="exact"/>
              <w:jc w:val="center"/>
              <w:rPr>
                <w:rFonts w:hint="eastAsia" w:ascii="宋体" w:hAnsi="宋体"/>
                <w:szCs w:val="21"/>
              </w:rPr>
            </w:pPr>
            <w:r>
              <w:rPr>
                <w:rFonts w:hint="eastAsia" w:ascii="宋体" w:hAnsi="宋体"/>
                <w:szCs w:val="21"/>
              </w:rPr>
              <w:t>4</w:t>
            </w:r>
          </w:p>
        </w:tc>
      </w:tr>
      <w:tr w14:paraId="1D990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 w:type="pct"/>
            <w:vMerge w:val="continue"/>
            <w:tcMar>
              <w:left w:w="0" w:type="dxa"/>
              <w:right w:w="0" w:type="dxa"/>
            </w:tcMar>
            <w:vAlign w:val="center"/>
          </w:tcPr>
          <w:p w14:paraId="175E7798">
            <w:pPr>
              <w:adjustRightInd w:val="0"/>
              <w:snapToGrid w:val="0"/>
              <w:spacing w:line="300" w:lineRule="exact"/>
              <w:jc w:val="center"/>
              <w:rPr>
                <w:rFonts w:hint="eastAsia" w:ascii="宋体" w:hAnsi="宋体"/>
                <w:szCs w:val="21"/>
              </w:rPr>
            </w:pPr>
          </w:p>
        </w:tc>
        <w:tc>
          <w:tcPr>
            <w:tcW w:w="482" w:type="pct"/>
            <w:vMerge w:val="continue"/>
            <w:vAlign w:val="center"/>
          </w:tcPr>
          <w:p w14:paraId="1E1EC608">
            <w:pPr>
              <w:adjustRightInd w:val="0"/>
              <w:snapToGrid w:val="0"/>
              <w:spacing w:line="300" w:lineRule="exact"/>
              <w:jc w:val="center"/>
              <w:rPr>
                <w:rFonts w:hint="eastAsia" w:ascii="宋体" w:hAnsi="宋体"/>
                <w:szCs w:val="21"/>
              </w:rPr>
            </w:pPr>
          </w:p>
        </w:tc>
        <w:tc>
          <w:tcPr>
            <w:tcW w:w="405" w:type="pct"/>
            <w:tcMar>
              <w:left w:w="0" w:type="dxa"/>
              <w:right w:w="0" w:type="dxa"/>
            </w:tcMar>
            <w:vAlign w:val="center"/>
          </w:tcPr>
          <w:p w14:paraId="1D9FE325">
            <w:pPr>
              <w:adjustRightInd w:val="0"/>
              <w:snapToGrid w:val="0"/>
              <w:spacing w:line="300" w:lineRule="exact"/>
              <w:jc w:val="center"/>
              <w:rPr>
                <w:rFonts w:hint="eastAsia" w:ascii="宋体" w:hAnsi="宋体"/>
                <w:szCs w:val="21"/>
              </w:rPr>
            </w:pPr>
            <w:r>
              <w:rPr>
                <w:rFonts w:hint="eastAsia" w:ascii="宋体" w:hAnsi="宋体"/>
                <w:szCs w:val="21"/>
              </w:rPr>
              <w:t>硫化氢</w:t>
            </w:r>
          </w:p>
        </w:tc>
        <w:tc>
          <w:tcPr>
            <w:tcW w:w="506" w:type="pct"/>
            <w:tcMar>
              <w:left w:w="0" w:type="dxa"/>
              <w:right w:w="0" w:type="dxa"/>
            </w:tcMar>
            <w:vAlign w:val="center"/>
          </w:tcPr>
          <w:p w14:paraId="19D9CBCD">
            <w:pPr>
              <w:adjustRightInd w:val="0"/>
              <w:snapToGrid w:val="0"/>
              <w:spacing w:line="300" w:lineRule="exact"/>
              <w:jc w:val="center"/>
              <w:rPr>
                <w:rFonts w:hint="eastAsia" w:ascii="宋体" w:hAnsi="宋体"/>
                <w:szCs w:val="21"/>
              </w:rPr>
            </w:pPr>
            <w:r>
              <w:rPr>
                <w:rFonts w:hint="eastAsia" w:ascii="宋体" w:hAnsi="宋体"/>
                <w:szCs w:val="21"/>
              </w:rPr>
              <w:t>0.1586kg/a</w:t>
            </w:r>
          </w:p>
        </w:tc>
        <w:tc>
          <w:tcPr>
            <w:tcW w:w="1873" w:type="pct"/>
            <w:vMerge w:val="continue"/>
            <w:tcMar>
              <w:left w:w="0" w:type="dxa"/>
              <w:right w:w="0" w:type="dxa"/>
            </w:tcMar>
            <w:vAlign w:val="center"/>
          </w:tcPr>
          <w:p w14:paraId="536C2447">
            <w:pPr>
              <w:adjustRightInd w:val="0"/>
              <w:snapToGrid w:val="0"/>
              <w:spacing w:line="300" w:lineRule="exact"/>
              <w:jc w:val="center"/>
              <w:rPr>
                <w:rFonts w:hint="eastAsia" w:ascii="宋体" w:hAnsi="宋体" w:cs="宋体"/>
                <w:bCs/>
                <w:snapToGrid w:val="0"/>
                <w:szCs w:val="21"/>
              </w:rPr>
            </w:pPr>
          </w:p>
        </w:tc>
        <w:tc>
          <w:tcPr>
            <w:tcW w:w="669" w:type="pct"/>
            <w:tcMar>
              <w:left w:w="0" w:type="dxa"/>
              <w:right w:w="0" w:type="dxa"/>
            </w:tcMar>
            <w:vAlign w:val="center"/>
          </w:tcPr>
          <w:p w14:paraId="76B8A975">
            <w:pPr>
              <w:adjustRightInd w:val="0"/>
              <w:snapToGrid w:val="0"/>
              <w:spacing w:line="300" w:lineRule="exact"/>
              <w:jc w:val="center"/>
              <w:rPr>
                <w:rFonts w:hint="eastAsia" w:ascii="宋体" w:hAnsi="宋体"/>
                <w:szCs w:val="21"/>
              </w:rPr>
            </w:pPr>
            <w:r>
              <w:rPr>
                <w:rFonts w:hint="eastAsia" w:ascii="宋体" w:hAnsi="宋体"/>
                <w:szCs w:val="21"/>
              </w:rPr>
              <w:t>0.1586kg/a</w:t>
            </w:r>
          </w:p>
        </w:tc>
        <w:tc>
          <w:tcPr>
            <w:tcW w:w="838" w:type="pct"/>
            <w:tcMar>
              <w:left w:w="0" w:type="dxa"/>
              <w:right w:w="0" w:type="dxa"/>
            </w:tcMar>
            <w:vAlign w:val="center"/>
          </w:tcPr>
          <w:p w14:paraId="2549DC66">
            <w:pPr>
              <w:adjustRightInd w:val="0"/>
              <w:snapToGrid w:val="0"/>
              <w:spacing w:line="300" w:lineRule="exact"/>
              <w:jc w:val="center"/>
              <w:rPr>
                <w:rFonts w:hint="eastAsia" w:ascii="宋体" w:hAnsi="宋体"/>
                <w:szCs w:val="21"/>
              </w:rPr>
            </w:pPr>
            <w:r>
              <w:rPr>
                <w:rFonts w:hint="eastAsia" w:ascii="宋体" w:hAnsi="宋体"/>
                <w:szCs w:val="21"/>
              </w:rPr>
              <w:t>0.06</w:t>
            </w:r>
          </w:p>
        </w:tc>
      </w:tr>
      <w:bookmarkEnd w:id="773"/>
    </w:tbl>
    <w:p w14:paraId="745ECCE0">
      <w:pPr>
        <w:pStyle w:val="15"/>
        <w:rPr>
          <w:rFonts w:hint="eastAsia"/>
        </w:rPr>
      </w:pPr>
      <w:r>
        <w:rPr>
          <w:rFonts w:hint="eastAsia"/>
        </w:rPr>
        <w:t>表</w:t>
      </w:r>
      <w:r>
        <w:t>7</w:t>
      </w:r>
      <w:r>
        <w:rPr>
          <w:rFonts w:hint="eastAsia"/>
        </w:rPr>
        <w:t>.3-3</w:t>
      </w:r>
      <w:r>
        <w:t xml:space="preserve">  </w:t>
      </w:r>
      <w:r>
        <w:rPr>
          <w:rFonts w:hint="eastAsia"/>
        </w:rPr>
        <w:t>噪声、废水及固废等污染物排放清单</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2955"/>
        <w:gridCol w:w="3899"/>
        <w:gridCol w:w="1871"/>
        <w:gridCol w:w="2736"/>
        <w:gridCol w:w="1982"/>
      </w:tblGrid>
      <w:tr w14:paraId="529B0B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312" w:type="pct"/>
            <w:gridSpan w:val="2"/>
            <w:vAlign w:val="center"/>
          </w:tcPr>
          <w:p w14:paraId="6EE8E2B7">
            <w:pPr>
              <w:pStyle w:val="278"/>
              <w:adjustRightInd w:val="0"/>
              <w:snapToGrid w:val="0"/>
              <w:spacing w:line="300" w:lineRule="exact"/>
              <w:rPr>
                <w:rFonts w:hint="eastAsia"/>
              </w:rPr>
            </w:pPr>
            <w:r>
              <w:rPr>
                <w:rFonts w:hint="eastAsia"/>
              </w:rPr>
              <w:t>类别</w:t>
            </w:r>
          </w:p>
        </w:tc>
        <w:tc>
          <w:tcPr>
            <w:tcW w:w="1371" w:type="pct"/>
            <w:vAlign w:val="center"/>
          </w:tcPr>
          <w:p w14:paraId="734D5C21">
            <w:pPr>
              <w:pStyle w:val="278"/>
              <w:adjustRightInd w:val="0"/>
              <w:snapToGrid w:val="0"/>
              <w:spacing w:line="300" w:lineRule="exact"/>
              <w:rPr>
                <w:rFonts w:hint="eastAsia"/>
              </w:rPr>
            </w:pPr>
            <w:r>
              <w:rPr>
                <w:rFonts w:hint="eastAsia"/>
              </w:rPr>
              <w:t>环保措施</w:t>
            </w:r>
          </w:p>
        </w:tc>
        <w:tc>
          <w:tcPr>
            <w:tcW w:w="658" w:type="pct"/>
            <w:vAlign w:val="center"/>
          </w:tcPr>
          <w:p w14:paraId="79D46515">
            <w:pPr>
              <w:pStyle w:val="278"/>
              <w:adjustRightInd w:val="0"/>
              <w:snapToGrid w:val="0"/>
              <w:spacing w:line="300" w:lineRule="exact"/>
              <w:rPr>
                <w:rFonts w:hint="eastAsia"/>
              </w:rPr>
            </w:pPr>
            <w:r>
              <w:rPr>
                <w:rFonts w:hint="eastAsia"/>
              </w:rPr>
              <w:t>运行参数</w:t>
            </w:r>
          </w:p>
        </w:tc>
        <w:tc>
          <w:tcPr>
            <w:tcW w:w="962" w:type="pct"/>
            <w:vAlign w:val="center"/>
          </w:tcPr>
          <w:p w14:paraId="6436C3A6">
            <w:pPr>
              <w:pStyle w:val="278"/>
              <w:adjustRightInd w:val="0"/>
              <w:snapToGrid w:val="0"/>
              <w:spacing w:line="300" w:lineRule="exact"/>
              <w:rPr>
                <w:rFonts w:hint="eastAsia"/>
              </w:rPr>
            </w:pPr>
            <w:r>
              <w:rPr>
                <w:rFonts w:hint="eastAsia"/>
              </w:rPr>
              <w:t>污染物种类</w:t>
            </w:r>
          </w:p>
        </w:tc>
        <w:tc>
          <w:tcPr>
            <w:tcW w:w="697" w:type="pct"/>
            <w:vAlign w:val="center"/>
          </w:tcPr>
          <w:p w14:paraId="23FC9C3C">
            <w:pPr>
              <w:pStyle w:val="278"/>
              <w:adjustRightInd w:val="0"/>
              <w:snapToGrid w:val="0"/>
              <w:spacing w:line="300" w:lineRule="exact"/>
              <w:rPr>
                <w:rFonts w:hint="eastAsia"/>
              </w:rPr>
            </w:pPr>
            <w:r>
              <w:rPr>
                <w:rFonts w:hint="eastAsia"/>
              </w:rPr>
              <w:t>排放标准</w:t>
            </w:r>
          </w:p>
        </w:tc>
      </w:tr>
      <w:tr w14:paraId="27A866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Align w:val="center"/>
          </w:tcPr>
          <w:p w14:paraId="211E5756">
            <w:pPr>
              <w:pStyle w:val="278"/>
              <w:adjustRightInd w:val="0"/>
              <w:snapToGrid w:val="0"/>
              <w:spacing w:line="300" w:lineRule="exact"/>
              <w:rPr>
                <w:rFonts w:hint="eastAsia"/>
              </w:rPr>
            </w:pPr>
            <w:r>
              <w:t>噪声</w:t>
            </w:r>
          </w:p>
        </w:tc>
        <w:tc>
          <w:tcPr>
            <w:tcW w:w="1039" w:type="pct"/>
            <w:vAlign w:val="center"/>
          </w:tcPr>
          <w:p w14:paraId="7E5E8B6A">
            <w:pPr>
              <w:pStyle w:val="278"/>
              <w:adjustRightInd w:val="0"/>
              <w:snapToGrid w:val="0"/>
              <w:spacing w:line="300" w:lineRule="exact"/>
              <w:rPr>
                <w:rFonts w:hint="eastAsia"/>
              </w:rPr>
            </w:pPr>
            <w:r>
              <w:t>设备噪声</w:t>
            </w:r>
          </w:p>
        </w:tc>
        <w:tc>
          <w:tcPr>
            <w:tcW w:w="1371" w:type="pct"/>
            <w:vAlign w:val="center"/>
          </w:tcPr>
          <w:p w14:paraId="100A2E6A">
            <w:pPr>
              <w:pStyle w:val="278"/>
              <w:adjustRightInd w:val="0"/>
              <w:snapToGrid w:val="0"/>
              <w:spacing w:line="300" w:lineRule="exact"/>
              <w:rPr>
                <w:rFonts w:hint="eastAsia"/>
              </w:rPr>
            </w:pPr>
            <w:r>
              <w:t>选用低噪声设备+</w:t>
            </w:r>
            <w:r>
              <w:rPr>
                <w:rFonts w:hint="eastAsia"/>
              </w:rPr>
              <w:t>加防振垫</w:t>
            </w:r>
            <w:r>
              <w:t>+基础减震等</w:t>
            </w:r>
          </w:p>
        </w:tc>
        <w:tc>
          <w:tcPr>
            <w:tcW w:w="658" w:type="pct"/>
            <w:vAlign w:val="center"/>
          </w:tcPr>
          <w:p w14:paraId="71A35BB7">
            <w:pPr>
              <w:pStyle w:val="278"/>
              <w:adjustRightInd w:val="0"/>
              <w:snapToGrid w:val="0"/>
              <w:spacing w:line="300" w:lineRule="exact"/>
              <w:rPr>
                <w:rFonts w:hint="eastAsia"/>
              </w:rPr>
            </w:pPr>
            <w:r>
              <w:t>85</w:t>
            </w:r>
            <w:r>
              <w:rPr>
                <w:rFonts w:hint="eastAsia"/>
              </w:rPr>
              <w:t>～</w:t>
            </w:r>
            <w:r>
              <w:t>9</w:t>
            </w:r>
            <w:r>
              <w:rPr>
                <w:rFonts w:hint="eastAsia"/>
              </w:rPr>
              <w:t>0</w:t>
            </w:r>
            <w:r>
              <w:t>dB（A）</w:t>
            </w:r>
          </w:p>
        </w:tc>
        <w:tc>
          <w:tcPr>
            <w:tcW w:w="962" w:type="pct"/>
            <w:vAlign w:val="center"/>
          </w:tcPr>
          <w:p w14:paraId="23027910">
            <w:pPr>
              <w:pStyle w:val="278"/>
              <w:adjustRightInd w:val="0"/>
              <w:snapToGrid w:val="0"/>
              <w:spacing w:line="300" w:lineRule="exact"/>
              <w:rPr>
                <w:rFonts w:hint="eastAsia"/>
              </w:rPr>
            </w:pPr>
            <w:r>
              <w:rPr>
                <w:rFonts w:hint="eastAsia"/>
              </w:rPr>
              <w:t>噪声</w:t>
            </w:r>
          </w:p>
        </w:tc>
        <w:tc>
          <w:tcPr>
            <w:tcW w:w="697" w:type="pct"/>
            <w:vAlign w:val="center"/>
          </w:tcPr>
          <w:p w14:paraId="30EB1EC6">
            <w:pPr>
              <w:pStyle w:val="278"/>
              <w:adjustRightInd w:val="0"/>
              <w:snapToGrid w:val="0"/>
              <w:spacing w:line="300" w:lineRule="exact"/>
              <w:rPr>
                <w:rFonts w:hint="eastAsia"/>
              </w:rPr>
            </w:pPr>
            <w:r>
              <w:t>昼60dB（A)</w:t>
            </w:r>
            <w:r>
              <w:rPr>
                <w:rFonts w:hint="eastAsia"/>
              </w:rPr>
              <w:t>、</w:t>
            </w:r>
            <w:r>
              <w:t>夜50dB（A)</w:t>
            </w:r>
          </w:p>
        </w:tc>
      </w:tr>
      <w:tr w14:paraId="5F1DE0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restart"/>
            <w:vAlign w:val="center"/>
          </w:tcPr>
          <w:p w14:paraId="02813FA8">
            <w:pPr>
              <w:pStyle w:val="278"/>
              <w:adjustRightInd w:val="0"/>
              <w:snapToGrid w:val="0"/>
              <w:spacing w:line="300" w:lineRule="exact"/>
              <w:rPr>
                <w:rFonts w:hint="eastAsia"/>
              </w:rPr>
            </w:pPr>
            <w:r>
              <w:rPr>
                <w:rFonts w:hint="eastAsia"/>
              </w:rPr>
              <w:t>废水</w:t>
            </w:r>
          </w:p>
        </w:tc>
        <w:tc>
          <w:tcPr>
            <w:tcW w:w="1039" w:type="pct"/>
            <w:vAlign w:val="center"/>
          </w:tcPr>
          <w:p w14:paraId="7DA406EE">
            <w:pPr>
              <w:pStyle w:val="278"/>
              <w:adjustRightInd w:val="0"/>
              <w:snapToGrid w:val="0"/>
              <w:spacing w:line="300" w:lineRule="exact"/>
              <w:rPr>
                <w:rFonts w:hint="eastAsia"/>
              </w:rPr>
            </w:pPr>
            <w:r>
              <w:rPr>
                <w:rFonts w:hint="eastAsia"/>
              </w:rPr>
              <w:t>洗井废水</w:t>
            </w:r>
          </w:p>
        </w:tc>
        <w:tc>
          <w:tcPr>
            <w:tcW w:w="1371" w:type="pct"/>
            <w:vMerge w:val="restart"/>
            <w:vAlign w:val="center"/>
          </w:tcPr>
          <w:p w14:paraId="18AAC675">
            <w:pPr>
              <w:pStyle w:val="278"/>
              <w:adjustRightInd w:val="0"/>
              <w:snapToGrid w:val="0"/>
              <w:spacing w:line="300" w:lineRule="exact"/>
              <w:rPr>
                <w:rFonts w:hint="eastAsia"/>
              </w:rPr>
            </w:pPr>
            <w:r>
              <w:rPr>
                <w:rFonts w:hint="eastAsia"/>
              </w:rPr>
              <w:t>罐车拉运至压裂返排液处理装置处理</w:t>
            </w:r>
          </w:p>
        </w:tc>
        <w:tc>
          <w:tcPr>
            <w:tcW w:w="658" w:type="pct"/>
            <w:vAlign w:val="center"/>
          </w:tcPr>
          <w:p w14:paraId="6A8C42DB">
            <w:pPr>
              <w:pStyle w:val="278"/>
              <w:adjustRightInd w:val="0"/>
              <w:snapToGrid w:val="0"/>
              <w:spacing w:line="300" w:lineRule="exact"/>
              <w:rPr>
                <w:rFonts w:hint="eastAsia"/>
              </w:rPr>
            </w:pPr>
            <w:r>
              <w:rPr>
                <w:rFonts w:hint="eastAsia" w:cs="宋体"/>
              </w:rPr>
              <w:t>135.65m</w:t>
            </w:r>
            <w:r>
              <w:rPr>
                <w:rFonts w:hint="eastAsia" w:cs="宋体"/>
                <w:vertAlign w:val="superscript"/>
              </w:rPr>
              <w:t>3</w:t>
            </w:r>
            <w:r>
              <w:rPr>
                <w:rFonts w:hint="eastAsia" w:cs="宋体"/>
              </w:rPr>
              <w:t>/a</w:t>
            </w:r>
          </w:p>
        </w:tc>
        <w:tc>
          <w:tcPr>
            <w:tcW w:w="962" w:type="pct"/>
            <w:vAlign w:val="center"/>
          </w:tcPr>
          <w:p w14:paraId="21EDA8EC">
            <w:pPr>
              <w:pStyle w:val="278"/>
              <w:adjustRightInd w:val="0"/>
              <w:snapToGrid w:val="0"/>
              <w:spacing w:line="300" w:lineRule="exact"/>
              <w:rPr>
                <w:rFonts w:hint="eastAsia"/>
              </w:rPr>
            </w:pPr>
            <w:r>
              <w:rPr>
                <w:rFonts w:hint="eastAsia"/>
              </w:rPr>
              <w:t>COD、SS、石油类</w:t>
            </w:r>
          </w:p>
        </w:tc>
        <w:tc>
          <w:tcPr>
            <w:tcW w:w="697" w:type="pct"/>
            <w:vAlign w:val="center"/>
          </w:tcPr>
          <w:p w14:paraId="357625A6">
            <w:pPr>
              <w:pStyle w:val="278"/>
              <w:adjustRightInd w:val="0"/>
              <w:snapToGrid w:val="0"/>
              <w:spacing w:line="300" w:lineRule="exact"/>
              <w:rPr>
                <w:rFonts w:hint="eastAsia"/>
              </w:rPr>
            </w:pPr>
            <w:r>
              <w:t>/</w:t>
            </w:r>
          </w:p>
        </w:tc>
      </w:tr>
      <w:tr w14:paraId="3B540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4CBD15D3">
            <w:pPr>
              <w:pStyle w:val="278"/>
              <w:adjustRightInd w:val="0"/>
              <w:snapToGrid w:val="0"/>
              <w:spacing w:line="300" w:lineRule="exact"/>
              <w:rPr>
                <w:rFonts w:hint="eastAsia"/>
              </w:rPr>
            </w:pPr>
          </w:p>
        </w:tc>
        <w:tc>
          <w:tcPr>
            <w:tcW w:w="1039" w:type="pct"/>
            <w:vAlign w:val="center"/>
          </w:tcPr>
          <w:p w14:paraId="0CFB2136">
            <w:pPr>
              <w:pStyle w:val="278"/>
              <w:adjustRightInd w:val="0"/>
              <w:snapToGrid w:val="0"/>
              <w:spacing w:line="300" w:lineRule="exact"/>
              <w:rPr>
                <w:rFonts w:hint="eastAsia" w:cs="宋体"/>
                <w:kern w:val="2"/>
              </w:rPr>
            </w:pPr>
            <w:r>
              <w:rPr>
                <w:rFonts w:hint="eastAsia" w:cs="宋体"/>
                <w:kern w:val="2"/>
              </w:rPr>
              <w:t>压裂返排液</w:t>
            </w:r>
          </w:p>
        </w:tc>
        <w:tc>
          <w:tcPr>
            <w:tcW w:w="1371" w:type="pct"/>
            <w:vMerge w:val="continue"/>
            <w:vAlign w:val="center"/>
          </w:tcPr>
          <w:p w14:paraId="1935DB21">
            <w:pPr>
              <w:pStyle w:val="278"/>
              <w:adjustRightInd w:val="0"/>
              <w:snapToGrid w:val="0"/>
              <w:spacing w:line="300" w:lineRule="exact"/>
              <w:rPr>
                <w:rFonts w:hint="eastAsia"/>
              </w:rPr>
            </w:pPr>
          </w:p>
        </w:tc>
        <w:tc>
          <w:tcPr>
            <w:tcW w:w="658" w:type="pct"/>
            <w:vAlign w:val="center"/>
          </w:tcPr>
          <w:p w14:paraId="4224318B">
            <w:pPr>
              <w:pStyle w:val="278"/>
              <w:adjustRightInd w:val="0"/>
              <w:snapToGrid w:val="0"/>
              <w:spacing w:line="300" w:lineRule="exact"/>
              <w:rPr>
                <w:rFonts w:hint="eastAsia" w:cs="宋体"/>
              </w:rPr>
            </w:pPr>
            <w:r>
              <w:rPr>
                <w:rFonts w:hint="eastAsia" w:cs="宋体"/>
              </w:rPr>
              <w:t>766.05m</w:t>
            </w:r>
            <w:r>
              <w:rPr>
                <w:rFonts w:hint="eastAsia" w:cs="宋体"/>
                <w:vertAlign w:val="superscript"/>
              </w:rPr>
              <w:t>3</w:t>
            </w:r>
            <w:r>
              <w:rPr>
                <w:rFonts w:hint="eastAsia" w:cs="宋体"/>
              </w:rPr>
              <w:t>/a</w:t>
            </w:r>
          </w:p>
        </w:tc>
        <w:tc>
          <w:tcPr>
            <w:tcW w:w="962" w:type="pct"/>
            <w:vAlign w:val="center"/>
          </w:tcPr>
          <w:p w14:paraId="018D6FF3">
            <w:pPr>
              <w:pStyle w:val="278"/>
              <w:adjustRightInd w:val="0"/>
              <w:snapToGrid w:val="0"/>
              <w:spacing w:line="300" w:lineRule="exact"/>
              <w:rPr>
                <w:rFonts w:hint="eastAsia" w:cs="宋体"/>
              </w:rPr>
            </w:pPr>
            <w:r>
              <w:rPr>
                <w:rFonts w:hint="eastAsia"/>
              </w:rPr>
              <w:t>COD、SS、石油类</w:t>
            </w:r>
          </w:p>
        </w:tc>
        <w:tc>
          <w:tcPr>
            <w:tcW w:w="697" w:type="pct"/>
            <w:vAlign w:val="center"/>
          </w:tcPr>
          <w:p w14:paraId="2A0C7793">
            <w:pPr>
              <w:pStyle w:val="278"/>
              <w:adjustRightInd w:val="0"/>
              <w:snapToGrid w:val="0"/>
              <w:spacing w:line="300" w:lineRule="exact"/>
              <w:rPr>
                <w:rFonts w:hint="eastAsia"/>
              </w:rPr>
            </w:pPr>
            <w:r>
              <w:t>/</w:t>
            </w:r>
          </w:p>
        </w:tc>
      </w:tr>
      <w:tr w14:paraId="0E5D62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75418E29">
            <w:pPr>
              <w:pStyle w:val="278"/>
              <w:adjustRightInd w:val="0"/>
              <w:snapToGrid w:val="0"/>
              <w:spacing w:line="300" w:lineRule="exact"/>
              <w:rPr>
                <w:rFonts w:hint="eastAsia"/>
              </w:rPr>
            </w:pPr>
          </w:p>
        </w:tc>
        <w:tc>
          <w:tcPr>
            <w:tcW w:w="1039" w:type="pct"/>
            <w:vAlign w:val="center"/>
          </w:tcPr>
          <w:p w14:paraId="6EF7C309">
            <w:pPr>
              <w:pStyle w:val="278"/>
              <w:adjustRightInd w:val="0"/>
              <w:snapToGrid w:val="0"/>
              <w:spacing w:line="300" w:lineRule="exact"/>
              <w:rPr>
                <w:rFonts w:hint="eastAsia" w:cs="宋体"/>
                <w:kern w:val="2"/>
              </w:rPr>
            </w:pPr>
            <w:r>
              <w:rPr>
                <w:rFonts w:hint="eastAsia" w:cs="宋体"/>
                <w:kern w:val="2"/>
              </w:rPr>
              <w:t>酸化返排液</w:t>
            </w:r>
          </w:p>
        </w:tc>
        <w:tc>
          <w:tcPr>
            <w:tcW w:w="1371" w:type="pct"/>
            <w:vMerge w:val="continue"/>
            <w:vAlign w:val="center"/>
          </w:tcPr>
          <w:p w14:paraId="3202321F">
            <w:pPr>
              <w:pStyle w:val="278"/>
              <w:adjustRightInd w:val="0"/>
              <w:snapToGrid w:val="0"/>
              <w:spacing w:line="300" w:lineRule="exact"/>
              <w:rPr>
                <w:rFonts w:hint="eastAsia"/>
              </w:rPr>
            </w:pPr>
          </w:p>
        </w:tc>
        <w:tc>
          <w:tcPr>
            <w:tcW w:w="658" w:type="pct"/>
            <w:vAlign w:val="center"/>
          </w:tcPr>
          <w:p w14:paraId="1949A0DC">
            <w:pPr>
              <w:pStyle w:val="278"/>
              <w:adjustRightInd w:val="0"/>
              <w:snapToGrid w:val="0"/>
              <w:spacing w:line="300" w:lineRule="exact"/>
              <w:rPr>
                <w:rFonts w:hint="eastAsia" w:cs="宋体"/>
              </w:rPr>
            </w:pPr>
            <w:r>
              <w:rPr>
                <w:rFonts w:hint="eastAsia" w:cs="Arial"/>
                <w:kern w:val="2"/>
              </w:rPr>
              <w:t>752.45m</w:t>
            </w:r>
            <w:r>
              <w:rPr>
                <w:rFonts w:hint="eastAsia" w:cs="Arial"/>
                <w:kern w:val="2"/>
                <w:vertAlign w:val="superscript"/>
              </w:rPr>
              <w:t>3</w:t>
            </w:r>
            <w:r>
              <w:rPr>
                <w:rFonts w:hint="eastAsia" w:cs="Arial"/>
                <w:kern w:val="2"/>
              </w:rPr>
              <w:t>/</w:t>
            </w:r>
            <w:r>
              <w:rPr>
                <w:rFonts w:cs="Arial"/>
                <w:kern w:val="2"/>
              </w:rPr>
              <w:t>a</w:t>
            </w:r>
          </w:p>
        </w:tc>
        <w:tc>
          <w:tcPr>
            <w:tcW w:w="962" w:type="pct"/>
            <w:vAlign w:val="center"/>
          </w:tcPr>
          <w:p w14:paraId="38ACEA58">
            <w:pPr>
              <w:pStyle w:val="278"/>
              <w:adjustRightInd w:val="0"/>
              <w:snapToGrid w:val="0"/>
              <w:spacing w:line="300" w:lineRule="exact"/>
              <w:rPr>
                <w:rFonts w:hint="eastAsia" w:cs="宋体"/>
              </w:rPr>
            </w:pPr>
            <w:r>
              <w:rPr>
                <w:rFonts w:hint="eastAsia"/>
              </w:rPr>
              <w:t>pH、COD、SS、石油类</w:t>
            </w:r>
          </w:p>
        </w:tc>
        <w:tc>
          <w:tcPr>
            <w:tcW w:w="697" w:type="pct"/>
            <w:vAlign w:val="center"/>
          </w:tcPr>
          <w:p w14:paraId="5CA70450">
            <w:pPr>
              <w:pStyle w:val="278"/>
              <w:adjustRightInd w:val="0"/>
              <w:snapToGrid w:val="0"/>
              <w:spacing w:line="300" w:lineRule="exact"/>
              <w:rPr>
                <w:rFonts w:hint="eastAsia"/>
              </w:rPr>
            </w:pPr>
            <w:r>
              <w:t>/</w:t>
            </w:r>
          </w:p>
        </w:tc>
      </w:tr>
      <w:tr w14:paraId="5C3269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26C1C312">
            <w:pPr>
              <w:pStyle w:val="278"/>
              <w:adjustRightInd w:val="0"/>
              <w:snapToGrid w:val="0"/>
              <w:spacing w:line="300" w:lineRule="exact"/>
              <w:rPr>
                <w:rFonts w:hint="eastAsia"/>
              </w:rPr>
            </w:pPr>
          </w:p>
        </w:tc>
        <w:tc>
          <w:tcPr>
            <w:tcW w:w="1039" w:type="pct"/>
            <w:vAlign w:val="center"/>
          </w:tcPr>
          <w:p w14:paraId="72655A16">
            <w:pPr>
              <w:pStyle w:val="278"/>
              <w:adjustRightInd w:val="0"/>
              <w:snapToGrid w:val="0"/>
              <w:spacing w:line="300" w:lineRule="exact"/>
              <w:rPr>
                <w:rFonts w:hint="eastAsia" w:cs="宋体"/>
                <w:kern w:val="2"/>
              </w:rPr>
            </w:pPr>
            <w:r>
              <w:rPr>
                <w:rFonts w:hint="eastAsia" w:cs="宋体"/>
                <w:kern w:val="2"/>
              </w:rPr>
              <w:t>废洗井液</w:t>
            </w:r>
          </w:p>
        </w:tc>
        <w:tc>
          <w:tcPr>
            <w:tcW w:w="1371" w:type="pct"/>
            <w:vMerge w:val="continue"/>
            <w:vAlign w:val="center"/>
          </w:tcPr>
          <w:p w14:paraId="353DE1F3">
            <w:pPr>
              <w:pStyle w:val="278"/>
              <w:adjustRightInd w:val="0"/>
              <w:snapToGrid w:val="0"/>
              <w:spacing w:line="300" w:lineRule="exact"/>
              <w:rPr>
                <w:rFonts w:hint="eastAsia"/>
              </w:rPr>
            </w:pPr>
          </w:p>
        </w:tc>
        <w:tc>
          <w:tcPr>
            <w:tcW w:w="658" w:type="pct"/>
            <w:vAlign w:val="center"/>
          </w:tcPr>
          <w:p w14:paraId="2211E6BE">
            <w:pPr>
              <w:pStyle w:val="278"/>
              <w:adjustRightInd w:val="0"/>
              <w:snapToGrid w:val="0"/>
              <w:spacing w:line="300" w:lineRule="exact"/>
              <w:rPr>
                <w:rFonts w:hint="eastAsia" w:cs="宋体"/>
              </w:rPr>
            </w:pPr>
            <w:r>
              <w:rPr>
                <w:rFonts w:hint="eastAsia" w:cs="Arial"/>
                <w:kern w:val="2"/>
              </w:rPr>
              <w:t>126.45t/</w:t>
            </w:r>
            <w:r>
              <w:rPr>
                <w:rFonts w:cs="Arial"/>
                <w:kern w:val="2"/>
              </w:rPr>
              <w:t>a</w:t>
            </w:r>
          </w:p>
        </w:tc>
        <w:tc>
          <w:tcPr>
            <w:tcW w:w="962" w:type="pct"/>
            <w:vAlign w:val="center"/>
          </w:tcPr>
          <w:p w14:paraId="23CDDB18">
            <w:pPr>
              <w:pStyle w:val="278"/>
              <w:adjustRightInd w:val="0"/>
              <w:snapToGrid w:val="0"/>
              <w:spacing w:line="300" w:lineRule="exact"/>
              <w:rPr>
                <w:rFonts w:hint="eastAsia" w:cs="宋体"/>
              </w:rPr>
            </w:pPr>
            <w:r>
              <w:rPr>
                <w:rFonts w:hint="eastAsia"/>
              </w:rPr>
              <w:t>COD、SS、石油类</w:t>
            </w:r>
          </w:p>
        </w:tc>
        <w:tc>
          <w:tcPr>
            <w:tcW w:w="697" w:type="pct"/>
            <w:vAlign w:val="center"/>
          </w:tcPr>
          <w:p w14:paraId="2B5AF9EB">
            <w:pPr>
              <w:pStyle w:val="278"/>
              <w:adjustRightInd w:val="0"/>
              <w:snapToGrid w:val="0"/>
              <w:spacing w:line="300" w:lineRule="exact"/>
              <w:rPr>
                <w:rFonts w:hint="eastAsia"/>
              </w:rPr>
            </w:pPr>
            <w:r>
              <w:t>/</w:t>
            </w:r>
          </w:p>
        </w:tc>
      </w:tr>
      <w:tr w14:paraId="12333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restart"/>
            <w:vAlign w:val="center"/>
          </w:tcPr>
          <w:p w14:paraId="198F5373">
            <w:pPr>
              <w:pStyle w:val="278"/>
              <w:adjustRightInd w:val="0"/>
              <w:snapToGrid w:val="0"/>
              <w:spacing w:line="300" w:lineRule="exact"/>
              <w:rPr>
                <w:rFonts w:hint="eastAsia"/>
              </w:rPr>
            </w:pPr>
            <w:r>
              <w:t>固体</w:t>
            </w:r>
          </w:p>
          <w:p w14:paraId="737FBA12">
            <w:pPr>
              <w:pStyle w:val="278"/>
              <w:adjustRightInd w:val="0"/>
              <w:snapToGrid w:val="0"/>
              <w:spacing w:line="300" w:lineRule="exact"/>
              <w:rPr>
                <w:rFonts w:hint="eastAsia"/>
              </w:rPr>
            </w:pPr>
            <w:r>
              <w:t>废物</w:t>
            </w:r>
          </w:p>
        </w:tc>
        <w:tc>
          <w:tcPr>
            <w:tcW w:w="1039" w:type="pct"/>
            <w:vAlign w:val="center"/>
          </w:tcPr>
          <w:p w14:paraId="211A9D41">
            <w:pPr>
              <w:pStyle w:val="278"/>
              <w:adjustRightInd w:val="0"/>
              <w:snapToGrid w:val="0"/>
              <w:spacing w:line="300" w:lineRule="exact"/>
              <w:rPr>
                <w:rFonts w:hint="eastAsia"/>
              </w:rPr>
            </w:pPr>
            <w:r>
              <w:rPr>
                <w:rFonts w:hint="eastAsia"/>
              </w:rPr>
              <w:t>废脱硫剂包装物</w:t>
            </w:r>
          </w:p>
        </w:tc>
        <w:tc>
          <w:tcPr>
            <w:tcW w:w="1371" w:type="pct"/>
            <w:vAlign w:val="center"/>
          </w:tcPr>
          <w:p w14:paraId="36571004">
            <w:pPr>
              <w:pStyle w:val="278"/>
              <w:adjustRightInd w:val="0"/>
              <w:snapToGrid w:val="0"/>
              <w:spacing w:line="300" w:lineRule="exact"/>
              <w:rPr>
                <w:rFonts w:hint="eastAsia"/>
              </w:rPr>
            </w:pPr>
            <w:r>
              <w:rPr>
                <w:rFonts w:hint="eastAsia"/>
              </w:rPr>
              <w:t>厂家回收管理</w:t>
            </w:r>
          </w:p>
        </w:tc>
        <w:tc>
          <w:tcPr>
            <w:tcW w:w="658" w:type="pct"/>
            <w:vAlign w:val="center"/>
          </w:tcPr>
          <w:p w14:paraId="450E3E32">
            <w:pPr>
              <w:pStyle w:val="278"/>
              <w:adjustRightInd w:val="0"/>
              <w:snapToGrid w:val="0"/>
              <w:spacing w:line="300" w:lineRule="exact"/>
              <w:rPr>
                <w:rFonts w:hint="eastAsia"/>
              </w:rPr>
            </w:pPr>
            <w:r>
              <w:rPr>
                <w:rFonts w:hint="eastAsia"/>
              </w:rPr>
              <w:t>0.1</w:t>
            </w:r>
            <w:bookmarkStart w:id="774" w:name="OLE_LINK108"/>
            <w:r>
              <w:rPr>
                <w:rFonts w:hint="eastAsia"/>
              </w:rPr>
              <w:t>t</w:t>
            </w:r>
            <w:r>
              <w:t>/a</w:t>
            </w:r>
            <w:bookmarkEnd w:id="774"/>
          </w:p>
        </w:tc>
        <w:tc>
          <w:tcPr>
            <w:tcW w:w="962" w:type="pct"/>
            <w:vAlign w:val="center"/>
          </w:tcPr>
          <w:p w14:paraId="4E74EEB6">
            <w:pPr>
              <w:pStyle w:val="278"/>
              <w:adjustRightInd w:val="0"/>
              <w:snapToGrid w:val="0"/>
              <w:spacing w:line="300" w:lineRule="exact"/>
              <w:rPr>
                <w:rFonts w:hint="eastAsia"/>
              </w:rPr>
            </w:pPr>
            <w:r>
              <w:t>/</w:t>
            </w:r>
          </w:p>
        </w:tc>
        <w:tc>
          <w:tcPr>
            <w:tcW w:w="697" w:type="pct"/>
            <w:vAlign w:val="center"/>
          </w:tcPr>
          <w:p w14:paraId="76F6A131">
            <w:pPr>
              <w:pStyle w:val="278"/>
              <w:adjustRightInd w:val="0"/>
              <w:snapToGrid w:val="0"/>
              <w:spacing w:line="300" w:lineRule="exact"/>
              <w:rPr>
                <w:rFonts w:hint="eastAsia"/>
              </w:rPr>
            </w:pPr>
            <w:r>
              <w:t>/</w:t>
            </w:r>
          </w:p>
        </w:tc>
      </w:tr>
      <w:tr w14:paraId="112BD1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1AA45FF5">
            <w:pPr>
              <w:pStyle w:val="278"/>
              <w:adjustRightInd w:val="0"/>
              <w:snapToGrid w:val="0"/>
              <w:spacing w:line="300" w:lineRule="exact"/>
              <w:rPr>
                <w:rFonts w:hint="eastAsia"/>
              </w:rPr>
            </w:pPr>
          </w:p>
        </w:tc>
        <w:tc>
          <w:tcPr>
            <w:tcW w:w="1039" w:type="pct"/>
            <w:vAlign w:val="center"/>
          </w:tcPr>
          <w:p w14:paraId="2F01FEA4">
            <w:pPr>
              <w:pStyle w:val="278"/>
              <w:adjustRightInd w:val="0"/>
              <w:snapToGrid w:val="0"/>
              <w:spacing w:line="300" w:lineRule="exact"/>
              <w:rPr>
                <w:rFonts w:hint="eastAsia"/>
              </w:rPr>
            </w:pPr>
            <w:r>
              <w:rPr>
                <w:rFonts w:hint="eastAsia"/>
              </w:rPr>
              <w:t>清罐底泥</w:t>
            </w:r>
          </w:p>
        </w:tc>
        <w:tc>
          <w:tcPr>
            <w:tcW w:w="1371" w:type="pct"/>
            <w:vMerge w:val="restart"/>
            <w:vAlign w:val="center"/>
          </w:tcPr>
          <w:p w14:paraId="7A929BBD">
            <w:pPr>
              <w:pStyle w:val="278"/>
              <w:adjustRightInd w:val="0"/>
              <w:snapToGrid w:val="0"/>
              <w:spacing w:line="300" w:lineRule="exact"/>
              <w:rPr>
                <w:rFonts w:hint="eastAsia"/>
              </w:rPr>
            </w:pPr>
            <w:r>
              <w:rPr>
                <w:rFonts w:hint="eastAsia"/>
              </w:rPr>
              <w:t>集中收集后交由有相应危险废物处理资质的单位回收处置</w:t>
            </w:r>
          </w:p>
        </w:tc>
        <w:tc>
          <w:tcPr>
            <w:tcW w:w="658" w:type="pct"/>
            <w:vAlign w:val="center"/>
          </w:tcPr>
          <w:p w14:paraId="656D8A68">
            <w:pPr>
              <w:pStyle w:val="278"/>
              <w:adjustRightInd w:val="0"/>
              <w:snapToGrid w:val="0"/>
              <w:spacing w:line="300" w:lineRule="exact"/>
              <w:rPr>
                <w:rFonts w:hint="eastAsia"/>
              </w:rPr>
            </w:pPr>
            <w:r>
              <w:rPr>
                <w:rFonts w:hint="eastAsia"/>
              </w:rPr>
              <w:t>245t</w:t>
            </w:r>
            <w:r>
              <w:t>/a</w:t>
            </w:r>
          </w:p>
        </w:tc>
        <w:tc>
          <w:tcPr>
            <w:tcW w:w="962" w:type="pct"/>
            <w:vAlign w:val="center"/>
          </w:tcPr>
          <w:p w14:paraId="3663B596">
            <w:pPr>
              <w:pStyle w:val="278"/>
              <w:adjustRightInd w:val="0"/>
              <w:snapToGrid w:val="0"/>
              <w:spacing w:line="300" w:lineRule="exact"/>
              <w:rPr>
                <w:rFonts w:hint="eastAsia"/>
              </w:rPr>
            </w:pPr>
            <w:r>
              <w:rPr>
                <w:rFonts w:hint="eastAsia"/>
              </w:rPr>
              <w:t>石油类</w:t>
            </w:r>
          </w:p>
        </w:tc>
        <w:tc>
          <w:tcPr>
            <w:tcW w:w="697" w:type="pct"/>
            <w:vAlign w:val="center"/>
          </w:tcPr>
          <w:p w14:paraId="2A3A145C">
            <w:pPr>
              <w:pStyle w:val="278"/>
              <w:adjustRightInd w:val="0"/>
              <w:snapToGrid w:val="0"/>
              <w:spacing w:line="300" w:lineRule="exact"/>
              <w:rPr>
                <w:rFonts w:hint="eastAsia"/>
              </w:rPr>
            </w:pPr>
            <w:r>
              <w:t>/</w:t>
            </w:r>
          </w:p>
        </w:tc>
      </w:tr>
      <w:tr w14:paraId="187778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5E24A04B">
            <w:pPr>
              <w:pStyle w:val="278"/>
              <w:adjustRightInd w:val="0"/>
              <w:snapToGrid w:val="0"/>
              <w:spacing w:line="300" w:lineRule="exact"/>
              <w:rPr>
                <w:rFonts w:hint="eastAsia"/>
              </w:rPr>
            </w:pPr>
            <w:bookmarkStart w:id="775" w:name="_Hlk173437192"/>
            <w:bookmarkStart w:id="776" w:name="OLE_LINK153"/>
          </w:p>
        </w:tc>
        <w:tc>
          <w:tcPr>
            <w:tcW w:w="1039" w:type="pct"/>
            <w:vAlign w:val="center"/>
          </w:tcPr>
          <w:p w14:paraId="3E264506">
            <w:pPr>
              <w:pStyle w:val="278"/>
              <w:adjustRightInd w:val="0"/>
              <w:snapToGrid w:val="0"/>
              <w:spacing w:line="300" w:lineRule="exact"/>
              <w:rPr>
                <w:rFonts w:hint="eastAsia"/>
              </w:rPr>
            </w:pPr>
            <w:r>
              <w:rPr>
                <w:rFonts w:hint="eastAsia"/>
              </w:rPr>
              <w:t>废润滑油</w:t>
            </w:r>
          </w:p>
        </w:tc>
        <w:tc>
          <w:tcPr>
            <w:tcW w:w="1371" w:type="pct"/>
            <w:vMerge w:val="continue"/>
            <w:vAlign w:val="center"/>
          </w:tcPr>
          <w:p w14:paraId="5D32C09C">
            <w:pPr>
              <w:pStyle w:val="278"/>
              <w:adjustRightInd w:val="0"/>
              <w:snapToGrid w:val="0"/>
              <w:spacing w:line="300" w:lineRule="exact"/>
              <w:rPr>
                <w:rFonts w:hint="eastAsia"/>
              </w:rPr>
            </w:pPr>
          </w:p>
        </w:tc>
        <w:tc>
          <w:tcPr>
            <w:tcW w:w="658" w:type="pct"/>
            <w:vAlign w:val="center"/>
          </w:tcPr>
          <w:p w14:paraId="7F13FACF">
            <w:pPr>
              <w:pStyle w:val="278"/>
              <w:adjustRightInd w:val="0"/>
              <w:snapToGrid w:val="0"/>
              <w:spacing w:line="300" w:lineRule="exact"/>
              <w:rPr>
                <w:rFonts w:hint="eastAsia"/>
              </w:rPr>
            </w:pPr>
            <w:r>
              <w:rPr>
                <w:rFonts w:hint="eastAsia"/>
              </w:rPr>
              <w:t>0.25t</w:t>
            </w:r>
            <w:r>
              <w:t>/a</w:t>
            </w:r>
          </w:p>
        </w:tc>
        <w:tc>
          <w:tcPr>
            <w:tcW w:w="962" w:type="pct"/>
          </w:tcPr>
          <w:p w14:paraId="3C89C4BF">
            <w:pPr>
              <w:pStyle w:val="278"/>
              <w:adjustRightInd w:val="0"/>
              <w:snapToGrid w:val="0"/>
              <w:spacing w:line="300" w:lineRule="exact"/>
              <w:rPr>
                <w:rFonts w:hint="eastAsia"/>
              </w:rPr>
            </w:pPr>
            <w:bookmarkStart w:id="777" w:name="OLE_LINK111"/>
            <w:r>
              <w:rPr>
                <w:rFonts w:hint="eastAsia"/>
              </w:rPr>
              <w:t>石油类</w:t>
            </w:r>
            <w:bookmarkEnd w:id="777"/>
          </w:p>
        </w:tc>
        <w:tc>
          <w:tcPr>
            <w:tcW w:w="697" w:type="pct"/>
          </w:tcPr>
          <w:p w14:paraId="0C4D9C72">
            <w:pPr>
              <w:pStyle w:val="278"/>
              <w:adjustRightInd w:val="0"/>
              <w:snapToGrid w:val="0"/>
              <w:spacing w:line="300" w:lineRule="exact"/>
              <w:rPr>
                <w:rFonts w:hint="eastAsia"/>
              </w:rPr>
            </w:pPr>
            <w:bookmarkStart w:id="778" w:name="OLE_LINK112"/>
            <w:r>
              <w:t>/</w:t>
            </w:r>
            <w:bookmarkEnd w:id="778"/>
          </w:p>
        </w:tc>
      </w:tr>
      <w:bookmarkEnd w:id="775"/>
      <w:tr w14:paraId="6B286A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021D38B3">
            <w:pPr>
              <w:pStyle w:val="278"/>
              <w:adjustRightInd w:val="0"/>
              <w:snapToGrid w:val="0"/>
              <w:spacing w:line="300" w:lineRule="exact"/>
              <w:rPr>
                <w:rFonts w:hint="eastAsia"/>
              </w:rPr>
            </w:pPr>
          </w:p>
        </w:tc>
        <w:tc>
          <w:tcPr>
            <w:tcW w:w="1039" w:type="pct"/>
            <w:vAlign w:val="center"/>
          </w:tcPr>
          <w:p w14:paraId="3614EEFD">
            <w:pPr>
              <w:pStyle w:val="278"/>
              <w:adjustRightInd w:val="0"/>
              <w:snapToGrid w:val="0"/>
              <w:spacing w:line="300" w:lineRule="exact"/>
              <w:rPr>
                <w:rFonts w:hint="eastAsia"/>
              </w:rPr>
            </w:pPr>
            <w:r>
              <w:rPr>
                <w:rFonts w:hint="eastAsia"/>
              </w:rPr>
              <w:t>废润滑油桶</w:t>
            </w:r>
          </w:p>
        </w:tc>
        <w:tc>
          <w:tcPr>
            <w:tcW w:w="1371" w:type="pct"/>
            <w:vMerge w:val="continue"/>
            <w:vAlign w:val="center"/>
          </w:tcPr>
          <w:p w14:paraId="5C213016">
            <w:pPr>
              <w:pStyle w:val="278"/>
              <w:adjustRightInd w:val="0"/>
              <w:snapToGrid w:val="0"/>
              <w:spacing w:line="300" w:lineRule="exact"/>
              <w:rPr>
                <w:rFonts w:hint="eastAsia"/>
              </w:rPr>
            </w:pPr>
          </w:p>
        </w:tc>
        <w:tc>
          <w:tcPr>
            <w:tcW w:w="658" w:type="pct"/>
            <w:vAlign w:val="center"/>
          </w:tcPr>
          <w:p w14:paraId="003E941D">
            <w:pPr>
              <w:pStyle w:val="278"/>
              <w:adjustRightInd w:val="0"/>
              <w:snapToGrid w:val="0"/>
              <w:spacing w:line="300" w:lineRule="exact"/>
              <w:rPr>
                <w:rFonts w:hint="eastAsia"/>
              </w:rPr>
            </w:pPr>
            <w:r>
              <w:rPr>
                <w:rFonts w:hint="eastAsia"/>
              </w:rPr>
              <w:t>0.02t</w:t>
            </w:r>
            <w:r>
              <w:t>/a</w:t>
            </w:r>
          </w:p>
        </w:tc>
        <w:tc>
          <w:tcPr>
            <w:tcW w:w="962" w:type="pct"/>
          </w:tcPr>
          <w:p w14:paraId="7BC4C106">
            <w:pPr>
              <w:pStyle w:val="278"/>
              <w:adjustRightInd w:val="0"/>
              <w:snapToGrid w:val="0"/>
              <w:spacing w:line="300" w:lineRule="exact"/>
              <w:rPr>
                <w:rFonts w:hint="eastAsia"/>
              </w:rPr>
            </w:pPr>
            <w:r>
              <w:rPr>
                <w:rFonts w:hint="eastAsia"/>
              </w:rPr>
              <w:t>石油类</w:t>
            </w:r>
          </w:p>
        </w:tc>
        <w:tc>
          <w:tcPr>
            <w:tcW w:w="697" w:type="pct"/>
          </w:tcPr>
          <w:p w14:paraId="462DEEA1">
            <w:pPr>
              <w:pStyle w:val="278"/>
              <w:adjustRightInd w:val="0"/>
              <w:snapToGrid w:val="0"/>
              <w:spacing w:line="300" w:lineRule="exact"/>
              <w:rPr>
                <w:rFonts w:hint="eastAsia"/>
              </w:rPr>
            </w:pPr>
            <w:r>
              <w:t>/</w:t>
            </w:r>
          </w:p>
        </w:tc>
      </w:tr>
      <w:bookmarkEnd w:id="776"/>
      <w:tr w14:paraId="670E30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01B47484">
            <w:pPr>
              <w:pStyle w:val="278"/>
              <w:adjustRightInd w:val="0"/>
              <w:snapToGrid w:val="0"/>
              <w:spacing w:line="300" w:lineRule="exact"/>
              <w:rPr>
                <w:rFonts w:hint="eastAsia"/>
              </w:rPr>
            </w:pPr>
          </w:p>
        </w:tc>
        <w:tc>
          <w:tcPr>
            <w:tcW w:w="1039" w:type="pct"/>
            <w:vAlign w:val="center"/>
          </w:tcPr>
          <w:p w14:paraId="02E6ABF2">
            <w:pPr>
              <w:pStyle w:val="278"/>
              <w:adjustRightInd w:val="0"/>
              <w:snapToGrid w:val="0"/>
              <w:spacing w:line="300" w:lineRule="exact"/>
              <w:rPr>
                <w:rFonts w:hint="eastAsia"/>
              </w:rPr>
            </w:pPr>
            <w:r>
              <w:rPr>
                <w:rFonts w:hint="eastAsia"/>
              </w:rPr>
              <w:t>废含油抹布和劳保用品</w:t>
            </w:r>
          </w:p>
        </w:tc>
        <w:tc>
          <w:tcPr>
            <w:tcW w:w="1371" w:type="pct"/>
            <w:vMerge w:val="continue"/>
            <w:vAlign w:val="center"/>
          </w:tcPr>
          <w:p w14:paraId="665F1B09">
            <w:pPr>
              <w:pStyle w:val="278"/>
              <w:adjustRightInd w:val="0"/>
              <w:snapToGrid w:val="0"/>
              <w:spacing w:line="300" w:lineRule="exact"/>
              <w:rPr>
                <w:rFonts w:hint="eastAsia"/>
              </w:rPr>
            </w:pPr>
          </w:p>
        </w:tc>
        <w:tc>
          <w:tcPr>
            <w:tcW w:w="658" w:type="pct"/>
          </w:tcPr>
          <w:p w14:paraId="699D1AFA">
            <w:pPr>
              <w:pStyle w:val="278"/>
              <w:adjustRightInd w:val="0"/>
              <w:snapToGrid w:val="0"/>
              <w:spacing w:line="300" w:lineRule="exact"/>
              <w:rPr>
                <w:rFonts w:hint="eastAsia"/>
              </w:rPr>
            </w:pPr>
            <w:r>
              <w:rPr>
                <w:rFonts w:hint="eastAsia"/>
              </w:rPr>
              <w:t>0.01t</w:t>
            </w:r>
            <w:r>
              <w:t>/a</w:t>
            </w:r>
          </w:p>
        </w:tc>
        <w:tc>
          <w:tcPr>
            <w:tcW w:w="962" w:type="pct"/>
          </w:tcPr>
          <w:p w14:paraId="4B20E4E7">
            <w:pPr>
              <w:pStyle w:val="278"/>
              <w:adjustRightInd w:val="0"/>
              <w:snapToGrid w:val="0"/>
              <w:spacing w:line="300" w:lineRule="exact"/>
              <w:rPr>
                <w:rFonts w:hint="eastAsia"/>
              </w:rPr>
            </w:pPr>
            <w:r>
              <w:rPr>
                <w:rFonts w:hint="eastAsia"/>
              </w:rPr>
              <w:t>石油类</w:t>
            </w:r>
          </w:p>
        </w:tc>
        <w:tc>
          <w:tcPr>
            <w:tcW w:w="697" w:type="pct"/>
          </w:tcPr>
          <w:p w14:paraId="47FA43F7">
            <w:pPr>
              <w:pStyle w:val="278"/>
              <w:adjustRightInd w:val="0"/>
              <w:snapToGrid w:val="0"/>
              <w:spacing w:line="300" w:lineRule="exact"/>
              <w:rPr>
                <w:rFonts w:hint="eastAsia"/>
              </w:rPr>
            </w:pPr>
            <w:r>
              <w:t>/</w:t>
            </w:r>
          </w:p>
        </w:tc>
      </w:tr>
      <w:tr w14:paraId="2386F0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73" w:type="pct"/>
            <w:vMerge w:val="continue"/>
            <w:vAlign w:val="center"/>
          </w:tcPr>
          <w:p w14:paraId="33297EF9">
            <w:pPr>
              <w:pStyle w:val="278"/>
              <w:adjustRightInd w:val="0"/>
              <w:snapToGrid w:val="0"/>
              <w:spacing w:line="300" w:lineRule="exact"/>
              <w:rPr>
                <w:rFonts w:hint="eastAsia"/>
              </w:rPr>
            </w:pPr>
          </w:p>
        </w:tc>
        <w:tc>
          <w:tcPr>
            <w:tcW w:w="1039" w:type="pct"/>
            <w:vAlign w:val="center"/>
          </w:tcPr>
          <w:p w14:paraId="59F8D745">
            <w:pPr>
              <w:pStyle w:val="278"/>
              <w:adjustRightInd w:val="0"/>
              <w:snapToGrid w:val="0"/>
              <w:spacing w:line="300" w:lineRule="exact"/>
              <w:rPr>
                <w:rFonts w:hint="eastAsia"/>
              </w:rPr>
            </w:pPr>
            <w:r>
              <w:rPr>
                <w:rFonts w:hint="eastAsia"/>
              </w:rPr>
              <w:t>沾油废防渗材料</w:t>
            </w:r>
          </w:p>
        </w:tc>
        <w:tc>
          <w:tcPr>
            <w:tcW w:w="1371" w:type="pct"/>
            <w:vMerge w:val="continue"/>
            <w:vAlign w:val="center"/>
          </w:tcPr>
          <w:p w14:paraId="3A67507A">
            <w:pPr>
              <w:pStyle w:val="278"/>
              <w:adjustRightInd w:val="0"/>
              <w:snapToGrid w:val="0"/>
              <w:spacing w:line="300" w:lineRule="exact"/>
              <w:rPr>
                <w:rFonts w:hint="eastAsia"/>
              </w:rPr>
            </w:pPr>
          </w:p>
        </w:tc>
        <w:tc>
          <w:tcPr>
            <w:tcW w:w="658" w:type="pct"/>
          </w:tcPr>
          <w:p w14:paraId="28872D11">
            <w:pPr>
              <w:pStyle w:val="278"/>
              <w:adjustRightInd w:val="0"/>
              <w:snapToGrid w:val="0"/>
              <w:spacing w:line="300" w:lineRule="exact"/>
              <w:rPr>
                <w:rFonts w:hint="eastAsia"/>
              </w:rPr>
            </w:pPr>
            <w:r>
              <w:rPr>
                <w:rFonts w:hint="eastAsia"/>
              </w:rPr>
              <w:t>0.35t</w:t>
            </w:r>
            <w:r>
              <w:t>/a</w:t>
            </w:r>
          </w:p>
        </w:tc>
        <w:tc>
          <w:tcPr>
            <w:tcW w:w="962" w:type="pct"/>
          </w:tcPr>
          <w:p w14:paraId="64D8A95C">
            <w:pPr>
              <w:pStyle w:val="278"/>
              <w:adjustRightInd w:val="0"/>
              <w:snapToGrid w:val="0"/>
              <w:spacing w:line="300" w:lineRule="exact"/>
              <w:rPr>
                <w:rFonts w:hint="eastAsia"/>
              </w:rPr>
            </w:pPr>
            <w:r>
              <w:rPr>
                <w:rFonts w:hint="eastAsia"/>
              </w:rPr>
              <w:t>石油类</w:t>
            </w:r>
          </w:p>
        </w:tc>
        <w:tc>
          <w:tcPr>
            <w:tcW w:w="697" w:type="pct"/>
          </w:tcPr>
          <w:p w14:paraId="66E61380">
            <w:pPr>
              <w:pStyle w:val="278"/>
              <w:adjustRightInd w:val="0"/>
              <w:snapToGrid w:val="0"/>
              <w:spacing w:line="300" w:lineRule="exact"/>
              <w:rPr>
                <w:rFonts w:hint="eastAsia"/>
              </w:rPr>
            </w:pPr>
            <w:r>
              <w:t>/</w:t>
            </w:r>
          </w:p>
        </w:tc>
      </w:tr>
    </w:tbl>
    <w:p w14:paraId="64A6752F">
      <w:pPr>
        <w:pStyle w:val="117"/>
        <w:ind w:firstLine="480"/>
        <w:rPr>
          <w:rFonts w:hint="eastAsia"/>
        </w:rPr>
      </w:pPr>
    </w:p>
    <w:p w14:paraId="674F326E">
      <w:pPr>
        <w:pStyle w:val="117"/>
        <w:ind w:firstLine="480"/>
        <w:rPr>
          <w:rFonts w:hint="eastAsia"/>
        </w:rPr>
      </w:pPr>
    </w:p>
    <w:p w14:paraId="6BDDD26F">
      <w:pPr>
        <w:pStyle w:val="117"/>
        <w:ind w:firstLine="480"/>
        <w:rPr>
          <w:rFonts w:hint="eastAsia"/>
        </w:rPr>
        <w:sectPr>
          <w:pgSz w:w="16838" w:h="11906" w:orient="landscape"/>
          <w:pgMar w:top="1588" w:right="1418" w:bottom="1588" w:left="1418" w:header="1020" w:footer="1020" w:gutter="0"/>
          <w:cols w:space="720" w:num="1"/>
          <w:docGrid w:type="lines" w:linePitch="312" w:charSpace="0"/>
        </w:sectPr>
      </w:pPr>
    </w:p>
    <w:p w14:paraId="328B57FD">
      <w:pPr>
        <w:pStyle w:val="117"/>
        <w:ind w:firstLine="480"/>
        <w:rPr>
          <w:rFonts w:hint="eastAsia"/>
        </w:rPr>
      </w:pPr>
      <w:bookmarkStart w:id="779" w:name="_Toc160382113"/>
      <w:r>
        <w:rPr>
          <w:rFonts w:hint="eastAsia"/>
        </w:rPr>
        <w:t>护的应当提供运维方信息；</w:t>
      </w:r>
    </w:p>
    <w:p w14:paraId="26BB5097">
      <w:pPr>
        <w:pStyle w:val="117"/>
        <w:ind w:firstLine="480"/>
        <w:rPr>
          <w:rFonts w:hint="eastAsia"/>
        </w:rPr>
      </w:pPr>
      <w:r>
        <w:rPr>
          <w:rFonts w:hint="eastAsia"/>
        </w:rPr>
        <w:t>（</w:t>
      </w:r>
      <w:r>
        <w:t>4）</w:t>
      </w:r>
      <w:r>
        <w:rPr>
          <w:rFonts w:hint="eastAsia"/>
        </w:rPr>
        <w:t>企业应当就排污许可、建设项目环境影响评价等生态环境行政许可新获得、变更、撤销等情况，披露变更事项、批复机关、批复文件文号、批复时间、批复原文内容等信息；</w:t>
      </w:r>
    </w:p>
    <w:p w14:paraId="7B0F75DC">
      <w:pPr>
        <w:pStyle w:val="117"/>
        <w:ind w:firstLine="480"/>
        <w:rPr>
          <w:rFonts w:hint="eastAsia"/>
        </w:rPr>
      </w:pPr>
      <w:r>
        <w:rPr>
          <w:rFonts w:hint="eastAsia"/>
        </w:rPr>
        <w:t>（</w:t>
      </w:r>
      <w:r>
        <w:t>5）突发环境事件应急预案；</w:t>
      </w:r>
    </w:p>
    <w:p w14:paraId="1B29844B">
      <w:pPr>
        <w:pStyle w:val="117"/>
        <w:ind w:firstLine="480"/>
        <w:rPr>
          <w:rFonts w:hint="eastAsia"/>
        </w:rPr>
      </w:pPr>
      <w:r>
        <w:rPr>
          <w:rFonts w:hint="eastAsia"/>
        </w:rPr>
        <w:t>（</w:t>
      </w:r>
      <w:r>
        <w:t>6）其他应当公开的环境信息。</w:t>
      </w:r>
    </w:p>
    <w:p w14:paraId="2B7742EA">
      <w:pPr>
        <w:pStyle w:val="2"/>
        <w:rPr>
          <w:rFonts w:hint="eastAsia"/>
        </w:rPr>
      </w:pPr>
      <w:r>
        <w:rPr>
          <w:rFonts w:hint="eastAsia"/>
        </w:rPr>
        <w:t>环境监测与监控</w:t>
      </w:r>
      <w:bookmarkEnd w:id="779"/>
    </w:p>
    <w:p w14:paraId="194ED3B1">
      <w:pPr>
        <w:pStyle w:val="4"/>
        <w:rPr>
          <w:rFonts w:hint="eastAsia"/>
        </w:rPr>
      </w:pPr>
      <w:r>
        <w:rPr>
          <w:rFonts w:hint="eastAsia"/>
        </w:rPr>
        <w:t>施工期</w:t>
      </w:r>
      <w:r>
        <w:t>开展环境工程现场监理</w:t>
      </w:r>
      <w:r>
        <w:rPr>
          <w:rFonts w:hint="eastAsia"/>
        </w:rPr>
        <w:t>建议</w:t>
      </w:r>
    </w:p>
    <w:p w14:paraId="001BE820">
      <w:pPr>
        <w:pStyle w:val="117"/>
        <w:ind w:firstLine="480"/>
        <w:rPr>
          <w:rFonts w:hint="eastAsia"/>
        </w:rPr>
      </w:pPr>
      <w:r>
        <w:rPr>
          <w:rFonts w:hint="eastAsia"/>
        </w:rPr>
        <w:t>为减轻</w:t>
      </w:r>
      <w:r>
        <w:t>对环境的影响，将环境管理制度从事后管理转变为全过程管理，建议实施环境监理。</w:t>
      </w:r>
    </w:p>
    <w:p w14:paraId="49A4B74A">
      <w:pPr>
        <w:pStyle w:val="117"/>
        <w:ind w:firstLine="480"/>
        <w:rPr>
          <w:rFonts w:hint="eastAsia"/>
        </w:rPr>
      </w:pPr>
      <w:r>
        <w:rPr>
          <w:rFonts w:hint="eastAsia"/>
        </w:rPr>
        <w:t>由于建设单位</w:t>
      </w:r>
      <w:r>
        <w:t>聘请相关环境监理</w:t>
      </w:r>
      <w:r>
        <w:rPr>
          <w:rFonts w:hint="eastAsia"/>
        </w:rPr>
        <w:t>机构</w:t>
      </w:r>
      <w:r>
        <w:t>对施工单位</w:t>
      </w:r>
      <w:r>
        <w:rPr>
          <w:rFonts w:hint="eastAsia"/>
        </w:rPr>
        <w:t>、</w:t>
      </w:r>
      <w:r>
        <w:t>承包商、供应商和</w:t>
      </w:r>
      <w:r>
        <w:rPr>
          <w:rFonts w:hint="eastAsia"/>
        </w:rPr>
        <w:t>中国石油新疆油田分公司</w:t>
      </w:r>
      <w:r>
        <w:t>环保法律、法规、制度、标准、规范的情况</w:t>
      </w:r>
      <w:r>
        <w:rPr>
          <w:rFonts w:hint="eastAsia"/>
        </w:rPr>
        <w:t>依法</w:t>
      </w:r>
      <w:r>
        <w:t>进行监督检查，特别是加强施工现场的环境监理检查工作，目的是协助建设单位落实</w:t>
      </w:r>
      <w:r>
        <w:rPr>
          <w:rFonts w:hint="eastAsia"/>
        </w:rPr>
        <w:t>施工</w:t>
      </w:r>
      <w:r>
        <w:t>期间的各项环境保护要求和施工合同中的环保规定，确保</w:t>
      </w:r>
      <w:r>
        <w:rPr>
          <w:rFonts w:hint="eastAsia"/>
        </w:rPr>
        <w:t>项目</w:t>
      </w:r>
      <w:r>
        <w:t>建设符合有关相关要求。因此</w:t>
      </w:r>
      <w:r>
        <w:rPr>
          <w:rFonts w:hint="eastAsia"/>
        </w:rPr>
        <w:t>建议</w:t>
      </w:r>
      <w:r>
        <w:t>建设单位外聘环保专业人员，对</w:t>
      </w:r>
      <w:r>
        <w:rPr>
          <w:rFonts w:hint="eastAsia"/>
        </w:rPr>
        <w:t>各</w:t>
      </w:r>
      <w:r>
        <w:t>作业</w:t>
      </w:r>
      <w:r>
        <w:rPr>
          <w:rFonts w:hint="eastAsia"/>
        </w:rPr>
        <w:t>阶段</w:t>
      </w:r>
      <w:r>
        <w:t>进行环境监理工作。</w:t>
      </w:r>
      <w:bookmarkEnd w:id="763"/>
      <w:bookmarkEnd w:id="764"/>
      <w:bookmarkEnd w:id="765"/>
    </w:p>
    <w:p w14:paraId="4F187D68">
      <w:pPr>
        <w:pStyle w:val="117"/>
        <w:ind w:firstLine="480"/>
        <w:rPr>
          <w:rFonts w:hint="eastAsia"/>
        </w:rPr>
      </w:pPr>
      <w:r>
        <w:rPr>
          <w:rFonts w:hint="eastAsia"/>
        </w:rPr>
        <w:t>（1</w:t>
      </w:r>
      <w:r>
        <w:t>）</w:t>
      </w:r>
      <w:r>
        <w:rPr>
          <w:rFonts w:hint="eastAsia"/>
        </w:rPr>
        <w:t>环境</w:t>
      </w:r>
      <w:r>
        <w:t>监理人员要求</w:t>
      </w:r>
    </w:p>
    <w:p w14:paraId="798FD9BE">
      <w:pPr>
        <w:pStyle w:val="117"/>
        <w:ind w:firstLine="480"/>
        <w:rPr>
          <w:rFonts w:hint="eastAsia"/>
        </w:rPr>
      </w:pPr>
      <w:r>
        <w:rPr>
          <w:rFonts w:hint="eastAsia"/>
        </w:rPr>
        <w:t>①环境</w:t>
      </w:r>
      <w:r>
        <w:t>监理人员必须具备环保专业</w:t>
      </w:r>
      <w:r>
        <w:rPr>
          <w:rFonts w:hint="eastAsia"/>
        </w:rPr>
        <w:t>知识</w:t>
      </w:r>
      <w:r>
        <w:t>，</w:t>
      </w:r>
      <w:bookmarkStart w:id="780" w:name="_Hlk33530010"/>
      <w:r>
        <w:rPr>
          <w:rFonts w:hint="eastAsia"/>
        </w:rPr>
        <w:t>精通</w:t>
      </w:r>
      <w:r>
        <w:t>国家环境</w:t>
      </w:r>
      <w:r>
        <w:rPr>
          <w:rFonts w:hint="eastAsia"/>
        </w:rPr>
        <w:t>保护相关</w:t>
      </w:r>
      <w:r>
        <w:t>法律、法规</w:t>
      </w:r>
      <w:r>
        <w:rPr>
          <w:rFonts w:hint="eastAsia"/>
        </w:rPr>
        <w:t>、标准</w:t>
      </w:r>
      <w:r>
        <w:t>和政策</w:t>
      </w:r>
      <w:r>
        <w:rPr>
          <w:rFonts w:hint="eastAsia"/>
        </w:rPr>
        <w:t>，</w:t>
      </w:r>
      <w:r>
        <w:t>了解当地</w:t>
      </w:r>
      <w:bookmarkStart w:id="781" w:name="_Hlk33529977"/>
      <w:r>
        <w:rPr>
          <w:rFonts w:hint="eastAsia"/>
        </w:rPr>
        <w:t>生态环境行政主管部门</w:t>
      </w:r>
      <w:bookmarkEnd w:id="781"/>
      <w:r>
        <w:t>的</w:t>
      </w:r>
      <w:r>
        <w:rPr>
          <w:rFonts w:hint="eastAsia"/>
        </w:rPr>
        <w:t>环保</w:t>
      </w:r>
      <w:r>
        <w:t>要求</w:t>
      </w:r>
      <w:bookmarkEnd w:id="780"/>
      <w:r>
        <w:t>。</w:t>
      </w:r>
    </w:p>
    <w:p w14:paraId="1EA13B7F">
      <w:pPr>
        <w:pStyle w:val="117"/>
        <w:spacing w:line="480" w:lineRule="exact"/>
        <w:ind w:firstLine="480"/>
        <w:rPr>
          <w:rFonts w:hint="eastAsia"/>
        </w:rPr>
      </w:pPr>
      <w:r>
        <w:rPr>
          <w:rFonts w:hint="eastAsia"/>
        </w:rPr>
        <w:t>②必须</w:t>
      </w:r>
      <w:r>
        <w:t>接受</w:t>
      </w:r>
      <w:r>
        <w:rPr>
          <w:rFonts w:hint="eastAsia"/>
        </w:rPr>
        <w:t>过HSE专门</w:t>
      </w:r>
      <w:r>
        <w:t>培训，有较长的从事环保</w:t>
      </w:r>
      <w:r>
        <w:rPr>
          <w:rFonts w:hint="eastAsia"/>
        </w:rPr>
        <w:t>工作经历。</w:t>
      </w:r>
    </w:p>
    <w:p w14:paraId="2A743926">
      <w:pPr>
        <w:pStyle w:val="117"/>
        <w:spacing w:line="480" w:lineRule="exact"/>
        <w:ind w:firstLine="480"/>
        <w:rPr>
          <w:rFonts w:hint="eastAsia"/>
        </w:rPr>
      </w:pPr>
      <w:r>
        <w:rPr>
          <w:rFonts w:hint="eastAsia"/>
        </w:rPr>
        <w:t>③具有</w:t>
      </w:r>
      <w:r>
        <w:t>一定的油</w:t>
      </w:r>
      <w:r>
        <w:rPr>
          <w:rFonts w:hint="eastAsia"/>
        </w:rPr>
        <w:t>气</w:t>
      </w:r>
      <w:r>
        <w:t>田开发和输油气管道建设的现场施工经验。</w:t>
      </w:r>
    </w:p>
    <w:p w14:paraId="47C1419E">
      <w:pPr>
        <w:pStyle w:val="117"/>
        <w:spacing w:line="480" w:lineRule="exact"/>
        <w:ind w:firstLine="480"/>
        <w:rPr>
          <w:rFonts w:hint="eastAsia"/>
        </w:rPr>
      </w:pPr>
      <w:r>
        <w:rPr>
          <w:rFonts w:hint="eastAsia"/>
        </w:rPr>
        <w:t>（2</w:t>
      </w:r>
      <w:r>
        <w:t>）</w:t>
      </w:r>
      <w:r>
        <w:rPr>
          <w:rFonts w:hint="eastAsia"/>
        </w:rPr>
        <w:t>环境监理人员</w:t>
      </w:r>
      <w:r>
        <w:t>主要职责</w:t>
      </w:r>
    </w:p>
    <w:p w14:paraId="5BFF29EE">
      <w:pPr>
        <w:pStyle w:val="117"/>
        <w:spacing w:line="480" w:lineRule="exact"/>
        <w:ind w:firstLine="480"/>
        <w:rPr>
          <w:rFonts w:hint="eastAsia"/>
        </w:rPr>
      </w:pPr>
      <w:r>
        <w:rPr>
          <w:rFonts w:hint="eastAsia"/>
        </w:rPr>
        <w:t>①监督</w:t>
      </w:r>
      <w:r>
        <w:t>施工现场对</w:t>
      </w:r>
      <w:r>
        <w:rPr>
          <w:rFonts w:hint="eastAsia"/>
        </w:rPr>
        <w:t>“</w:t>
      </w:r>
      <w:r>
        <w:t>环境管理方案</w:t>
      </w:r>
      <w:r>
        <w:rPr>
          <w:rFonts w:hint="eastAsia"/>
        </w:rPr>
        <w:t>”</w:t>
      </w:r>
      <w:r>
        <w:t>的落实。</w:t>
      </w:r>
    </w:p>
    <w:p w14:paraId="66F88000">
      <w:pPr>
        <w:pStyle w:val="117"/>
        <w:spacing w:line="480" w:lineRule="exact"/>
        <w:ind w:firstLine="480"/>
        <w:rPr>
          <w:rFonts w:hint="eastAsia"/>
        </w:rPr>
      </w:pPr>
      <w:r>
        <w:rPr>
          <w:rFonts w:hint="eastAsia"/>
        </w:rPr>
        <w:t>②协助HSE部门</w:t>
      </w:r>
      <w:r>
        <w:t>负责人汇报环境管理现状，并</w:t>
      </w:r>
      <w:r>
        <w:rPr>
          <w:rFonts w:hint="eastAsia"/>
        </w:rPr>
        <w:t>根据发现</w:t>
      </w:r>
      <w:r>
        <w:t>的问题提出合理</w:t>
      </w:r>
      <w:r>
        <w:rPr>
          <w:rFonts w:hint="eastAsia"/>
        </w:rPr>
        <w:t>化</w:t>
      </w:r>
      <w:r>
        <w:t>建议。</w:t>
      </w:r>
    </w:p>
    <w:p w14:paraId="66537975">
      <w:pPr>
        <w:pStyle w:val="117"/>
        <w:spacing w:line="480" w:lineRule="exact"/>
        <w:ind w:firstLine="480"/>
        <w:rPr>
          <w:rFonts w:hint="eastAsia"/>
        </w:rPr>
      </w:pPr>
      <w:r>
        <w:rPr>
          <w:rFonts w:hint="eastAsia"/>
        </w:rPr>
        <w:t>③协助HSE部门</w:t>
      </w:r>
      <w:r>
        <w:t>负责人</w:t>
      </w:r>
      <w:r>
        <w:rPr>
          <w:rFonts w:hint="eastAsia"/>
        </w:rPr>
        <w:t>宣传</w:t>
      </w:r>
      <w:r>
        <w:t>贯彻国家和当地</w:t>
      </w:r>
      <w:r>
        <w:rPr>
          <w:rFonts w:hint="eastAsia"/>
        </w:rPr>
        <w:t>政府</w:t>
      </w:r>
      <w:r>
        <w:t>有关</w:t>
      </w:r>
      <w:r>
        <w:rPr>
          <w:rFonts w:hint="eastAsia"/>
        </w:rPr>
        <w:t>环境</w:t>
      </w:r>
      <w:r>
        <w:t>方面的法律、法规</w:t>
      </w:r>
      <w:r>
        <w:rPr>
          <w:rFonts w:hint="eastAsia"/>
        </w:rPr>
        <w:t>和政策</w:t>
      </w:r>
      <w:r>
        <w:t>。</w:t>
      </w:r>
    </w:p>
    <w:p w14:paraId="2B676834">
      <w:pPr>
        <w:pStyle w:val="117"/>
        <w:spacing w:line="480" w:lineRule="exact"/>
        <w:ind w:firstLine="480"/>
        <w:rPr>
          <w:rFonts w:hint="eastAsia"/>
        </w:rPr>
      </w:pPr>
      <w:r>
        <w:rPr>
          <w:rFonts w:hint="eastAsia"/>
        </w:rPr>
        <w:t>④对HSE工作</w:t>
      </w:r>
      <w:r>
        <w:t>的真实性、合法性、效益</w:t>
      </w:r>
      <w:r>
        <w:rPr>
          <w:rFonts w:hint="eastAsia"/>
        </w:rPr>
        <w:t>性进行</w:t>
      </w:r>
      <w:r>
        <w:t>审查，评价其责任，并提出</w:t>
      </w:r>
      <w:r>
        <w:rPr>
          <w:rFonts w:hint="eastAsia"/>
        </w:rPr>
        <w:t>改进</w:t>
      </w:r>
      <w:r>
        <w:t>意见</w:t>
      </w:r>
      <w:r>
        <w:rPr>
          <w:rFonts w:hint="eastAsia"/>
        </w:rPr>
        <w:t>。</w:t>
      </w:r>
    </w:p>
    <w:p w14:paraId="39155F8B">
      <w:pPr>
        <w:pStyle w:val="117"/>
        <w:spacing w:line="480" w:lineRule="exact"/>
        <w:ind w:firstLine="480"/>
        <w:rPr>
          <w:rFonts w:hint="eastAsia"/>
        </w:rPr>
      </w:pPr>
      <w:r>
        <w:rPr>
          <w:rFonts w:hint="eastAsia"/>
        </w:rPr>
        <w:t>环境</w:t>
      </w:r>
      <w:r>
        <w:t>监理工作计划</w:t>
      </w:r>
      <w:r>
        <w:rPr>
          <w:rFonts w:hint="eastAsia"/>
        </w:rPr>
        <w:t>及</w:t>
      </w:r>
      <w:r>
        <w:t>重点</w:t>
      </w:r>
      <w:r>
        <w:rPr>
          <w:rFonts w:hint="eastAsia"/>
        </w:rPr>
        <w:t>见表</w:t>
      </w:r>
      <w:r>
        <w:t>7.5</w:t>
      </w:r>
      <w:r>
        <w:rPr>
          <w:rFonts w:hint="eastAsia"/>
        </w:rPr>
        <w:t>-</w:t>
      </w:r>
      <w:r>
        <w:t>1</w:t>
      </w:r>
      <w:r>
        <w:rPr>
          <w:rFonts w:hint="eastAsia"/>
        </w:rPr>
        <w:t>。</w:t>
      </w:r>
    </w:p>
    <w:p w14:paraId="03FF2A5F">
      <w:pPr>
        <w:pStyle w:val="109"/>
        <w:rPr>
          <w:rFonts w:hint="eastAsia"/>
        </w:rPr>
      </w:pPr>
      <w:r>
        <w:rPr>
          <w:rFonts w:hint="eastAsia"/>
        </w:rPr>
        <w:t>表</w:t>
      </w:r>
      <w:r>
        <w:t>7.5</w:t>
      </w:r>
      <w:r>
        <w:rPr>
          <w:rFonts w:hint="eastAsia"/>
        </w:rPr>
        <w:t>-</w:t>
      </w:r>
      <w:r>
        <w:t>1</w:t>
      </w:r>
      <w:r>
        <w:rPr>
          <w:rFonts w:hint="eastAsia"/>
        </w:rPr>
        <w:t xml:space="preserve">  现场</w:t>
      </w:r>
      <w:r>
        <w:t>环境监理工作</w:t>
      </w:r>
      <w:r>
        <w:rPr>
          <w:rFonts w:hint="eastAsia"/>
        </w:rPr>
        <w:t>计划</w:t>
      </w:r>
    </w:p>
    <w:tbl>
      <w:tblPr>
        <w:tblStyle w:val="5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5"/>
        <w:gridCol w:w="885"/>
        <w:gridCol w:w="5953"/>
        <w:gridCol w:w="1217"/>
      </w:tblGrid>
      <w:tr w14:paraId="0A257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675" w:type="dxa"/>
            <w:vAlign w:val="center"/>
          </w:tcPr>
          <w:p w14:paraId="6F092DF0">
            <w:pPr>
              <w:pStyle w:val="208"/>
              <w:adjustRightInd w:val="0"/>
              <w:snapToGrid w:val="0"/>
              <w:spacing w:line="300" w:lineRule="exact"/>
              <w:rPr>
                <w:rFonts w:hint="eastAsia"/>
                <w:szCs w:val="21"/>
              </w:rPr>
            </w:pPr>
            <w:r>
              <w:rPr>
                <w:rFonts w:hint="eastAsia"/>
                <w:szCs w:val="21"/>
              </w:rPr>
              <w:t>序号</w:t>
            </w:r>
          </w:p>
        </w:tc>
        <w:tc>
          <w:tcPr>
            <w:tcW w:w="885" w:type="dxa"/>
            <w:vAlign w:val="center"/>
          </w:tcPr>
          <w:p w14:paraId="4E344F91">
            <w:pPr>
              <w:pStyle w:val="208"/>
              <w:adjustRightInd w:val="0"/>
              <w:snapToGrid w:val="0"/>
              <w:spacing w:line="300" w:lineRule="exact"/>
              <w:rPr>
                <w:rFonts w:hint="eastAsia"/>
                <w:szCs w:val="21"/>
              </w:rPr>
            </w:pPr>
            <w:r>
              <w:rPr>
                <w:rFonts w:hint="eastAsia"/>
                <w:szCs w:val="21"/>
              </w:rPr>
              <w:t>场地</w:t>
            </w:r>
          </w:p>
        </w:tc>
        <w:tc>
          <w:tcPr>
            <w:tcW w:w="5953" w:type="dxa"/>
            <w:vAlign w:val="center"/>
          </w:tcPr>
          <w:p w14:paraId="47DD3F6C">
            <w:pPr>
              <w:pStyle w:val="208"/>
              <w:adjustRightInd w:val="0"/>
              <w:snapToGrid w:val="0"/>
              <w:spacing w:line="300" w:lineRule="exact"/>
              <w:rPr>
                <w:rFonts w:hint="eastAsia"/>
                <w:szCs w:val="21"/>
              </w:rPr>
            </w:pPr>
            <w:r>
              <w:rPr>
                <w:rFonts w:hint="eastAsia"/>
                <w:szCs w:val="21"/>
              </w:rPr>
              <w:t>监督内容</w:t>
            </w:r>
          </w:p>
        </w:tc>
        <w:tc>
          <w:tcPr>
            <w:tcW w:w="1217" w:type="dxa"/>
            <w:vAlign w:val="center"/>
          </w:tcPr>
          <w:p w14:paraId="0DD6F298">
            <w:pPr>
              <w:pStyle w:val="208"/>
              <w:adjustRightInd w:val="0"/>
              <w:snapToGrid w:val="0"/>
              <w:spacing w:line="300" w:lineRule="exact"/>
              <w:rPr>
                <w:rFonts w:hint="eastAsia"/>
                <w:szCs w:val="21"/>
              </w:rPr>
            </w:pPr>
            <w:r>
              <w:rPr>
                <w:rFonts w:hint="eastAsia"/>
                <w:szCs w:val="21"/>
              </w:rPr>
              <w:t>监理要求</w:t>
            </w:r>
          </w:p>
        </w:tc>
      </w:tr>
      <w:tr w14:paraId="0ED8C6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5" w:type="dxa"/>
            <w:vAlign w:val="center"/>
          </w:tcPr>
          <w:p w14:paraId="5AF8EB47">
            <w:pPr>
              <w:pStyle w:val="208"/>
              <w:adjustRightInd w:val="0"/>
              <w:snapToGrid w:val="0"/>
              <w:spacing w:line="300" w:lineRule="exact"/>
              <w:rPr>
                <w:rFonts w:hint="eastAsia"/>
                <w:szCs w:val="21"/>
              </w:rPr>
            </w:pPr>
            <w:r>
              <w:rPr>
                <w:szCs w:val="21"/>
              </w:rPr>
              <w:t>1</w:t>
            </w:r>
          </w:p>
        </w:tc>
        <w:tc>
          <w:tcPr>
            <w:tcW w:w="885" w:type="dxa"/>
            <w:vAlign w:val="center"/>
          </w:tcPr>
          <w:p w14:paraId="1A66F19D">
            <w:pPr>
              <w:pStyle w:val="208"/>
              <w:adjustRightInd w:val="0"/>
              <w:snapToGrid w:val="0"/>
              <w:spacing w:line="300" w:lineRule="exact"/>
              <w:rPr>
                <w:rFonts w:hint="eastAsia" w:cs="宋体"/>
                <w:szCs w:val="21"/>
              </w:rPr>
            </w:pPr>
            <w:r>
              <w:rPr>
                <w:rFonts w:hint="eastAsia" w:cs="宋体"/>
                <w:szCs w:val="21"/>
                <w:lang w:bidi="ar"/>
              </w:rPr>
              <w:t>井场、计量站建设现场</w:t>
            </w:r>
          </w:p>
        </w:tc>
        <w:tc>
          <w:tcPr>
            <w:tcW w:w="5953" w:type="dxa"/>
            <w:vAlign w:val="center"/>
          </w:tcPr>
          <w:p w14:paraId="438BD39D">
            <w:pPr>
              <w:pStyle w:val="208"/>
              <w:adjustRightInd w:val="0"/>
              <w:snapToGrid w:val="0"/>
              <w:spacing w:line="300" w:lineRule="exact"/>
              <w:jc w:val="left"/>
              <w:rPr>
                <w:rFonts w:hint="eastAsia" w:cs="宋体"/>
                <w:szCs w:val="21"/>
              </w:rPr>
            </w:pPr>
            <w:r>
              <w:rPr>
                <w:rFonts w:hint="eastAsia" w:cs="宋体"/>
                <w:szCs w:val="21"/>
                <w:lang w:bidi="ar"/>
              </w:rPr>
              <w:t>1）施工作业是否超越了限定范围，施工结束后，施工现场是否进行了及时清理；2）废气、噪声是否达标排放，废水、固体废物是否妥善处理；</w:t>
            </w:r>
            <w:r>
              <w:rPr>
                <w:rFonts w:cs="宋体"/>
                <w:szCs w:val="21"/>
                <w:lang w:bidi="ar"/>
              </w:rPr>
              <w:t>3</w:t>
            </w:r>
            <w:r>
              <w:rPr>
                <w:rFonts w:hint="eastAsia" w:cs="宋体"/>
                <w:szCs w:val="21"/>
                <w:lang w:bidi="ar"/>
              </w:rPr>
              <w:t>）防渗措施是否满足要求。</w:t>
            </w:r>
          </w:p>
        </w:tc>
        <w:tc>
          <w:tcPr>
            <w:tcW w:w="1217" w:type="dxa"/>
            <w:vMerge w:val="restart"/>
            <w:vAlign w:val="center"/>
          </w:tcPr>
          <w:p w14:paraId="66420C25">
            <w:pPr>
              <w:pStyle w:val="208"/>
              <w:adjustRightInd w:val="0"/>
              <w:snapToGrid w:val="0"/>
              <w:spacing w:line="300" w:lineRule="exact"/>
              <w:rPr>
                <w:rFonts w:hint="eastAsia"/>
                <w:szCs w:val="21"/>
              </w:rPr>
            </w:pPr>
            <w:r>
              <w:rPr>
                <w:rFonts w:hint="eastAsia"/>
                <w:szCs w:val="21"/>
              </w:rPr>
              <w:t>环评中环保措施落实到位</w:t>
            </w:r>
          </w:p>
        </w:tc>
      </w:tr>
      <w:tr w14:paraId="6B99B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5" w:type="dxa"/>
            <w:vAlign w:val="center"/>
          </w:tcPr>
          <w:p w14:paraId="2D4AAF85">
            <w:pPr>
              <w:pStyle w:val="208"/>
              <w:adjustRightInd w:val="0"/>
              <w:snapToGrid w:val="0"/>
              <w:spacing w:line="300" w:lineRule="exact"/>
              <w:rPr>
                <w:rFonts w:hint="eastAsia"/>
                <w:szCs w:val="21"/>
              </w:rPr>
            </w:pPr>
            <w:r>
              <w:rPr>
                <w:rFonts w:hint="eastAsia"/>
                <w:szCs w:val="21"/>
              </w:rPr>
              <w:t>2</w:t>
            </w:r>
          </w:p>
        </w:tc>
        <w:tc>
          <w:tcPr>
            <w:tcW w:w="885" w:type="dxa"/>
            <w:vAlign w:val="center"/>
          </w:tcPr>
          <w:p w14:paraId="253C3E89">
            <w:pPr>
              <w:pStyle w:val="208"/>
              <w:adjustRightInd w:val="0"/>
              <w:snapToGrid w:val="0"/>
              <w:spacing w:line="300" w:lineRule="exact"/>
              <w:rPr>
                <w:rFonts w:hint="eastAsia" w:cs="宋体"/>
                <w:szCs w:val="21"/>
              </w:rPr>
            </w:pPr>
            <w:r>
              <w:rPr>
                <w:rFonts w:hint="eastAsia" w:cs="宋体"/>
                <w:szCs w:val="21"/>
                <w:lang w:bidi="ar"/>
              </w:rPr>
              <w:t>管线敷设建设现场</w:t>
            </w:r>
          </w:p>
        </w:tc>
        <w:tc>
          <w:tcPr>
            <w:tcW w:w="5953" w:type="dxa"/>
            <w:vAlign w:val="center"/>
          </w:tcPr>
          <w:p w14:paraId="24467366">
            <w:pPr>
              <w:pStyle w:val="208"/>
              <w:adjustRightInd w:val="0"/>
              <w:snapToGrid w:val="0"/>
              <w:spacing w:line="300" w:lineRule="exact"/>
              <w:jc w:val="left"/>
              <w:rPr>
                <w:rFonts w:hint="eastAsia" w:cs="Arial"/>
                <w:szCs w:val="21"/>
              </w:rPr>
            </w:pPr>
            <w:r>
              <w:rPr>
                <w:rFonts w:hint="eastAsia" w:cs="宋体"/>
                <w:szCs w:val="21"/>
                <w:lang w:bidi="ar"/>
              </w:rPr>
              <w:t>1）管线选线是否满足环评要求；2）管线施工作业是否超越了施工宽度；3）施工人员是否按操作规程及相关规定作业；</w:t>
            </w:r>
            <w:r>
              <w:rPr>
                <w:rFonts w:cs="Arial"/>
                <w:szCs w:val="21"/>
              </w:rPr>
              <w:t>4</w:t>
            </w:r>
            <w:r>
              <w:rPr>
                <w:rFonts w:hint="eastAsia" w:cs="Arial"/>
                <w:szCs w:val="21"/>
              </w:rPr>
              <w:t>）施工完成后是否进行了清理、临时占地是否恢复植被</w:t>
            </w:r>
          </w:p>
        </w:tc>
        <w:tc>
          <w:tcPr>
            <w:tcW w:w="1217" w:type="dxa"/>
            <w:vMerge w:val="continue"/>
            <w:vAlign w:val="center"/>
          </w:tcPr>
          <w:p w14:paraId="3DC5E2C7">
            <w:pPr>
              <w:pStyle w:val="208"/>
              <w:adjustRightInd w:val="0"/>
              <w:snapToGrid w:val="0"/>
              <w:spacing w:line="300" w:lineRule="exact"/>
              <w:rPr>
                <w:rFonts w:hint="eastAsia"/>
                <w:szCs w:val="21"/>
              </w:rPr>
            </w:pPr>
          </w:p>
        </w:tc>
      </w:tr>
      <w:tr w14:paraId="7D01F1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5" w:type="dxa"/>
            <w:vAlign w:val="center"/>
          </w:tcPr>
          <w:p w14:paraId="02A0F711">
            <w:pPr>
              <w:pStyle w:val="208"/>
              <w:adjustRightInd w:val="0"/>
              <w:snapToGrid w:val="0"/>
              <w:spacing w:line="300" w:lineRule="exact"/>
              <w:rPr>
                <w:rFonts w:hint="eastAsia"/>
                <w:szCs w:val="21"/>
              </w:rPr>
            </w:pPr>
            <w:r>
              <w:rPr>
                <w:rFonts w:hint="eastAsia"/>
                <w:szCs w:val="21"/>
              </w:rPr>
              <w:t>3</w:t>
            </w:r>
          </w:p>
        </w:tc>
        <w:tc>
          <w:tcPr>
            <w:tcW w:w="885" w:type="dxa"/>
            <w:vAlign w:val="center"/>
          </w:tcPr>
          <w:p w14:paraId="7432F1F5">
            <w:pPr>
              <w:pStyle w:val="208"/>
              <w:adjustRightInd w:val="0"/>
              <w:snapToGrid w:val="0"/>
              <w:spacing w:line="300" w:lineRule="exact"/>
              <w:rPr>
                <w:rFonts w:hint="eastAsia"/>
                <w:szCs w:val="21"/>
              </w:rPr>
            </w:pPr>
            <w:r>
              <w:rPr>
                <w:rFonts w:hint="eastAsia"/>
                <w:szCs w:val="21"/>
              </w:rPr>
              <w:t>其它</w:t>
            </w:r>
          </w:p>
        </w:tc>
        <w:tc>
          <w:tcPr>
            <w:tcW w:w="5953" w:type="dxa"/>
            <w:vAlign w:val="center"/>
          </w:tcPr>
          <w:p w14:paraId="0299C0C3">
            <w:pPr>
              <w:pStyle w:val="208"/>
              <w:adjustRightInd w:val="0"/>
              <w:snapToGrid w:val="0"/>
              <w:spacing w:line="300" w:lineRule="exact"/>
              <w:jc w:val="left"/>
              <w:rPr>
                <w:rFonts w:hint="eastAsia"/>
                <w:szCs w:val="21"/>
              </w:rPr>
            </w:pPr>
            <w:r>
              <w:rPr>
                <w:rFonts w:hint="eastAsia"/>
                <w:szCs w:val="21"/>
              </w:rPr>
              <w:t>1）施工结束后是否及时清理现场、恢复地貌，是否及时采取了生态恢复和水土保持措施；2）有无砍伐、破坏施工区以外的植被，有无伤害野生动物等行为</w:t>
            </w:r>
          </w:p>
        </w:tc>
        <w:tc>
          <w:tcPr>
            <w:tcW w:w="1217" w:type="dxa"/>
            <w:vMerge w:val="continue"/>
            <w:vAlign w:val="center"/>
          </w:tcPr>
          <w:p w14:paraId="5F849982">
            <w:pPr>
              <w:pStyle w:val="208"/>
              <w:adjustRightInd w:val="0"/>
              <w:snapToGrid w:val="0"/>
              <w:spacing w:line="300" w:lineRule="exact"/>
              <w:rPr>
                <w:rFonts w:hint="eastAsia"/>
                <w:szCs w:val="21"/>
              </w:rPr>
            </w:pPr>
          </w:p>
        </w:tc>
      </w:tr>
    </w:tbl>
    <w:p w14:paraId="4E9CE9EB">
      <w:pPr>
        <w:pStyle w:val="4"/>
        <w:rPr>
          <w:rFonts w:hint="eastAsia"/>
        </w:rPr>
      </w:pPr>
      <w:bookmarkStart w:id="782" w:name="_Hlk92205417"/>
      <w:r>
        <w:rPr>
          <w:rFonts w:hint="eastAsia"/>
        </w:rPr>
        <w:t>运营期</w:t>
      </w:r>
      <w:r>
        <w:t>环境监测计划</w:t>
      </w:r>
    </w:p>
    <w:bookmarkEnd w:id="782"/>
    <w:p w14:paraId="31F1EED0">
      <w:pPr>
        <w:pStyle w:val="117"/>
        <w:ind w:firstLine="480"/>
        <w:rPr>
          <w:rFonts w:hint="eastAsia"/>
        </w:rPr>
      </w:pPr>
      <w:bookmarkStart w:id="783" w:name="_Hlk147587863"/>
      <w:r>
        <w:rPr>
          <w:rFonts w:hint="eastAsia"/>
        </w:rPr>
        <w:t>根据《排污单位自行监测技术指南</w:t>
      </w:r>
      <w:r>
        <w:t xml:space="preserve"> 总则</w:t>
      </w:r>
      <w:r>
        <w:rPr>
          <w:rFonts w:hint="eastAsia"/>
        </w:rPr>
        <w:t>》（</w:t>
      </w:r>
      <w:r>
        <w:t>HJ819-2017）</w:t>
      </w:r>
      <w:r>
        <w:rPr>
          <w:rFonts w:hint="eastAsia"/>
        </w:rPr>
        <w:t>和《排污单位自行监测技术指南  陆上石油天然气开采工业》（HJ 1248-2022）相关规定需</w:t>
      </w:r>
      <w:r>
        <w:t>定期对</w:t>
      </w:r>
      <w:r>
        <w:rPr>
          <w:rFonts w:hint="eastAsia"/>
        </w:rPr>
        <w:t>污染源和环境质量</w:t>
      </w:r>
      <w:r>
        <w:t>进行监测</w:t>
      </w:r>
      <w:r>
        <w:rPr>
          <w:rFonts w:hint="eastAsia"/>
        </w:rPr>
        <w:t>，监测计划见表7.5-2。</w:t>
      </w:r>
    </w:p>
    <w:p w14:paraId="23832BC4">
      <w:pPr>
        <w:pStyle w:val="109"/>
        <w:rPr>
          <w:rFonts w:hint="eastAsia"/>
        </w:rPr>
      </w:pPr>
      <w:bookmarkStart w:id="784" w:name="_Hlk160374412"/>
      <w:r>
        <w:rPr>
          <w:rFonts w:hint="eastAsia"/>
        </w:rPr>
        <w:t>表7</w:t>
      </w:r>
      <w:r>
        <w:t>.5</w:t>
      </w:r>
      <w:r>
        <w:rPr>
          <w:rFonts w:hint="eastAsia"/>
        </w:rPr>
        <w:t>-2</w:t>
      </w:r>
      <w:r>
        <w:t xml:space="preserve">  </w:t>
      </w:r>
      <w:r>
        <w:rPr>
          <w:rFonts w:hint="eastAsia"/>
        </w:rPr>
        <w:t>生态环境监测计划一览表</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140"/>
        <w:gridCol w:w="612"/>
        <w:gridCol w:w="2100"/>
        <w:gridCol w:w="1998"/>
        <w:gridCol w:w="998"/>
        <w:gridCol w:w="1938"/>
      </w:tblGrid>
      <w:tr w14:paraId="747EC3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Align w:val="center"/>
          </w:tcPr>
          <w:p w14:paraId="0F8D5733">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smallCaps/>
                <w:szCs w:val="21"/>
                <w:lang w:bidi="ar"/>
              </w:rPr>
              <w:t>监测对象</w:t>
            </w:r>
          </w:p>
        </w:tc>
        <w:tc>
          <w:tcPr>
            <w:tcW w:w="348" w:type="pct"/>
            <w:vAlign w:val="center"/>
          </w:tcPr>
          <w:p w14:paraId="3C570C2E">
            <w:pPr>
              <w:kinsoku w:val="0"/>
              <w:overflowPunct w:val="0"/>
              <w:adjustRightInd w:val="0"/>
              <w:snapToGrid w:val="0"/>
              <w:spacing w:line="300" w:lineRule="exact"/>
              <w:jc w:val="center"/>
              <w:rPr>
                <w:rFonts w:hint="eastAsia" w:ascii="宋体" w:hAnsi="宋体" w:cs="宋体"/>
                <w:szCs w:val="21"/>
              </w:rPr>
            </w:pPr>
            <w:r>
              <w:rPr>
                <w:rFonts w:hint="eastAsia" w:ascii="宋体" w:hAnsi="宋体" w:cs="宋体"/>
                <w:szCs w:val="21"/>
              </w:rPr>
              <w:t>类别</w:t>
            </w:r>
          </w:p>
        </w:tc>
        <w:tc>
          <w:tcPr>
            <w:tcW w:w="1195" w:type="pct"/>
            <w:vAlign w:val="center"/>
          </w:tcPr>
          <w:p w14:paraId="727B1394">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szCs w:val="21"/>
                <w:lang w:bidi="ar"/>
              </w:rPr>
              <w:t>监测点</w:t>
            </w:r>
          </w:p>
        </w:tc>
        <w:tc>
          <w:tcPr>
            <w:tcW w:w="1137" w:type="pct"/>
            <w:vAlign w:val="center"/>
          </w:tcPr>
          <w:p w14:paraId="76AB10EB">
            <w:pPr>
              <w:kinsoku w:val="0"/>
              <w:overflowPunct w:val="0"/>
              <w:adjustRightInd w:val="0"/>
              <w:snapToGrid w:val="0"/>
              <w:spacing w:line="300" w:lineRule="exact"/>
              <w:jc w:val="center"/>
              <w:rPr>
                <w:rFonts w:hint="eastAsia" w:ascii="宋体" w:hAnsi="宋体" w:cs="宋体"/>
                <w:szCs w:val="21"/>
              </w:rPr>
            </w:pPr>
            <w:r>
              <w:rPr>
                <w:rFonts w:hint="eastAsia" w:ascii="宋体" w:hAnsi="宋体" w:cs="宋体"/>
                <w:szCs w:val="21"/>
                <w:lang w:bidi="ar"/>
              </w:rPr>
              <w:t>监测因子</w:t>
            </w:r>
          </w:p>
        </w:tc>
        <w:tc>
          <w:tcPr>
            <w:tcW w:w="568" w:type="pct"/>
            <w:vAlign w:val="center"/>
          </w:tcPr>
          <w:p w14:paraId="1BB506D4">
            <w:pPr>
              <w:kinsoku w:val="0"/>
              <w:overflowPunct w:val="0"/>
              <w:adjustRightInd w:val="0"/>
              <w:snapToGrid w:val="0"/>
              <w:spacing w:line="300" w:lineRule="exact"/>
              <w:jc w:val="center"/>
              <w:rPr>
                <w:rFonts w:hint="eastAsia" w:ascii="宋体" w:hAnsi="宋体" w:cs="宋体"/>
                <w:szCs w:val="21"/>
              </w:rPr>
            </w:pPr>
            <w:r>
              <w:rPr>
                <w:rFonts w:hint="eastAsia" w:ascii="宋体" w:hAnsi="宋体" w:cs="宋体"/>
                <w:szCs w:val="21"/>
                <w:lang w:bidi="ar"/>
              </w:rPr>
              <w:t>监测频率</w:t>
            </w:r>
          </w:p>
        </w:tc>
        <w:tc>
          <w:tcPr>
            <w:tcW w:w="1103" w:type="pct"/>
            <w:vAlign w:val="center"/>
          </w:tcPr>
          <w:p w14:paraId="0AD3A572">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szCs w:val="21"/>
                <w:lang w:bidi="ar"/>
              </w:rPr>
              <w:t>执行标准</w:t>
            </w:r>
          </w:p>
        </w:tc>
      </w:tr>
      <w:tr w14:paraId="3B4B0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Merge w:val="restart"/>
            <w:vAlign w:val="center"/>
          </w:tcPr>
          <w:p w14:paraId="3E158156">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废气</w:t>
            </w:r>
          </w:p>
        </w:tc>
        <w:tc>
          <w:tcPr>
            <w:tcW w:w="348" w:type="pct"/>
            <w:vMerge w:val="restart"/>
            <w:vAlign w:val="center"/>
          </w:tcPr>
          <w:p w14:paraId="5A0F894C">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环境质量</w:t>
            </w:r>
          </w:p>
        </w:tc>
        <w:tc>
          <w:tcPr>
            <w:tcW w:w="1195" w:type="pct"/>
            <w:vAlign w:val="center"/>
          </w:tcPr>
          <w:p w14:paraId="21130646">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采油平台和计量拉油站厂界外</w:t>
            </w:r>
          </w:p>
        </w:tc>
        <w:tc>
          <w:tcPr>
            <w:tcW w:w="1137" w:type="pct"/>
            <w:vAlign w:val="center"/>
          </w:tcPr>
          <w:p w14:paraId="71E460DA">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非甲烷总烃、硫化氢</w:t>
            </w:r>
          </w:p>
        </w:tc>
        <w:tc>
          <w:tcPr>
            <w:tcW w:w="568" w:type="pct"/>
            <w:vAlign w:val="center"/>
          </w:tcPr>
          <w:p w14:paraId="61647897">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1次/季度</w:t>
            </w:r>
          </w:p>
        </w:tc>
        <w:tc>
          <w:tcPr>
            <w:tcW w:w="1103" w:type="pct"/>
            <w:vAlign w:val="center"/>
          </w:tcPr>
          <w:p w14:paraId="66731A2F">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GB39728—2020</w:t>
            </w:r>
          </w:p>
          <w:p w14:paraId="68C07B67">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GB14554-93表1</w:t>
            </w:r>
          </w:p>
        </w:tc>
      </w:tr>
      <w:tr w14:paraId="14C2B6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Merge w:val="continue"/>
            <w:vAlign w:val="center"/>
          </w:tcPr>
          <w:p w14:paraId="3FD5E688">
            <w:pPr>
              <w:kinsoku w:val="0"/>
              <w:overflowPunct w:val="0"/>
              <w:adjustRightInd w:val="0"/>
              <w:snapToGrid w:val="0"/>
              <w:spacing w:line="300" w:lineRule="exact"/>
              <w:jc w:val="center"/>
              <w:rPr>
                <w:rFonts w:hint="eastAsia" w:ascii="宋体" w:hAnsi="宋体" w:cs="宋体"/>
                <w:smallCaps/>
                <w:szCs w:val="21"/>
                <w:lang w:bidi="ar"/>
              </w:rPr>
            </w:pPr>
          </w:p>
        </w:tc>
        <w:tc>
          <w:tcPr>
            <w:tcW w:w="348" w:type="pct"/>
            <w:vMerge w:val="continue"/>
            <w:vAlign w:val="center"/>
          </w:tcPr>
          <w:p w14:paraId="0BF9D10B">
            <w:pPr>
              <w:kinsoku w:val="0"/>
              <w:overflowPunct w:val="0"/>
              <w:adjustRightInd w:val="0"/>
              <w:snapToGrid w:val="0"/>
              <w:spacing w:line="300" w:lineRule="exact"/>
              <w:jc w:val="center"/>
              <w:rPr>
                <w:rFonts w:hint="eastAsia" w:ascii="宋体" w:hAnsi="宋体" w:cs="宋体"/>
                <w:smallCaps/>
                <w:szCs w:val="21"/>
                <w:lang w:bidi="ar"/>
              </w:rPr>
            </w:pPr>
          </w:p>
        </w:tc>
        <w:tc>
          <w:tcPr>
            <w:tcW w:w="1195" w:type="pct"/>
            <w:vAlign w:val="center"/>
          </w:tcPr>
          <w:p w14:paraId="09D53A1D">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放空火炬燃烧烟气</w:t>
            </w:r>
          </w:p>
        </w:tc>
        <w:tc>
          <w:tcPr>
            <w:tcW w:w="1137" w:type="pct"/>
            <w:vAlign w:val="center"/>
          </w:tcPr>
          <w:p w14:paraId="542316F7">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二氧化硫、氮氧化物和颗粒物</w:t>
            </w:r>
          </w:p>
        </w:tc>
        <w:tc>
          <w:tcPr>
            <w:tcW w:w="568" w:type="pct"/>
            <w:vAlign w:val="center"/>
          </w:tcPr>
          <w:p w14:paraId="6134F6EB">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1次/季度</w:t>
            </w:r>
          </w:p>
        </w:tc>
        <w:tc>
          <w:tcPr>
            <w:tcW w:w="1103" w:type="pct"/>
            <w:vAlign w:val="center"/>
          </w:tcPr>
          <w:p w14:paraId="47F17282">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GB16297-1996表2</w:t>
            </w:r>
          </w:p>
        </w:tc>
      </w:tr>
      <w:tr w14:paraId="7E6A05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Align w:val="center"/>
          </w:tcPr>
          <w:p w14:paraId="478CFD5A">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噪声</w:t>
            </w:r>
          </w:p>
        </w:tc>
        <w:tc>
          <w:tcPr>
            <w:tcW w:w="348" w:type="pct"/>
            <w:vMerge w:val="continue"/>
            <w:vAlign w:val="center"/>
          </w:tcPr>
          <w:p w14:paraId="06E050EC">
            <w:pPr>
              <w:kinsoku w:val="0"/>
              <w:overflowPunct w:val="0"/>
              <w:adjustRightInd w:val="0"/>
              <w:snapToGrid w:val="0"/>
              <w:spacing w:line="300" w:lineRule="exact"/>
              <w:jc w:val="center"/>
              <w:rPr>
                <w:rFonts w:hint="eastAsia" w:ascii="宋体" w:hAnsi="宋体" w:cs="宋体"/>
                <w:smallCaps/>
                <w:szCs w:val="21"/>
                <w:lang w:bidi="ar"/>
              </w:rPr>
            </w:pPr>
          </w:p>
        </w:tc>
        <w:tc>
          <w:tcPr>
            <w:tcW w:w="1195" w:type="pct"/>
            <w:vAlign w:val="center"/>
          </w:tcPr>
          <w:p w14:paraId="668D1E70">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采油平台厂界外</w:t>
            </w:r>
          </w:p>
        </w:tc>
        <w:tc>
          <w:tcPr>
            <w:tcW w:w="1137" w:type="pct"/>
            <w:vAlign w:val="center"/>
          </w:tcPr>
          <w:p w14:paraId="4ED58B13">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昼夜等效连续A声级</w:t>
            </w:r>
          </w:p>
        </w:tc>
        <w:tc>
          <w:tcPr>
            <w:tcW w:w="568" w:type="pct"/>
            <w:vAlign w:val="center"/>
          </w:tcPr>
          <w:p w14:paraId="71453051">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1次/季度</w:t>
            </w:r>
          </w:p>
        </w:tc>
        <w:tc>
          <w:tcPr>
            <w:tcW w:w="1103" w:type="pct"/>
            <w:vAlign w:val="center"/>
          </w:tcPr>
          <w:p w14:paraId="065B7A28">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GB12348-2008</w:t>
            </w:r>
            <w:r>
              <w:rPr>
                <w:rFonts w:ascii="宋体" w:hAnsi="宋体" w:cs="宋体"/>
                <w:smallCaps/>
                <w:szCs w:val="21"/>
                <w:lang w:bidi="ar"/>
              </w:rPr>
              <w:t>2</w:t>
            </w:r>
            <w:r>
              <w:rPr>
                <w:rFonts w:hint="eastAsia" w:ascii="宋体" w:hAnsi="宋体" w:cs="宋体"/>
                <w:smallCaps/>
                <w:szCs w:val="21"/>
                <w:lang w:bidi="ar"/>
              </w:rPr>
              <w:t>类</w:t>
            </w:r>
          </w:p>
        </w:tc>
      </w:tr>
      <w:tr w14:paraId="04A674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Align w:val="center"/>
          </w:tcPr>
          <w:p w14:paraId="44569054">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地下水环境</w:t>
            </w:r>
          </w:p>
        </w:tc>
        <w:tc>
          <w:tcPr>
            <w:tcW w:w="348" w:type="pct"/>
            <w:vMerge w:val="continue"/>
            <w:vAlign w:val="center"/>
          </w:tcPr>
          <w:p w14:paraId="47EBCAD8">
            <w:pPr>
              <w:kinsoku w:val="0"/>
              <w:overflowPunct w:val="0"/>
              <w:adjustRightInd w:val="0"/>
              <w:snapToGrid w:val="0"/>
              <w:spacing w:line="300" w:lineRule="exact"/>
              <w:jc w:val="center"/>
              <w:rPr>
                <w:rFonts w:hint="eastAsia" w:ascii="宋体" w:hAnsi="宋体" w:cs="宋体"/>
                <w:szCs w:val="21"/>
              </w:rPr>
            </w:pPr>
          </w:p>
        </w:tc>
        <w:tc>
          <w:tcPr>
            <w:tcW w:w="1195" w:type="pct"/>
            <w:vAlign w:val="center"/>
          </w:tcPr>
          <w:p w14:paraId="3BD1A2A0">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kern w:val="0"/>
                <w:szCs w:val="21"/>
                <w:lang w:bidi="ar"/>
              </w:rPr>
              <w:t>利用下游已有水源井进行监测，一般不少于</w:t>
            </w:r>
            <w:r>
              <w:rPr>
                <w:rFonts w:ascii="宋体" w:hAnsi="宋体" w:cs="宋体"/>
                <w:kern w:val="0"/>
                <w:szCs w:val="21"/>
                <w:lang w:bidi="ar"/>
              </w:rPr>
              <w:t>3</w:t>
            </w:r>
            <w:r>
              <w:rPr>
                <w:rFonts w:hint="eastAsia" w:ascii="宋体" w:hAnsi="宋体" w:cs="宋体"/>
                <w:kern w:val="0"/>
                <w:szCs w:val="21"/>
                <w:lang w:bidi="ar"/>
              </w:rPr>
              <w:t>个监测点</w:t>
            </w:r>
            <w:r>
              <w:rPr>
                <w:rFonts w:ascii="宋体" w:hAnsi="宋体" w:cs="宋体"/>
                <w:szCs w:val="21"/>
                <w:lang w:bidi="ar"/>
              </w:rPr>
              <w:t xml:space="preserve"> </w:t>
            </w:r>
          </w:p>
        </w:tc>
        <w:tc>
          <w:tcPr>
            <w:tcW w:w="1137" w:type="pct"/>
            <w:vAlign w:val="center"/>
          </w:tcPr>
          <w:p w14:paraId="7458AC03">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kern w:val="0"/>
                <w:szCs w:val="21"/>
                <w:lang w:bidi="ar"/>
              </w:rPr>
              <w:t>石油类、砷、六价铬</w:t>
            </w:r>
          </w:p>
        </w:tc>
        <w:tc>
          <w:tcPr>
            <w:tcW w:w="568" w:type="pct"/>
            <w:vAlign w:val="center"/>
          </w:tcPr>
          <w:p w14:paraId="08CBF1C5">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Arial"/>
                <w:szCs w:val="21"/>
              </w:rPr>
              <w:t>1次/年</w:t>
            </w:r>
          </w:p>
        </w:tc>
        <w:tc>
          <w:tcPr>
            <w:tcW w:w="1103" w:type="pct"/>
            <w:vAlign w:val="center"/>
          </w:tcPr>
          <w:p w14:paraId="1306BDA7">
            <w:pPr>
              <w:kinsoku w:val="0"/>
              <w:overflowPunct w:val="0"/>
              <w:adjustRightInd w:val="0"/>
              <w:snapToGrid w:val="0"/>
              <w:spacing w:line="300" w:lineRule="exact"/>
              <w:jc w:val="center"/>
              <w:rPr>
                <w:rFonts w:hint="eastAsia" w:ascii="宋体" w:hAnsi="宋体" w:cs="宋体"/>
                <w:szCs w:val="21"/>
                <w:lang w:bidi="ar"/>
              </w:rPr>
            </w:pPr>
            <w:r>
              <w:rPr>
                <w:rFonts w:ascii="宋体" w:hAnsi="宋体" w:cs="宋体"/>
                <w:kern w:val="0"/>
                <w:szCs w:val="21"/>
                <w:lang w:bidi="ar"/>
              </w:rPr>
              <w:t>GB/T14843-2017</w:t>
            </w:r>
            <w:r>
              <w:rPr>
                <w:rFonts w:hint="eastAsia" w:ascii="宋体" w:hAnsi="宋体" w:cs="宋体"/>
                <w:kern w:val="0"/>
                <w:szCs w:val="21"/>
                <w:lang w:bidi="ar"/>
              </w:rPr>
              <w:t>Ⅲ和</w:t>
            </w:r>
            <w:r>
              <w:rPr>
                <w:rFonts w:ascii="宋体" w:hAnsi="宋体" w:cs="宋体"/>
                <w:kern w:val="0"/>
                <w:szCs w:val="21"/>
                <w:lang w:bidi="ar"/>
              </w:rPr>
              <w:t>GB3838-2002</w:t>
            </w:r>
            <w:r>
              <w:rPr>
                <w:rFonts w:hint="eastAsia" w:ascii="宋体" w:hAnsi="宋体" w:cs="宋体"/>
                <w:kern w:val="0"/>
                <w:szCs w:val="21"/>
                <w:lang w:bidi="ar"/>
              </w:rPr>
              <w:t>Ⅲ类</w:t>
            </w:r>
          </w:p>
        </w:tc>
      </w:tr>
      <w:tr w14:paraId="1B30FF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Align w:val="center"/>
          </w:tcPr>
          <w:p w14:paraId="00C2D6C3">
            <w:pPr>
              <w:kinsoku w:val="0"/>
              <w:overflowPunct w:val="0"/>
              <w:adjustRightInd w:val="0"/>
              <w:snapToGrid w:val="0"/>
              <w:spacing w:line="300" w:lineRule="exact"/>
              <w:jc w:val="center"/>
              <w:rPr>
                <w:rFonts w:hint="eastAsia" w:ascii="宋体" w:hAnsi="宋体" w:cs="宋体"/>
                <w:smallCaps/>
                <w:szCs w:val="21"/>
                <w:lang w:bidi="ar"/>
              </w:rPr>
            </w:pPr>
            <w:r>
              <w:rPr>
                <w:rFonts w:hint="eastAsia" w:ascii="宋体" w:hAnsi="宋体" w:cs="宋体"/>
                <w:smallCaps/>
                <w:szCs w:val="21"/>
                <w:lang w:bidi="ar"/>
              </w:rPr>
              <w:t>土壤环境</w:t>
            </w:r>
          </w:p>
        </w:tc>
        <w:tc>
          <w:tcPr>
            <w:tcW w:w="348" w:type="pct"/>
            <w:vMerge w:val="continue"/>
            <w:vAlign w:val="center"/>
          </w:tcPr>
          <w:p w14:paraId="4DB59B1B">
            <w:pPr>
              <w:kinsoku w:val="0"/>
              <w:overflowPunct w:val="0"/>
              <w:adjustRightInd w:val="0"/>
              <w:snapToGrid w:val="0"/>
              <w:spacing w:line="300" w:lineRule="exact"/>
              <w:jc w:val="center"/>
              <w:rPr>
                <w:rFonts w:hint="eastAsia" w:ascii="宋体" w:hAnsi="宋体" w:cs="宋体"/>
                <w:szCs w:val="21"/>
              </w:rPr>
            </w:pPr>
          </w:p>
        </w:tc>
        <w:tc>
          <w:tcPr>
            <w:tcW w:w="1195" w:type="pct"/>
            <w:vAlign w:val="center"/>
          </w:tcPr>
          <w:p w14:paraId="4B0C315A">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kern w:val="0"/>
                <w:szCs w:val="21"/>
                <w:lang w:bidi="ar"/>
              </w:rPr>
              <w:t>在采油平台和计量拉油站内各布设1个表层样</w:t>
            </w:r>
          </w:p>
        </w:tc>
        <w:tc>
          <w:tcPr>
            <w:tcW w:w="1137" w:type="pct"/>
            <w:vAlign w:val="center"/>
          </w:tcPr>
          <w:p w14:paraId="2DCE2722">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宋体"/>
                <w:kern w:val="0"/>
                <w:szCs w:val="21"/>
                <w:lang w:bidi="ar"/>
              </w:rPr>
              <w:t>砷、六价铬、石油烃（C</w:t>
            </w:r>
            <w:r>
              <w:rPr>
                <w:rFonts w:ascii="宋体" w:hAnsi="宋体" w:cs="宋体"/>
                <w:kern w:val="0"/>
                <w:szCs w:val="21"/>
                <w:vertAlign w:val="subscript"/>
                <w:lang w:bidi="ar"/>
              </w:rPr>
              <w:t>10</w:t>
            </w:r>
            <w:r>
              <w:rPr>
                <w:rFonts w:hint="eastAsia" w:ascii="宋体" w:hAnsi="宋体" w:cs="宋体"/>
                <w:kern w:val="0"/>
                <w:szCs w:val="21"/>
                <w:lang w:bidi="ar"/>
              </w:rPr>
              <w:t>～C</w:t>
            </w:r>
            <w:r>
              <w:rPr>
                <w:rFonts w:ascii="宋体" w:hAnsi="宋体" w:cs="宋体"/>
                <w:kern w:val="0"/>
                <w:szCs w:val="21"/>
                <w:vertAlign w:val="subscript"/>
                <w:lang w:bidi="ar"/>
              </w:rPr>
              <w:t>40</w:t>
            </w:r>
            <w:r>
              <w:rPr>
                <w:rFonts w:hint="eastAsia" w:ascii="宋体" w:hAnsi="宋体" w:cs="宋体"/>
                <w:kern w:val="0"/>
                <w:szCs w:val="21"/>
                <w:lang w:bidi="ar"/>
              </w:rPr>
              <w:t>）</w:t>
            </w:r>
          </w:p>
        </w:tc>
        <w:tc>
          <w:tcPr>
            <w:tcW w:w="568" w:type="pct"/>
            <w:vAlign w:val="center"/>
          </w:tcPr>
          <w:p w14:paraId="58C00A3C">
            <w:pPr>
              <w:kinsoku w:val="0"/>
              <w:overflowPunct w:val="0"/>
              <w:adjustRightInd w:val="0"/>
              <w:snapToGrid w:val="0"/>
              <w:spacing w:line="300" w:lineRule="exact"/>
              <w:jc w:val="center"/>
              <w:rPr>
                <w:rFonts w:hint="eastAsia" w:ascii="宋体" w:hAnsi="宋体" w:cs="宋体"/>
                <w:szCs w:val="21"/>
                <w:lang w:bidi="ar"/>
              </w:rPr>
            </w:pPr>
            <w:r>
              <w:rPr>
                <w:rFonts w:hint="eastAsia" w:ascii="宋体" w:hAnsi="宋体" w:cs="Arial"/>
                <w:szCs w:val="21"/>
              </w:rPr>
              <w:t>1次/年</w:t>
            </w:r>
          </w:p>
        </w:tc>
        <w:tc>
          <w:tcPr>
            <w:tcW w:w="1103" w:type="pct"/>
            <w:vAlign w:val="center"/>
          </w:tcPr>
          <w:p w14:paraId="5A557331">
            <w:pPr>
              <w:kinsoku w:val="0"/>
              <w:overflowPunct w:val="0"/>
              <w:adjustRightInd w:val="0"/>
              <w:snapToGrid w:val="0"/>
              <w:spacing w:line="300" w:lineRule="exact"/>
              <w:jc w:val="center"/>
              <w:rPr>
                <w:rFonts w:hint="eastAsia" w:ascii="宋体" w:hAnsi="宋体" w:cs="宋体"/>
                <w:szCs w:val="21"/>
                <w:lang w:bidi="ar"/>
              </w:rPr>
            </w:pPr>
            <w:r>
              <w:rPr>
                <w:rFonts w:ascii="宋体" w:hAnsi="宋体" w:cs="宋体"/>
                <w:kern w:val="0"/>
                <w:szCs w:val="21"/>
              </w:rPr>
              <w:t>GB36600-2018</w:t>
            </w:r>
            <w:r>
              <w:rPr>
                <w:rFonts w:hint="eastAsia" w:ascii="宋体" w:hAnsi="宋体" w:cs="宋体"/>
                <w:kern w:val="0"/>
                <w:szCs w:val="21"/>
              </w:rPr>
              <w:t xml:space="preserve"> 第二类用地筛选值</w:t>
            </w:r>
          </w:p>
        </w:tc>
      </w:tr>
      <w:tr w14:paraId="33E3A4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Merge w:val="restart"/>
            <w:vAlign w:val="center"/>
          </w:tcPr>
          <w:p w14:paraId="41B3D242">
            <w:pPr>
              <w:adjustRightInd w:val="0"/>
              <w:snapToGrid w:val="0"/>
              <w:spacing w:line="300" w:lineRule="exact"/>
              <w:jc w:val="center"/>
              <w:rPr>
                <w:rFonts w:hint="eastAsia" w:ascii="宋体" w:hAnsi="宋体" w:cs="Arial"/>
                <w:szCs w:val="21"/>
              </w:rPr>
            </w:pPr>
            <w:r>
              <w:rPr>
                <w:rFonts w:hint="eastAsia" w:ascii="宋体" w:hAnsi="宋体" w:cs="Arial"/>
                <w:szCs w:val="21"/>
              </w:rPr>
              <w:t>生态环境</w:t>
            </w:r>
          </w:p>
        </w:tc>
        <w:tc>
          <w:tcPr>
            <w:tcW w:w="348" w:type="pct"/>
            <w:vAlign w:val="center"/>
          </w:tcPr>
          <w:p w14:paraId="2A960259">
            <w:pPr>
              <w:adjustRightInd w:val="0"/>
              <w:snapToGrid w:val="0"/>
              <w:spacing w:line="300" w:lineRule="exact"/>
              <w:jc w:val="center"/>
              <w:rPr>
                <w:rFonts w:hint="eastAsia" w:ascii="宋体" w:hAnsi="宋体" w:cs="Arial"/>
                <w:szCs w:val="21"/>
              </w:rPr>
            </w:pPr>
            <w:r>
              <w:rPr>
                <w:rFonts w:hint="eastAsia" w:ascii="宋体" w:hAnsi="宋体" w:cs="Arial"/>
                <w:szCs w:val="21"/>
              </w:rPr>
              <w:t>污染源</w:t>
            </w:r>
          </w:p>
        </w:tc>
        <w:tc>
          <w:tcPr>
            <w:tcW w:w="1195" w:type="pct"/>
            <w:vAlign w:val="center"/>
          </w:tcPr>
          <w:p w14:paraId="57E4D80A">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临时占地范围内</w:t>
            </w:r>
          </w:p>
        </w:tc>
        <w:tc>
          <w:tcPr>
            <w:tcW w:w="1137" w:type="pct"/>
            <w:vAlign w:val="center"/>
          </w:tcPr>
          <w:p w14:paraId="0140CAF5">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植被覆盖率、植物多样性组成</w:t>
            </w:r>
          </w:p>
        </w:tc>
        <w:tc>
          <w:tcPr>
            <w:tcW w:w="568" w:type="pct"/>
            <w:vAlign w:val="center"/>
          </w:tcPr>
          <w:p w14:paraId="2DB6CBE2">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1次/</w:t>
            </w:r>
            <w:r>
              <w:rPr>
                <w:rFonts w:ascii="宋体" w:hAnsi="宋体" w:cs="宋体"/>
                <w:kern w:val="0"/>
                <w:szCs w:val="21"/>
                <w:lang w:bidi="ar"/>
              </w:rPr>
              <w:t>3</w:t>
            </w:r>
            <w:r>
              <w:rPr>
                <w:rFonts w:hint="eastAsia" w:ascii="宋体" w:hAnsi="宋体" w:cs="宋体"/>
                <w:kern w:val="0"/>
                <w:szCs w:val="21"/>
                <w:lang w:bidi="ar"/>
              </w:rPr>
              <w:t>年</w:t>
            </w:r>
          </w:p>
        </w:tc>
        <w:tc>
          <w:tcPr>
            <w:tcW w:w="1103" w:type="pct"/>
            <w:vAlign w:val="center"/>
          </w:tcPr>
          <w:p w14:paraId="58B85D64">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w:t>
            </w:r>
          </w:p>
        </w:tc>
      </w:tr>
      <w:tr w14:paraId="72E460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49" w:type="pct"/>
            <w:vMerge w:val="continue"/>
            <w:vAlign w:val="center"/>
          </w:tcPr>
          <w:p w14:paraId="3F370C91">
            <w:pPr>
              <w:adjustRightInd w:val="0"/>
              <w:snapToGrid w:val="0"/>
              <w:spacing w:line="300" w:lineRule="exact"/>
              <w:jc w:val="center"/>
              <w:rPr>
                <w:rFonts w:hint="eastAsia" w:ascii="宋体" w:hAnsi="宋体" w:cs="Arial"/>
                <w:szCs w:val="21"/>
              </w:rPr>
            </w:pPr>
          </w:p>
        </w:tc>
        <w:tc>
          <w:tcPr>
            <w:tcW w:w="348" w:type="pct"/>
            <w:vAlign w:val="center"/>
          </w:tcPr>
          <w:p w14:paraId="3DE9EF51">
            <w:pPr>
              <w:adjustRightInd w:val="0"/>
              <w:snapToGrid w:val="0"/>
              <w:spacing w:line="300" w:lineRule="exact"/>
              <w:jc w:val="center"/>
              <w:rPr>
                <w:rFonts w:hint="eastAsia" w:ascii="宋体" w:hAnsi="宋体" w:cs="Arial"/>
                <w:szCs w:val="21"/>
              </w:rPr>
            </w:pPr>
            <w:r>
              <w:rPr>
                <w:rFonts w:hint="eastAsia" w:ascii="宋体" w:hAnsi="宋体" w:cs="Arial"/>
                <w:szCs w:val="21"/>
              </w:rPr>
              <w:t>环境质量</w:t>
            </w:r>
          </w:p>
        </w:tc>
        <w:tc>
          <w:tcPr>
            <w:tcW w:w="1195" w:type="pct"/>
            <w:vAlign w:val="center"/>
          </w:tcPr>
          <w:p w14:paraId="528ECBB2">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管线临时占地范围外3</w:t>
            </w:r>
            <w:r>
              <w:rPr>
                <w:rFonts w:ascii="宋体" w:hAnsi="宋体" w:cs="宋体"/>
                <w:kern w:val="0"/>
                <w:szCs w:val="21"/>
                <w:lang w:bidi="ar"/>
              </w:rPr>
              <w:t>00</w:t>
            </w:r>
            <w:r>
              <w:rPr>
                <w:rFonts w:hint="eastAsia" w:ascii="宋体" w:hAnsi="宋体" w:cs="宋体"/>
                <w:kern w:val="0"/>
                <w:szCs w:val="21"/>
                <w:lang w:bidi="ar"/>
              </w:rPr>
              <w:t>m范围内，井场、计量站临时占地50m范围内</w:t>
            </w:r>
          </w:p>
        </w:tc>
        <w:tc>
          <w:tcPr>
            <w:tcW w:w="1137" w:type="pct"/>
            <w:vAlign w:val="center"/>
          </w:tcPr>
          <w:p w14:paraId="4B293A43">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植被覆盖率、植物多样性组成</w:t>
            </w:r>
          </w:p>
        </w:tc>
        <w:tc>
          <w:tcPr>
            <w:tcW w:w="568" w:type="pct"/>
            <w:vAlign w:val="center"/>
          </w:tcPr>
          <w:p w14:paraId="07AD0AF0">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1次/</w:t>
            </w:r>
            <w:r>
              <w:rPr>
                <w:rFonts w:ascii="宋体" w:hAnsi="宋体" w:cs="宋体"/>
                <w:kern w:val="0"/>
                <w:szCs w:val="21"/>
                <w:lang w:bidi="ar"/>
              </w:rPr>
              <w:t>3</w:t>
            </w:r>
            <w:r>
              <w:rPr>
                <w:rFonts w:hint="eastAsia" w:ascii="宋体" w:hAnsi="宋体" w:cs="宋体"/>
                <w:kern w:val="0"/>
                <w:szCs w:val="21"/>
                <w:lang w:bidi="ar"/>
              </w:rPr>
              <w:t>年</w:t>
            </w:r>
          </w:p>
        </w:tc>
        <w:tc>
          <w:tcPr>
            <w:tcW w:w="1103" w:type="pct"/>
            <w:vAlign w:val="center"/>
          </w:tcPr>
          <w:p w14:paraId="14895090">
            <w:pPr>
              <w:adjustRightInd w:val="0"/>
              <w:snapToGrid w:val="0"/>
              <w:spacing w:line="300" w:lineRule="exact"/>
              <w:jc w:val="center"/>
              <w:rPr>
                <w:rFonts w:hint="eastAsia" w:ascii="宋体" w:hAnsi="宋体" w:cs="宋体"/>
                <w:kern w:val="0"/>
                <w:szCs w:val="21"/>
                <w:lang w:bidi="ar"/>
              </w:rPr>
            </w:pPr>
            <w:r>
              <w:rPr>
                <w:rFonts w:hint="eastAsia" w:ascii="宋体" w:hAnsi="宋体" w:cs="宋体"/>
                <w:kern w:val="0"/>
                <w:szCs w:val="21"/>
                <w:lang w:bidi="ar"/>
              </w:rPr>
              <w:t>/</w:t>
            </w:r>
          </w:p>
        </w:tc>
      </w:tr>
      <w:bookmarkEnd w:id="783"/>
      <w:bookmarkEnd w:id="784"/>
    </w:tbl>
    <w:p w14:paraId="2D3E4B75">
      <w:pPr>
        <w:pStyle w:val="4"/>
        <w:rPr>
          <w:rFonts w:hint="eastAsia"/>
        </w:rPr>
      </w:pPr>
      <w:r>
        <w:rPr>
          <w:rFonts w:hint="eastAsia"/>
        </w:rPr>
        <w:t>环境设施验收</w:t>
      </w:r>
      <w:r>
        <w:t>建议</w:t>
      </w:r>
    </w:p>
    <w:p w14:paraId="49E18E16">
      <w:pPr>
        <w:pStyle w:val="117"/>
        <w:adjustRightInd w:val="0"/>
        <w:snapToGrid w:val="0"/>
        <w:spacing w:line="480" w:lineRule="exact"/>
        <w:ind w:firstLine="480"/>
        <w:rPr>
          <w:rFonts w:hint="eastAsia"/>
        </w:rPr>
      </w:pPr>
      <w:r>
        <w:rPr>
          <w:rFonts w:hint="eastAsia"/>
        </w:rPr>
        <w:t>（1</w:t>
      </w:r>
      <w:r>
        <w:t>）</w:t>
      </w:r>
      <w:r>
        <w:rPr>
          <w:rFonts w:hint="eastAsia"/>
        </w:rPr>
        <w:t>验收</w:t>
      </w:r>
      <w:r>
        <w:t>范围</w:t>
      </w:r>
    </w:p>
    <w:p w14:paraId="6D14BFE0">
      <w:pPr>
        <w:pStyle w:val="117"/>
        <w:adjustRightInd w:val="0"/>
        <w:snapToGrid w:val="0"/>
        <w:spacing w:line="480" w:lineRule="exact"/>
        <w:ind w:firstLine="480"/>
        <w:rPr>
          <w:rFonts w:hint="eastAsia"/>
        </w:rPr>
      </w:pPr>
      <w:r>
        <w:rPr>
          <w:rFonts w:hint="eastAsia"/>
        </w:rPr>
        <w:t>①</w:t>
      </w:r>
      <w:r>
        <w:t>与项目有关的各项环保设施，包括为防治污染和保护环境所配套建成的治理工程、设备、装置和监测手段，以及各项生态保护设施等</w:t>
      </w:r>
      <w:r>
        <w:rPr>
          <w:rFonts w:hint="eastAsia"/>
        </w:rPr>
        <w:t>。</w:t>
      </w:r>
    </w:p>
    <w:p w14:paraId="5011E511">
      <w:pPr>
        <w:pStyle w:val="117"/>
        <w:adjustRightInd w:val="0"/>
        <w:snapToGrid w:val="0"/>
        <w:spacing w:line="480" w:lineRule="exact"/>
        <w:ind w:firstLine="480"/>
        <w:rPr>
          <w:rFonts w:hint="eastAsia"/>
        </w:rPr>
      </w:pPr>
      <w:r>
        <w:rPr>
          <w:rFonts w:hint="eastAsia"/>
        </w:rPr>
        <w:t>②</w:t>
      </w:r>
      <w:r>
        <w:t>环境影响报告书及批复文件和有关设计文件规定应采取的环保措施。</w:t>
      </w:r>
    </w:p>
    <w:p w14:paraId="598D9E35">
      <w:pPr>
        <w:pStyle w:val="117"/>
        <w:adjustRightInd w:val="0"/>
        <w:snapToGrid w:val="0"/>
        <w:spacing w:line="480" w:lineRule="exact"/>
        <w:ind w:firstLine="480"/>
        <w:rPr>
          <w:rFonts w:hint="eastAsia"/>
        </w:rPr>
      </w:pPr>
      <w:r>
        <w:rPr>
          <w:rFonts w:hint="eastAsia"/>
        </w:rPr>
        <w:t>（2）验收内容</w:t>
      </w:r>
    </w:p>
    <w:p w14:paraId="09CBF179">
      <w:pPr>
        <w:pStyle w:val="117"/>
        <w:adjustRightInd w:val="0"/>
        <w:snapToGrid w:val="0"/>
        <w:spacing w:line="480" w:lineRule="exact"/>
        <w:ind w:firstLine="480"/>
        <w:jc w:val="left"/>
        <w:rPr>
          <w:rFonts w:hint="eastAsia"/>
        </w:rPr>
        <w:sectPr>
          <w:pgSz w:w="11906" w:h="16838"/>
          <w:pgMar w:top="1418" w:right="1588" w:bottom="1418" w:left="1588" w:header="1020" w:footer="1020" w:gutter="0"/>
          <w:cols w:space="720" w:num="1"/>
          <w:docGrid w:type="lines" w:linePitch="312" w:charSpace="0"/>
        </w:sectPr>
      </w:pPr>
      <w:r>
        <w:t>按照《建设项目竣工环境保护验收技术规范  石油天然气开采》</w:t>
      </w:r>
      <w:r>
        <w:rPr>
          <w:rFonts w:hint="eastAsia"/>
        </w:rPr>
        <w:t>中有关规定开展验收，根据建设进度分期开展自主环保竣工验收并应当依法向社会公开验收报告。环保验收建议清单见</w:t>
      </w:r>
      <w:r>
        <w:t>见</w:t>
      </w:r>
      <w:r>
        <w:rPr>
          <w:rFonts w:hint="eastAsia"/>
        </w:rPr>
        <w:t>表</w:t>
      </w:r>
      <w:r>
        <w:t>7.5-3</w:t>
      </w:r>
      <w:r>
        <w:rPr>
          <w:rFonts w:hint="eastAsia"/>
        </w:rPr>
        <w:t>。</w:t>
      </w:r>
      <w:bookmarkStart w:id="785" w:name="_Hlk512504272"/>
      <w:bookmarkStart w:id="786" w:name="_Hlk37704697"/>
    </w:p>
    <w:p w14:paraId="48E1C885">
      <w:pPr>
        <w:pStyle w:val="117"/>
        <w:ind w:firstLine="0" w:firstLineChars="0"/>
        <w:jc w:val="center"/>
        <w:rPr>
          <w:rFonts w:hint="eastAsia" w:ascii="黑体" w:hAnsi="黑体" w:eastAsia="黑体"/>
          <w:sz w:val="21"/>
          <w:szCs w:val="21"/>
        </w:rPr>
      </w:pPr>
      <w:bookmarkStart w:id="787" w:name="_Hlk147588209"/>
      <w:r>
        <w:rPr>
          <w:rFonts w:hint="eastAsia" w:ascii="黑体" w:hAnsi="黑体" w:eastAsia="黑体"/>
          <w:sz w:val="21"/>
          <w:szCs w:val="21"/>
        </w:rPr>
        <w:t>表</w:t>
      </w:r>
      <w:r>
        <w:rPr>
          <w:rFonts w:ascii="黑体" w:hAnsi="黑体" w:eastAsia="黑体"/>
          <w:sz w:val="21"/>
          <w:szCs w:val="21"/>
        </w:rPr>
        <w:t xml:space="preserve">7.5-3  </w:t>
      </w:r>
      <w:r>
        <w:rPr>
          <w:rFonts w:hint="eastAsia" w:ascii="黑体" w:hAnsi="黑体" w:eastAsia="黑体"/>
          <w:sz w:val="21"/>
          <w:szCs w:val="21"/>
        </w:rPr>
        <w:t>工程“三同时”竣工验收调查建议</w:t>
      </w:r>
      <w:r>
        <w:rPr>
          <w:rFonts w:ascii="黑体" w:hAnsi="黑体" w:eastAsia="黑体"/>
          <w:sz w:val="21"/>
          <w:szCs w:val="21"/>
        </w:rPr>
        <w:t>清单</w:t>
      </w:r>
    </w:p>
    <w:tbl>
      <w:tblPr>
        <w:tblStyle w:val="51"/>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998"/>
        <w:gridCol w:w="1423"/>
        <w:gridCol w:w="1566"/>
        <w:gridCol w:w="1282"/>
        <w:gridCol w:w="4555"/>
        <w:gridCol w:w="995"/>
        <w:gridCol w:w="3233"/>
        <w:gridCol w:w="6"/>
      </w:tblGrid>
      <w:tr w14:paraId="171CBFA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2" w:type="pct"/>
          <w:cantSplit/>
          <w:trHeight w:val="284" w:hRule="atLeast"/>
          <w:jc w:val="center"/>
        </w:trPr>
        <w:tc>
          <w:tcPr>
            <w:tcW w:w="861" w:type="pct"/>
            <w:gridSpan w:val="2"/>
            <w:tcMar>
              <w:left w:w="28" w:type="dxa"/>
              <w:right w:w="28" w:type="dxa"/>
            </w:tcMar>
            <w:vAlign w:val="center"/>
          </w:tcPr>
          <w:p w14:paraId="18D66226">
            <w:pPr>
              <w:pStyle w:val="278"/>
              <w:adjustRightInd w:val="0"/>
              <w:snapToGrid w:val="0"/>
              <w:spacing w:line="280" w:lineRule="exact"/>
              <w:rPr>
                <w:rFonts w:hint="eastAsia"/>
              </w:rPr>
            </w:pPr>
            <w:r>
              <w:rPr>
                <w:rFonts w:hint="eastAsia"/>
              </w:rPr>
              <w:t>污染源</w:t>
            </w:r>
          </w:p>
        </w:tc>
        <w:tc>
          <w:tcPr>
            <w:tcW w:w="557" w:type="pct"/>
            <w:tcMar>
              <w:left w:w="28" w:type="dxa"/>
              <w:right w:w="28" w:type="dxa"/>
            </w:tcMar>
            <w:vAlign w:val="center"/>
          </w:tcPr>
          <w:p w14:paraId="737FF862">
            <w:pPr>
              <w:pStyle w:val="278"/>
              <w:adjustRightInd w:val="0"/>
              <w:snapToGrid w:val="0"/>
              <w:spacing w:line="280" w:lineRule="exact"/>
              <w:rPr>
                <w:rFonts w:hint="eastAsia"/>
              </w:rPr>
            </w:pPr>
            <w:r>
              <w:rPr>
                <w:rFonts w:hint="eastAsia"/>
              </w:rPr>
              <w:t>污染因子</w:t>
            </w:r>
          </w:p>
        </w:tc>
        <w:tc>
          <w:tcPr>
            <w:tcW w:w="456" w:type="pct"/>
            <w:tcMar>
              <w:left w:w="28" w:type="dxa"/>
              <w:right w:w="28" w:type="dxa"/>
            </w:tcMar>
            <w:vAlign w:val="center"/>
          </w:tcPr>
          <w:p w14:paraId="0F68CABB">
            <w:pPr>
              <w:pStyle w:val="278"/>
              <w:adjustRightInd w:val="0"/>
              <w:snapToGrid w:val="0"/>
              <w:spacing w:line="280" w:lineRule="exact"/>
              <w:rPr>
                <w:rFonts w:hint="eastAsia"/>
              </w:rPr>
            </w:pPr>
            <w:r>
              <w:rPr>
                <w:rFonts w:hint="eastAsia"/>
              </w:rPr>
              <w:t>位置</w:t>
            </w:r>
          </w:p>
        </w:tc>
        <w:tc>
          <w:tcPr>
            <w:tcW w:w="1620" w:type="pct"/>
            <w:tcMar>
              <w:left w:w="28" w:type="dxa"/>
              <w:right w:w="28" w:type="dxa"/>
            </w:tcMar>
            <w:vAlign w:val="center"/>
          </w:tcPr>
          <w:p w14:paraId="4236169D">
            <w:pPr>
              <w:pStyle w:val="278"/>
              <w:adjustRightInd w:val="0"/>
              <w:snapToGrid w:val="0"/>
              <w:spacing w:line="280" w:lineRule="exact"/>
              <w:rPr>
                <w:rFonts w:hint="eastAsia"/>
              </w:rPr>
            </w:pPr>
            <w:r>
              <w:rPr>
                <w:rFonts w:hint="eastAsia"/>
              </w:rPr>
              <w:t>防治措施</w:t>
            </w:r>
          </w:p>
        </w:tc>
        <w:tc>
          <w:tcPr>
            <w:tcW w:w="354" w:type="pct"/>
            <w:tcBorders>
              <w:bottom w:val="single" w:color="000000" w:sz="4" w:space="0"/>
            </w:tcBorders>
            <w:tcMar>
              <w:left w:w="28" w:type="dxa"/>
              <w:right w:w="28" w:type="dxa"/>
            </w:tcMar>
            <w:vAlign w:val="center"/>
          </w:tcPr>
          <w:p w14:paraId="300E6518">
            <w:pPr>
              <w:pStyle w:val="278"/>
              <w:adjustRightInd w:val="0"/>
              <w:snapToGrid w:val="0"/>
              <w:spacing w:line="280" w:lineRule="exact"/>
              <w:rPr>
                <w:rFonts w:hint="eastAsia"/>
              </w:rPr>
            </w:pPr>
            <w:r>
              <w:rPr>
                <w:rFonts w:hint="eastAsia"/>
              </w:rPr>
              <w:t>治理要求</w:t>
            </w:r>
          </w:p>
        </w:tc>
        <w:tc>
          <w:tcPr>
            <w:tcW w:w="1150" w:type="pct"/>
            <w:tcBorders>
              <w:bottom w:val="single" w:color="000000" w:sz="4" w:space="0"/>
            </w:tcBorders>
            <w:tcMar>
              <w:left w:w="28" w:type="dxa"/>
              <w:right w:w="28" w:type="dxa"/>
            </w:tcMar>
            <w:vAlign w:val="center"/>
          </w:tcPr>
          <w:p w14:paraId="33491E50">
            <w:pPr>
              <w:pStyle w:val="278"/>
              <w:adjustRightInd w:val="0"/>
              <w:snapToGrid w:val="0"/>
              <w:spacing w:line="280" w:lineRule="exact"/>
              <w:rPr>
                <w:rFonts w:hint="eastAsia"/>
              </w:rPr>
            </w:pPr>
            <w:r>
              <w:rPr>
                <w:rFonts w:hint="eastAsia"/>
              </w:rPr>
              <w:t>验收标准</w:t>
            </w:r>
          </w:p>
        </w:tc>
      </w:tr>
      <w:tr w14:paraId="437CBD6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restart"/>
            <w:tcBorders>
              <w:right w:val="single" w:color="000000" w:sz="4" w:space="0"/>
            </w:tcBorders>
            <w:tcMar>
              <w:left w:w="28" w:type="dxa"/>
              <w:right w:w="28" w:type="dxa"/>
            </w:tcMar>
            <w:vAlign w:val="center"/>
          </w:tcPr>
          <w:p w14:paraId="6488FC1C">
            <w:pPr>
              <w:pStyle w:val="278"/>
              <w:adjustRightInd w:val="0"/>
              <w:snapToGrid w:val="0"/>
              <w:spacing w:line="280" w:lineRule="exact"/>
              <w:rPr>
                <w:rFonts w:hint="eastAsia"/>
              </w:rPr>
            </w:pPr>
            <w:r>
              <w:rPr>
                <w:rFonts w:hint="eastAsia"/>
              </w:rPr>
              <w:t>废气</w:t>
            </w:r>
          </w:p>
        </w:tc>
        <w:tc>
          <w:tcPr>
            <w:tcW w:w="506" w:type="pct"/>
            <w:vMerge w:val="restart"/>
            <w:tcBorders>
              <w:left w:val="single" w:color="000000" w:sz="4" w:space="0"/>
            </w:tcBorders>
            <w:vAlign w:val="center"/>
          </w:tcPr>
          <w:p w14:paraId="763CAE7D">
            <w:pPr>
              <w:pStyle w:val="278"/>
              <w:adjustRightInd w:val="0"/>
              <w:snapToGrid w:val="0"/>
              <w:spacing w:line="280" w:lineRule="exact"/>
              <w:rPr>
                <w:rFonts w:hint="eastAsia"/>
              </w:rPr>
            </w:pPr>
            <w:r>
              <w:rPr>
                <w:rFonts w:hint="eastAsia"/>
              </w:rPr>
              <w:t>无组织</w:t>
            </w:r>
          </w:p>
          <w:p w14:paraId="10FED5F8">
            <w:pPr>
              <w:pStyle w:val="278"/>
              <w:adjustRightInd w:val="0"/>
              <w:snapToGrid w:val="0"/>
              <w:spacing w:line="280" w:lineRule="exact"/>
              <w:rPr>
                <w:rFonts w:hint="eastAsia"/>
              </w:rPr>
            </w:pPr>
            <w:r>
              <w:rPr>
                <w:rFonts w:hint="eastAsia"/>
              </w:rPr>
              <w:t>挥发性废气</w:t>
            </w:r>
          </w:p>
        </w:tc>
        <w:tc>
          <w:tcPr>
            <w:tcW w:w="557" w:type="pct"/>
            <w:tcMar>
              <w:left w:w="28" w:type="dxa"/>
              <w:right w:w="28" w:type="dxa"/>
            </w:tcMar>
            <w:vAlign w:val="center"/>
          </w:tcPr>
          <w:p w14:paraId="1B633595">
            <w:pPr>
              <w:pStyle w:val="278"/>
              <w:adjustRightInd w:val="0"/>
              <w:snapToGrid w:val="0"/>
              <w:spacing w:line="280" w:lineRule="exact"/>
              <w:rPr>
                <w:rFonts w:hint="eastAsia"/>
              </w:rPr>
            </w:pPr>
            <w:r>
              <w:rPr>
                <w:rFonts w:hint="eastAsia"/>
              </w:rPr>
              <w:t>N</w:t>
            </w:r>
            <w:r>
              <w:t>MHC</w:t>
            </w:r>
            <w:r>
              <w:rPr>
                <w:rFonts w:hint="eastAsia"/>
              </w:rPr>
              <w:t>、硫化氢</w:t>
            </w:r>
          </w:p>
        </w:tc>
        <w:tc>
          <w:tcPr>
            <w:tcW w:w="456" w:type="pct"/>
            <w:tcMar>
              <w:left w:w="28" w:type="dxa"/>
              <w:right w:w="28" w:type="dxa"/>
            </w:tcMar>
            <w:vAlign w:val="center"/>
          </w:tcPr>
          <w:p w14:paraId="480B483B">
            <w:pPr>
              <w:pStyle w:val="278"/>
              <w:adjustRightInd w:val="0"/>
              <w:snapToGrid w:val="0"/>
              <w:spacing w:line="280" w:lineRule="exact"/>
              <w:rPr>
                <w:rFonts w:hint="eastAsia"/>
              </w:rPr>
            </w:pPr>
            <w:r>
              <w:rPr>
                <w:rFonts w:hint="eastAsia"/>
              </w:rPr>
              <w:t>采油井场、计量站</w:t>
            </w:r>
          </w:p>
        </w:tc>
        <w:tc>
          <w:tcPr>
            <w:tcW w:w="1620" w:type="pct"/>
            <w:tcMar>
              <w:left w:w="28" w:type="dxa"/>
              <w:right w:w="28" w:type="dxa"/>
            </w:tcMar>
            <w:vAlign w:val="center"/>
          </w:tcPr>
          <w:p w14:paraId="73DED4A0">
            <w:pPr>
              <w:pStyle w:val="278"/>
              <w:adjustRightInd w:val="0"/>
              <w:snapToGrid w:val="0"/>
              <w:spacing w:line="280" w:lineRule="exact"/>
              <w:rPr>
                <w:rFonts w:hint="eastAsia"/>
              </w:rPr>
            </w:pPr>
            <w:r>
              <w:rPr>
                <w:rFonts w:hint="eastAsia"/>
              </w:rPr>
              <w:t>选用质量可靠的设备、仪表、阀门等；定期对站场内各设备、阀门和管线等检查、检修；计量拉油站设除硫加药装置；</w:t>
            </w:r>
            <w:bookmarkStart w:id="788" w:name="OLE_LINK107"/>
            <w:r>
              <w:rPr>
                <w:rFonts w:hint="eastAsia" w:cs="宋体"/>
                <w:bCs/>
                <w:snapToGrid w:val="0"/>
              </w:rPr>
              <w:t>采用固定顶罐，装车采用顶部浸没式装载；及时检维修</w:t>
            </w:r>
            <w:bookmarkEnd w:id="788"/>
          </w:p>
        </w:tc>
        <w:tc>
          <w:tcPr>
            <w:tcW w:w="354" w:type="pct"/>
            <w:tcMar>
              <w:left w:w="28" w:type="dxa"/>
              <w:right w:w="28" w:type="dxa"/>
            </w:tcMar>
            <w:vAlign w:val="center"/>
          </w:tcPr>
          <w:p w14:paraId="468FEC1F">
            <w:pPr>
              <w:pStyle w:val="278"/>
              <w:adjustRightInd w:val="0"/>
              <w:snapToGrid w:val="0"/>
              <w:spacing w:line="280" w:lineRule="exact"/>
              <w:rPr>
                <w:rFonts w:hint="eastAsia"/>
              </w:rPr>
            </w:pPr>
            <w:r>
              <w:rPr>
                <w:rFonts w:hint="eastAsia"/>
              </w:rPr>
              <w:t>达标排放</w:t>
            </w:r>
          </w:p>
        </w:tc>
        <w:tc>
          <w:tcPr>
            <w:tcW w:w="1152" w:type="pct"/>
            <w:gridSpan w:val="2"/>
            <w:tcMar>
              <w:left w:w="28" w:type="dxa"/>
              <w:right w:w="28" w:type="dxa"/>
            </w:tcMar>
            <w:vAlign w:val="center"/>
          </w:tcPr>
          <w:p w14:paraId="1A622D9E">
            <w:pPr>
              <w:pStyle w:val="278"/>
              <w:adjustRightInd w:val="0"/>
              <w:snapToGrid w:val="0"/>
              <w:spacing w:line="280" w:lineRule="exact"/>
              <w:rPr>
                <w:rFonts w:hint="eastAsia"/>
              </w:rPr>
            </w:pPr>
            <w:r>
              <w:rPr>
                <w:rFonts w:hint="eastAsia"/>
              </w:rPr>
              <w:t>《陆上石油天然气开采工业大气污染物排放标准》（GB39728—2020）企业边界污染物控制要求《恶臭污染物排放标准》（GB14554-93）表1二级新改扩建</w:t>
            </w:r>
          </w:p>
        </w:tc>
      </w:tr>
      <w:tr w14:paraId="7DC97C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continue"/>
            <w:tcBorders>
              <w:right w:val="single" w:color="000000" w:sz="4" w:space="0"/>
            </w:tcBorders>
            <w:tcMar>
              <w:left w:w="28" w:type="dxa"/>
              <w:right w:w="28" w:type="dxa"/>
            </w:tcMar>
            <w:vAlign w:val="center"/>
          </w:tcPr>
          <w:p w14:paraId="7AFE5F71">
            <w:pPr>
              <w:pStyle w:val="278"/>
              <w:adjustRightInd w:val="0"/>
              <w:snapToGrid w:val="0"/>
              <w:spacing w:line="280" w:lineRule="exact"/>
              <w:rPr>
                <w:rFonts w:hint="eastAsia"/>
              </w:rPr>
            </w:pPr>
          </w:p>
        </w:tc>
        <w:tc>
          <w:tcPr>
            <w:tcW w:w="506" w:type="pct"/>
            <w:vMerge w:val="continue"/>
            <w:tcBorders>
              <w:left w:val="single" w:color="000000" w:sz="4" w:space="0"/>
            </w:tcBorders>
            <w:vAlign w:val="center"/>
          </w:tcPr>
          <w:p w14:paraId="0BA06ECF">
            <w:pPr>
              <w:pStyle w:val="278"/>
              <w:adjustRightInd w:val="0"/>
              <w:snapToGrid w:val="0"/>
              <w:spacing w:line="280" w:lineRule="exact"/>
              <w:rPr>
                <w:rFonts w:hint="eastAsia"/>
              </w:rPr>
            </w:pPr>
          </w:p>
        </w:tc>
        <w:tc>
          <w:tcPr>
            <w:tcW w:w="557" w:type="pct"/>
            <w:tcMar>
              <w:left w:w="28" w:type="dxa"/>
              <w:right w:w="28" w:type="dxa"/>
            </w:tcMar>
            <w:vAlign w:val="center"/>
          </w:tcPr>
          <w:p w14:paraId="24C7BF50">
            <w:pPr>
              <w:pStyle w:val="278"/>
              <w:adjustRightInd w:val="0"/>
              <w:snapToGrid w:val="0"/>
              <w:spacing w:line="280" w:lineRule="exact"/>
              <w:rPr>
                <w:rFonts w:hint="eastAsia"/>
              </w:rPr>
            </w:pPr>
            <w:r>
              <w:rPr>
                <w:rFonts w:hint="eastAsia"/>
              </w:rPr>
              <w:t>颗粒物、二氧化硫和氮氧化物</w:t>
            </w:r>
          </w:p>
        </w:tc>
        <w:tc>
          <w:tcPr>
            <w:tcW w:w="456" w:type="pct"/>
            <w:tcMar>
              <w:left w:w="28" w:type="dxa"/>
              <w:right w:w="28" w:type="dxa"/>
            </w:tcMar>
            <w:vAlign w:val="center"/>
          </w:tcPr>
          <w:p w14:paraId="1E0317D0">
            <w:pPr>
              <w:pStyle w:val="278"/>
              <w:adjustRightInd w:val="0"/>
              <w:snapToGrid w:val="0"/>
              <w:spacing w:line="280" w:lineRule="exact"/>
              <w:rPr>
                <w:rFonts w:hint="eastAsia"/>
              </w:rPr>
            </w:pPr>
            <w:r>
              <w:rPr>
                <w:rFonts w:hint="eastAsia"/>
              </w:rPr>
              <w:t>计量拉油站</w:t>
            </w:r>
          </w:p>
        </w:tc>
        <w:tc>
          <w:tcPr>
            <w:tcW w:w="1620" w:type="pct"/>
            <w:tcMar>
              <w:left w:w="28" w:type="dxa"/>
              <w:right w:w="28" w:type="dxa"/>
            </w:tcMar>
            <w:vAlign w:val="center"/>
          </w:tcPr>
          <w:p w14:paraId="77B53F6E">
            <w:pPr>
              <w:pStyle w:val="278"/>
              <w:adjustRightInd w:val="0"/>
              <w:snapToGrid w:val="0"/>
              <w:spacing w:line="280" w:lineRule="exact"/>
              <w:rPr>
                <w:rFonts w:hint="eastAsia"/>
              </w:rPr>
            </w:pPr>
            <w:r>
              <w:rPr>
                <w:rFonts w:hint="eastAsia"/>
              </w:rPr>
              <w:t>加强设备检维修，保证其正常运行</w:t>
            </w:r>
          </w:p>
        </w:tc>
        <w:tc>
          <w:tcPr>
            <w:tcW w:w="354" w:type="pct"/>
            <w:tcMar>
              <w:left w:w="28" w:type="dxa"/>
              <w:right w:w="28" w:type="dxa"/>
            </w:tcMar>
            <w:vAlign w:val="center"/>
          </w:tcPr>
          <w:p w14:paraId="7F4F59FD">
            <w:pPr>
              <w:pStyle w:val="278"/>
              <w:adjustRightInd w:val="0"/>
              <w:snapToGrid w:val="0"/>
              <w:spacing w:line="280" w:lineRule="exact"/>
              <w:rPr>
                <w:rFonts w:hint="eastAsia"/>
              </w:rPr>
            </w:pPr>
            <w:r>
              <w:rPr>
                <w:rFonts w:hint="eastAsia"/>
              </w:rPr>
              <w:t>达标排放</w:t>
            </w:r>
          </w:p>
        </w:tc>
        <w:tc>
          <w:tcPr>
            <w:tcW w:w="1152" w:type="pct"/>
            <w:gridSpan w:val="2"/>
            <w:tcMar>
              <w:left w:w="28" w:type="dxa"/>
              <w:right w:w="28" w:type="dxa"/>
            </w:tcMar>
            <w:vAlign w:val="center"/>
          </w:tcPr>
          <w:p w14:paraId="223C4901">
            <w:pPr>
              <w:pStyle w:val="278"/>
              <w:adjustRightInd w:val="0"/>
              <w:snapToGrid w:val="0"/>
              <w:spacing w:line="280" w:lineRule="exact"/>
              <w:rPr>
                <w:rFonts w:hint="eastAsia"/>
              </w:rPr>
            </w:pPr>
            <w:r>
              <w:rPr>
                <w:rFonts w:hint="eastAsia"/>
              </w:rPr>
              <w:t>《大气污染物综合排放标准》（GB16297-1996）无组织浓度限值</w:t>
            </w:r>
          </w:p>
        </w:tc>
      </w:tr>
      <w:tr w14:paraId="543EDAC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tcMar>
              <w:left w:w="28" w:type="dxa"/>
              <w:right w:w="28" w:type="dxa"/>
            </w:tcMar>
            <w:vAlign w:val="center"/>
          </w:tcPr>
          <w:p w14:paraId="237AB1F8">
            <w:pPr>
              <w:pStyle w:val="278"/>
              <w:adjustRightInd w:val="0"/>
              <w:snapToGrid w:val="0"/>
              <w:spacing w:line="280" w:lineRule="exact"/>
              <w:rPr>
                <w:rFonts w:hint="eastAsia"/>
              </w:rPr>
            </w:pPr>
            <w:r>
              <w:rPr>
                <w:rFonts w:hint="eastAsia"/>
              </w:rPr>
              <w:t>废水</w:t>
            </w:r>
          </w:p>
        </w:tc>
        <w:tc>
          <w:tcPr>
            <w:tcW w:w="506" w:type="pct"/>
            <w:tcBorders>
              <w:left w:val="single" w:color="auto" w:sz="4" w:space="0"/>
            </w:tcBorders>
            <w:vAlign w:val="center"/>
          </w:tcPr>
          <w:p w14:paraId="350A4E9C">
            <w:pPr>
              <w:pStyle w:val="278"/>
              <w:adjustRightInd w:val="0"/>
              <w:snapToGrid w:val="0"/>
              <w:spacing w:line="280" w:lineRule="exact"/>
              <w:rPr>
                <w:rFonts w:hint="eastAsia"/>
              </w:rPr>
            </w:pPr>
            <w:r>
              <w:rPr>
                <w:rFonts w:hint="eastAsia"/>
              </w:rPr>
              <w:t>洗井废水和井下作业废液</w:t>
            </w:r>
          </w:p>
        </w:tc>
        <w:tc>
          <w:tcPr>
            <w:tcW w:w="557" w:type="pct"/>
            <w:tcMar>
              <w:left w:w="28" w:type="dxa"/>
              <w:right w:w="28" w:type="dxa"/>
            </w:tcMar>
            <w:vAlign w:val="center"/>
          </w:tcPr>
          <w:p w14:paraId="67769681">
            <w:pPr>
              <w:pStyle w:val="278"/>
              <w:adjustRightInd w:val="0"/>
              <w:snapToGrid w:val="0"/>
              <w:spacing w:line="280" w:lineRule="exact"/>
              <w:rPr>
                <w:rFonts w:hint="eastAsia"/>
              </w:rPr>
            </w:pPr>
            <w:r>
              <w:rPr>
                <w:rFonts w:hint="eastAsia"/>
              </w:rPr>
              <w:t>石油类、COD</w:t>
            </w:r>
          </w:p>
        </w:tc>
        <w:tc>
          <w:tcPr>
            <w:tcW w:w="456" w:type="pct"/>
            <w:tcMar>
              <w:left w:w="28" w:type="dxa"/>
              <w:right w:w="28" w:type="dxa"/>
            </w:tcMar>
            <w:vAlign w:val="center"/>
          </w:tcPr>
          <w:p w14:paraId="4B78B8EA">
            <w:pPr>
              <w:pStyle w:val="278"/>
              <w:adjustRightInd w:val="0"/>
              <w:snapToGrid w:val="0"/>
              <w:spacing w:line="280" w:lineRule="exact"/>
              <w:rPr>
                <w:rFonts w:hint="eastAsia"/>
              </w:rPr>
            </w:pPr>
            <w:r>
              <w:rPr>
                <w:rFonts w:hint="eastAsia"/>
              </w:rPr>
              <w:t>采油井场</w:t>
            </w:r>
          </w:p>
        </w:tc>
        <w:tc>
          <w:tcPr>
            <w:tcW w:w="1620" w:type="pct"/>
            <w:tcMar>
              <w:left w:w="28" w:type="dxa"/>
              <w:right w:w="28" w:type="dxa"/>
            </w:tcMar>
            <w:vAlign w:val="center"/>
          </w:tcPr>
          <w:p w14:paraId="715AD1FB">
            <w:pPr>
              <w:pStyle w:val="278"/>
              <w:adjustRightInd w:val="0"/>
              <w:snapToGrid w:val="0"/>
              <w:spacing w:line="280" w:lineRule="exact"/>
              <w:rPr>
                <w:rFonts w:hint="eastAsia"/>
              </w:rPr>
            </w:pPr>
            <w:r>
              <w:rPr>
                <w:rFonts w:hint="eastAsia"/>
              </w:rPr>
              <w:t>送至压裂返排液处理装置处理</w:t>
            </w:r>
          </w:p>
        </w:tc>
        <w:tc>
          <w:tcPr>
            <w:tcW w:w="354" w:type="pct"/>
            <w:tcMar>
              <w:left w:w="28" w:type="dxa"/>
              <w:right w:w="28" w:type="dxa"/>
            </w:tcMar>
            <w:vAlign w:val="center"/>
          </w:tcPr>
          <w:p w14:paraId="44367661">
            <w:pPr>
              <w:pStyle w:val="278"/>
              <w:adjustRightInd w:val="0"/>
              <w:snapToGrid w:val="0"/>
              <w:spacing w:line="280" w:lineRule="exact"/>
              <w:rPr>
                <w:rFonts w:hint="eastAsia"/>
              </w:rPr>
            </w:pPr>
            <w:r>
              <w:rPr>
                <w:rFonts w:hint="eastAsia"/>
              </w:rPr>
              <w:t>处理达标后用于压裂液复配</w:t>
            </w:r>
          </w:p>
        </w:tc>
        <w:tc>
          <w:tcPr>
            <w:tcW w:w="1152" w:type="pct"/>
            <w:gridSpan w:val="2"/>
            <w:tcMar>
              <w:left w:w="28" w:type="dxa"/>
              <w:right w:w="28" w:type="dxa"/>
            </w:tcMar>
            <w:vAlign w:val="center"/>
          </w:tcPr>
          <w:p w14:paraId="78684C2A">
            <w:pPr>
              <w:pStyle w:val="278"/>
              <w:adjustRightInd w:val="0"/>
              <w:snapToGrid w:val="0"/>
              <w:spacing w:line="280" w:lineRule="exact"/>
              <w:rPr>
                <w:rFonts w:hint="eastAsia"/>
              </w:rPr>
            </w:pPr>
            <w:r>
              <w:rPr>
                <w:rFonts w:hint="eastAsia"/>
              </w:rPr>
              <w:t>出水水质满足</w:t>
            </w:r>
            <w:r>
              <w:rPr>
                <w:rFonts w:hint="eastAsia"/>
                <w:lang w:val="zh-CN"/>
              </w:rPr>
              <w:t>《压裂酸化返排液处理技术规范》（Q/SY02012-2016）</w:t>
            </w:r>
            <w:r>
              <w:rPr>
                <w:rFonts w:hint="eastAsia"/>
              </w:rPr>
              <w:t>要求</w:t>
            </w:r>
          </w:p>
        </w:tc>
      </w:tr>
      <w:tr w14:paraId="32FF66F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tcMar>
              <w:left w:w="28" w:type="dxa"/>
              <w:right w:w="28" w:type="dxa"/>
            </w:tcMar>
            <w:vAlign w:val="center"/>
          </w:tcPr>
          <w:p w14:paraId="7F75388A">
            <w:pPr>
              <w:pStyle w:val="278"/>
              <w:adjustRightInd w:val="0"/>
              <w:snapToGrid w:val="0"/>
              <w:spacing w:line="280" w:lineRule="exact"/>
              <w:rPr>
                <w:rFonts w:hint="eastAsia"/>
              </w:rPr>
            </w:pPr>
            <w:r>
              <w:rPr>
                <w:rFonts w:hint="eastAsia"/>
              </w:rPr>
              <w:t>噪声</w:t>
            </w:r>
          </w:p>
        </w:tc>
        <w:tc>
          <w:tcPr>
            <w:tcW w:w="506" w:type="pct"/>
            <w:tcBorders>
              <w:left w:val="single" w:color="auto" w:sz="4" w:space="0"/>
            </w:tcBorders>
            <w:vAlign w:val="center"/>
          </w:tcPr>
          <w:p w14:paraId="4F071326">
            <w:pPr>
              <w:pStyle w:val="278"/>
              <w:adjustRightInd w:val="0"/>
              <w:snapToGrid w:val="0"/>
              <w:spacing w:line="280" w:lineRule="exact"/>
              <w:rPr>
                <w:rFonts w:hint="eastAsia"/>
              </w:rPr>
            </w:pPr>
            <w:r>
              <w:rPr>
                <w:rFonts w:hint="eastAsia"/>
              </w:rPr>
              <w:t>各类机泵</w:t>
            </w:r>
          </w:p>
        </w:tc>
        <w:tc>
          <w:tcPr>
            <w:tcW w:w="557" w:type="pct"/>
            <w:tcMar>
              <w:left w:w="28" w:type="dxa"/>
              <w:right w:w="28" w:type="dxa"/>
            </w:tcMar>
            <w:vAlign w:val="center"/>
          </w:tcPr>
          <w:p w14:paraId="5D766CF3">
            <w:pPr>
              <w:pStyle w:val="278"/>
              <w:adjustRightInd w:val="0"/>
              <w:snapToGrid w:val="0"/>
              <w:spacing w:line="280" w:lineRule="exact"/>
              <w:rPr>
                <w:rFonts w:hint="eastAsia"/>
              </w:rPr>
            </w:pPr>
            <w:r>
              <w:rPr>
                <w:rFonts w:hint="eastAsia"/>
              </w:rPr>
              <w:t>噪声</w:t>
            </w:r>
          </w:p>
        </w:tc>
        <w:tc>
          <w:tcPr>
            <w:tcW w:w="456" w:type="pct"/>
            <w:tcMar>
              <w:left w:w="28" w:type="dxa"/>
              <w:right w:w="28" w:type="dxa"/>
            </w:tcMar>
            <w:vAlign w:val="center"/>
          </w:tcPr>
          <w:p w14:paraId="233E7F72">
            <w:pPr>
              <w:pStyle w:val="278"/>
              <w:adjustRightInd w:val="0"/>
              <w:snapToGrid w:val="0"/>
              <w:spacing w:line="280" w:lineRule="exact"/>
              <w:rPr>
                <w:rFonts w:hint="eastAsia"/>
              </w:rPr>
            </w:pPr>
            <w:r>
              <w:rPr>
                <w:rFonts w:hint="eastAsia"/>
              </w:rPr>
              <w:t>采油井场和计量站厂界</w:t>
            </w:r>
          </w:p>
        </w:tc>
        <w:tc>
          <w:tcPr>
            <w:tcW w:w="1620" w:type="pct"/>
            <w:tcBorders>
              <w:right w:val="single" w:color="auto" w:sz="4" w:space="0"/>
            </w:tcBorders>
            <w:tcMar>
              <w:left w:w="28" w:type="dxa"/>
              <w:right w:w="28" w:type="dxa"/>
            </w:tcMar>
            <w:vAlign w:val="center"/>
          </w:tcPr>
          <w:p w14:paraId="2FABF1BC">
            <w:pPr>
              <w:pStyle w:val="278"/>
              <w:adjustRightInd w:val="0"/>
              <w:snapToGrid w:val="0"/>
              <w:spacing w:line="280" w:lineRule="exact"/>
              <w:rPr>
                <w:rFonts w:hint="eastAsia"/>
              </w:rPr>
            </w:pPr>
            <w:r>
              <w:rPr>
                <w:rFonts w:hint="eastAsia"/>
              </w:rPr>
              <w:t>隔声、基础减震，采用低噪声设备</w:t>
            </w:r>
          </w:p>
        </w:tc>
        <w:tc>
          <w:tcPr>
            <w:tcW w:w="354" w:type="pct"/>
            <w:tcBorders>
              <w:left w:val="single" w:color="auto" w:sz="4" w:space="0"/>
            </w:tcBorders>
            <w:vAlign w:val="center"/>
          </w:tcPr>
          <w:p w14:paraId="72659169">
            <w:pPr>
              <w:pStyle w:val="278"/>
              <w:adjustRightInd w:val="0"/>
              <w:snapToGrid w:val="0"/>
              <w:spacing w:line="280" w:lineRule="exact"/>
              <w:rPr>
                <w:rFonts w:hint="eastAsia"/>
              </w:rPr>
            </w:pPr>
            <w:r>
              <w:rPr>
                <w:rFonts w:hint="eastAsia"/>
              </w:rPr>
              <w:t>厂界噪声达标排放</w:t>
            </w:r>
          </w:p>
        </w:tc>
        <w:tc>
          <w:tcPr>
            <w:tcW w:w="1152" w:type="pct"/>
            <w:gridSpan w:val="2"/>
            <w:tcMar>
              <w:left w:w="28" w:type="dxa"/>
              <w:right w:w="28" w:type="dxa"/>
            </w:tcMar>
            <w:vAlign w:val="center"/>
          </w:tcPr>
          <w:p w14:paraId="3D885A5D">
            <w:pPr>
              <w:pStyle w:val="278"/>
              <w:adjustRightInd w:val="0"/>
              <w:snapToGrid w:val="0"/>
              <w:spacing w:line="280" w:lineRule="exact"/>
              <w:rPr>
                <w:rFonts w:hint="eastAsia"/>
              </w:rPr>
            </w:pPr>
            <w:r>
              <w:rPr>
                <w:rFonts w:hint="eastAsia"/>
              </w:rPr>
              <w:t>《工业企业厂界环境噪声排放标准》（GB12348-</w:t>
            </w:r>
            <w:r>
              <w:t>2008</w:t>
            </w:r>
            <w:r>
              <w:rPr>
                <w:rFonts w:hint="eastAsia"/>
              </w:rPr>
              <w:t>）</w:t>
            </w:r>
            <w:r>
              <w:t>2</w:t>
            </w:r>
            <w:r>
              <w:rPr>
                <w:rFonts w:hint="eastAsia"/>
              </w:rPr>
              <w:t>类</w:t>
            </w:r>
          </w:p>
        </w:tc>
      </w:tr>
      <w:tr w14:paraId="632542C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tcMar>
              <w:left w:w="28" w:type="dxa"/>
              <w:right w:w="28" w:type="dxa"/>
            </w:tcMar>
            <w:vAlign w:val="center"/>
          </w:tcPr>
          <w:p w14:paraId="0B1D1E7F">
            <w:pPr>
              <w:pStyle w:val="278"/>
              <w:adjustRightInd w:val="0"/>
              <w:snapToGrid w:val="0"/>
              <w:spacing w:line="280" w:lineRule="exact"/>
              <w:rPr>
                <w:rFonts w:hint="eastAsia"/>
              </w:rPr>
            </w:pPr>
            <w:r>
              <w:rPr>
                <w:rFonts w:hint="eastAsia"/>
              </w:rPr>
              <w:t>固体废物</w:t>
            </w:r>
          </w:p>
        </w:tc>
        <w:tc>
          <w:tcPr>
            <w:tcW w:w="1063" w:type="pct"/>
            <w:gridSpan w:val="2"/>
            <w:tcBorders>
              <w:left w:val="single" w:color="auto" w:sz="4" w:space="0"/>
            </w:tcBorders>
            <w:vAlign w:val="center"/>
          </w:tcPr>
          <w:p w14:paraId="44592DC3">
            <w:pPr>
              <w:pStyle w:val="278"/>
              <w:adjustRightInd w:val="0"/>
              <w:snapToGrid w:val="0"/>
              <w:spacing w:line="280" w:lineRule="exact"/>
              <w:rPr>
                <w:rFonts w:hint="eastAsia"/>
              </w:rPr>
            </w:pPr>
            <w:r>
              <w:rPr>
                <w:rFonts w:hint="eastAsia"/>
              </w:rPr>
              <w:t>清罐底泥、废润滑油、废润滑油桶、沾油废防渗材料和废含油抹布、劳保用品</w:t>
            </w:r>
          </w:p>
        </w:tc>
        <w:tc>
          <w:tcPr>
            <w:tcW w:w="456" w:type="pct"/>
            <w:tcMar>
              <w:left w:w="28" w:type="dxa"/>
              <w:right w:w="28" w:type="dxa"/>
            </w:tcMar>
            <w:vAlign w:val="center"/>
          </w:tcPr>
          <w:p w14:paraId="2C3D6A7B">
            <w:pPr>
              <w:pStyle w:val="278"/>
              <w:adjustRightInd w:val="0"/>
              <w:snapToGrid w:val="0"/>
              <w:spacing w:line="280" w:lineRule="exact"/>
              <w:rPr>
                <w:rFonts w:hint="eastAsia"/>
              </w:rPr>
            </w:pPr>
            <w:r>
              <w:rPr>
                <w:rFonts w:hint="eastAsia"/>
              </w:rPr>
              <w:t>采油井场和计量站</w:t>
            </w:r>
          </w:p>
        </w:tc>
        <w:tc>
          <w:tcPr>
            <w:tcW w:w="1974" w:type="pct"/>
            <w:gridSpan w:val="2"/>
            <w:tcMar>
              <w:left w:w="28" w:type="dxa"/>
              <w:right w:w="28" w:type="dxa"/>
            </w:tcMar>
            <w:vAlign w:val="center"/>
          </w:tcPr>
          <w:p w14:paraId="4B2AC5F4">
            <w:pPr>
              <w:pStyle w:val="278"/>
              <w:adjustRightInd w:val="0"/>
              <w:snapToGrid w:val="0"/>
              <w:spacing w:line="280" w:lineRule="exact"/>
              <w:rPr>
                <w:rFonts w:hint="eastAsia"/>
              </w:rPr>
            </w:pPr>
            <w:r>
              <w:rPr>
                <w:rFonts w:hint="eastAsia"/>
              </w:rPr>
              <w:t>集中收集后交由有相应危险废物处理资质的单位进行回收处置</w:t>
            </w:r>
          </w:p>
        </w:tc>
        <w:tc>
          <w:tcPr>
            <w:tcW w:w="1152" w:type="pct"/>
            <w:gridSpan w:val="2"/>
            <w:tcMar>
              <w:left w:w="28" w:type="dxa"/>
              <w:right w:w="28" w:type="dxa"/>
            </w:tcMar>
            <w:vAlign w:val="center"/>
          </w:tcPr>
          <w:p w14:paraId="42F8F03E">
            <w:pPr>
              <w:pStyle w:val="278"/>
              <w:adjustRightInd w:val="0"/>
              <w:snapToGrid w:val="0"/>
              <w:spacing w:line="280" w:lineRule="exact"/>
              <w:rPr>
                <w:rFonts w:hint="eastAsia"/>
              </w:rPr>
            </w:pPr>
            <w:r>
              <w:rPr>
                <w:rFonts w:hint="eastAsia"/>
              </w:rPr>
              <w:t>签订处置协议，落实危险废物转移联单</w:t>
            </w:r>
          </w:p>
        </w:tc>
      </w:tr>
      <w:tr w14:paraId="7B6662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restart"/>
            <w:tcMar>
              <w:left w:w="28" w:type="dxa"/>
              <w:right w:w="28" w:type="dxa"/>
            </w:tcMar>
            <w:vAlign w:val="center"/>
          </w:tcPr>
          <w:p w14:paraId="05BC3E76">
            <w:pPr>
              <w:pStyle w:val="278"/>
              <w:adjustRightInd w:val="0"/>
              <w:snapToGrid w:val="0"/>
              <w:spacing w:line="280" w:lineRule="exact"/>
              <w:rPr>
                <w:rFonts w:hint="eastAsia"/>
              </w:rPr>
            </w:pPr>
            <w:r>
              <w:rPr>
                <w:rFonts w:hint="eastAsia"/>
              </w:rPr>
              <w:t>生态环境</w:t>
            </w:r>
          </w:p>
        </w:tc>
        <w:tc>
          <w:tcPr>
            <w:tcW w:w="506" w:type="pct"/>
            <w:vMerge w:val="restart"/>
            <w:tcBorders>
              <w:left w:val="single" w:color="auto" w:sz="4" w:space="0"/>
            </w:tcBorders>
            <w:vAlign w:val="center"/>
          </w:tcPr>
          <w:p w14:paraId="21B4ED4A">
            <w:pPr>
              <w:pStyle w:val="278"/>
              <w:adjustRightInd w:val="0"/>
              <w:snapToGrid w:val="0"/>
              <w:spacing w:line="280" w:lineRule="exact"/>
              <w:rPr>
                <w:rFonts w:hint="eastAsia"/>
              </w:rPr>
            </w:pPr>
            <w:r>
              <w:rPr>
                <w:rFonts w:hint="eastAsia"/>
              </w:rPr>
              <w:t>工程占地</w:t>
            </w:r>
          </w:p>
        </w:tc>
        <w:tc>
          <w:tcPr>
            <w:tcW w:w="557" w:type="pct"/>
            <w:vMerge w:val="restart"/>
            <w:tcMar>
              <w:left w:w="28" w:type="dxa"/>
              <w:right w:w="28" w:type="dxa"/>
            </w:tcMar>
            <w:vAlign w:val="center"/>
          </w:tcPr>
          <w:p w14:paraId="3500011B">
            <w:pPr>
              <w:pStyle w:val="278"/>
              <w:adjustRightInd w:val="0"/>
              <w:snapToGrid w:val="0"/>
              <w:spacing w:line="280" w:lineRule="exact"/>
              <w:rPr>
                <w:rFonts w:hint="eastAsia"/>
              </w:rPr>
            </w:pPr>
            <w:r>
              <w:rPr>
                <w:rFonts w:hint="eastAsia"/>
              </w:rPr>
              <w:t>植被破坏</w:t>
            </w:r>
          </w:p>
          <w:p w14:paraId="5C373EC0">
            <w:pPr>
              <w:pStyle w:val="278"/>
              <w:adjustRightInd w:val="0"/>
              <w:snapToGrid w:val="0"/>
              <w:spacing w:line="280" w:lineRule="exact"/>
              <w:rPr>
                <w:rFonts w:hint="eastAsia"/>
              </w:rPr>
            </w:pPr>
            <w:r>
              <w:rPr>
                <w:rFonts w:hint="eastAsia"/>
              </w:rPr>
              <w:t>土壤压覆</w:t>
            </w:r>
          </w:p>
          <w:p w14:paraId="4E6F32B3">
            <w:pPr>
              <w:pStyle w:val="278"/>
              <w:adjustRightInd w:val="0"/>
              <w:snapToGrid w:val="0"/>
              <w:spacing w:line="280" w:lineRule="exact"/>
              <w:rPr>
                <w:rFonts w:hint="eastAsia"/>
              </w:rPr>
            </w:pPr>
            <w:r>
              <w:rPr>
                <w:rFonts w:hint="eastAsia"/>
              </w:rPr>
              <w:t>地表扰动</w:t>
            </w:r>
          </w:p>
          <w:p w14:paraId="1AF8ECE6">
            <w:pPr>
              <w:pStyle w:val="278"/>
              <w:adjustRightInd w:val="0"/>
              <w:snapToGrid w:val="0"/>
              <w:spacing w:line="280" w:lineRule="exact"/>
              <w:rPr>
                <w:rFonts w:hint="eastAsia"/>
              </w:rPr>
            </w:pPr>
            <w:r>
              <w:rPr>
                <w:rFonts w:hint="eastAsia"/>
              </w:rPr>
              <w:t>水土流失</w:t>
            </w:r>
          </w:p>
        </w:tc>
        <w:tc>
          <w:tcPr>
            <w:tcW w:w="456" w:type="pct"/>
            <w:vMerge w:val="restart"/>
            <w:tcMar>
              <w:left w:w="28" w:type="dxa"/>
              <w:right w:w="28" w:type="dxa"/>
            </w:tcMar>
            <w:vAlign w:val="center"/>
          </w:tcPr>
          <w:p w14:paraId="5AA4EE4C">
            <w:pPr>
              <w:pStyle w:val="278"/>
              <w:adjustRightInd w:val="0"/>
              <w:snapToGrid w:val="0"/>
              <w:spacing w:line="280" w:lineRule="exact"/>
              <w:rPr>
                <w:rFonts w:hint="eastAsia"/>
              </w:rPr>
            </w:pPr>
            <w:r>
              <w:rPr>
                <w:rFonts w:hint="eastAsia"/>
              </w:rPr>
              <w:t>采用井场、计量站、单井采油管线、集油干支线等</w:t>
            </w:r>
          </w:p>
        </w:tc>
        <w:tc>
          <w:tcPr>
            <w:tcW w:w="1974" w:type="pct"/>
            <w:gridSpan w:val="2"/>
            <w:tcMar>
              <w:left w:w="28" w:type="dxa"/>
              <w:right w:w="28" w:type="dxa"/>
            </w:tcMar>
            <w:vAlign w:val="center"/>
          </w:tcPr>
          <w:p w14:paraId="0456C30A">
            <w:pPr>
              <w:pStyle w:val="278"/>
              <w:adjustRightInd w:val="0"/>
              <w:snapToGrid w:val="0"/>
              <w:spacing w:line="280" w:lineRule="exact"/>
              <w:rPr>
                <w:rFonts w:hint="eastAsia"/>
              </w:rPr>
            </w:pPr>
            <w:r>
              <w:rPr>
                <w:rFonts w:hint="eastAsia"/>
              </w:rPr>
              <w:t>严格控制占地范围，采油井场、计量站处砾石铺垫或地面硬化</w:t>
            </w:r>
          </w:p>
        </w:tc>
        <w:tc>
          <w:tcPr>
            <w:tcW w:w="1152" w:type="pct"/>
            <w:gridSpan w:val="2"/>
            <w:tcMar>
              <w:left w:w="28" w:type="dxa"/>
              <w:right w:w="28" w:type="dxa"/>
            </w:tcMar>
            <w:vAlign w:val="center"/>
          </w:tcPr>
          <w:p w14:paraId="0F84F98D">
            <w:pPr>
              <w:pStyle w:val="278"/>
              <w:adjustRightInd w:val="0"/>
              <w:snapToGrid w:val="0"/>
              <w:spacing w:line="280" w:lineRule="exact"/>
              <w:rPr>
                <w:rFonts w:hint="eastAsia"/>
              </w:rPr>
            </w:pPr>
            <w:r>
              <w:rPr>
                <w:rFonts w:hint="eastAsia"/>
              </w:rPr>
              <w:t>砾石铺垫或地面硬化</w:t>
            </w:r>
          </w:p>
        </w:tc>
      </w:tr>
      <w:tr w14:paraId="2F07C18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continue"/>
            <w:tcMar>
              <w:left w:w="28" w:type="dxa"/>
              <w:right w:w="28" w:type="dxa"/>
            </w:tcMar>
            <w:vAlign w:val="center"/>
          </w:tcPr>
          <w:p w14:paraId="167772DA">
            <w:pPr>
              <w:pStyle w:val="278"/>
              <w:adjustRightInd w:val="0"/>
              <w:snapToGrid w:val="0"/>
              <w:spacing w:line="280" w:lineRule="exact"/>
              <w:rPr>
                <w:rFonts w:hint="eastAsia"/>
              </w:rPr>
            </w:pPr>
          </w:p>
        </w:tc>
        <w:tc>
          <w:tcPr>
            <w:tcW w:w="506" w:type="pct"/>
            <w:vMerge w:val="continue"/>
            <w:tcBorders>
              <w:left w:val="single" w:color="auto" w:sz="4" w:space="0"/>
            </w:tcBorders>
            <w:vAlign w:val="center"/>
          </w:tcPr>
          <w:p w14:paraId="7F7DDD6C">
            <w:pPr>
              <w:pStyle w:val="278"/>
              <w:adjustRightInd w:val="0"/>
              <w:snapToGrid w:val="0"/>
              <w:spacing w:line="280" w:lineRule="exact"/>
              <w:rPr>
                <w:rFonts w:hint="eastAsia"/>
              </w:rPr>
            </w:pPr>
          </w:p>
        </w:tc>
        <w:tc>
          <w:tcPr>
            <w:tcW w:w="557" w:type="pct"/>
            <w:vMerge w:val="continue"/>
            <w:tcMar>
              <w:left w:w="28" w:type="dxa"/>
              <w:right w:w="28" w:type="dxa"/>
            </w:tcMar>
            <w:vAlign w:val="center"/>
          </w:tcPr>
          <w:p w14:paraId="1AA47C56">
            <w:pPr>
              <w:pStyle w:val="278"/>
              <w:adjustRightInd w:val="0"/>
              <w:snapToGrid w:val="0"/>
              <w:spacing w:line="280" w:lineRule="exact"/>
              <w:rPr>
                <w:rFonts w:hint="eastAsia"/>
              </w:rPr>
            </w:pPr>
          </w:p>
        </w:tc>
        <w:tc>
          <w:tcPr>
            <w:tcW w:w="456" w:type="pct"/>
            <w:vMerge w:val="continue"/>
            <w:tcMar>
              <w:left w:w="28" w:type="dxa"/>
              <w:right w:w="28" w:type="dxa"/>
            </w:tcMar>
            <w:vAlign w:val="center"/>
          </w:tcPr>
          <w:p w14:paraId="3342ABB6">
            <w:pPr>
              <w:pStyle w:val="278"/>
              <w:adjustRightInd w:val="0"/>
              <w:snapToGrid w:val="0"/>
              <w:spacing w:line="280" w:lineRule="exact"/>
              <w:rPr>
                <w:rFonts w:hint="eastAsia"/>
              </w:rPr>
            </w:pPr>
          </w:p>
        </w:tc>
        <w:tc>
          <w:tcPr>
            <w:tcW w:w="1974" w:type="pct"/>
            <w:gridSpan w:val="2"/>
            <w:tcMar>
              <w:left w:w="28" w:type="dxa"/>
              <w:right w:w="28" w:type="dxa"/>
            </w:tcMar>
            <w:vAlign w:val="center"/>
          </w:tcPr>
          <w:p w14:paraId="1FC22F00">
            <w:pPr>
              <w:pStyle w:val="278"/>
              <w:adjustRightInd w:val="0"/>
              <w:snapToGrid w:val="0"/>
              <w:spacing w:line="280" w:lineRule="exact"/>
              <w:rPr>
                <w:rFonts w:hint="eastAsia"/>
              </w:rPr>
            </w:pPr>
            <w:r>
              <w:rPr>
                <w:rFonts w:hint="eastAsia"/>
              </w:rPr>
              <w:t>管线管沟开挖时</w:t>
            </w:r>
            <w:r>
              <w:rPr>
                <w:rFonts w:hint="eastAsia"/>
                <w:spacing w:val="-6"/>
              </w:rPr>
              <w:t>产生的土方</w:t>
            </w:r>
            <w:r>
              <w:t>，</w:t>
            </w:r>
            <w:r>
              <w:rPr>
                <w:rFonts w:hint="eastAsia"/>
                <w:spacing w:val="-6"/>
              </w:rPr>
              <w:t>采用</w:t>
            </w:r>
            <w:r>
              <w:rPr>
                <w:rFonts w:hint="eastAsia"/>
              </w:rPr>
              <w:t>防尘布（或网）进行苫盖。</w:t>
            </w:r>
          </w:p>
        </w:tc>
        <w:tc>
          <w:tcPr>
            <w:tcW w:w="1152" w:type="pct"/>
            <w:gridSpan w:val="2"/>
            <w:tcMar>
              <w:left w:w="28" w:type="dxa"/>
              <w:right w:w="28" w:type="dxa"/>
            </w:tcMar>
            <w:vAlign w:val="center"/>
          </w:tcPr>
          <w:p w14:paraId="7791CA38">
            <w:pPr>
              <w:pStyle w:val="278"/>
              <w:adjustRightInd w:val="0"/>
              <w:snapToGrid w:val="0"/>
              <w:spacing w:line="280" w:lineRule="exact"/>
              <w:rPr>
                <w:rFonts w:hint="eastAsia"/>
              </w:rPr>
            </w:pPr>
            <w:r>
              <w:rPr>
                <w:rFonts w:hint="eastAsia"/>
              </w:rPr>
              <w:t>临时土方苫盖情况</w:t>
            </w:r>
          </w:p>
        </w:tc>
      </w:tr>
      <w:tr w14:paraId="50C75EB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continue"/>
            <w:tcMar>
              <w:left w:w="28" w:type="dxa"/>
              <w:right w:w="28" w:type="dxa"/>
            </w:tcMar>
            <w:vAlign w:val="center"/>
          </w:tcPr>
          <w:p w14:paraId="21DABF06">
            <w:pPr>
              <w:pStyle w:val="278"/>
              <w:adjustRightInd w:val="0"/>
              <w:snapToGrid w:val="0"/>
              <w:spacing w:line="280" w:lineRule="exact"/>
              <w:rPr>
                <w:rFonts w:hint="eastAsia"/>
              </w:rPr>
            </w:pPr>
          </w:p>
        </w:tc>
        <w:tc>
          <w:tcPr>
            <w:tcW w:w="506" w:type="pct"/>
            <w:vMerge w:val="continue"/>
            <w:tcBorders>
              <w:left w:val="single" w:color="auto" w:sz="4" w:space="0"/>
            </w:tcBorders>
            <w:vAlign w:val="center"/>
          </w:tcPr>
          <w:p w14:paraId="5FDF1156">
            <w:pPr>
              <w:pStyle w:val="278"/>
              <w:adjustRightInd w:val="0"/>
              <w:snapToGrid w:val="0"/>
              <w:spacing w:line="280" w:lineRule="exact"/>
              <w:rPr>
                <w:rFonts w:hint="eastAsia"/>
              </w:rPr>
            </w:pPr>
          </w:p>
        </w:tc>
        <w:tc>
          <w:tcPr>
            <w:tcW w:w="557" w:type="pct"/>
            <w:vMerge w:val="continue"/>
            <w:tcMar>
              <w:left w:w="28" w:type="dxa"/>
              <w:right w:w="28" w:type="dxa"/>
            </w:tcMar>
            <w:vAlign w:val="center"/>
          </w:tcPr>
          <w:p w14:paraId="0BA8E703">
            <w:pPr>
              <w:pStyle w:val="278"/>
              <w:adjustRightInd w:val="0"/>
              <w:snapToGrid w:val="0"/>
              <w:spacing w:line="280" w:lineRule="exact"/>
              <w:rPr>
                <w:rFonts w:hint="eastAsia"/>
              </w:rPr>
            </w:pPr>
          </w:p>
        </w:tc>
        <w:tc>
          <w:tcPr>
            <w:tcW w:w="456" w:type="pct"/>
            <w:vMerge w:val="continue"/>
            <w:tcMar>
              <w:left w:w="28" w:type="dxa"/>
              <w:right w:w="28" w:type="dxa"/>
            </w:tcMar>
            <w:vAlign w:val="center"/>
          </w:tcPr>
          <w:p w14:paraId="69B31E9A">
            <w:pPr>
              <w:pStyle w:val="278"/>
              <w:adjustRightInd w:val="0"/>
              <w:snapToGrid w:val="0"/>
              <w:spacing w:line="280" w:lineRule="exact"/>
              <w:rPr>
                <w:rFonts w:hint="eastAsia"/>
              </w:rPr>
            </w:pPr>
          </w:p>
        </w:tc>
        <w:tc>
          <w:tcPr>
            <w:tcW w:w="1974" w:type="pct"/>
            <w:gridSpan w:val="2"/>
            <w:tcMar>
              <w:left w:w="28" w:type="dxa"/>
              <w:right w:w="28" w:type="dxa"/>
            </w:tcMar>
            <w:vAlign w:val="center"/>
          </w:tcPr>
          <w:p w14:paraId="17A9E2D9">
            <w:pPr>
              <w:pStyle w:val="278"/>
              <w:adjustRightInd w:val="0"/>
              <w:snapToGrid w:val="0"/>
              <w:spacing w:line="280" w:lineRule="exact"/>
              <w:rPr>
                <w:rFonts w:hint="eastAsia"/>
              </w:rPr>
            </w:pPr>
            <w:r>
              <w:rPr>
                <w:rFonts w:hint="eastAsia"/>
              </w:rPr>
              <w:t>施工结束后对场地进行清理、平整</w:t>
            </w:r>
          </w:p>
        </w:tc>
        <w:tc>
          <w:tcPr>
            <w:tcW w:w="1152" w:type="pct"/>
            <w:gridSpan w:val="2"/>
            <w:tcMar>
              <w:left w:w="28" w:type="dxa"/>
              <w:right w:w="28" w:type="dxa"/>
            </w:tcMar>
            <w:vAlign w:val="center"/>
          </w:tcPr>
          <w:p w14:paraId="6B705DB2">
            <w:pPr>
              <w:pStyle w:val="278"/>
              <w:adjustRightInd w:val="0"/>
              <w:snapToGrid w:val="0"/>
              <w:spacing w:line="280" w:lineRule="exact"/>
              <w:rPr>
                <w:rFonts w:hint="eastAsia"/>
              </w:rPr>
            </w:pPr>
            <w:r>
              <w:rPr>
                <w:rFonts w:hint="eastAsia"/>
              </w:rPr>
              <w:t>管线沿线平整情况</w:t>
            </w:r>
          </w:p>
        </w:tc>
      </w:tr>
      <w:tr w14:paraId="60EA21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continue"/>
            <w:tcMar>
              <w:left w:w="28" w:type="dxa"/>
              <w:right w:w="28" w:type="dxa"/>
            </w:tcMar>
            <w:vAlign w:val="center"/>
          </w:tcPr>
          <w:p w14:paraId="0B895F6F">
            <w:pPr>
              <w:pStyle w:val="278"/>
              <w:adjustRightInd w:val="0"/>
              <w:snapToGrid w:val="0"/>
              <w:spacing w:line="280" w:lineRule="exact"/>
              <w:rPr>
                <w:rFonts w:hint="eastAsia"/>
              </w:rPr>
            </w:pPr>
          </w:p>
        </w:tc>
        <w:tc>
          <w:tcPr>
            <w:tcW w:w="506" w:type="pct"/>
            <w:vMerge w:val="continue"/>
            <w:tcBorders>
              <w:left w:val="single" w:color="auto" w:sz="4" w:space="0"/>
            </w:tcBorders>
            <w:vAlign w:val="center"/>
          </w:tcPr>
          <w:p w14:paraId="301EEDB5">
            <w:pPr>
              <w:pStyle w:val="278"/>
              <w:adjustRightInd w:val="0"/>
              <w:snapToGrid w:val="0"/>
              <w:spacing w:line="280" w:lineRule="exact"/>
              <w:rPr>
                <w:rFonts w:hint="eastAsia"/>
              </w:rPr>
            </w:pPr>
          </w:p>
        </w:tc>
        <w:tc>
          <w:tcPr>
            <w:tcW w:w="557" w:type="pct"/>
            <w:vMerge w:val="continue"/>
            <w:tcMar>
              <w:left w:w="28" w:type="dxa"/>
              <w:right w:w="28" w:type="dxa"/>
            </w:tcMar>
            <w:vAlign w:val="center"/>
          </w:tcPr>
          <w:p w14:paraId="2D91FE10">
            <w:pPr>
              <w:pStyle w:val="278"/>
              <w:adjustRightInd w:val="0"/>
              <w:snapToGrid w:val="0"/>
              <w:spacing w:line="280" w:lineRule="exact"/>
              <w:rPr>
                <w:rFonts w:hint="eastAsia"/>
              </w:rPr>
            </w:pPr>
          </w:p>
        </w:tc>
        <w:tc>
          <w:tcPr>
            <w:tcW w:w="456" w:type="pct"/>
            <w:vMerge w:val="continue"/>
            <w:tcMar>
              <w:left w:w="28" w:type="dxa"/>
              <w:right w:w="28" w:type="dxa"/>
            </w:tcMar>
            <w:vAlign w:val="center"/>
          </w:tcPr>
          <w:p w14:paraId="54CC8653">
            <w:pPr>
              <w:pStyle w:val="278"/>
              <w:adjustRightInd w:val="0"/>
              <w:snapToGrid w:val="0"/>
              <w:spacing w:line="280" w:lineRule="exact"/>
              <w:rPr>
                <w:rFonts w:hint="eastAsia"/>
              </w:rPr>
            </w:pPr>
          </w:p>
        </w:tc>
        <w:tc>
          <w:tcPr>
            <w:tcW w:w="1974" w:type="pct"/>
            <w:gridSpan w:val="2"/>
            <w:tcMar>
              <w:left w:w="28" w:type="dxa"/>
              <w:right w:w="28" w:type="dxa"/>
            </w:tcMar>
            <w:vAlign w:val="center"/>
          </w:tcPr>
          <w:p w14:paraId="454A082D">
            <w:pPr>
              <w:pStyle w:val="278"/>
              <w:adjustRightInd w:val="0"/>
              <w:snapToGrid w:val="0"/>
              <w:spacing w:line="280" w:lineRule="exact"/>
              <w:rPr>
                <w:rFonts w:hint="eastAsia"/>
              </w:rPr>
            </w:pPr>
            <w:r>
              <w:rPr>
                <w:rFonts w:hint="eastAsia"/>
              </w:rPr>
              <w:t>按正式征地文件进行经济补偿</w:t>
            </w:r>
          </w:p>
        </w:tc>
        <w:tc>
          <w:tcPr>
            <w:tcW w:w="1152" w:type="pct"/>
            <w:gridSpan w:val="2"/>
            <w:tcMar>
              <w:left w:w="28" w:type="dxa"/>
              <w:right w:w="28" w:type="dxa"/>
            </w:tcMar>
            <w:vAlign w:val="center"/>
          </w:tcPr>
          <w:p w14:paraId="44288103">
            <w:pPr>
              <w:pStyle w:val="278"/>
              <w:adjustRightInd w:val="0"/>
              <w:snapToGrid w:val="0"/>
              <w:spacing w:line="280" w:lineRule="exact"/>
              <w:rPr>
                <w:rFonts w:hint="eastAsia"/>
              </w:rPr>
            </w:pPr>
            <w:r>
              <w:rPr>
                <w:rFonts w:hint="eastAsia"/>
              </w:rPr>
              <w:t>是否按征地文件进行经济补偿</w:t>
            </w:r>
          </w:p>
        </w:tc>
      </w:tr>
      <w:tr w14:paraId="52A02C4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vMerge w:val="continue"/>
            <w:tcMar>
              <w:left w:w="28" w:type="dxa"/>
              <w:right w:w="28" w:type="dxa"/>
            </w:tcMar>
            <w:vAlign w:val="center"/>
          </w:tcPr>
          <w:p w14:paraId="111B2F5D">
            <w:pPr>
              <w:pStyle w:val="278"/>
              <w:adjustRightInd w:val="0"/>
              <w:snapToGrid w:val="0"/>
              <w:spacing w:line="280" w:lineRule="exact"/>
              <w:rPr>
                <w:rFonts w:hint="eastAsia"/>
              </w:rPr>
            </w:pPr>
          </w:p>
        </w:tc>
        <w:tc>
          <w:tcPr>
            <w:tcW w:w="506" w:type="pct"/>
            <w:vMerge w:val="continue"/>
            <w:tcBorders>
              <w:left w:val="single" w:color="auto" w:sz="4" w:space="0"/>
            </w:tcBorders>
            <w:vAlign w:val="center"/>
          </w:tcPr>
          <w:p w14:paraId="5AF4AEC4">
            <w:pPr>
              <w:pStyle w:val="278"/>
              <w:adjustRightInd w:val="0"/>
              <w:snapToGrid w:val="0"/>
              <w:spacing w:line="280" w:lineRule="exact"/>
              <w:rPr>
                <w:rFonts w:hint="eastAsia"/>
              </w:rPr>
            </w:pPr>
          </w:p>
        </w:tc>
        <w:tc>
          <w:tcPr>
            <w:tcW w:w="557" w:type="pct"/>
            <w:vMerge w:val="continue"/>
            <w:tcMar>
              <w:left w:w="28" w:type="dxa"/>
              <w:right w:w="28" w:type="dxa"/>
            </w:tcMar>
            <w:vAlign w:val="center"/>
          </w:tcPr>
          <w:p w14:paraId="77E186F1">
            <w:pPr>
              <w:pStyle w:val="278"/>
              <w:adjustRightInd w:val="0"/>
              <w:snapToGrid w:val="0"/>
              <w:spacing w:line="280" w:lineRule="exact"/>
              <w:rPr>
                <w:rFonts w:hint="eastAsia"/>
              </w:rPr>
            </w:pPr>
          </w:p>
        </w:tc>
        <w:tc>
          <w:tcPr>
            <w:tcW w:w="456" w:type="pct"/>
            <w:vMerge w:val="continue"/>
            <w:tcMar>
              <w:left w:w="28" w:type="dxa"/>
              <w:right w:w="28" w:type="dxa"/>
            </w:tcMar>
            <w:vAlign w:val="center"/>
          </w:tcPr>
          <w:p w14:paraId="2202C16A">
            <w:pPr>
              <w:pStyle w:val="278"/>
              <w:adjustRightInd w:val="0"/>
              <w:snapToGrid w:val="0"/>
              <w:spacing w:line="280" w:lineRule="exact"/>
              <w:rPr>
                <w:rFonts w:hint="eastAsia"/>
              </w:rPr>
            </w:pPr>
          </w:p>
        </w:tc>
        <w:tc>
          <w:tcPr>
            <w:tcW w:w="1974" w:type="pct"/>
            <w:gridSpan w:val="2"/>
            <w:tcMar>
              <w:left w:w="28" w:type="dxa"/>
              <w:right w:w="28" w:type="dxa"/>
            </w:tcMar>
            <w:vAlign w:val="center"/>
          </w:tcPr>
          <w:p w14:paraId="5EC2CEB5">
            <w:pPr>
              <w:pStyle w:val="278"/>
              <w:adjustRightInd w:val="0"/>
              <w:snapToGrid w:val="0"/>
              <w:spacing w:line="280" w:lineRule="exact"/>
              <w:rPr>
                <w:rFonts w:hint="eastAsia"/>
              </w:rPr>
            </w:pPr>
            <w:r>
              <w:rPr>
                <w:rFonts w:hint="eastAsia"/>
              </w:rPr>
              <w:t>临时占地范围的植被主要依靠自然恢复</w:t>
            </w:r>
          </w:p>
        </w:tc>
        <w:tc>
          <w:tcPr>
            <w:tcW w:w="1152" w:type="pct"/>
            <w:gridSpan w:val="2"/>
            <w:tcMar>
              <w:left w:w="28" w:type="dxa"/>
              <w:right w:w="28" w:type="dxa"/>
            </w:tcMar>
            <w:vAlign w:val="center"/>
          </w:tcPr>
          <w:p w14:paraId="7280CF5E">
            <w:pPr>
              <w:pStyle w:val="278"/>
              <w:adjustRightInd w:val="0"/>
              <w:snapToGrid w:val="0"/>
              <w:spacing w:line="280" w:lineRule="exact"/>
              <w:rPr>
                <w:rFonts w:hint="eastAsia"/>
              </w:rPr>
            </w:pPr>
            <w:r>
              <w:rPr>
                <w:rFonts w:hint="eastAsia"/>
              </w:rPr>
              <w:t>管线等临时占地范围内及周边自然植被恢复情况</w:t>
            </w:r>
          </w:p>
        </w:tc>
      </w:tr>
      <w:tr w14:paraId="5CC1B3C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tcMar>
              <w:left w:w="28" w:type="dxa"/>
              <w:right w:w="28" w:type="dxa"/>
            </w:tcMar>
            <w:vAlign w:val="center"/>
          </w:tcPr>
          <w:p w14:paraId="117E7C0B">
            <w:pPr>
              <w:pStyle w:val="278"/>
              <w:adjustRightInd w:val="0"/>
              <w:snapToGrid w:val="0"/>
              <w:spacing w:line="280" w:lineRule="exact"/>
              <w:rPr>
                <w:rFonts w:hint="eastAsia"/>
              </w:rPr>
            </w:pPr>
            <w:r>
              <w:rPr>
                <w:rFonts w:hint="eastAsia"/>
              </w:rPr>
              <w:t>防渗措施</w:t>
            </w:r>
          </w:p>
        </w:tc>
        <w:tc>
          <w:tcPr>
            <w:tcW w:w="4645" w:type="pct"/>
            <w:gridSpan w:val="7"/>
            <w:tcBorders>
              <w:left w:val="single" w:color="auto" w:sz="4" w:space="0"/>
            </w:tcBorders>
            <w:vAlign w:val="center"/>
          </w:tcPr>
          <w:p w14:paraId="2393160D">
            <w:pPr>
              <w:pStyle w:val="278"/>
              <w:adjustRightInd w:val="0"/>
              <w:snapToGrid w:val="0"/>
              <w:spacing w:line="280" w:lineRule="exact"/>
              <w:rPr>
                <w:rFonts w:hint="eastAsia"/>
              </w:rPr>
            </w:pPr>
            <w:r>
              <w:rPr>
                <w:rFonts w:hint="eastAsia"/>
              </w:rPr>
              <w:t>井场和计量站的防渗措施</w:t>
            </w:r>
          </w:p>
        </w:tc>
      </w:tr>
      <w:tr w14:paraId="4867D5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284" w:hRule="atLeast"/>
          <w:jc w:val="center"/>
        </w:trPr>
        <w:tc>
          <w:tcPr>
            <w:tcW w:w="355" w:type="pct"/>
            <w:tcBorders>
              <w:right w:val="single" w:color="auto" w:sz="4" w:space="0"/>
            </w:tcBorders>
            <w:tcMar>
              <w:left w:w="28" w:type="dxa"/>
              <w:right w:w="28" w:type="dxa"/>
            </w:tcMar>
            <w:vAlign w:val="center"/>
          </w:tcPr>
          <w:p w14:paraId="65CF859E">
            <w:pPr>
              <w:pStyle w:val="278"/>
              <w:adjustRightInd w:val="0"/>
              <w:snapToGrid w:val="0"/>
              <w:spacing w:line="280" w:lineRule="exact"/>
              <w:rPr>
                <w:rFonts w:hint="eastAsia"/>
              </w:rPr>
            </w:pPr>
            <w:r>
              <w:rPr>
                <w:rFonts w:hint="eastAsia"/>
              </w:rPr>
              <w:t>环境管理</w:t>
            </w:r>
          </w:p>
        </w:tc>
        <w:tc>
          <w:tcPr>
            <w:tcW w:w="4645" w:type="pct"/>
            <w:gridSpan w:val="7"/>
            <w:tcBorders>
              <w:left w:val="single" w:color="auto" w:sz="4" w:space="0"/>
            </w:tcBorders>
            <w:vAlign w:val="center"/>
          </w:tcPr>
          <w:p w14:paraId="6545F8D4">
            <w:pPr>
              <w:pStyle w:val="278"/>
              <w:adjustRightInd w:val="0"/>
              <w:snapToGrid w:val="0"/>
              <w:spacing w:line="280" w:lineRule="exact"/>
              <w:rPr>
                <w:rFonts w:hint="eastAsia"/>
                <w:spacing w:val="-4"/>
              </w:rPr>
            </w:pPr>
            <w:r>
              <w:rPr>
                <w:rFonts w:hint="eastAsia"/>
                <w:spacing w:val="-4"/>
              </w:rPr>
              <w:t>环境管理制度是否建立并完善，环保机构及人员是否设置到位；施工期是否有环境监理报告或施工环保检查记录，是否保留必要的影像资料</w:t>
            </w:r>
          </w:p>
        </w:tc>
      </w:tr>
      <w:bookmarkEnd w:id="785"/>
      <w:bookmarkEnd w:id="786"/>
      <w:bookmarkEnd w:id="787"/>
    </w:tbl>
    <w:p w14:paraId="452107B3">
      <w:pPr>
        <w:pStyle w:val="117"/>
        <w:ind w:firstLine="0" w:firstLineChars="0"/>
        <w:rPr>
          <w:rFonts w:hint="eastAsia"/>
        </w:rPr>
        <w:sectPr>
          <w:pgSz w:w="16838" w:h="11906" w:orient="landscape"/>
          <w:pgMar w:top="1588" w:right="1418" w:bottom="1588" w:left="1418" w:header="1020" w:footer="1020" w:gutter="0"/>
          <w:cols w:space="720" w:num="1"/>
          <w:docGrid w:type="lines" w:linePitch="312" w:charSpace="0"/>
        </w:sectPr>
      </w:pPr>
    </w:p>
    <w:p w14:paraId="0111CB5A">
      <w:pPr>
        <w:pStyle w:val="3"/>
        <w:rPr>
          <w:rFonts w:hint="eastAsia"/>
        </w:rPr>
      </w:pPr>
      <w:bookmarkStart w:id="789" w:name="_Toc160382114"/>
      <w:r>
        <w:t>环境影响经济损益分析</w:t>
      </w:r>
      <w:bookmarkEnd w:id="789"/>
    </w:p>
    <w:p w14:paraId="22B2E9B4">
      <w:pPr>
        <w:pStyle w:val="2"/>
        <w:rPr>
          <w:rFonts w:hint="eastAsia"/>
        </w:rPr>
      </w:pPr>
      <w:bookmarkStart w:id="790" w:name="_Toc160382115"/>
      <w:r>
        <w:rPr>
          <w:rFonts w:hint="eastAsia"/>
        </w:rPr>
        <w:t>环境社会效益分析</w:t>
      </w:r>
      <w:bookmarkEnd w:id="790"/>
    </w:p>
    <w:p w14:paraId="44BC6619">
      <w:pPr>
        <w:pStyle w:val="4"/>
        <w:rPr>
          <w:rFonts w:hint="eastAsia"/>
        </w:rPr>
      </w:pPr>
      <w:bookmarkStart w:id="791" w:name="_Toc445996515"/>
      <w:bookmarkStart w:id="792" w:name="_Toc445842208"/>
      <w:bookmarkStart w:id="793" w:name="_Toc26611"/>
      <w:r>
        <w:t>环境效益分析</w:t>
      </w:r>
      <w:bookmarkEnd w:id="791"/>
      <w:bookmarkEnd w:id="792"/>
      <w:bookmarkEnd w:id="793"/>
    </w:p>
    <w:p w14:paraId="0AA5ABE8">
      <w:pPr>
        <w:pStyle w:val="117"/>
        <w:ind w:firstLine="480"/>
        <w:rPr>
          <w:rFonts w:hint="eastAsia"/>
        </w:rPr>
      </w:pPr>
      <w:r>
        <w:rPr>
          <w:rFonts w:hint="eastAsia"/>
        </w:rPr>
        <w:t>项目开发建设对环境造成的损失主要表现在：工程占地造成的环境损失，突发事故污染造成的环境损失和其它环境损失。</w:t>
      </w:r>
    </w:p>
    <w:p w14:paraId="10C0A4C6">
      <w:pPr>
        <w:pStyle w:val="117"/>
        <w:ind w:firstLine="480"/>
        <w:rPr>
          <w:rFonts w:hint="eastAsia"/>
        </w:rPr>
      </w:pPr>
      <w:r>
        <w:rPr>
          <w:rFonts w:hint="eastAsia"/>
        </w:rPr>
        <w:t>占地主要为井场、计量站、管线等工程占地，对生态环境的影响包括破坏原有地表构造，使地表裸露，加剧水土流失。但在加强施工管理和采取生态恢复措施后，对生态环境的影响是可以接受的。</w:t>
      </w:r>
    </w:p>
    <w:p w14:paraId="7E857EBF">
      <w:pPr>
        <w:pStyle w:val="117"/>
        <w:ind w:firstLine="480"/>
        <w:rPr>
          <w:rFonts w:hint="eastAsia"/>
        </w:rPr>
      </w:pPr>
      <w:r>
        <w:rPr>
          <w:rFonts w:hint="eastAsia"/>
        </w:rPr>
        <w:t>本项目施工期较短，施工“三废”和噪声影响较小；</w:t>
      </w:r>
      <w:r>
        <w:t>在初期的3～5年内，植被破坏后不易恢复</w:t>
      </w:r>
      <w:r>
        <w:rPr>
          <w:rFonts w:hint="eastAsia"/>
        </w:rPr>
        <w:t>，</w:t>
      </w:r>
      <w:r>
        <w:t>当临时性占地的植被得到初步恢复后，这种损失将会逐渐减少</w:t>
      </w:r>
      <w:r>
        <w:rPr>
          <w:rFonts w:hint="eastAsia"/>
        </w:rPr>
        <w:t>；</w:t>
      </w:r>
      <w:r>
        <w:t>施工期的各种污染物排放均属于短期污染，会随着施工期的结束而消失</w:t>
      </w:r>
      <w:r>
        <w:rPr>
          <w:rFonts w:hint="eastAsia"/>
        </w:rPr>
        <w:t>，</w:t>
      </w:r>
      <w:r>
        <w:t>不会对周边环境产生影响。</w:t>
      </w:r>
      <w:r>
        <w:rPr>
          <w:rFonts w:hint="eastAsia"/>
        </w:rPr>
        <w:t>运营期废气、噪声均可实现达标排放，废水及固体废物均可实现妥善处置，正常情况下不会对周围环境产生明显影响。</w:t>
      </w:r>
    </w:p>
    <w:p w14:paraId="625C534E">
      <w:pPr>
        <w:pStyle w:val="117"/>
        <w:ind w:firstLine="480"/>
        <w:rPr>
          <w:rFonts w:hint="eastAsia"/>
        </w:rPr>
      </w:pPr>
      <w:r>
        <w:rPr>
          <w:rFonts w:hint="eastAsia"/>
        </w:rPr>
        <w:t>本项目建成投产后，对该地区的资源开发、经济结构的优化及其它相关产业的带动发展都具有非常重要的意义。</w:t>
      </w:r>
    </w:p>
    <w:p w14:paraId="0AF4C329">
      <w:pPr>
        <w:pStyle w:val="4"/>
        <w:rPr>
          <w:rFonts w:hint="eastAsia"/>
        </w:rPr>
      </w:pPr>
      <w:bookmarkStart w:id="794" w:name="_Toc116"/>
      <w:bookmarkStart w:id="795" w:name="_Toc445996516"/>
      <w:bookmarkStart w:id="796" w:name="_Toc445842209"/>
      <w:r>
        <w:t>社会</w:t>
      </w:r>
      <w:r>
        <w:rPr>
          <w:rFonts w:hint="eastAsia"/>
        </w:rPr>
        <w:t>经济</w:t>
      </w:r>
      <w:r>
        <w:t>效益分析</w:t>
      </w:r>
      <w:bookmarkEnd w:id="794"/>
      <w:bookmarkEnd w:id="795"/>
      <w:bookmarkEnd w:id="796"/>
    </w:p>
    <w:p w14:paraId="6AEFBDFB">
      <w:pPr>
        <w:pStyle w:val="117"/>
        <w:ind w:firstLine="480"/>
        <w:rPr>
          <w:rFonts w:hint="eastAsia"/>
        </w:rPr>
      </w:pPr>
      <w:r>
        <w:t>本项目开发的社会效益主要体现在</w:t>
      </w:r>
      <w:r>
        <w:rPr>
          <w:rFonts w:hint="eastAsia"/>
        </w:rPr>
        <w:t>油田</w:t>
      </w:r>
      <w:r>
        <w:t>开发对当地工业和经济的发展</w:t>
      </w:r>
      <w:r>
        <w:rPr>
          <w:rFonts w:hint="eastAsia"/>
        </w:rPr>
        <w:t>以及人民生活水平的提高</w:t>
      </w:r>
      <w:r>
        <w:t>具有明显的促进作用，能够带动一批相关工业、第三产业的发展，给当地经济发展注入新的活力。</w:t>
      </w:r>
      <w:r>
        <w:rPr>
          <w:rFonts w:hint="eastAsia"/>
        </w:rPr>
        <w:t>油田开发</w:t>
      </w:r>
      <w:r>
        <w:t>是支持</w:t>
      </w:r>
      <w:r>
        <w:rPr>
          <w:rFonts w:hint="eastAsia"/>
        </w:rPr>
        <w:t>当地</w:t>
      </w:r>
      <w:r>
        <w:t>经济发展的一项重大举措</w:t>
      </w:r>
      <w:r>
        <w:rPr>
          <w:rFonts w:hint="eastAsia"/>
        </w:rPr>
        <w:t>，</w:t>
      </w:r>
      <w:r>
        <w:t>对于提供就业机会，增加部分人员收入，</w:t>
      </w:r>
      <w:r>
        <w:rPr>
          <w:rFonts w:hint="eastAsia"/>
        </w:rPr>
        <w:t>提高当地的GDP，</w:t>
      </w:r>
      <w:r>
        <w:t>提高当地</w:t>
      </w:r>
      <w:r>
        <w:rPr>
          <w:rFonts w:hint="eastAsia"/>
        </w:rPr>
        <w:t>税收</w:t>
      </w:r>
      <w:r>
        <w:t>有着积极的作用。</w:t>
      </w:r>
    </w:p>
    <w:p w14:paraId="0A5827F8">
      <w:pPr>
        <w:pStyle w:val="2"/>
        <w:rPr>
          <w:rFonts w:hint="eastAsia"/>
        </w:rPr>
      </w:pPr>
      <w:bookmarkStart w:id="797" w:name="_Toc468307966"/>
      <w:bookmarkStart w:id="798" w:name="_Toc471933683"/>
      <w:bookmarkStart w:id="799" w:name="_Toc16528"/>
      <w:bookmarkStart w:id="800" w:name="_Toc445829836"/>
      <w:bookmarkStart w:id="801" w:name="_Toc1312"/>
      <w:bookmarkStart w:id="802" w:name="_Toc459026614"/>
      <w:bookmarkStart w:id="803" w:name="_Toc445840446"/>
      <w:bookmarkStart w:id="804" w:name="_Toc445842210"/>
      <w:bookmarkStart w:id="805" w:name="_Toc5988"/>
      <w:bookmarkStart w:id="806" w:name="_Toc445996517"/>
      <w:bookmarkStart w:id="807" w:name="_Toc448413638"/>
      <w:bookmarkStart w:id="808" w:name="_Toc160382116"/>
      <w:r>
        <w:t>环境经济损益分析结论</w:t>
      </w:r>
      <w:bookmarkEnd w:id="797"/>
      <w:bookmarkEnd w:id="798"/>
      <w:bookmarkEnd w:id="799"/>
      <w:bookmarkEnd w:id="800"/>
      <w:bookmarkEnd w:id="801"/>
      <w:bookmarkEnd w:id="802"/>
      <w:bookmarkEnd w:id="803"/>
      <w:bookmarkEnd w:id="804"/>
      <w:bookmarkEnd w:id="805"/>
      <w:bookmarkEnd w:id="806"/>
      <w:bookmarkEnd w:id="807"/>
      <w:bookmarkEnd w:id="808"/>
    </w:p>
    <w:p w14:paraId="73020A37">
      <w:pPr>
        <w:pStyle w:val="117"/>
        <w:ind w:firstLine="480"/>
        <w:rPr>
          <w:rFonts w:hint="eastAsia"/>
        </w:rPr>
      </w:pPr>
      <w:r>
        <w:rPr>
          <w:rFonts w:hint="eastAsia"/>
        </w:rPr>
        <w:t>综上所述，</w:t>
      </w:r>
      <w:bookmarkStart w:id="809" w:name="_Hlk482045515"/>
      <w:r>
        <w:rPr>
          <w:rFonts w:hint="eastAsia"/>
        </w:rPr>
        <w:t>在建设过程中，由于工程占地会带来一定的环境损失。因而在油田开发过程中，需要投入必要的资金用于污染防治和生态恢复等，实施相应的环保措施后，不但能够起到保护环境的效果，同时节约经济开支，为企业带来双赢。</w:t>
      </w:r>
      <w:bookmarkEnd w:id="809"/>
    </w:p>
    <w:p w14:paraId="304ED7DE">
      <w:pPr>
        <w:pStyle w:val="3"/>
        <w:rPr>
          <w:rFonts w:hint="eastAsia"/>
        </w:rPr>
      </w:pPr>
      <w:r>
        <w:br w:type="page"/>
      </w:r>
      <w:bookmarkStart w:id="810" w:name="_Toc160382117"/>
      <w:r>
        <w:rPr>
          <w:rFonts w:hint="eastAsia"/>
        </w:rPr>
        <w:t>环境影响评价结论</w:t>
      </w:r>
      <w:bookmarkEnd w:id="810"/>
    </w:p>
    <w:p w14:paraId="5BBC2B1A">
      <w:pPr>
        <w:pStyle w:val="2"/>
        <w:rPr>
          <w:rFonts w:hint="eastAsia"/>
        </w:rPr>
      </w:pPr>
      <w:bookmarkStart w:id="811" w:name="_Toc160382118"/>
      <w:r>
        <w:rPr>
          <w:rFonts w:hint="eastAsia"/>
        </w:rPr>
        <w:t>建设项目概况</w:t>
      </w:r>
      <w:bookmarkEnd w:id="811"/>
    </w:p>
    <w:p w14:paraId="06B30CA6">
      <w:pPr>
        <w:widowControl/>
        <w:adjustRightInd w:val="0"/>
        <w:snapToGrid w:val="0"/>
        <w:spacing w:line="500" w:lineRule="exact"/>
        <w:ind w:firstLine="480" w:firstLineChars="200"/>
        <w:rPr>
          <w:rFonts w:hint="eastAsia" w:ascii="宋体" w:hAnsi="宋体"/>
          <w:kern w:val="0"/>
          <w:sz w:val="24"/>
          <w:szCs w:val="24"/>
        </w:rPr>
      </w:pPr>
      <w:bookmarkStart w:id="812" w:name="_Hlk481486445"/>
      <w:r>
        <w:rPr>
          <w:rFonts w:hint="eastAsia" w:ascii="宋体" w:hAnsi="宋体"/>
          <w:kern w:val="0"/>
          <w:sz w:val="24"/>
          <w:szCs w:val="24"/>
        </w:rPr>
        <w:t>拟在J10031-吉179井区部署5口采油井，本次分为两期建设，一期工程建设时段为2024年至2025年，二期工程建设时间为2026年。</w:t>
      </w:r>
    </w:p>
    <w:p w14:paraId="1DF8F6AD">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kern w:val="0"/>
          <w:sz w:val="24"/>
          <w:szCs w:val="24"/>
        </w:rPr>
        <w:t>一期建设内容为新钻5口采油井，合计钻井进尺为27593m；新建5座采油井口装置、5井式采油平台1座（5口采油井位于同一井场内）、单井采油管线0.5km、采油平台计量拉油站1座（站内设5座拉油方罐、1座生产分离器和1座放空火炬、1座3m</w:t>
      </w:r>
      <w:r>
        <w:rPr>
          <w:rFonts w:hint="eastAsia" w:ascii="宋体" w:hAnsi="宋体"/>
          <w:kern w:val="0"/>
          <w:sz w:val="24"/>
          <w:szCs w:val="24"/>
          <w:vertAlign w:val="superscript"/>
        </w:rPr>
        <w:t>3</w:t>
      </w:r>
      <w:r>
        <w:rPr>
          <w:rFonts w:hint="eastAsia" w:ascii="宋体" w:hAnsi="宋体"/>
          <w:kern w:val="0"/>
          <w:sz w:val="24"/>
          <w:szCs w:val="24"/>
        </w:rPr>
        <w:t>除硫加药装置、1座10m</w:t>
      </w:r>
      <w:r>
        <w:rPr>
          <w:rFonts w:hint="eastAsia" w:ascii="宋体" w:hAnsi="宋体"/>
          <w:kern w:val="0"/>
          <w:sz w:val="24"/>
          <w:szCs w:val="24"/>
          <w:vertAlign w:val="superscript"/>
        </w:rPr>
        <w:t>3</w:t>
      </w:r>
      <w:r>
        <w:rPr>
          <w:rFonts w:hint="eastAsia" w:ascii="宋体" w:hAnsi="宋体"/>
          <w:kern w:val="0"/>
          <w:sz w:val="24"/>
          <w:szCs w:val="24"/>
        </w:rPr>
        <w:t>除硫加药装置），并配套建设供配电、仪表自动化、给排水、道路、消防等公辅工程。</w:t>
      </w:r>
    </w:p>
    <w:p w14:paraId="731C116D">
      <w:pPr>
        <w:widowControl/>
        <w:adjustRightInd w:val="0"/>
        <w:snapToGrid w:val="0"/>
        <w:spacing w:line="500" w:lineRule="exact"/>
        <w:ind w:firstLine="480" w:firstLineChars="200"/>
        <w:rPr>
          <w:rFonts w:hint="eastAsia" w:ascii="宋体" w:hAnsi="宋体"/>
          <w:kern w:val="0"/>
          <w:sz w:val="24"/>
          <w:szCs w:val="24"/>
        </w:rPr>
      </w:pPr>
      <w:r>
        <w:rPr>
          <w:rFonts w:hint="eastAsia" w:ascii="宋体" w:hAnsi="宋体"/>
          <w:kern w:val="0"/>
          <w:sz w:val="24"/>
          <w:szCs w:val="24"/>
        </w:rPr>
        <w:t>二期建设内容为：新建计量站至及已建阀室的集油干线6km，一期建设的采油平台计量拉油站更名为采油平台计量站，拆除一期建设的生产分离器、拉油方罐和放空火炬，将集中拉油生产改为管线密闭集输生产。</w:t>
      </w:r>
    </w:p>
    <w:p w14:paraId="4D7B9637">
      <w:pPr>
        <w:widowControl/>
        <w:adjustRightInd w:val="0"/>
        <w:snapToGrid w:val="0"/>
        <w:spacing w:line="500" w:lineRule="exact"/>
        <w:ind w:firstLine="480" w:firstLineChars="200"/>
        <w:rPr>
          <w:rFonts w:hint="eastAsia" w:ascii="宋体" w:hAnsi="宋体"/>
          <w:kern w:val="0"/>
          <w:sz w:val="24"/>
          <w:szCs w:val="24"/>
        </w:rPr>
      </w:pPr>
      <w:bookmarkStart w:id="813" w:name="OLE_LINK396"/>
      <w:r>
        <w:rPr>
          <w:rFonts w:hint="eastAsia" w:ascii="宋体" w:hAnsi="宋体"/>
          <w:kern w:val="0"/>
          <w:sz w:val="24"/>
          <w:szCs w:val="24"/>
        </w:rPr>
        <w:t>项目总投资18884万元，环保投资约</w:t>
      </w:r>
      <w:r>
        <w:rPr>
          <w:rFonts w:ascii="宋体" w:hAnsi="宋体"/>
          <w:kern w:val="0"/>
          <w:sz w:val="24"/>
          <w:szCs w:val="24"/>
        </w:rPr>
        <w:t>459</w:t>
      </w:r>
      <w:r>
        <w:rPr>
          <w:rFonts w:hint="eastAsia" w:ascii="宋体" w:hAnsi="宋体"/>
          <w:kern w:val="0"/>
          <w:sz w:val="24"/>
          <w:szCs w:val="24"/>
        </w:rPr>
        <w:t>万元，占总投资的</w:t>
      </w:r>
      <w:r>
        <w:rPr>
          <w:rFonts w:ascii="宋体" w:hAnsi="宋体"/>
          <w:kern w:val="0"/>
          <w:sz w:val="24"/>
          <w:szCs w:val="24"/>
        </w:rPr>
        <w:t>2.43%</w:t>
      </w:r>
      <w:r>
        <w:rPr>
          <w:rFonts w:hint="eastAsia" w:ascii="宋体" w:hAnsi="宋体"/>
          <w:kern w:val="0"/>
          <w:sz w:val="24"/>
          <w:szCs w:val="24"/>
        </w:rPr>
        <w:t>。</w:t>
      </w:r>
    </w:p>
    <w:bookmarkEnd w:id="812"/>
    <w:bookmarkEnd w:id="813"/>
    <w:p w14:paraId="73828E02">
      <w:pPr>
        <w:pStyle w:val="2"/>
        <w:rPr>
          <w:rFonts w:hint="eastAsia"/>
        </w:rPr>
      </w:pPr>
      <w:bookmarkStart w:id="814" w:name="_Toc160382119"/>
      <w:bookmarkStart w:id="815" w:name="_Toc1709"/>
      <w:bookmarkStart w:id="816" w:name="_Toc445996539"/>
      <w:bookmarkStart w:id="817" w:name="_Toc445842227"/>
      <w:r>
        <w:t>环境质量现状</w:t>
      </w:r>
      <w:bookmarkEnd w:id="814"/>
      <w:bookmarkEnd w:id="815"/>
      <w:bookmarkEnd w:id="816"/>
      <w:bookmarkEnd w:id="817"/>
    </w:p>
    <w:p w14:paraId="728EDC1C">
      <w:pPr>
        <w:pStyle w:val="117"/>
        <w:ind w:firstLine="480"/>
        <w:rPr>
          <w:rFonts w:hint="eastAsia"/>
        </w:rPr>
      </w:pPr>
      <w:r>
        <w:t>（1）环境空气</w:t>
      </w:r>
    </w:p>
    <w:p w14:paraId="6D9F01E6">
      <w:pPr>
        <w:spacing w:line="480" w:lineRule="exact"/>
        <w:ind w:firstLine="480" w:firstLineChars="200"/>
        <w:contextualSpacing/>
        <w:jc w:val="left"/>
        <w:rPr>
          <w:rFonts w:hint="eastAsia" w:ascii="宋体" w:hAnsi="宋体"/>
          <w:sz w:val="24"/>
          <w:szCs w:val="24"/>
        </w:rPr>
      </w:pPr>
      <w:r>
        <w:rPr>
          <w:rFonts w:hint="eastAsia" w:ascii="宋体" w:hAnsi="宋体"/>
          <w:sz w:val="24"/>
          <w:szCs w:val="24"/>
        </w:rPr>
        <w:t>项目区环境空气质量基本污染物中除了</w:t>
      </w:r>
      <w:r>
        <w:rPr>
          <w:rFonts w:ascii="宋体" w:hAnsi="宋体"/>
          <w:sz w:val="24"/>
          <w:szCs w:val="24"/>
        </w:rPr>
        <w:t>PM</w:t>
      </w:r>
      <w:r>
        <w:rPr>
          <w:rFonts w:ascii="宋体" w:hAnsi="宋体"/>
          <w:sz w:val="24"/>
          <w:szCs w:val="24"/>
          <w:vertAlign w:val="subscript"/>
        </w:rPr>
        <w:t>2.5</w:t>
      </w:r>
      <w:r>
        <w:rPr>
          <w:rFonts w:ascii="宋体" w:hAnsi="宋体"/>
          <w:sz w:val="24"/>
          <w:szCs w:val="24"/>
        </w:rPr>
        <w:t>、PM</w:t>
      </w:r>
      <w:r>
        <w:rPr>
          <w:rFonts w:ascii="宋体" w:hAnsi="宋体"/>
          <w:sz w:val="24"/>
          <w:szCs w:val="24"/>
          <w:vertAlign w:val="subscript"/>
        </w:rPr>
        <w:t>10</w:t>
      </w:r>
      <w:r>
        <w:rPr>
          <w:rFonts w:hint="eastAsia" w:ascii="宋体" w:hAnsi="宋体"/>
          <w:sz w:val="24"/>
          <w:szCs w:val="24"/>
        </w:rPr>
        <w:t>超标外，其余监测因子均满足《环境空气质量标准》（G</w:t>
      </w:r>
      <w:r>
        <w:rPr>
          <w:rFonts w:ascii="宋体" w:hAnsi="宋体"/>
          <w:sz w:val="24"/>
          <w:szCs w:val="24"/>
        </w:rPr>
        <w:t>B3095-2012）</w:t>
      </w:r>
      <w:r>
        <w:rPr>
          <w:rFonts w:hint="eastAsia" w:ascii="宋体" w:hAnsi="宋体"/>
          <w:sz w:val="24"/>
          <w:szCs w:val="24"/>
        </w:rPr>
        <w:t>中的二级标准限值要求，超标原因主要与当地风沙季有一定的原因；NMHC满足《&lt;大气污染物综合排放标准&gt;详解》中推荐值2.0mg/m</w:t>
      </w:r>
      <w:r>
        <w:rPr>
          <w:rFonts w:hint="eastAsia" w:ascii="宋体" w:hAnsi="宋体"/>
          <w:sz w:val="24"/>
          <w:szCs w:val="24"/>
          <w:vertAlign w:val="superscript"/>
        </w:rPr>
        <w:t>3</w:t>
      </w:r>
      <w:r>
        <w:rPr>
          <w:rFonts w:hint="eastAsia" w:ascii="宋体" w:hAnsi="宋体"/>
          <w:sz w:val="24"/>
          <w:szCs w:val="24"/>
        </w:rPr>
        <w:t>要求，H</w:t>
      </w:r>
      <w:r>
        <w:rPr>
          <w:rFonts w:hint="eastAsia" w:ascii="宋体" w:hAnsi="宋体"/>
          <w:sz w:val="24"/>
          <w:szCs w:val="24"/>
          <w:vertAlign w:val="subscript"/>
        </w:rPr>
        <w:t>2</w:t>
      </w:r>
      <w:r>
        <w:rPr>
          <w:rFonts w:hint="eastAsia" w:ascii="宋体" w:hAnsi="宋体"/>
          <w:sz w:val="24"/>
          <w:szCs w:val="24"/>
        </w:rPr>
        <w:t>S监测浓度满足《环境影响评价技术导则大气环境》（</w:t>
      </w:r>
      <w:r>
        <w:rPr>
          <w:rFonts w:ascii="宋体" w:hAnsi="宋体"/>
          <w:sz w:val="24"/>
          <w:szCs w:val="24"/>
        </w:rPr>
        <w:t>HJ2.2-2018）附录D中</w:t>
      </w:r>
      <w:r>
        <w:rPr>
          <w:rFonts w:hint="eastAsia" w:ascii="宋体" w:hAnsi="宋体"/>
          <w:sz w:val="24"/>
          <w:szCs w:val="24"/>
        </w:rPr>
        <w:t>推荐值要求。</w:t>
      </w:r>
    </w:p>
    <w:p w14:paraId="0818CBC5">
      <w:pPr>
        <w:pStyle w:val="117"/>
        <w:ind w:firstLine="480"/>
        <w:rPr>
          <w:rFonts w:hint="eastAsia"/>
        </w:rPr>
      </w:pPr>
      <w:r>
        <w:rPr>
          <w:rFonts w:hint="eastAsia"/>
        </w:rPr>
        <w:t>（</w:t>
      </w:r>
      <w:r>
        <w:t>2</w:t>
      </w:r>
      <w:r>
        <w:rPr>
          <w:rFonts w:hint="eastAsia"/>
        </w:rPr>
        <w:t>）</w:t>
      </w:r>
      <w:r>
        <w:t>地下水</w:t>
      </w:r>
    </w:p>
    <w:p w14:paraId="7B34AE02">
      <w:pPr>
        <w:pStyle w:val="117"/>
        <w:ind w:firstLine="480"/>
        <w:rPr>
          <w:rFonts w:hint="eastAsia"/>
        </w:rPr>
      </w:pPr>
      <w:r>
        <w:rPr>
          <w:rFonts w:hint="eastAsia"/>
        </w:rPr>
        <w:t>地下水各监测因子中石油类满足《地表水环境质量标准》（GB3838-2002）中的Ⅲ类标准限值，其余各点、各监测因子均可满足《地下水质量标准》（GB/T14848-2017）Ⅲ类标准。</w:t>
      </w:r>
    </w:p>
    <w:p w14:paraId="5C26102F">
      <w:pPr>
        <w:pStyle w:val="117"/>
        <w:ind w:firstLine="480"/>
        <w:rPr>
          <w:rFonts w:hint="eastAsia"/>
        </w:rPr>
      </w:pPr>
      <w:r>
        <w:t>（3）声环境</w:t>
      </w:r>
    </w:p>
    <w:p w14:paraId="3B47C4F3">
      <w:pPr>
        <w:pStyle w:val="117"/>
        <w:ind w:firstLine="480"/>
        <w:rPr>
          <w:rFonts w:hint="eastAsia"/>
        </w:rPr>
      </w:pPr>
      <w:r>
        <w:t>各噪声监测点位均满足《声环境质量标准》（GB3096-2008）2类声功能区标准限值。</w:t>
      </w:r>
    </w:p>
    <w:p w14:paraId="4B5B6B01">
      <w:pPr>
        <w:pStyle w:val="117"/>
        <w:ind w:firstLine="480"/>
        <w:rPr>
          <w:rFonts w:hint="eastAsia"/>
          <w:bCs/>
        </w:rPr>
      </w:pPr>
      <w:r>
        <w:rPr>
          <w:rFonts w:hint="eastAsia"/>
          <w:bCs/>
        </w:rPr>
        <w:t>（</w:t>
      </w:r>
      <w:r>
        <w:rPr>
          <w:bCs/>
        </w:rPr>
        <w:t>4</w:t>
      </w:r>
      <w:r>
        <w:rPr>
          <w:rFonts w:hint="eastAsia"/>
          <w:bCs/>
        </w:rPr>
        <w:t>）土壤</w:t>
      </w:r>
    </w:p>
    <w:p w14:paraId="54F9ED95">
      <w:pPr>
        <w:pStyle w:val="117"/>
        <w:ind w:firstLine="480"/>
        <w:rPr>
          <w:rFonts w:hint="eastAsia"/>
        </w:rPr>
      </w:pPr>
      <w:r>
        <w:rPr>
          <w:rFonts w:hint="eastAsia"/>
        </w:rPr>
        <w:t>占地范围内土壤各监测因子和占地范围外各监测点石油烃、六价铬和挥发性、半挥发性有机物的监测浓度均满足《土壤环境质量  建设用地土壤污染风险管控标准（试行）》（GB36600-2018）中第二类用地筛选值要求，占地范围外各监测点的重金属及无机物监测浓度满足《土壤环境质量 农用地土壤污染风险管控标准（试行）》（GB15618-2018）。</w:t>
      </w:r>
    </w:p>
    <w:p w14:paraId="5A939F90">
      <w:pPr>
        <w:pStyle w:val="2"/>
        <w:rPr>
          <w:rFonts w:hint="eastAsia"/>
        </w:rPr>
      </w:pPr>
      <w:bookmarkStart w:id="818" w:name="_Toc160382120"/>
      <w:bookmarkStart w:id="819" w:name="_Toc445842228"/>
      <w:bookmarkStart w:id="820" w:name="_Toc445996540"/>
      <w:bookmarkStart w:id="821" w:name="_Toc13052"/>
      <w:r>
        <w:rPr>
          <w:rFonts w:hint="eastAsia"/>
        </w:rPr>
        <w:t>主要环境影响及环保措施</w:t>
      </w:r>
      <w:bookmarkEnd w:id="818"/>
    </w:p>
    <w:p w14:paraId="6C5D30B3">
      <w:pPr>
        <w:pStyle w:val="4"/>
        <w:rPr>
          <w:rFonts w:hint="eastAsia"/>
        </w:rPr>
      </w:pPr>
      <w:r>
        <w:rPr>
          <w:rFonts w:hint="eastAsia"/>
        </w:rPr>
        <w:t>主要环境影响</w:t>
      </w:r>
    </w:p>
    <w:p w14:paraId="4E22379D">
      <w:pPr>
        <w:pStyle w:val="117"/>
        <w:ind w:firstLine="480"/>
        <w:rPr>
          <w:rFonts w:hint="eastAsia"/>
        </w:rPr>
      </w:pPr>
      <w:r>
        <w:t>（1）生态环境</w:t>
      </w:r>
    </w:p>
    <w:p w14:paraId="11BC7427">
      <w:pPr>
        <w:pStyle w:val="191"/>
        <w:ind w:firstLine="480"/>
        <w:rPr>
          <w:rStyle w:val="190"/>
          <w:rFonts w:hint="eastAsia"/>
        </w:rPr>
      </w:pPr>
      <w:r>
        <w:rPr>
          <w:rFonts w:hint="eastAsia"/>
        </w:rPr>
        <w:t>对生态环境的影响主要表现在工程占地，</w:t>
      </w:r>
      <w:r>
        <w:t>施工活动和工程占地对植物、野生动物</w:t>
      </w:r>
      <w:r>
        <w:rPr>
          <w:rFonts w:hint="eastAsia"/>
        </w:rPr>
        <w:t>、生态系统功能和结构</w:t>
      </w:r>
      <w:r>
        <w:t>等各生态要素产生不同程度的影响，同时也对原有景观结构和生态系统产生一定程度影响。</w:t>
      </w:r>
      <w:r>
        <w:rPr>
          <w:rFonts w:hint="eastAsia"/>
        </w:rPr>
        <w:t>油</w:t>
      </w:r>
      <w:r>
        <w:t>田开发的大部分区域地表植被稀疏，由工程造成的生物量损失较小，不会造成区域的生物多样性下降。由于本区域的野生动物种类少，项目</w:t>
      </w:r>
      <w:r>
        <w:rPr>
          <w:rFonts w:hint="eastAsia"/>
        </w:rPr>
        <w:t>建设</w:t>
      </w:r>
      <w:r>
        <w:t>对野生动物的影响较小。因此总体上</w:t>
      </w:r>
      <w:r>
        <w:rPr>
          <w:rStyle w:val="190"/>
          <w:rFonts w:hint="eastAsia"/>
        </w:rPr>
        <w:t>对生态环境影响较小。</w:t>
      </w:r>
    </w:p>
    <w:p w14:paraId="05C0C826">
      <w:pPr>
        <w:pStyle w:val="191"/>
        <w:ind w:firstLine="480"/>
        <w:rPr>
          <w:rStyle w:val="190"/>
          <w:rFonts w:hint="eastAsia"/>
        </w:rPr>
      </w:pPr>
      <w:r>
        <w:rPr>
          <w:rStyle w:val="190"/>
          <w:rFonts w:hint="eastAsia"/>
        </w:rPr>
        <w:t>（2）大气环境</w:t>
      </w:r>
    </w:p>
    <w:p w14:paraId="4FCB1453">
      <w:pPr>
        <w:pStyle w:val="191"/>
        <w:ind w:firstLine="480"/>
        <w:rPr>
          <w:rStyle w:val="190"/>
          <w:rFonts w:hint="eastAsia"/>
        </w:rPr>
      </w:pPr>
      <w:r>
        <w:rPr>
          <w:rStyle w:val="190"/>
          <w:rFonts w:hint="eastAsia"/>
        </w:rPr>
        <w:t>施工期废气主要为</w:t>
      </w:r>
      <w:r>
        <w:rPr>
          <w:rStyle w:val="190"/>
          <w:rFonts w:hint="eastAsia"/>
          <w:lang w:val="zh-CN"/>
        </w:rPr>
        <w:t>扬尘、</w:t>
      </w:r>
      <w:r>
        <w:rPr>
          <w:rStyle w:val="190"/>
          <w:rFonts w:hint="eastAsia"/>
        </w:rPr>
        <w:t>施工机械及</w:t>
      </w:r>
      <w:r>
        <w:rPr>
          <w:rStyle w:val="190"/>
          <w:rFonts w:hint="eastAsia"/>
          <w:lang w:val="zh-CN"/>
        </w:rPr>
        <w:t>车辆尾气等</w:t>
      </w:r>
      <w:r>
        <w:rPr>
          <w:rStyle w:val="190"/>
          <w:rFonts w:hint="eastAsia"/>
        </w:rPr>
        <w:t>，施工期短暂，</w:t>
      </w:r>
      <w:r>
        <w:rPr>
          <w:rStyle w:val="190"/>
          <w:rFonts w:hint="eastAsia"/>
          <w:lang w:val="zh-CN"/>
        </w:rPr>
        <w:t>施工期的废气污染随施工的结束而消失</w:t>
      </w:r>
      <w:r>
        <w:rPr>
          <w:rStyle w:val="190"/>
          <w:rFonts w:hint="eastAsia"/>
        </w:rPr>
        <w:t>。运营期废气主要为无组织挥发烃类和硫化氢，</w:t>
      </w:r>
      <w:bookmarkStart w:id="822" w:name="_Hlk80532764"/>
      <w:r>
        <w:rPr>
          <w:rStyle w:val="190"/>
          <w:rFonts w:hint="eastAsia"/>
        </w:rPr>
        <w:t>采油平台和计量站厂界</w:t>
      </w:r>
      <w:bookmarkEnd w:id="822"/>
      <w:r>
        <w:rPr>
          <w:rFonts w:hint="eastAsia"/>
        </w:rPr>
        <w:t>无组织非甲烷总烃排放浓度满足《陆上石油天然气开采工业大气污染物排放标准》（GB39728—2020）企业边界污染物控制要求，硫化氢排放浓度满足《恶臭污染物排放标准》（GB14554-93）表1二级新改扩建浓度</w:t>
      </w:r>
      <w:r>
        <w:rPr>
          <w:rStyle w:val="190"/>
          <w:rFonts w:hint="eastAsia"/>
        </w:rPr>
        <w:t>；项目区地域空旷，各污染物预测贡献值较低，运营期对区域大气环境的影响可以保持在环境可接受的范围之内。</w:t>
      </w:r>
    </w:p>
    <w:p w14:paraId="3CD788AC">
      <w:pPr>
        <w:pStyle w:val="117"/>
        <w:ind w:firstLine="480"/>
        <w:rPr>
          <w:rFonts w:hint="eastAsia"/>
        </w:rPr>
      </w:pPr>
      <w:r>
        <w:t>（</w:t>
      </w:r>
      <w:r>
        <w:rPr>
          <w:rFonts w:hint="eastAsia"/>
        </w:rPr>
        <w:t>3</w:t>
      </w:r>
      <w:r>
        <w:t>）水环境</w:t>
      </w:r>
    </w:p>
    <w:p w14:paraId="33A30421">
      <w:pPr>
        <w:pStyle w:val="117"/>
        <w:ind w:firstLine="480"/>
        <w:rPr>
          <w:rFonts w:hint="eastAsia"/>
        </w:rPr>
      </w:pPr>
      <w:r>
        <w:rPr>
          <w:rFonts w:hint="eastAsia"/>
        </w:rPr>
        <w:t>施工期废水主要为管道试压废水、混凝土养护废水、压裂返排液和生活污水。管道试压采用清水试压，管道试压废水产生量较小，主要污染物为悬浮物，</w:t>
      </w:r>
      <w:r>
        <w:rPr>
          <w:rFonts w:hint="eastAsia"/>
          <w:szCs w:val="22"/>
          <w:lang w:bidi="ar"/>
        </w:rPr>
        <w:t>试压结束后，用于项目区洒水抑尘，混凝土养护废水用于项目区洒水抑尘，压裂返排液送至压裂返排液处理装置处理达标后用于压裂液复配，生活污水送至吉木萨尔县生活污水处理厂处理。运营期洗井废水和井下作业废液由罐车拉运至页岩油联合站外的压裂返排液处理装置，</w:t>
      </w:r>
      <w:r>
        <w:rPr>
          <w:rFonts w:hint="eastAsia"/>
        </w:rPr>
        <w:t>出水水质满足</w:t>
      </w:r>
      <w:bookmarkStart w:id="823" w:name="OLE_LINK134"/>
      <w:r>
        <w:rPr>
          <w:rFonts w:hint="eastAsia"/>
          <w:lang w:val="zh-CN"/>
        </w:rPr>
        <w:t>《压裂酸化返排液处理技术规范》（Q/SY02012-2016）</w:t>
      </w:r>
      <w:bookmarkEnd w:id="823"/>
      <w:r>
        <w:rPr>
          <w:rFonts w:hint="eastAsia"/>
          <w:lang w:val="zh-CN"/>
        </w:rPr>
        <w:t>中的相关要求</w:t>
      </w:r>
      <w:r>
        <w:rPr>
          <w:rFonts w:hint="eastAsia"/>
          <w:szCs w:val="22"/>
          <w:lang w:bidi="ar"/>
        </w:rPr>
        <w:t>后用于压裂液的复配</w:t>
      </w:r>
      <w:r>
        <w:rPr>
          <w:rFonts w:hint="eastAsia"/>
        </w:rPr>
        <w:t>；各类废水均得到妥善处置，</w:t>
      </w:r>
      <w:r>
        <w:rPr>
          <w:rFonts w:hint="eastAsia" w:cs="宋体"/>
          <w:lang w:bidi="ar"/>
        </w:rPr>
        <w:t>正常情况下不会对周围水环境产生明显影响。</w:t>
      </w:r>
    </w:p>
    <w:p w14:paraId="0FE23112">
      <w:pPr>
        <w:pStyle w:val="117"/>
        <w:ind w:firstLine="480"/>
        <w:rPr>
          <w:rFonts w:hint="eastAsia"/>
        </w:rPr>
      </w:pPr>
      <w:r>
        <w:rPr>
          <w:rFonts w:hint="eastAsia"/>
        </w:rPr>
        <w:t>事故状态下对地下水的污染主要为集油干支线泄漏，泄漏是以点源形式污染地下水，其污染迁移途径为地表以下的包气带和含水层。事故发生后，及时采取相应的措施，不会对地下水环境产生明显影响。</w:t>
      </w:r>
    </w:p>
    <w:p w14:paraId="73813329">
      <w:pPr>
        <w:pStyle w:val="117"/>
        <w:ind w:firstLine="480"/>
        <w:rPr>
          <w:rFonts w:hint="eastAsia"/>
        </w:rPr>
      </w:pPr>
      <w:r>
        <w:t>（</w:t>
      </w:r>
      <w:r>
        <w:rPr>
          <w:rFonts w:hint="eastAsia"/>
        </w:rPr>
        <w:t>4</w:t>
      </w:r>
      <w:r>
        <w:t>）</w:t>
      </w:r>
      <w:r>
        <w:rPr>
          <w:rFonts w:hint="eastAsia"/>
        </w:rPr>
        <w:t>噪声</w:t>
      </w:r>
    </w:p>
    <w:p w14:paraId="3E94B1DE">
      <w:pPr>
        <w:pStyle w:val="117"/>
        <w:ind w:firstLine="480"/>
        <w:rPr>
          <w:rFonts w:hint="eastAsia"/>
        </w:rPr>
      </w:pPr>
      <w:r>
        <w:rPr>
          <w:rFonts w:hint="eastAsia"/>
        </w:rPr>
        <w:t>施工期</w:t>
      </w:r>
      <w:r>
        <w:t>噪声</w:t>
      </w:r>
      <w:r>
        <w:rPr>
          <w:rFonts w:hint="eastAsia"/>
        </w:rPr>
        <w:t>源主要为施工机械和施工车辆，施工短暂</w:t>
      </w:r>
      <w:r>
        <w:t>，只对局部环境造成影响，待施工结束后这种影响也随之消失，施工期噪声</w:t>
      </w:r>
      <w:r>
        <w:rPr>
          <w:rFonts w:hint="eastAsia"/>
        </w:rPr>
        <w:t>仅</w:t>
      </w:r>
      <w:r>
        <w:t>对施工人员产生影响</w:t>
      </w:r>
      <w:r>
        <w:rPr>
          <w:rFonts w:hint="eastAsia"/>
        </w:rPr>
        <w:t>；运营期噪声主要为各类机泵及巡检车辆等</w:t>
      </w:r>
      <w:r>
        <w:rPr>
          <w:rFonts w:hint="eastAsia" w:cs="宋体"/>
        </w:rPr>
        <w:t>，源强</w:t>
      </w:r>
      <w:r>
        <w:rPr>
          <w:rFonts w:cs="宋体"/>
        </w:rPr>
        <w:t>80</w:t>
      </w:r>
      <w:r>
        <w:rPr>
          <w:rFonts w:hint="eastAsia" w:cs="宋体"/>
        </w:rPr>
        <w:t>～</w:t>
      </w:r>
      <w:r>
        <w:rPr>
          <w:rFonts w:cs="宋体"/>
        </w:rPr>
        <w:t>95dB</w:t>
      </w:r>
      <w:r>
        <w:rPr>
          <w:rFonts w:hint="eastAsia" w:cs="宋体"/>
        </w:rPr>
        <w:t>（A）</w:t>
      </w:r>
      <w:r>
        <w:rPr>
          <w:rFonts w:hint="eastAsia"/>
        </w:rPr>
        <w:t>，根据预测采油平台厂界</w:t>
      </w:r>
      <w:r>
        <w:t>昼夜噪声均能满足《工业企业厂界环境噪声排放标准》（GB12348-2008）中的2类区标准</w:t>
      </w:r>
      <w:r>
        <w:rPr>
          <w:rFonts w:hint="eastAsia"/>
        </w:rPr>
        <w:t>要求</w:t>
      </w:r>
      <w:r>
        <w:t>。</w:t>
      </w:r>
      <w:r>
        <w:rPr>
          <w:rFonts w:hint="eastAsia"/>
        </w:rPr>
        <w:t>评价范围内</w:t>
      </w:r>
      <w:r>
        <w:t>无</w:t>
      </w:r>
      <w:r>
        <w:rPr>
          <w:rFonts w:hint="eastAsia"/>
        </w:rPr>
        <w:t>声环境敏感目标</w:t>
      </w:r>
      <w:r>
        <w:t>，</w:t>
      </w:r>
      <w:r>
        <w:rPr>
          <w:rFonts w:hint="eastAsia"/>
        </w:rPr>
        <w:t>不会出现扰民影响，对声</w:t>
      </w:r>
      <w:r>
        <w:t>环境</w:t>
      </w:r>
      <w:r>
        <w:rPr>
          <w:rFonts w:hint="eastAsia"/>
        </w:rPr>
        <w:t>质量影响不大</w:t>
      </w:r>
      <w:r>
        <w:t>。</w:t>
      </w:r>
    </w:p>
    <w:p w14:paraId="697862CB">
      <w:pPr>
        <w:pStyle w:val="117"/>
        <w:ind w:firstLine="480"/>
        <w:rPr>
          <w:rFonts w:hint="eastAsia"/>
        </w:rPr>
      </w:pPr>
      <w:r>
        <w:t>（5）固体废物</w:t>
      </w:r>
    </w:p>
    <w:p w14:paraId="4A72FB15">
      <w:pPr>
        <w:pStyle w:val="117"/>
        <w:ind w:firstLine="480"/>
        <w:rPr>
          <w:rFonts w:hint="eastAsia"/>
        </w:rPr>
      </w:pPr>
      <w:r>
        <w:rPr>
          <w:rFonts w:hint="eastAsia"/>
        </w:rPr>
        <w:t>施工产生的土石方全部回填，无弃方产生；固体废物主要为钻井岩屑、建筑垃圾、生活垃圾、废润滑油、废润滑油桶和沾油废防渗材料，水基岩屑交由岩屑处置单位处理，油基钻井岩屑、废润滑油、废润滑油桶和沾油废防渗材料交由岩屑处置单位处理，生活垃圾集中收集后送至吉木萨尔县生活垃圾填埋场处理，建筑垃圾集中收集后送至当地建筑垃圾填埋场进行填埋处理。运营期</w:t>
      </w:r>
      <w:r>
        <w:rPr>
          <w:rFonts w:hint="eastAsia" w:cs="宋体"/>
        </w:rPr>
        <w:t>固体废物主要为废脱硫剂包装物、清罐底泥、废润滑油、废润滑油桶、废含油抹布、劳保用品，废脱硫剂包装物由厂家回收利用，清罐底泥、废润滑油、废润滑油桶、废含油抹布、劳保用品属于危险废物，集中收集后交由有相应危险废物处理资质的单位回收处置；</w:t>
      </w:r>
      <w:r>
        <w:rPr>
          <w:rFonts w:hint="eastAsia"/>
        </w:rPr>
        <w:t>固体废物得到妥善处置</w:t>
      </w:r>
      <w:r>
        <w:t>，不会对区域环境造成不利影响</w:t>
      </w:r>
      <w:r>
        <w:rPr>
          <w:rFonts w:hint="eastAsia"/>
        </w:rPr>
        <w:t>。</w:t>
      </w:r>
    </w:p>
    <w:p w14:paraId="38173FB4">
      <w:pPr>
        <w:pStyle w:val="117"/>
        <w:ind w:firstLine="480"/>
        <w:rPr>
          <w:rFonts w:hint="eastAsia"/>
        </w:rPr>
      </w:pPr>
      <w:r>
        <w:rPr>
          <w:rFonts w:hint="eastAsia"/>
        </w:rPr>
        <w:t>（6）土壤环境</w:t>
      </w:r>
    </w:p>
    <w:p w14:paraId="6EF3A585">
      <w:pPr>
        <w:pStyle w:val="117"/>
        <w:ind w:firstLine="480"/>
        <w:rPr>
          <w:rFonts w:hint="eastAsia"/>
        </w:rPr>
      </w:pPr>
      <w:r>
        <w:rPr>
          <w:rFonts w:hint="eastAsia"/>
        </w:rPr>
        <w:t>施工期按规定的施工范围进行作业，可有效减少土壤扰动，建筑垃圾及时清运，可避免污染物进入土壤环境造成污染。运营期加强废水和固体废物管理，采油平台、计量站采用砾石铺垫，加强站场设备、阀门、法兰、管线的巡检</w:t>
      </w:r>
      <w:r>
        <w:t>，</w:t>
      </w:r>
      <w:r>
        <w:rPr>
          <w:rFonts w:hint="eastAsia"/>
        </w:rPr>
        <w:t>避免因</w:t>
      </w:r>
      <w:r>
        <w:t>“跑、冒、滴、漏”</w:t>
      </w:r>
      <w:r>
        <w:rPr>
          <w:rFonts w:hint="eastAsia"/>
        </w:rPr>
        <w:t>或泄漏事故发生造成原油进入土壤，发生泄漏事故时应</w:t>
      </w:r>
      <w:r>
        <w:t>及时清理落地油，</w:t>
      </w:r>
      <w:r>
        <w:rPr>
          <w:rFonts w:hint="eastAsia"/>
        </w:rPr>
        <w:t>受浸染的土壤交由具备相应危废处理资质的单位进行回收处置，可</w:t>
      </w:r>
      <w:r>
        <w:t>降低</w:t>
      </w:r>
      <w:r>
        <w:rPr>
          <w:rFonts w:hint="eastAsia"/>
        </w:rPr>
        <w:t>对</w:t>
      </w:r>
      <w:r>
        <w:t>土壤</w:t>
      </w:r>
      <w:r>
        <w:rPr>
          <w:rFonts w:hint="eastAsia"/>
        </w:rPr>
        <w:t>环境质量的影响程度</w:t>
      </w:r>
      <w:r>
        <w:t>。</w:t>
      </w:r>
    </w:p>
    <w:p w14:paraId="1421C3F3">
      <w:pPr>
        <w:pStyle w:val="117"/>
        <w:ind w:firstLine="480"/>
        <w:rPr>
          <w:rFonts w:hint="eastAsia"/>
        </w:rPr>
      </w:pPr>
      <w:r>
        <w:t>（7）环境风险</w:t>
      </w:r>
    </w:p>
    <w:bookmarkEnd w:id="819"/>
    <w:bookmarkEnd w:id="820"/>
    <w:bookmarkEnd w:id="821"/>
    <w:p w14:paraId="6E66F2A7">
      <w:pPr>
        <w:pStyle w:val="117"/>
        <w:ind w:firstLine="480"/>
        <w:rPr>
          <w:rFonts w:hint="eastAsia"/>
          <w:lang w:val="zh-CN"/>
        </w:rPr>
      </w:pPr>
      <w:r>
        <w:rPr>
          <w:rFonts w:hint="eastAsia"/>
        </w:rPr>
        <w:t>施工期涉及的风险物质为柴油，运营期</w:t>
      </w:r>
      <w:r>
        <w:rPr>
          <w:rFonts w:hint="eastAsia"/>
          <w:lang w:val="zh-CN" w:bidi="ar"/>
        </w:rPr>
        <w:t>涉及的危险物质为</w:t>
      </w:r>
      <w:r>
        <w:rPr>
          <w:rFonts w:hint="eastAsia"/>
          <w:lang w:bidi="ar"/>
        </w:rPr>
        <w:t>原油</w:t>
      </w:r>
      <w:r>
        <w:rPr>
          <w:rFonts w:hint="eastAsia"/>
          <w:lang w:val="zh-CN" w:bidi="ar"/>
        </w:rPr>
        <w:t>和伴生气，</w:t>
      </w:r>
      <w:r>
        <w:rPr>
          <w:rFonts w:hint="eastAsia"/>
        </w:rPr>
        <w:t>风险潜势为Ⅰ，</w:t>
      </w:r>
      <w:r>
        <w:rPr>
          <w:rFonts w:hint="eastAsia"/>
          <w:lang w:val="zh-CN" w:bidi="ar"/>
        </w:rPr>
        <w:t>可能发生的风险事故类型主要包括原油泄漏事故和</w:t>
      </w:r>
      <w:r>
        <w:t>火灾</w:t>
      </w:r>
      <w:r>
        <w:rPr>
          <w:rFonts w:hint="eastAsia"/>
        </w:rPr>
        <w:t>、</w:t>
      </w:r>
      <w:r>
        <w:t>爆炸</w:t>
      </w:r>
      <w:r>
        <w:rPr>
          <w:rFonts w:hint="eastAsia"/>
        </w:rPr>
        <w:t>等引发的伴生/次生污染物排放。</w:t>
      </w:r>
      <w:r>
        <w:rPr>
          <w:rFonts w:hint="eastAsia"/>
          <w:lang w:val="zh-CN" w:bidi="ar"/>
        </w:rPr>
        <w:t>发生泄漏时，泄漏的油气对周围大气环境产生一定的影响，对土壤、地下水及植被影响较小，泄漏的原油对土壤、植被、地下水会产生一定的影响；</w:t>
      </w:r>
      <w:r>
        <w:rPr>
          <w:rFonts w:hint="eastAsia"/>
        </w:rPr>
        <w:t>包气带对石油类污染物的截留能力较强，泄漏事故发生时，及时、彻底清除泄漏油品、被污染的土壤，污染物不会进入地下水中，对地下水水质没有不良影响。</w:t>
      </w:r>
      <w:r>
        <w:rPr>
          <w:rFonts w:hint="eastAsia"/>
          <w:lang w:val="zh-CN" w:bidi="ar"/>
        </w:rPr>
        <w:t>发生事故后，在严格落实本报告提出的风险防范措施的前提下，不会对周围环境产生明显影响。</w:t>
      </w:r>
    </w:p>
    <w:p w14:paraId="7E77E567">
      <w:pPr>
        <w:pStyle w:val="4"/>
        <w:rPr>
          <w:rFonts w:hint="eastAsia"/>
        </w:rPr>
      </w:pPr>
      <w:bookmarkStart w:id="824" w:name="_Toc169342380"/>
      <w:bookmarkStart w:id="825" w:name="_Toc445842229"/>
      <w:bookmarkStart w:id="826" w:name="_Toc9849"/>
      <w:bookmarkStart w:id="827" w:name="_Toc445996541"/>
      <w:bookmarkStart w:id="828" w:name="_Toc146344873"/>
      <w:bookmarkStart w:id="829" w:name="_Toc149456097"/>
      <w:bookmarkStart w:id="830" w:name="_Hlk92205646"/>
      <w:r>
        <w:t>环境保护措施</w:t>
      </w:r>
      <w:bookmarkEnd w:id="824"/>
      <w:bookmarkEnd w:id="825"/>
      <w:bookmarkEnd w:id="826"/>
      <w:bookmarkEnd w:id="827"/>
      <w:bookmarkEnd w:id="828"/>
      <w:bookmarkEnd w:id="829"/>
    </w:p>
    <w:p w14:paraId="58A8A09E">
      <w:pPr>
        <w:pStyle w:val="117"/>
        <w:ind w:firstLine="480"/>
        <w:rPr>
          <w:rFonts w:hint="eastAsia"/>
        </w:rPr>
      </w:pPr>
      <w:r>
        <w:t>（1）</w:t>
      </w:r>
      <w:r>
        <w:rPr>
          <w:rFonts w:hint="eastAsia"/>
        </w:rPr>
        <w:t>生态环境</w:t>
      </w:r>
    </w:p>
    <w:p w14:paraId="5826C582">
      <w:pPr>
        <w:pStyle w:val="117"/>
        <w:ind w:firstLine="480" w:firstLineChars="0"/>
        <w:rPr>
          <w:rFonts w:hint="eastAsia"/>
        </w:rPr>
      </w:pPr>
      <w:r>
        <w:rPr>
          <w:rFonts w:hint="eastAsia" w:cs="宋体"/>
        </w:rPr>
        <w:t>合理规划永久占地和临时占地，井场尽量采用平台井方式布置，在保证正常施工和安全的前提下，严格控制临时占地面积，减少工程占地面积。单井采油管线和集油干支线选线过程中在满足设计需求的前提下，尽量避开植被密集区域；施工过程中尽量</w:t>
      </w:r>
      <w:r>
        <w:rPr>
          <w:rFonts w:hint="eastAsia" w:ascii="等线" w:hAnsi="等线"/>
        </w:rPr>
        <w:t>避免破坏野生植物，最大限度避免破坏野生动物的活动场所和生存环境</w:t>
      </w:r>
      <w:r>
        <w:rPr>
          <w:rFonts w:hint="eastAsia" w:cs="宋体"/>
        </w:rPr>
        <w:t>；施工结束后，站场采用砾石铺垫；管沟开挖分层开挖、分层堆放和分层回填</w:t>
      </w:r>
      <w:r>
        <w:rPr>
          <w:rFonts w:hint="eastAsia"/>
        </w:rPr>
        <w:t>；施工过程中严格规定车辆和各类工作人员的活动范围，使之限于在施工区范围内活动，不随意</w:t>
      </w:r>
      <w:r>
        <w:t>踩踏砍伐野生植被</w:t>
      </w:r>
      <w:r>
        <w:rPr>
          <w:rFonts w:hint="eastAsia"/>
        </w:rPr>
        <w:t>，尽量不侵扰野生动物的栖息地；施工结束后，及时对施工场地进行平整，以便后期自然恢复，并按相关规定对植被损失进行生态经济补偿；加强施工期环境监理。</w:t>
      </w:r>
    </w:p>
    <w:p w14:paraId="6273EC95">
      <w:pPr>
        <w:pStyle w:val="191"/>
        <w:ind w:firstLine="480"/>
        <w:rPr>
          <w:rStyle w:val="190"/>
          <w:rFonts w:hint="eastAsia"/>
        </w:rPr>
      </w:pPr>
      <w:r>
        <w:rPr>
          <w:rStyle w:val="190"/>
          <w:rFonts w:hint="eastAsia"/>
        </w:rPr>
        <w:t>（2）大气环境</w:t>
      </w:r>
    </w:p>
    <w:p w14:paraId="14480099">
      <w:pPr>
        <w:pStyle w:val="117"/>
        <w:ind w:firstLine="480"/>
        <w:rPr>
          <w:rFonts w:hint="eastAsia"/>
        </w:rPr>
      </w:pPr>
      <w:r>
        <w:rPr>
          <w:rFonts w:hint="eastAsia"/>
        </w:rPr>
        <w:t>定期对设备进行保养维护；合理规划运输道路线路，尽量利用油田现有的公路网，施工车辆严格按照规定线路行驶，严禁乱碾乱压。严禁在大风天气进行土方作业；逸散性材料运输采用苫布遮盖；优化施工组织，管线分段施工，缩短施工时间；施工结束后尽快对施工场地进行整理和平整，减少风蚀量。</w:t>
      </w:r>
    </w:p>
    <w:p w14:paraId="294BB9B6">
      <w:pPr>
        <w:spacing w:line="520" w:lineRule="exact"/>
        <w:ind w:firstLine="480" w:firstLineChars="200"/>
        <w:rPr>
          <w:rFonts w:hint="eastAsia" w:ascii="宋体" w:hAnsi="宋体"/>
          <w:sz w:val="24"/>
          <w:szCs w:val="24"/>
        </w:rPr>
      </w:pPr>
      <w:r>
        <w:rPr>
          <w:rFonts w:hint="eastAsia" w:ascii="宋体" w:hAnsi="宋体"/>
          <w:sz w:val="24"/>
          <w:szCs w:val="24"/>
        </w:rPr>
        <w:t>选用质量可靠的设备、仪表、阀门等，定期巡检，对站场的设备、阀门、法兰、管线等检查、检修，以防止跑、冒、漏现象的发生；井口设除硫加药装置，去除伴生气中的硫化氢。</w:t>
      </w:r>
    </w:p>
    <w:p w14:paraId="59204392">
      <w:pPr>
        <w:pStyle w:val="191"/>
        <w:ind w:firstLine="480"/>
        <w:rPr>
          <w:rStyle w:val="190"/>
          <w:rFonts w:hint="eastAsia"/>
        </w:rPr>
      </w:pPr>
      <w:r>
        <w:rPr>
          <w:rStyle w:val="190"/>
          <w:rFonts w:hint="eastAsia"/>
        </w:rPr>
        <w:t>（3）水环境</w:t>
      </w:r>
    </w:p>
    <w:p w14:paraId="69B681DE">
      <w:pPr>
        <w:pStyle w:val="117"/>
        <w:ind w:firstLine="480"/>
        <w:rPr>
          <w:rFonts w:hint="eastAsia"/>
        </w:rPr>
      </w:pPr>
      <w:r>
        <w:rPr>
          <w:rFonts w:hint="eastAsia"/>
        </w:rPr>
        <w:t>施工期废水主要为管道试压废水、混凝土养护废水、压裂返排液和生活污水。管道试压采用清水试压，管道试压废水产生量较小，主要污染物为悬浮物，</w:t>
      </w:r>
      <w:r>
        <w:rPr>
          <w:rFonts w:hint="eastAsia"/>
          <w:szCs w:val="22"/>
          <w:lang w:bidi="ar"/>
        </w:rPr>
        <w:t>试压结束后，用于项目区洒水抑尘，混凝土养护废水用于项目区洒水抑尘，压裂返排液送至压裂返排液处理装置处理，生活污水由协议处理单位送至吉木萨尔县生活污水处理厂处理。运营期洗井废水和井下作业废液由罐车拉运至页岩油联合站外的压裂返排液处理装置，</w:t>
      </w:r>
      <w:r>
        <w:rPr>
          <w:rFonts w:hint="eastAsia"/>
        </w:rPr>
        <w:t>出水水质满足</w:t>
      </w:r>
      <w:r>
        <w:rPr>
          <w:rFonts w:hint="eastAsia"/>
          <w:lang w:val="zh-CN"/>
        </w:rPr>
        <w:t>《压裂酸化返排液处理技术规范》（Q/SY02012-2016）中的相关要求</w:t>
      </w:r>
      <w:r>
        <w:rPr>
          <w:rFonts w:hint="eastAsia"/>
          <w:szCs w:val="22"/>
          <w:lang w:bidi="ar"/>
        </w:rPr>
        <w:t>后用于压裂液的复配</w:t>
      </w:r>
      <w:r>
        <w:rPr>
          <w:rFonts w:hint="eastAsia" w:cs="宋体"/>
          <w:lang w:bidi="ar"/>
        </w:rPr>
        <w:t>。</w:t>
      </w:r>
    </w:p>
    <w:p w14:paraId="6AEB2B9A">
      <w:pPr>
        <w:pStyle w:val="117"/>
        <w:spacing w:line="480" w:lineRule="exact"/>
        <w:ind w:firstLine="480"/>
        <w:rPr>
          <w:rFonts w:hint="eastAsia"/>
        </w:rPr>
      </w:pPr>
      <w:r>
        <w:rPr>
          <w:rFonts w:hint="eastAsia"/>
        </w:rPr>
        <w:t>（4）噪声</w:t>
      </w:r>
    </w:p>
    <w:p w14:paraId="5AF49D58">
      <w:pPr>
        <w:pStyle w:val="117"/>
        <w:ind w:firstLine="480"/>
        <w:rPr>
          <w:rFonts w:hint="eastAsia"/>
        </w:rPr>
      </w:pPr>
      <w:r>
        <w:rPr>
          <w:rFonts w:hint="eastAsia"/>
        </w:rPr>
        <w:t>施工期设备选型上采用低噪声的设备，施工设备要经常检查维修，对噪声</w:t>
      </w:r>
      <w:r>
        <w:t>较大的设备采取</w:t>
      </w:r>
      <w:r>
        <w:rPr>
          <w:rFonts w:hint="eastAsia"/>
        </w:rPr>
        <w:t>基础减震措施；</w:t>
      </w:r>
      <w:r>
        <w:rPr>
          <w:rFonts w:hint="eastAsia"/>
          <w:spacing w:val="-6"/>
        </w:rPr>
        <w:t>加强施工场地管理，合理疏导进入施工区的车辆，禁止运输车辆随意鸣笛。</w:t>
      </w:r>
    </w:p>
    <w:p w14:paraId="7545101C">
      <w:pPr>
        <w:pStyle w:val="117"/>
        <w:ind w:firstLine="480"/>
        <w:rPr>
          <w:rFonts w:hint="eastAsia"/>
        </w:rPr>
      </w:pPr>
      <w:r>
        <w:rPr>
          <w:rFonts w:hint="eastAsia"/>
        </w:rPr>
        <w:t>运营期尽量选用低噪声设备，对噪声强度较大的设备进行减噪处理；定期给机泵等设备加润滑油和减振垫，对各种机械设备定期保养；加强噪声防范，做好个人防护工作。</w:t>
      </w:r>
    </w:p>
    <w:p w14:paraId="7587E586">
      <w:pPr>
        <w:pStyle w:val="117"/>
        <w:ind w:firstLine="480"/>
        <w:rPr>
          <w:rFonts w:hint="eastAsia"/>
        </w:rPr>
      </w:pPr>
      <w:r>
        <w:rPr>
          <w:rFonts w:hint="eastAsia"/>
        </w:rPr>
        <w:t>（5）固体废物</w:t>
      </w:r>
    </w:p>
    <w:p w14:paraId="797D407C">
      <w:pPr>
        <w:pStyle w:val="117"/>
        <w:ind w:firstLine="480" w:firstLineChars="0"/>
        <w:rPr>
          <w:rFonts w:hint="eastAsia" w:cs="宋体"/>
        </w:rPr>
      </w:pPr>
      <w:r>
        <w:rPr>
          <w:rFonts w:hint="eastAsia"/>
        </w:rPr>
        <w:t>固体废物主要为钻井岩屑、建筑垃圾、生活垃圾、废润滑油、废润滑油桶和沾油废防渗材料，水基岩屑交由岩屑处置单位处理，油基钻井岩屑、废润滑油、废润滑油桶和沾油废防渗材料交由岩屑处置单位处理，生活垃圾集中收集后送至吉木萨尔县生活垃圾填埋场处理，建筑垃圾集中收集后送至当地建筑垃圾填埋场进行填埋处理。运营期</w:t>
      </w:r>
      <w:r>
        <w:rPr>
          <w:rFonts w:hint="eastAsia" w:cs="宋体"/>
        </w:rPr>
        <w:t>固体废物主要为废脱硫剂包装物、清罐底泥、废润滑油、废润滑油桶、废含油抹布、劳保用品，废脱硫剂包装物由厂家回收利用，清罐底泥、废润滑油、废润滑油桶、废含油抹布、劳保用品属于危险废物，集中收集后交由有相应危险废物处理资质的单位回收处置。</w:t>
      </w:r>
    </w:p>
    <w:p w14:paraId="551FCA29">
      <w:pPr>
        <w:pStyle w:val="117"/>
        <w:ind w:firstLine="480" w:firstLineChars="0"/>
        <w:rPr>
          <w:rFonts w:hint="eastAsia" w:cs="宋体"/>
        </w:rPr>
      </w:pPr>
      <w:r>
        <w:rPr>
          <w:rFonts w:hint="eastAsia" w:cs="宋体"/>
        </w:rPr>
        <w:t>（6）土壤环境</w:t>
      </w:r>
    </w:p>
    <w:p w14:paraId="3F9B5D23">
      <w:pPr>
        <w:spacing w:line="480" w:lineRule="exact"/>
        <w:ind w:firstLine="480" w:firstLineChars="200"/>
        <w:rPr>
          <w:rFonts w:hint="eastAsia" w:ascii="宋体" w:hAnsi="宋体"/>
          <w:kern w:val="0"/>
          <w:sz w:val="24"/>
          <w:szCs w:val="24"/>
        </w:rPr>
      </w:pPr>
      <w:r>
        <w:rPr>
          <w:rFonts w:hint="eastAsia" w:ascii="宋体" w:hAnsi="宋体"/>
          <w:kern w:val="0"/>
          <w:sz w:val="24"/>
          <w:szCs w:val="24"/>
        </w:rPr>
        <w:t>施工期应严格控制施工期临时占地面积，按设计及规划的施工范围进行施工作业，减少土壤扰动；施工机械及运输车辆应按规定的道路行驶，减少对土壤的碾压，减少碾压造成的土壤紧实度增加及养分流失；施工产生的建筑垃圾不得随意抛洒，应集中收集并及时清运，防止污染物进入土壤环境造成污染。</w:t>
      </w:r>
    </w:p>
    <w:p w14:paraId="4650E42D">
      <w:pPr>
        <w:pStyle w:val="117"/>
        <w:ind w:firstLine="480" w:firstLineChars="0"/>
        <w:rPr>
          <w:rFonts w:hint="eastAsia" w:cs="宋体"/>
        </w:rPr>
      </w:pPr>
      <w:r>
        <w:rPr>
          <w:rFonts w:hint="eastAsia"/>
        </w:rPr>
        <w:t>运营期加强废水和固体废物管理，采油平台、计量站采用砾石铺垫，加强站场设备、阀门、法兰、管线的巡检</w:t>
      </w:r>
      <w:r>
        <w:t>，</w:t>
      </w:r>
      <w:r>
        <w:rPr>
          <w:rFonts w:hint="eastAsia"/>
        </w:rPr>
        <w:t>避免因</w:t>
      </w:r>
      <w:r>
        <w:t>“跑、冒、滴、漏”</w:t>
      </w:r>
      <w:r>
        <w:rPr>
          <w:rFonts w:hint="eastAsia"/>
        </w:rPr>
        <w:t>或泄漏事故发生造成原油进入土壤，发生泄漏事故时应</w:t>
      </w:r>
      <w:r>
        <w:t>及时清理落地油，</w:t>
      </w:r>
      <w:r>
        <w:rPr>
          <w:rFonts w:hint="eastAsia"/>
        </w:rPr>
        <w:t>受浸染的土壤交由具备相应危废处理资质的单位进行回收处置。</w:t>
      </w:r>
    </w:p>
    <w:p w14:paraId="284E71BC">
      <w:pPr>
        <w:pStyle w:val="117"/>
        <w:ind w:firstLine="480" w:firstLineChars="0"/>
        <w:rPr>
          <w:rFonts w:hint="eastAsia" w:cs="宋体"/>
        </w:rPr>
      </w:pPr>
      <w:r>
        <w:rPr>
          <w:rFonts w:hint="eastAsia" w:cs="宋体"/>
        </w:rPr>
        <w:t>（7）环境风险</w:t>
      </w:r>
    </w:p>
    <w:p w14:paraId="52103BF9">
      <w:pPr>
        <w:pStyle w:val="117"/>
        <w:ind w:firstLine="480"/>
        <w:rPr>
          <w:rFonts w:hint="eastAsia"/>
        </w:rPr>
      </w:pPr>
      <w:r>
        <w:rPr>
          <w:rFonts w:hint="eastAsia"/>
        </w:rPr>
        <w:t>井场井控严格执行《新疆油田钻井井控实施细则》，防止井喷、井喷失控和井喷着火；井控操作实行持证上岗，各岗位的钻井人员有明确的分工，并且应经过井控专业培训；井场设置明显的禁止烟火标志；在井架、井场路口等处设风向标，发生事故时人员迅速向上风向疏散；按消防规定配备灭火器、消防铁锹和其它消防器材。井场设置明显的禁止烟火标志；</w:t>
      </w:r>
      <w:r>
        <w:rPr>
          <w:rFonts w:hint="eastAsia" w:cs="宋体"/>
          <w:kern w:val="0"/>
        </w:rPr>
        <w:t>井下作业时应至少配</w:t>
      </w:r>
      <w:r>
        <w:rPr>
          <w:rFonts w:ascii="TimesNewRomanPSMT" w:eastAsia="TimesNewRomanPSMT" w:cs="TimesNewRomanPSMT"/>
          <w:kern w:val="0"/>
        </w:rPr>
        <w:t>1</w:t>
      </w:r>
      <w:r>
        <w:rPr>
          <w:rFonts w:hint="eastAsia" w:cs="宋体"/>
          <w:kern w:val="0"/>
        </w:rPr>
        <w:t>套便携式硫化氢监测仪做好硫化氢检测工作，制定防硫化氢应急预案；</w:t>
      </w:r>
      <w:r>
        <w:rPr>
          <w:rFonts w:hint="eastAsia"/>
        </w:rPr>
        <w:t>定期对管线进行巡检，</w:t>
      </w:r>
      <w:r>
        <w:t>严格按照管道施工、验收等规范进行设计、施工和验收</w:t>
      </w:r>
      <w:r>
        <w:rPr>
          <w:rFonts w:hint="eastAsia"/>
        </w:rPr>
        <w:t>；</w:t>
      </w:r>
      <w:r>
        <w:t>管线敷设前，应加强对管材和焊接质量的检查，严禁使用不合格产品</w:t>
      </w:r>
      <w:r>
        <w:rPr>
          <w:rFonts w:hint="eastAsia"/>
        </w:rPr>
        <w:t>；严禁在管线两侧各5m范围内修筑工程，在管线上方及近旁严禁动土开挖和修建超过管道负荷的建筑物；项目投产后应纳入《中国石油新疆油田分公司吉庆油田作业区突发环境污染事件应急预案》。</w:t>
      </w:r>
    </w:p>
    <w:p w14:paraId="69718A78">
      <w:pPr>
        <w:pStyle w:val="2"/>
        <w:rPr>
          <w:rFonts w:hint="eastAsia"/>
        </w:rPr>
      </w:pPr>
      <w:bookmarkStart w:id="831" w:name="_Toc92876296"/>
      <w:bookmarkStart w:id="832" w:name="_Toc160382121"/>
      <w:r>
        <w:rPr>
          <w:rFonts w:hint="eastAsia"/>
        </w:rPr>
        <w:t>经济损益性分析</w:t>
      </w:r>
      <w:r>
        <w:rPr>
          <w:rFonts w:hint="eastAsia"/>
          <w:lang w:eastAsia="zh-Hans"/>
        </w:rPr>
        <w:t>结论</w:t>
      </w:r>
      <w:bookmarkEnd w:id="831"/>
      <w:bookmarkEnd w:id="832"/>
    </w:p>
    <w:p w14:paraId="43DA078B">
      <w:pPr>
        <w:pStyle w:val="117"/>
        <w:ind w:firstLine="480"/>
        <w:rPr>
          <w:rFonts w:hint="eastAsia"/>
        </w:rPr>
      </w:pPr>
      <w:r>
        <w:rPr>
          <w:rFonts w:hint="eastAsia"/>
        </w:rPr>
        <w:t>本项目在建设过程中，由于井场、计量站、管线都占用一定量的土地，因此带来一定的环境损失。因而在油田开发过程中，需要投入必要的资金用于污染防治和生态恢复等，实施相应的环保措施后，不但能够起到保护环境的效果，同时节约经济开支，为企业带来双赢。</w:t>
      </w:r>
    </w:p>
    <w:bookmarkEnd w:id="830"/>
    <w:p w14:paraId="1E603332">
      <w:pPr>
        <w:pStyle w:val="2"/>
        <w:rPr>
          <w:rFonts w:hint="eastAsia"/>
        </w:rPr>
      </w:pPr>
      <w:bookmarkStart w:id="833" w:name="_Toc92876297"/>
      <w:bookmarkStart w:id="834" w:name="_Toc160382122"/>
      <w:bookmarkStart w:id="835" w:name="_Hlk521698622"/>
      <w:r>
        <w:rPr>
          <w:rFonts w:hint="eastAsia"/>
        </w:rPr>
        <w:t>环境管理</w:t>
      </w:r>
      <w:r>
        <w:t>与</w:t>
      </w:r>
      <w:r>
        <w:rPr>
          <w:rFonts w:hint="eastAsia"/>
        </w:rPr>
        <w:t>监测计划</w:t>
      </w:r>
      <w:r>
        <w:rPr>
          <w:rFonts w:hint="eastAsia"/>
          <w:lang w:eastAsia="zh-Hans"/>
        </w:rPr>
        <w:t>结论</w:t>
      </w:r>
      <w:bookmarkEnd w:id="833"/>
      <w:bookmarkEnd w:id="834"/>
    </w:p>
    <w:p w14:paraId="6B98B484">
      <w:pPr>
        <w:pStyle w:val="117"/>
        <w:ind w:firstLine="480"/>
        <w:rPr>
          <w:rFonts w:hint="eastAsia"/>
        </w:rPr>
      </w:pPr>
      <w:r>
        <w:rPr>
          <w:rFonts w:hint="eastAsia"/>
        </w:rPr>
        <w:t>本次评价根据工程的特点，提出了相关的环境管理要求和监测计划，要求建设单位务必按照环评要求落实各项措施。</w:t>
      </w:r>
    </w:p>
    <w:p w14:paraId="5C52245D">
      <w:pPr>
        <w:pStyle w:val="2"/>
        <w:rPr>
          <w:rFonts w:hint="eastAsia"/>
        </w:rPr>
      </w:pPr>
      <w:bookmarkStart w:id="836" w:name="_Toc160382123"/>
      <w:r>
        <w:rPr>
          <w:rFonts w:hint="eastAsia"/>
        </w:rPr>
        <w:t>公众参与</w:t>
      </w:r>
      <w:bookmarkEnd w:id="836"/>
    </w:p>
    <w:p w14:paraId="5649D9BA">
      <w:pPr>
        <w:pStyle w:val="117"/>
        <w:ind w:firstLine="480"/>
        <w:rPr>
          <w:rFonts w:hint="eastAsia"/>
        </w:rPr>
      </w:pPr>
      <w:r>
        <w:rPr>
          <w:rFonts w:hint="eastAsia"/>
        </w:rPr>
        <w:t>建设单位根据《环境影响评价公众参与办法》的要求，项目进行了三次网上公示、1次张贴公告、2次报纸公示，公示期间均未收到公众反馈意见。</w:t>
      </w:r>
    </w:p>
    <w:bookmarkEnd w:id="835"/>
    <w:p w14:paraId="6A329B85">
      <w:pPr>
        <w:pStyle w:val="2"/>
        <w:rPr>
          <w:rFonts w:hint="eastAsia"/>
        </w:rPr>
      </w:pPr>
      <w:bookmarkStart w:id="837" w:name="_Toc160382124"/>
      <w:bookmarkStart w:id="838" w:name="_Toc475624505"/>
      <w:bookmarkStart w:id="839" w:name="_Toc445996542"/>
      <w:bookmarkStart w:id="840" w:name="_Toc14130"/>
      <w:bookmarkStart w:id="841" w:name="_Toc459026626"/>
      <w:bookmarkStart w:id="842" w:name="_Toc395781500"/>
      <w:bookmarkStart w:id="843" w:name="_Toc391973566"/>
      <w:bookmarkStart w:id="844" w:name="_Toc445842230"/>
      <w:bookmarkStart w:id="845" w:name="_Toc280954970"/>
      <w:bookmarkStart w:id="846" w:name="_Toc389771014"/>
      <w:bookmarkStart w:id="847" w:name="_Toc445840455"/>
      <w:bookmarkStart w:id="848" w:name="_Toc395781973"/>
      <w:bookmarkStart w:id="849" w:name="_Toc396754544"/>
      <w:bookmarkStart w:id="850" w:name="_Toc280955047"/>
      <w:r>
        <w:rPr>
          <w:rFonts w:hint="eastAsia"/>
        </w:rPr>
        <w:t>总结论</w:t>
      </w:r>
      <w:bookmarkEnd w:id="837"/>
    </w:p>
    <w:bookmarkEnd w:id="838"/>
    <w:bookmarkEnd w:id="839"/>
    <w:bookmarkEnd w:id="840"/>
    <w:bookmarkEnd w:id="841"/>
    <w:bookmarkEnd w:id="842"/>
    <w:bookmarkEnd w:id="843"/>
    <w:bookmarkEnd w:id="844"/>
    <w:bookmarkEnd w:id="845"/>
    <w:bookmarkEnd w:id="846"/>
    <w:bookmarkEnd w:id="847"/>
    <w:bookmarkEnd w:id="848"/>
    <w:bookmarkEnd w:id="849"/>
    <w:bookmarkEnd w:id="850"/>
    <w:p w14:paraId="32852D2F">
      <w:pPr>
        <w:pStyle w:val="117"/>
        <w:ind w:firstLine="480"/>
        <w:rPr>
          <w:rFonts w:hint="eastAsia"/>
        </w:rPr>
      </w:pPr>
      <w:r>
        <w:rPr>
          <w:rFonts w:hint="eastAsia"/>
        </w:rPr>
        <w:t>项目符合国家相关规划、环保政策及“三线一单”的要求，选址选线合理。运营期废气能实现“达标排放”，工业废水零排放，固体废物实现“无害化”处置；建成后区域环境质量仍可以满足相应功能区要求；开发活动对生态环境的影响较小，不会对区域生态系统或生物多样性产生较大影响；项目在运行过程中存在一定的环境风险，但采取相应的环境风险防范措施后，其影响是可防可控的；项目进行了三次网上公示、1次张贴公告、2次报纸公示，公示期间均未收到公众反馈意见。从环境保护角度论证建设可行。</w:t>
      </w:r>
    </w:p>
    <w:p w14:paraId="4E203519">
      <w:pPr>
        <w:pStyle w:val="117"/>
        <w:ind w:firstLine="480"/>
        <w:rPr>
          <w:rFonts w:hint="eastAsia"/>
        </w:rPr>
        <w:sectPr>
          <w:pgSz w:w="11906" w:h="16838"/>
          <w:pgMar w:top="1418" w:right="1588" w:bottom="1418" w:left="1588" w:header="1020" w:footer="1020" w:gutter="0"/>
          <w:cols w:space="720" w:num="1"/>
          <w:docGrid w:type="lines" w:linePitch="312" w:charSpace="0"/>
        </w:sectPr>
      </w:pPr>
    </w:p>
    <w:p w14:paraId="7F13256A"/>
    <w:sectPr>
      <w:pgSz w:w="11906" w:h="16838"/>
      <w:pgMar w:top="1418" w:right="1588" w:bottom="1418" w:left="1588" w:header="1020" w:footer="102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华文中宋">
    <w:panose1 w:val="02010600040101010101"/>
    <w:charset w:val="86"/>
    <w:family w:val="auto"/>
    <w:pitch w:val="default"/>
    <w:sig w:usb0="00000287" w:usb1="080F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Chiller">
    <w:panose1 w:val="04020404031007020602"/>
    <w:charset w:val="00"/>
    <w:family w:val="decorative"/>
    <w:pitch w:val="default"/>
    <w:sig w:usb0="00000003" w:usb1="00000000" w:usb2="00000000" w:usb3="00000000" w:csb0="20000001"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Arial Unicode MS">
    <w:panose1 w:val="020B0604020202020204"/>
    <w:charset w:val="86"/>
    <w:family w:val="swiss"/>
    <w:pitch w:val="default"/>
    <w:sig w:usb0="FFFFFFFF" w:usb1="E9FFFFFF" w:usb2="0000003F" w:usb3="00000000" w:csb0="603F01FF" w:csb1="FFFF0000"/>
  </w:font>
  <w:font w:name="Helvetica">
    <w:altName w:val="Arial"/>
    <w:panose1 w:val="020B0604020202020204"/>
    <w:charset w:val="00"/>
    <w:family w:val="swiss"/>
    <w:pitch w:val="default"/>
    <w:sig w:usb0="00000000" w:usb1="00000000" w:usb2="00000009" w:usb3="00000000" w:csb0="000001FF" w:csb1="00000000"/>
  </w:font>
  <w:font w:name="ST Song Std">
    <w:altName w:val="宋体"/>
    <w:panose1 w:val="00000000000000000000"/>
    <w:charset w:val="86"/>
    <w:family w:val="roman"/>
    <w:pitch w:val="default"/>
    <w:sig w:usb0="00000000" w:usb1="00000000" w:usb2="00000010" w:usb3="00000000" w:csb0="00040000" w:csb1="00000000"/>
  </w:font>
  <w:font w:name="方正仿宋_GBK">
    <w:panose1 w:val="03000509000000000000"/>
    <w:charset w:val="86"/>
    <w:family w:val="script"/>
    <w:pitch w:val="default"/>
    <w:sig w:usb0="00000001" w:usb1="080E0000" w:usb2="00000000" w:usb3="00000000" w:csb0="00040000" w:csb1="00000000"/>
  </w:font>
  <w:font w:name="Microsoft YaHei UI">
    <w:altName w:val="宋体"/>
    <w:panose1 w:val="020B0503020204020204"/>
    <w:charset w:val="86"/>
    <w:family w:val="swiss"/>
    <w:pitch w:val="default"/>
    <w:sig w:usb0="00000000" w:usb1="00000000" w:usb2="00000016" w:usb3="00000000" w:csb0="0004001F" w:csb1="00000000"/>
  </w:font>
  <w:font w:name="MS PGothic">
    <w:panose1 w:val="020B0600070205080204"/>
    <w:charset w:val="80"/>
    <w:family w:val="swiss"/>
    <w:pitch w:val="default"/>
    <w:sig w:usb0="E00002FF" w:usb1="6AC7FDFB" w:usb2="00000012" w:usb3="00000000" w:csb0="4002009F" w:csb1="DFD70000"/>
  </w:font>
  <w:font w:name="TimesNewRomanPSMT">
    <w:altName w:val="宋体"/>
    <w:panose1 w:val="00000000000000000000"/>
    <w:charset w:val="00"/>
    <w:family w:val="roman"/>
    <w:pitch w:val="default"/>
    <w:sig w:usb0="00000000" w:usb1="00000000" w:usb2="00000010" w:usb3="00000000" w:csb0="00040001" w:csb1="00000000"/>
  </w:font>
  <w:font w:name="FZYaSongS-R-GB">
    <w:altName w:val="Cambria"/>
    <w:panose1 w:val="00000000000000000000"/>
    <w:charset w:val="00"/>
    <w:family w:val="roman"/>
    <w:pitch w:val="default"/>
    <w:sig w:usb0="00000000" w:usb1="00000000" w:usb2="00000000" w:usb3="00000000" w:csb0="00040001" w:csb1="0000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2FF" w:usb1="420024FF" w:usb2="00000000" w:usb3="00000000" w:csb0="2000019F" w:csb1="00000000"/>
  </w:font>
  <w:font w:name="Wingdings 2">
    <w:panose1 w:val="05020102010507070707"/>
    <w:charset w:val="02"/>
    <w:family w:val="roman"/>
    <w:pitch w:val="default"/>
    <w:sig w:usb0="00000000" w:usb1="00000000" w:usb2="00000000" w:usb3="00000000" w:csb0="80000000" w:csb1="00000000"/>
  </w:font>
  <w:font w:name="等线">
    <w:altName w:val="Arial Unicode M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82A3E">
    <w:pPr>
      <w:pStyle w:val="29"/>
      <w:pBdr>
        <w:top w:val="single" w:color="auto" w:sz="4" w:space="1"/>
      </w:pBdr>
      <w:spacing w:line="300" w:lineRule="exact"/>
      <w:ind w:firstLine="720" w:firstLineChars="400"/>
      <w:rPr>
        <w:rFonts w:hint="eastAsia" w:ascii="宋体" w:hAnsi="宋体"/>
      </w:rPr>
    </w:pPr>
    <w:r>
      <w:rPr>
        <w:rFonts w:hint="eastAsia" w:ascii="宋体" w:hAnsi="宋体"/>
      </w:rPr>
      <w:t xml:space="preserve">中勘冶金勘察设计研究院有限责任公司                                                  </w:t>
    </w: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III</w:t>
    </w:r>
    <w:r>
      <w:rPr>
        <w:rFonts w:ascii="宋体" w:hAnsi="宋体"/>
      </w:rPr>
      <w:fldChar w:fldCharType="end"/>
    </w:r>
    <w:r>
      <w:rPr>
        <w:rFonts w:hint="eastAsia" w:ascii="宋体" w:hAnsi="宋体"/>
        <w:lang w:val="zh-CN"/>
      </w:rPr>
      <w:drawing>
        <wp:anchor distT="0" distB="0" distL="114300" distR="114300" simplePos="0" relativeHeight="251662336" behindDoc="1" locked="0" layoutInCell="1" allowOverlap="1">
          <wp:simplePos x="0" y="0"/>
          <wp:positionH relativeFrom="column">
            <wp:posOffset>94615</wp:posOffset>
          </wp:positionH>
          <wp:positionV relativeFrom="paragraph">
            <wp:posOffset>6350</wp:posOffset>
          </wp:positionV>
          <wp:extent cx="365760" cy="229235"/>
          <wp:effectExtent l="0" t="0" r="0" b="0"/>
          <wp:wrapNone/>
          <wp:docPr id="2"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65760" cy="229235"/>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4EA86">
    <w:pPr>
      <w:pStyle w:val="29"/>
      <w:pBdr>
        <w:top w:val="single" w:color="auto" w:sz="4" w:space="1"/>
      </w:pBdr>
      <w:spacing w:line="300" w:lineRule="exact"/>
      <w:ind w:firstLine="720" w:firstLineChars="400"/>
      <w:rPr>
        <w:rFonts w:hint="eastAsia" w:ascii="宋体" w:hAnsi="宋体"/>
      </w:rPr>
    </w:pPr>
    <w:r>
      <w:rPr>
        <w:rFonts w:hint="eastAsia" w:ascii="宋体" w:hAnsi="宋体"/>
      </w:rPr>
      <w:t xml:space="preserve">中勘冶金勘察设计研究院有限责任公司                         </w:t>
    </w:r>
    <w:r>
      <w:rPr>
        <w:rFonts w:ascii="宋体" w:hAnsi="宋体"/>
      </w:rPr>
      <w:t xml:space="preserve"> </w:t>
    </w:r>
    <w:r>
      <w:rPr>
        <w:rFonts w:hint="eastAsia" w:ascii="宋体" w:hAnsi="宋体"/>
      </w:rPr>
      <w:t xml:space="preserve">                      </w:t>
    </w: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rPr>
      <w:t>62</w:t>
    </w:r>
    <w:r>
      <w:rPr>
        <w:rFonts w:ascii="宋体" w:hAnsi="宋体"/>
      </w:rPr>
      <w:fldChar w:fldCharType="end"/>
    </w:r>
    <w:r>
      <w:rPr>
        <w:rFonts w:hint="eastAsia" w:ascii="宋体" w:hAnsi="宋体"/>
        <w:lang w:val="zh-CN"/>
      </w:rPr>
      <w:drawing>
        <wp:anchor distT="0" distB="0" distL="114300" distR="114300" simplePos="0" relativeHeight="251663360" behindDoc="1" locked="0" layoutInCell="1" allowOverlap="1">
          <wp:simplePos x="0" y="0"/>
          <wp:positionH relativeFrom="column">
            <wp:posOffset>94615</wp:posOffset>
          </wp:positionH>
          <wp:positionV relativeFrom="paragraph">
            <wp:posOffset>6350</wp:posOffset>
          </wp:positionV>
          <wp:extent cx="365760" cy="229235"/>
          <wp:effectExtent l="0" t="0" r="0" b="0"/>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65760" cy="22923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805488">
    <w:pPr>
      <w:pStyle w:val="29"/>
      <w:pBdr>
        <w:top w:val="single" w:color="auto" w:sz="4" w:space="1"/>
      </w:pBdr>
      <w:adjustRightInd w:val="0"/>
      <w:ind w:firstLine="450" w:firstLineChars="250"/>
      <w:rPr>
        <w:rFonts w:hint="eastAsia" w:ascii="宋体" w:hAnsi="宋体"/>
      </w:rPr>
    </w:pPr>
    <w:r>
      <mc:AlternateContent>
        <mc:Choice Requires="wps">
          <w:drawing>
            <wp:anchor distT="0" distB="0" distL="114300" distR="114300" simplePos="0" relativeHeight="251667456" behindDoc="0" locked="0" layoutInCell="1" allowOverlap="1">
              <wp:simplePos x="0" y="0"/>
              <wp:positionH relativeFrom="margin">
                <wp:posOffset>-10795</wp:posOffset>
              </wp:positionH>
              <wp:positionV relativeFrom="paragraph">
                <wp:posOffset>2409190</wp:posOffset>
              </wp:positionV>
              <wp:extent cx="5549900" cy="158750"/>
              <wp:effectExtent l="0" t="0" r="4445" b="3810"/>
              <wp:wrapNone/>
              <wp:docPr id="44" name="文本框 44"/>
              <wp:cNvGraphicFramePr/>
              <a:graphic xmlns:a="http://schemas.openxmlformats.org/drawingml/2006/main">
                <a:graphicData uri="http://schemas.microsoft.com/office/word/2010/wordprocessingShape">
                  <wps:wsp>
                    <wps:cNvSpPr txBox="1">
                      <a:spLocks noChangeArrowheads="1"/>
                    </wps:cNvSpPr>
                    <wps:spPr bwMode="auto">
                      <a:xfrm>
                        <a:off x="0" y="0"/>
                        <a:ext cx="5549900" cy="158750"/>
                      </a:xfrm>
                      <a:prstGeom prst="rect">
                        <a:avLst/>
                      </a:prstGeom>
                      <a:noFill/>
                      <a:ln>
                        <a:noFill/>
                      </a:ln>
                    </wps:spPr>
                    <wps:txbx>
                      <w:txbxContent>
                        <w:p w14:paraId="136E3703">
                          <w:pPr>
                            <w:pStyle w:val="29"/>
                            <w:pBdr>
                              <w:top w:val="single" w:color="auto" w:sz="4" w:space="1"/>
                            </w:pBdr>
                            <w:adjustRightInd w:val="0"/>
                            <w:ind w:firstLine="450" w:firstLineChars="250"/>
                          </w:pP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left:-0.85pt;margin-top:189.7pt;height:12.5pt;width:437pt;mso-position-horizontal-relative:margin;z-index:251667456;mso-width-relative:page;mso-height-relative:page;" filled="f" stroked="f" coordsize="21600,21600" o:gfxdata="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Zn7on2AAAAAoBAAAPAAAAAAAAAAEA&#10;IAAAACIAAABkcnMvZG93bnJldi54bWxQSwECFAAUAAAACACHTuJARlVXeA8CAAAHBAAADgAAAAAA&#10;AAABACAAAAAnAQAAZHJzL2Uyb0RvYy54bWxQSwUGAAAAAAYABgBZAQAAqAUAAAAA&#10;">
              <v:fill on="f" focussize="0,0"/>
              <v:stroke on="f"/>
              <v:imagedata o:title=""/>
              <o:lock v:ext="edit" aspectratio="f"/>
              <v:textbox inset="0mm,0mm,0mm,0mm" style="mso-fit-shape-to-text:t;">
                <w:txbxContent>
                  <w:p w14:paraId="136E3703">
                    <w:pPr>
                      <w:pStyle w:val="29"/>
                      <w:pBdr>
                        <w:top w:val="single" w:color="auto" w:sz="4" w:space="1"/>
                      </w:pBdr>
                      <w:adjustRightInd w:val="0"/>
                      <w:ind w:firstLine="450" w:firstLineChars="250"/>
                    </w:pPr>
                  </w:p>
                </w:txbxContent>
              </v:textbox>
            </v:shape>
          </w:pict>
        </mc:Fallback>
      </mc:AlternateContent>
    </w:r>
    <w:r>
      <w:rPr>
        <w:rFonts w:hint="eastAsia" w:ascii="宋体" w:hAnsi="宋体"/>
      </w:rPr>
      <w:t>中勘冶金勘察设计研究院有限责任公司</w:t>
    </w:r>
    <w:r>
      <w:rPr>
        <w:rFonts w:hint="eastAsia"/>
      </w:rPr>
      <w:t xml:space="preserve">                                        </w:t>
    </w:r>
    <w:r>
      <w:t xml:space="preserve">                                                 </w:t>
    </w:r>
    <w:r>
      <w:rPr>
        <w:rFonts w:hint="eastAsia"/>
      </w:rPr>
      <w:t xml:space="preserve">        </w:t>
    </w:r>
    <w:r>
      <w:rPr>
        <w:rFonts w:hint="eastAsia" w:ascii="宋体" w:hAnsi="宋体"/>
      </w:rPr>
      <w:t xml:space="preserve">  </w:t>
    </w: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rPr>
      <w:t>71</w:t>
    </w:r>
    <w:r>
      <w:rPr>
        <w:rFonts w:ascii="宋体" w:hAnsi="宋体"/>
      </w:rPr>
      <w:fldChar w:fldCharType="end"/>
    </w:r>
    <w:r>
      <w:rPr>
        <w:rFonts w:hint="eastAsia" w:ascii="宋体" w:hAnsi="宋体"/>
        <w:lang w:val="zh-CN"/>
      </w:rPr>
      <w:drawing>
        <wp:anchor distT="0" distB="0" distL="114300" distR="114300" simplePos="0" relativeHeight="251666432" behindDoc="1" locked="0" layoutInCell="1" allowOverlap="1">
          <wp:simplePos x="0" y="0"/>
          <wp:positionH relativeFrom="column">
            <wp:posOffset>-106045</wp:posOffset>
          </wp:positionH>
          <wp:positionV relativeFrom="paragraph">
            <wp:posOffset>-4445</wp:posOffset>
          </wp:positionV>
          <wp:extent cx="365760" cy="229235"/>
          <wp:effectExtent l="0" t="0" r="0" b="0"/>
          <wp:wrapNone/>
          <wp:docPr id="134045785" name="图片 13404578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5785" name="图片 134045785"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65760" cy="229235"/>
                  </a:xfrm>
                  <a:prstGeom prst="rect">
                    <a:avLst/>
                  </a:prstGeom>
                  <a:noFill/>
                  <a:ln>
                    <a:noFill/>
                  </a:ln>
                </pic:spPr>
              </pic:pic>
            </a:graphicData>
          </a:graphic>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EDF7D">
    <w:pPr>
      <w:pStyle w:val="29"/>
      <w:pBdr>
        <w:top w:val="single" w:color="auto" w:sz="4" w:space="1"/>
      </w:pBdr>
      <w:adjustRightInd w:val="0"/>
      <w:ind w:firstLine="450" w:firstLineChars="250"/>
      <w:rPr>
        <w:rFonts w:hint="eastAsia" w:ascii="宋体" w:hAnsi="宋体"/>
      </w:rPr>
    </w:pPr>
    <w:r>
      <mc:AlternateContent>
        <mc:Choice Requires="wps">
          <w:drawing>
            <wp:anchor distT="0" distB="0" distL="114300" distR="114300" simplePos="0" relativeHeight="251665408" behindDoc="0" locked="0" layoutInCell="1" allowOverlap="1">
              <wp:simplePos x="0" y="0"/>
              <wp:positionH relativeFrom="margin">
                <wp:posOffset>-10795</wp:posOffset>
              </wp:positionH>
              <wp:positionV relativeFrom="paragraph">
                <wp:posOffset>2409190</wp:posOffset>
              </wp:positionV>
              <wp:extent cx="5549900" cy="158750"/>
              <wp:effectExtent l="0" t="0" r="0" b="3810"/>
              <wp:wrapNone/>
              <wp:docPr id="1" name="文本框 1040"/>
              <wp:cNvGraphicFramePr/>
              <a:graphic xmlns:a="http://schemas.openxmlformats.org/drawingml/2006/main">
                <a:graphicData uri="http://schemas.microsoft.com/office/word/2010/wordprocessingShape">
                  <wps:wsp>
                    <wps:cNvSpPr txBox="1">
                      <a:spLocks noChangeArrowheads="1"/>
                    </wps:cNvSpPr>
                    <wps:spPr bwMode="auto">
                      <a:xfrm>
                        <a:off x="0" y="0"/>
                        <a:ext cx="5549900" cy="158750"/>
                      </a:xfrm>
                      <a:prstGeom prst="rect">
                        <a:avLst/>
                      </a:prstGeom>
                      <a:noFill/>
                      <a:ln>
                        <a:noFill/>
                      </a:ln>
                    </wps:spPr>
                    <wps:txbx>
                      <w:txbxContent>
                        <w:p w14:paraId="424FED36">
                          <w:pPr>
                            <w:pStyle w:val="29"/>
                            <w:pBdr>
                              <w:top w:val="single" w:color="auto" w:sz="4" w:space="1"/>
                            </w:pBdr>
                            <w:adjustRightInd w:val="0"/>
                            <w:ind w:firstLine="450" w:firstLineChars="250"/>
                          </w:pPr>
                        </w:p>
                      </w:txbxContent>
                    </wps:txbx>
                    <wps:bodyPr rot="0" vert="horz" wrap="square" lIns="0" tIns="0" rIns="0" bIns="0" anchor="t" anchorCtr="0" upright="1">
                      <a:spAutoFit/>
                    </wps:bodyPr>
                  </wps:wsp>
                </a:graphicData>
              </a:graphic>
            </wp:anchor>
          </w:drawing>
        </mc:Choice>
        <mc:Fallback>
          <w:pict>
            <v:shape id="文本框 1040" o:spid="_x0000_s1026" o:spt="202" type="#_x0000_t202" style="position:absolute;left:0pt;margin-left:-0.85pt;margin-top:189.7pt;height:12.5pt;width:437pt;mso-position-horizontal-relative:margin;z-index:251665408;mso-width-relative:page;mso-height-relative:page;" filled="f" stroked="f" coordsize="21600,21600" o:gfxdata="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Zn7on2AAAAAoBAAAPAAAAAAAAAAEA&#10;IAAAACIAAABkcnMvZG93bnJldi54bWxQSwECFAAUAAAACACHTuJA+5O4fw8CAAAIBAAADgAAAAAA&#10;AAABACAAAAAnAQAAZHJzL2Uyb0RvYy54bWxQSwUGAAAAAAYABgBZAQAAqAUAAAAA&#10;">
              <v:fill on="f" focussize="0,0"/>
              <v:stroke on="f"/>
              <v:imagedata o:title=""/>
              <o:lock v:ext="edit" aspectratio="f"/>
              <v:textbox inset="0mm,0mm,0mm,0mm" style="mso-fit-shape-to-text:t;">
                <w:txbxContent>
                  <w:p w14:paraId="424FED36">
                    <w:pPr>
                      <w:pStyle w:val="29"/>
                      <w:pBdr>
                        <w:top w:val="single" w:color="auto" w:sz="4" w:space="1"/>
                      </w:pBdr>
                      <w:adjustRightInd w:val="0"/>
                      <w:ind w:firstLine="450" w:firstLineChars="250"/>
                    </w:pPr>
                  </w:p>
                </w:txbxContent>
              </v:textbox>
            </v:shape>
          </w:pict>
        </mc:Fallback>
      </mc:AlternateContent>
    </w:r>
    <w:r>
      <w:rPr>
        <w:rFonts w:hint="eastAsia" w:ascii="宋体" w:hAnsi="宋体"/>
      </w:rPr>
      <w:t>中勘冶金勘察设计研究院有限责任公司</w:t>
    </w:r>
    <w:r>
      <w:rPr>
        <w:rFonts w:hint="eastAsia"/>
      </w:rPr>
      <w:t xml:space="preserve">                                        </w:t>
    </w:r>
    <w:r>
      <w:t xml:space="preserve">                                                 </w:t>
    </w:r>
    <w:r>
      <w:rPr>
        <w:rFonts w:hint="eastAsia"/>
      </w:rPr>
      <w:t xml:space="preserve">        </w:t>
    </w:r>
    <w:r>
      <w:rPr>
        <w:rFonts w:hint="eastAsia" w:ascii="宋体" w:hAnsi="宋体"/>
      </w:rPr>
      <w:t xml:space="preserve">  </w:t>
    </w: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rPr>
      <w:t>71</w:t>
    </w:r>
    <w:r>
      <w:rPr>
        <w:rFonts w:ascii="宋体" w:hAnsi="宋体"/>
      </w:rPr>
      <w:fldChar w:fldCharType="end"/>
    </w:r>
    <w:r>
      <w:rPr>
        <w:rFonts w:hint="eastAsia" w:ascii="宋体" w:hAnsi="宋体"/>
        <w:lang w:val="zh-CN"/>
      </w:rPr>
      <w:drawing>
        <wp:anchor distT="0" distB="0" distL="114300" distR="114300" simplePos="0" relativeHeight="251664384" behindDoc="1" locked="0" layoutInCell="1" allowOverlap="1">
          <wp:simplePos x="0" y="0"/>
          <wp:positionH relativeFrom="column">
            <wp:posOffset>-106045</wp:posOffset>
          </wp:positionH>
          <wp:positionV relativeFrom="paragraph">
            <wp:posOffset>-4445</wp:posOffset>
          </wp:positionV>
          <wp:extent cx="365760" cy="229235"/>
          <wp:effectExtent l="0" t="0" r="0" b="0"/>
          <wp:wrapNone/>
          <wp:docPr id="36" name="图片 3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65760" cy="229235"/>
                  </a:xfrm>
                  <a:prstGeom prst="rect">
                    <a:avLst/>
                  </a:prstGeom>
                  <a:noFill/>
                  <a:ln>
                    <a:noFill/>
                  </a:ln>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03730">
    <w:pPr>
      <w:pStyle w:val="30"/>
      <w:rPr>
        <w:rFonts w:hint="eastAsia" w:ascii="宋体" w:hAnsi="宋体"/>
        <w:color w:val="000000" w:themeColor="text1"/>
        <w:spacing w:val="-10"/>
        <w14:textFill>
          <w14:solidFill>
            <w14:schemeClr w14:val="tx1"/>
          </w14:solidFill>
        </w14:textFill>
      </w:rPr>
    </w:pPr>
    <w:r>
      <w:rPr>
        <w:rFonts w:hint="eastAsia" w:ascii="宋体" w:hAnsi="宋体"/>
        <w:color w:val="000000" w:themeColor="text1"/>
        <w:spacing w:val="-10"/>
        <w14:textFill>
          <w14:solidFill>
            <w14:schemeClr w14:val="tx1"/>
          </w14:solidFill>
        </w14:textFill>
      </w:rPr>
      <w:t>吉木萨尔凹陷芦草沟组页岩油J10031-吉179井区JHW17-41等5口井产能建设项目环境影响报告书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7D15015"/>
    <w:multiLevelType w:val="multilevel"/>
    <w:tmpl w:val="47D15015"/>
    <w:lvl w:ilvl="0" w:tentative="0">
      <w:start w:val="1"/>
      <w:numFmt w:val="decimal"/>
      <w:pStyle w:val="3"/>
      <w:suff w:val="space"/>
      <w:lvlText w:val="%1"/>
      <w:lvlJc w:val="left"/>
      <w:pPr>
        <w:ind w:left="0" w:firstLine="0"/>
      </w:pPr>
      <w:rPr>
        <w:rFonts w:hint="eastAsia" w:ascii="黑体" w:eastAsia="黑体"/>
        <w:b w:val="0"/>
        <w:i w:val="0"/>
        <w:sz w:val="32"/>
      </w:rPr>
    </w:lvl>
    <w:lvl w:ilvl="1" w:tentative="0">
      <w:start w:val="1"/>
      <w:numFmt w:val="decimal"/>
      <w:pStyle w:val="2"/>
      <w:suff w:val="space"/>
      <w:lvlText w:val="%1.%2"/>
      <w:lvlJc w:val="left"/>
      <w:pPr>
        <w:ind w:left="0" w:firstLine="0"/>
      </w:pPr>
      <w:rPr>
        <w:rFonts w:hint="eastAsia" w:ascii="黑体" w:eastAsia="黑体"/>
        <w:b w:val="0"/>
        <w:i w:val="0"/>
        <w:sz w:val="28"/>
      </w:rPr>
    </w:lvl>
    <w:lvl w:ilvl="2" w:tentative="0">
      <w:start w:val="1"/>
      <w:numFmt w:val="decimal"/>
      <w:pStyle w:val="4"/>
      <w:suff w:val="space"/>
      <w:lvlText w:val="%1.%2.%3"/>
      <w:lvlJc w:val="left"/>
      <w:pPr>
        <w:ind w:left="0" w:firstLine="0"/>
      </w:pPr>
      <w:rPr>
        <w:rFonts w:hint="eastAsia" w:ascii="黑体" w:hAnsi="宋体" w:eastAsia="黑体"/>
        <w:b w:val="0"/>
        <w:i w:val="0"/>
        <w:sz w:val="24"/>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7B541212"/>
    <w:multiLevelType w:val="multilevel"/>
    <w:tmpl w:val="7B541212"/>
    <w:lvl w:ilvl="0" w:tentative="0">
      <w:start w:val="1"/>
      <w:numFmt w:val="bullet"/>
      <w:pStyle w:val="306"/>
      <w:lvlText w:val=""/>
      <w:lvlJc w:val="left"/>
      <w:pPr>
        <w:tabs>
          <w:tab w:val="left" w:pos="902"/>
        </w:tabs>
        <w:ind w:left="902" w:hanging="422"/>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317"/>
  <w:displayHorizont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Y5YjU2YjQzMzBjNWFhNGZkMTRmZWNiYWZkNjU4NTMifQ=="/>
  </w:docVars>
  <w:rsids>
    <w:rsidRoot w:val="00172A27"/>
    <w:rsid w:val="000000CC"/>
    <w:rsid w:val="0000057A"/>
    <w:rsid w:val="000009BA"/>
    <w:rsid w:val="00000A56"/>
    <w:rsid w:val="00000B27"/>
    <w:rsid w:val="00001069"/>
    <w:rsid w:val="000011F2"/>
    <w:rsid w:val="0000144A"/>
    <w:rsid w:val="000016FB"/>
    <w:rsid w:val="000023C6"/>
    <w:rsid w:val="000024E0"/>
    <w:rsid w:val="000024FD"/>
    <w:rsid w:val="00002BD3"/>
    <w:rsid w:val="00002EA8"/>
    <w:rsid w:val="00003002"/>
    <w:rsid w:val="0000313C"/>
    <w:rsid w:val="000031ED"/>
    <w:rsid w:val="0000321B"/>
    <w:rsid w:val="000038F9"/>
    <w:rsid w:val="00003DF1"/>
    <w:rsid w:val="00003F51"/>
    <w:rsid w:val="000043DA"/>
    <w:rsid w:val="00004E47"/>
    <w:rsid w:val="00004E9F"/>
    <w:rsid w:val="00004F62"/>
    <w:rsid w:val="000058D4"/>
    <w:rsid w:val="00005D4E"/>
    <w:rsid w:val="000066DF"/>
    <w:rsid w:val="00006A0F"/>
    <w:rsid w:val="00006FD6"/>
    <w:rsid w:val="00006FEC"/>
    <w:rsid w:val="000071DC"/>
    <w:rsid w:val="00007402"/>
    <w:rsid w:val="000074A5"/>
    <w:rsid w:val="00007926"/>
    <w:rsid w:val="00007B2E"/>
    <w:rsid w:val="00010189"/>
    <w:rsid w:val="000101EF"/>
    <w:rsid w:val="000103F0"/>
    <w:rsid w:val="00010724"/>
    <w:rsid w:val="00010A9F"/>
    <w:rsid w:val="00010BF1"/>
    <w:rsid w:val="00011255"/>
    <w:rsid w:val="000114C2"/>
    <w:rsid w:val="000123A7"/>
    <w:rsid w:val="00012659"/>
    <w:rsid w:val="00012A8D"/>
    <w:rsid w:val="00013000"/>
    <w:rsid w:val="000130EC"/>
    <w:rsid w:val="00013643"/>
    <w:rsid w:val="0001450C"/>
    <w:rsid w:val="00014FDD"/>
    <w:rsid w:val="00015676"/>
    <w:rsid w:val="00015922"/>
    <w:rsid w:val="00015C47"/>
    <w:rsid w:val="00015E48"/>
    <w:rsid w:val="00016344"/>
    <w:rsid w:val="0001666F"/>
    <w:rsid w:val="00016AC0"/>
    <w:rsid w:val="00016B5F"/>
    <w:rsid w:val="00016FFC"/>
    <w:rsid w:val="00017154"/>
    <w:rsid w:val="00017DF8"/>
    <w:rsid w:val="0002023A"/>
    <w:rsid w:val="000204A3"/>
    <w:rsid w:val="00021039"/>
    <w:rsid w:val="00021E61"/>
    <w:rsid w:val="00022028"/>
    <w:rsid w:val="00022B29"/>
    <w:rsid w:val="00022FBD"/>
    <w:rsid w:val="00023273"/>
    <w:rsid w:val="00023916"/>
    <w:rsid w:val="00023F4F"/>
    <w:rsid w:val="000240B2"/>
    <w:rsid w:val="000243CB"/>
    <w:rsid w:val="000244D3"/>
    <w:rsid w:val="00024677"/>
    <w:rsid w:val="00024A67"/>
    <w:rsid w:val="0002501E"/>
    <w:rsid w:val="000255B1"/>
    <w:rsid w:val="00025B3C"/>
    <w:rsid w:val="00025D2E"/>
    <w:rsid w:val="000262C3"/>
    <w:rsid w:val="000263D6"/>
    <w:rsid w:val="00026BB2"/>
    <w:rsid w:val="00026D04"/>
    <w:rsid w:val="00026F5A"/>
    <w:rsid w:val="00027137"/>
    <w:rsid w:val="0002760A"/>
    <w:rsid w:val="000277E8"/>
    <w:rsid w:val="000306A5"/>
    <w:rsid w:val="00030832"/>
    <w:rsid w:val="00030AB8"/>
    <w:rsid w:val="00030B8C"/>
    <w:rsid w:val="00030E66"/>
    <w:rsid w:val="000312B1"/>
    <w:rsid w:val="00031F63"/>
    <w:rsid w:val="000326FF"/>
    <w:rsid w:val="00032819"/>
    <w:rsid w:val="00032936"/>
    <w:rsid w:val="00032971"/>
    <w:rsid w:val="00032A96"/>
    <w:rsid w:val="00032BF7"/>
    <w:rsid w:val="00032F45"/>
    <w:rsid w:val="00033AE7"/>
    <w:rsid w:val="00033B21"/>
    <w:rsid w:val="00033F4F"/>
    <w:rsid w:val="00034188"/>
    <w:rsid w:val="0003439C"/>
    <w:rsid w:val="0003446F"/>
    <w:rsid w:val="0003485C"/>
    <w:rsid w:val="000348AC"/>
    <w:rsid w:val="000348DE"/>
    <w:rsid w:val="00034B71"/>
    <w:rsid w:val="00034D61"/>
    <w:rsid w:val="00035FBE"/>
    <w:rsid w:val="00036545"/>
    <w:rsid w:val="000369C8"/>
    <w:rsid w:val="00036AB7"/>
    <w:rsid w:val="00036B46"/>
    <w:rsid w:val="00036C83"/>
    <w:rsid w:val="00036EA0"/>
    <w:rsid w:val="00037009"/>
    <w:rsid w:val="0003715D"/>
    <w:rsid w:val="0003735A"/>
    <w:rsid w:val="00037394"/>
    <w:rsid w:val="000375F5"/>
    <w:rsid w:val="00037610"/>
    <w:rsid w:val="000376AE"/>
    <w:rsid w:val="00037D5F"/>
    <w:rsid w:val="00037E87"/>
    <w:rsid w:val="00040291"/>
    <w:rsid w:val="000402FE"/>
    <w:rsid w:val="000405C0"/>
    <w:rsid w:val="00040E31"/>
    <w:rsid w:val="00041034"/>
    <w:rsid w:val="00041281"/>
    <w:rsid w:val="00041850"/>
    <w:rsid w:val="00041A18"/>
    <w:rsid w:val="00041B86"/>
    <w:rsid w:val="00041E31"/>
    <w:rsid w:val="00042071"/>
    <w:rsid w:val="00042A28"/>
    <w:rsid w:val="00042D2A"/>
    <w:rsid w:val="00042DA9"/>
    <w:rsid w:val="0004329E"/>
    <w:rsid w:val="0004364C"/>
    <w:rsid w:val="000436CA"/>
    <w:rsid w:val="0004371B"/>
    <w:rsid w:val="000437D8"/>
    <w:rsid w:val="000438ED"/>
    <w:rsid w:val="00043B09"/>
    <w:rsid w:val="00043EB4"/>
    <w:rsid w:val="0004401F"/>
    <w:rsid w:val="0004431F"/>
    <w:rsid w:val="0004452D"/>
    <w:rsid w:val="00044752"/>
    <w:rsid w:val="0004478F"/>
    <w:rsid w:val="0004483E"/>
    <w:rsid w:val="00044942"/>
    <w:rsid w:val="00044D58"/>
    <w:rsid w:val="000450AE"/>
    <w:rsid w:val="000451FF"/>
    <w:rsid w:val="00045230"/>
    <w:rsid w:val="0004537B"/>
    <w:rsid w:val="0004552D"/>
    <w:rsid w:val="000459C2"/>
    <w:rsid w:val="00045A1D"/>
    <w:rsid w:val="0004655D"/>
    <w:rsid w:val="000469DA"/>
    <w:rsid w:val="0004726F"/>
    <w:rsid w:val="000473DB"/>
    <w:rsid w:val="000475CC"/>
    <w:rsid w:val="00051140"/>
    <w:rsid w:val="000518F3"/>
    <w:rsid w:val="00051DFA"/>
    <w:rsid w:val="00052055"/>
    <w:rsid w:val="000526A2"/>
    <w:rsid w:val="000527FB"/>
    <w:rsid w:val="00052844"/>
    <w:rsid w:val="00052897"/>
    <w:rsid w:val="00052963"/>
    <w:rsid w:val="00053073"/>
    <w:rsid w:val="000531D8"/>
    <w:rsid w:val="00053993"/>
    <w:rsid w:val="00053B6D"/>
    <w:rsid w:val="00053BBB"/>
    <w:rsid w:val="000542A3"/>
    <w:rsid w:val="00054412"/>
    <w:rsid w:val="0005467A"/>
    <w:rsid w:val="00054814"/>
    <w:rsid w:val="00054866"/>
    <w:rsid w:val="00055594"/>
    <w:rsid w:val="0005568D"/>
    <w:rsid w:val="000556BE"/>
    <w:rsid w:val="00055B9F"/>
    <w:rsid w:val="00055F0D"/>
    <w:rsid w:val="00056066"/>
    <w:rsid w:val="0005680D"/>
    <w:rsid w:val="00057A23"/>
    <w:rsid w:val="00060111"/>
    <w:rsid w:val="000608E4"/>
    <w:rsid w:val="000609A7"/>
    <w:rsid w:val="00060C59"/>
    <w:rsid w:val="0006130B"/>
    <w:rsid w:val="00061ACF"/>
    <w:rsid w:val="0006220F"/>
    <w:rsid w:val="0006231A"/>
    <w:rsid w:val="00062420"/>
    <w:rsid w:val="00062595"/>
    <w:rsid w:val="0006283C"/>
    <w:rsid w:val="00063167"/>
    <w:rsid w:val="00063383"/>
    <w:rsid w:val="000637B9"/>
    <w:rsid w:val="00063EC2"/>
    <w:rsid w:val="00064016"/>
    <w:rsid w:val="00064243"/>
    <w:rsid w:val="00064454"/>
    <w:rsid w:val="000644D1"/>
    <w:rsid w:val="0006458A"/>
    <w:rsid w:val="00064861"/>
    <w:rsid w:val="000649C0"/>
    <w:rsid w:val="00064AAB"/>
    <w:rsid w:val="00064AC0"/>
    <w:rsid w:val="00064F6E"/>
    <w:rsid w:val="000650C2"/>
    <w:rsid w:val="00065D97"/>
    <w:rsid w:val="0006610F"/>
    <w:rsid w:val="0006618E"/>
    <w:rsid w:val="000665C6"/>
    <w:rsid w:val="00066829"/>
    <w:rsid w:val="00066925"/>
    <w:rsid w:val="000669A5"/>
    <w:rsid w:val="00066CCF"/>
    <w:rsid w:val="00066DD9"/>
    <w:rsid w:val="000672F0"/>
    <w:rsid w:val="00067335"/>
    <w:rsid w:val="00067AFB"/>
    <w:rsid w:val="00067DE0"/>
    <w:rsid w:val="0007091C"/>
    <w:rsid w:val="00070A8C"/>
    <w:rsid w:val="00070CE8"/>
    <w:rsid w:val="00070E4C"/>
    <w:rsid w:val="00070ED0"/>
    <w:rsid w:val="00070EDE"/>
    <w:rsid w:val="00070FE0"/>
    <w:rsid w:val="00071276"/>
    <w:rsid w:val="000714DD"/>
    <w:rsid w:val="00071F79"/>
    <w:rsid w:val="000723FF"/>
    <w:rsid w:val="00072A16"/>
    <w:rsid w:val="00073575"/>
    <w:rsid w:val="00073A33"/>
    <w:rsid w:val="00073F7E"/>
    <w:rsid w:val="000744B1"/>
    <w:rsid w:val="000747C8"/>
    <w:rsid w:val="00074940"/>
    <w:rsid w:val="000749CA"/>
    <w:rsid w:val="00075576"/>
    <w:rsid w:val="000755CB"/>
    <w:rsid w:val="00075A3C"/>
    <w:rsid w:val="00075F5A"/>
    <w:rsid w:val="000765D1"/>
    <w:rsid w:val="00076F70"/>
    <w:rsid w:val="0007711C"/>
    <w:rsid w:val="000774A3"/>
    <w:rsid w:val="0007752A"/>
    <w:rsid w:val="0007760C"/>
    <w:rsid w:val="00077920"/>
    <w:rsid w:val="000803A5"/>
    <w:rsid w:val="0008073F"/>
    <w:rsid w:val="000807B1"/>
    <w:rsid w:val="00080ADE"/>
    <w:rsid w:val="00080B32"/>
    <w:rsid w:val="000810D8"/>
    <w:rsid w:val="00081336"/>
    <w:rsid w:val="000813F2"/>
    <w:rsid w:val="00081E28"/>
    <w:rsid w:val="00082426"/>
    <w:rsid w:val="000825F2"/>
    <w:rsid w:val="00082602"/>
    <w:rsid w:val="00082CC3"/>
    <w:rsid w:val="00083494"/>
    <w:rsid w:val="00083542"/>
    <w:rsid w:val="000837B0"/>
    <w:rsid w:val="0008393D"/>
    <w:rsid w:val="00083B1C"/>
    <w:rsid w:val="00083BA4"/>
    <w:rsid w:val="00083C29"/>
    <w:rsid w:val="00083C9E"/>
    <w:rsid w:val="000846D0"/>
    <w:rsid w:val="00084863"/>
    <w:rsid w:val="00084B48"/>
    <w:rsid w:val="00084E50"/>
    <w:rsid w:val="0008513F"/>
    <w:rsid w:val="000857D9"/>
    <w:rsid w:val="0008580D"/>
    <w:rsid w:val="00085A0A"/>
    <w:rsid w:val="00085BF0"/>
    <w:rsid w:val="00085F57"/>
    <w:rsid w:val="000862A0"/>
    <w:rsid w:val="00086476"/>
    <w:rsid w:val="0008649F"/>
    <w:rsid w:val="0008709C"/>
    <w:rsid w:val="0008736F"/>
    <w:rsid w:val="000877C0"/>
    <w:rsid w:val="0008792A"/>
    <w:rsid w:val="00087AAF"/>
    <w:rsid w:val="00090282"/>
    <w:rsid w:val="00090848"/>
    <w:rsid w:val="0009091F"/>
    <w:rsid w:val="00090EB0"/>
    <w:rsid w:val="00090F4E"/>
    <w:rsid w:val="00092051"/>
    <w:rsid w:val="000920F1"/>
    <w:rsid w:val="00092607"/>
    <w:rsid w:val="000928A3"/>
    <w:rsid w:val="0009298A"/>
    <w:rsid w:val="00093229"/>
    <w:rsid w:val="00093285"/>
    <w:rsid w:val="000932E7"/>
    <w:rsid w:val="000934E2"/>
    <w:rsid w:val="00093504"/>
    <w:rsid w:val="000945A0"/>
    <w:rsid w:val="00094D64"/>
    <w:rsid w:val="0009557E"/>
    <w:rsid w:val="000955D5"/>
    <w:rsid w:val="000958B2"/>
    <w:rsid w:val="00095902"/>
    <w:rsid w:val="00095940"/>
    <w:rsid w:val="0009595C"/>
    <w:rsid w:val="000968C1"/>
    <w:rsid w:val="00096DBA"/>
    <w:rsid w:val="0009767B"/>
    <w:rsid w:val="00097EED"/>
    <w:rsid w:val="000A07A3"/>
    <w:rsid w:val="000A0831"/>
    <w:rsid w:val="000A091F"/>
    <w:rsid w:val="000A0BE5"/>
    <w:rsid w:val="000A0F7B"/>
    <w:rsid w:val="000A16B7"/>
    <w:rsid w:val="000A1ADD"/>
    <w:rsid w:val="000A1ADE"/>
    <w:rsid w:val="000A1E7A"/>
    <w:rsid w:val="000A21B8"/>
    <w:rsid w:val="000A250C"/>
    <w:rsid w:val="000A2AB3"/>
    <w:rsid w:val="000A2FF7"/>
    <w:rsid w:val="000A2FFA"/>
    <w:rsid w:val="000A322F"/>
    <w:rsid w:val="000A37AE"/>
    <w:rsid w:val="000A3F1C"/>
    <w:rsid w:val="000A40AE"/>
    <w:rsid w:val="000A4131"/>
    <w:rsid w:val="000A4686"/>
    <w:rsid w:val="000A49BC"/>
    <w:rsid w:val="000A49DE"/>
    <w:rsid w:val="000A4DFC"/>
    <w:rsid w:val="000A5306"/>
    <w:rsid w:val="000A57BC"/>
    <w:rsid w:val="000A5A96"/>
    <w:rsid w:val="000A5E26"/>
    <w:rsid w:val="000A605C"/>
    <w:rsid w:val="000A6A15"/>
    <w:rsid w:val="000A6A61"/>
    <w:rsid w:val="000A702A"/>
    <w:rsid w:val="000A7320"/>
    <w:rsid w:val="000A75A9"/>
    <w:rsid w:val="000A7C6F"/>
    <w:rsid w:val="000B010A"/>
    <w:rsid w:val="000B01AE"/>
    <w:rsid w:val="000B020C"/>
    <w:rsid w:val="000B03F3"/>
    <w:rsid w:val="000B0D83"/>
    <w:rsid w:val="000B10EB"/>
    <w:rsid w:val="000B1101"/>
    <w:rsid w:val="000B1210"/>
    <w:rsid w:val="000B129F"/>
    <w:rsid w:val="000B1354"/>
    <w:rsid w:val="000B16CA"/>
    <w:rsid w:val="000B1762"/>
    <w:rsid w:val="000B1C2B"/>
    <w:rsid w:val="000B1C59"/>
    <w:rsid w:val="000B1FA4"/>
    <w:rsid w:val="000B24BB"/>
    <w:rsid w:val="000B26EE"/>
    <w:rsid w:val="000B30D9"/>
    <w:rsid w:val="000B3D01"/>
    <w:rsid w:val="000B3E3B"/>
    <w:rsid w:val="000B4279"/>
    <w:rsid w:val="000B4CB9"/>
    <w:rsid w:val="000B4FB3"/>
    <w:rsid w:val="000B5395"/>
    <w:rsid w:val="000B59AC"/>
    <w:rsid w:val="000B5EDC"/>
    <w:rsid w:val="000B639D"/>
    <w:rsid w:val="000B67D3"/>
    <w:rsid w:val="000B695D"/>
    <w:rsid w:val="000B6AB0"/>
    <w:rsid w:val="000B6DFC"/>
    <w:rsid w:val="000B6F61"/>
    <w:rsid w:val="000B6F99"/>
    <w:rsid w:val="000B7231"/>
    <w:rsid w:val="000B7777"/>
    <w:rsid w:val="000B7883"/>
    <w:rsid w:val="000C00BD"/>
    <w:rsid w:val="000C044C"/>
    <w:rsid w:val="000C052C"/>
    <w:rsid w:val="000C0725"/>
    <w:rsid w:val="000C0994"/>
    <w:rsid w:val="000C0C1D"/>
    <w:rsid w:val="000C0D41"/>
    <w:rsid w:val="000C1216"/>
    <w:rsid w:val="000C1258"/>
    <w:rsid w:val="000C130B"/>
    <w:rsid w:val="000C1463"/>
    <w:rsid w:val="000C1609"/>
    <w:rsid w:val="000C1BBC"/>
    <w:rsid w:val="000C1DE7"/>
    <w:rsid w:val="000C1EF5"/>
    <w:rsid w:val="000C239A"/>
    <w:rsid w:val="000C275B"/>
    <w:rsid w:val="000C2804"/>
    <w:rsid w:val="000C3178"/>
    <w:rsid w:val="000C3318"/>
    <w:rsid w:val="000C3931"/>
    <w:rsid w:val="000C3B69"/>
    <w:rsid w:val="000C3C12"/>
    <w:rsid w:val="000C41BB"/>
    <w:rsid w:val="000C4489"/>
    <w:rsid w:val="000C48F5"/>
    <w:rsid w:val="000C4A16"/>
    <w:rsid w:val="000C4C02"/>
    <w:rsid w:val="000C4D3D"/>
    <w:rsid w:val="000C56EA"/>
    <w:rsid w:val="000C5A6B"/>
    <w:rsid w:val="000C6096"/>
    <w:rsid w:val="000C62EF"/>
    <w:rsid w:val="000C63BF"/>
    <w:rsid w:val="000C67FB"/>
    <w:rsid w:val="000C6A00"/>
    <w:rsid w:val="000C6E31"/>
    <w:rsid w:val="000C6F2B"/>
    <w:rsid w:val="000C6F4A"/>
    <w:rsid w:val="000C736A"/>
    <w:rsid w:val="000C7637"/>
    <w:rsid w:val="000C7D76"/>
    <w:rsid w:val="000D0A00"/>
    <w:rsid w:val="000D0D8B"/>
    <w:rsid w:val="000D0E20"/>
    <w:rsid w:val="000D16DA"/>
    <w:rsid w:val="000D17D1"/>
    <w:rsid w:val="000D1CB5"/>
    <w:rsid w:val="000D1EE8"/>
    <w:rsid w:val="000D1FD7"/>
    <w:rsid w:val="000D223A"/>
    <w:rsid w:val="000D23E7"/>
    <w:rsid w:val="000D26DA"/>
    <w:rsid w:val="000D27FB"/>
    <w:rsid w:val="000D2BE2"/>
    <w:rsid w:val="000D2E46"/>
    <w:rsid w:val="000D333C"/>
    <w:rsid w:val="000D35CF"/>
    <w:rsid w:val="000D37F3"/>
    <w:rsid w:val="000D3DD1"/>
    <w:rsid w:val="000D4254"/>
    <w:rsid w:val="000D458E"/>
    <w:rsid w:val="000D461A"/>
    <w:rsid w:val="000D4813"/>
    <w:rsid w:val="000D49C2"/>
    <w:rsid w:val="000D4AD3"/>
    <w:rsid w:val="000D4DA8"/>
    <w:rsid w:val="000D519B"/>
    <w:rsid w:val="000D595C"/>
    <w:rsid w:val="000D5C7D"/>
    <w:rsid w:val="000D5E5B"/>
    <w:rsid w:val="000D6032"/>
    <w:rsid w:val="000D6041"/>
    <w:rsid w:val="000D6092"/>
    <w:rsid w:val="000D61C1"/>
    <w:rsid w:val="000D624E"/>
    <w:rsid w:val="000D6AB6"/>
    <w:rsid w:val="000D6D9C"/>
    <w:rsid w:val="000D77C5"/>
    <w:rsid w:val="000D77D3"/>
    <w:rsid w:val="000D7D3A"/>
    <w:rsid w:val="000D7DB1"/>
    <w:rsid w:val="000D7E8C"/>
    <w:rsid w:val="000E0475"/>
    <w:rsid w:val="000E1083"/>
    <w:rsid w:val="000E11EB"/>
    <w:rsid w:val="000E15B9"/>
    <w:rsid w:val="000E1C13"/>
    <w:rsid w:val="000E236A"/>
    <w:rsid w:val="000E250E"/>
    <w:rsid w:val="000E2861"/>
    <w:rsid w:val="000E2A0B"/>
    <w:rsid w:val="000E3004"/>
    <w:rsid w:val="000E3221"/>
    <w:rsid w:val="000E35A4"/>
    <w:rsid w:val="000E385D"/>
    <w:rsid w:val="000E38F1"/>
    <w:rsid w:val="000E3CB3"/>
    <w:rsid w:val="000E3EFD"/>
    <w:rsid w:val="000E421A"/>
    <w:rsid w:val="000E48FF"/>
    <w:rsid w:val="000E4B51"/>
    <w:rsid w:val="000E4F5A"/>
    <w:rsid w:val="000E53C7"/>
    <w:rsid w:val="000E571A"/>
    <w:rsid w:val="000E5897"/>
    <w:rsid w:val="000E593C"/>
    <w:rsid w:val="000E5A22"/>
    <w:rsid w:val="000E5D0B"/>
    <w:rsid w:val="000E5ECE"/>
    <w:rsid w:val="000E60CC"/>
    <w:rsid w:val="000E61B4"/>
    <w:rsid w:val="000E61C3"/>
    <w:rsid w:val="000E61D5"/>
    <w:rsid w:val="000E6545"/>
    <w:rsid w:val="000E6763"/>
    <w:rsid w:val="000E6C91"/>
    <w:rsid w:val="000E766D"/>
    <w:rsid w:val="000E7C43"/>
    <w:rsid w:val="000E7C46"/>
    <w:rsid w:val="000E7DE6"/>
    <w:rsid w:val="000E7E13"/>
    <w:rsid w:val="000F03D7"/>
    <w:rsid w:val="000F0443"/>
    <w:rsid w:val="000F06E8"/>
    <w:rsid w:val="000F0C86"/>
    <w:rsid w:val="000F100C"/>
    <w:rsid w:val="000F17A5"/>
    <w:rsid w:val="000F17B5"/>
    <w:rsid w:val="000F1A21"/>
    <w:rsid w:val="000F22AB"/>
    <w:rsid w:val="000F2888"/>
    <w:rsid w:val="000F28E0"/>
    <w:rsid w:val="000F2A6E"/>
    <w:rsid w:val="000F2D02"/>
    <w:rsid w:val="000F3209"/>
    <w:rsid w:val="000F330C"/>
    <w:rsid w:val="000F360A"/>
    <w:rsid w:val="000F3A42"/>
    <w:rsid w:val="000F3D26"/>
    <w:rsid w:val="000F3F55"/>
    <w:rsid w:val="000F42B1"/>
    <w:rsid w:val="000F434F"/>
    <w:rsid w:val="000F4749"/>
    <w:rsid w:val="000F4A04"/>
    <w:rsid w:val="000F4BFA"/>
    <w:rsid w:val="000F4C5A"/>
    <w:rsid w:val="000F57C9"/>
    <w:rsid w:val="000F5919"/>
    <w:rsid w:val="000F61C3"/>
    <w:rsid w:val="000F6206"/>
    <w:rsid w:val="000F63AE"/>
    <w:rsid w:val="000F6AD1"/>
    <w:rsid w:val="000F6D82"/>
    <w:rsid w:val="000F6F2F"/>
    <w:rsid w:val="000F7738"/>
    <w:rsid w:val="000F793A"/>
    <w:rsid w:val="000F796D"/>
    <w:rsid w:val="000F7A00"/>
    <w:rsid w:val="000F7B30"/>
    <w:rsid w:val="000F7BF8"/>
    <w:rsid w:val="000F7C34"/>
    <w:rsid w:val="000F7FF5"/>
    <w:rsid w:val="001003C9"/>
    <w:rsid w:val="00100472"/>
    <w:rsid w:val="00100643"/>
    <w:rsid w:val="001009EA"/>
    <w:rsid w:val="00100E2E"/>
    <w:rsid w:val="0010194F"/>
    <w:rsid w:val="00101C3D"/>
    <w:rsid w:val="00102A12"/>
    <w:rsid w:val="00102C38"/>
    <w:rsid w:val="00102EB7"/>
    <w:rsid w:val="00103219"/>
    <w:rsid w:val="0010363E"/>
    <w:rsid w:val="001037B2"/>
    <w:rsid w:val="00103BBE"/>
    <w:rsid w:val="00104543"/>
    <w:rsid w:val="00104712"/>
    <w:rsid w:val="00104737"/>
    <w:rsid w:val="00104962"/>
    <w:rsid w:val="00104A0B"/>
    <w:rsid w:val="00104C08"/>
    <w:rsid w:val="00104E1E"/>
    <w:rsid w:val="00105089"/>
    <w:rsid w:val="0010554B"/>
    <w:rsid w:val="00105A69"/>
    <w:rsid w:val="00105B59"/>
    <w:rsid w:val="00105C6A"/>
    <w:rsid w:val="001061C7"/>
    <w:rsid w:val="001062A9"/>
    <w:rsid w:val="001066BC"/>
    <w:rsid w:val="00106CC2"/>
    <w:rsid w:val="00106EE3"/>
    <w:rsid w:val="00106FCB"/>
    <w:rsid w:val="001073F8"/>
    <w:rsid w:val="00107BC7"/>
    <w:rsid w:val="0011033F"/>
    <w:rsid w:val="001108D6"/>
    <w:rsid w:val="00110912"/>
    <w:rsid w:val="00110B4A"/>
    <w:rsid w:val="00110E9D"/>
    <w:rsid w:val="0011119C"/>
    <w:rsid w:val="001111CD"/>
    <w:rsid w:val="00111432"/>
    <w:rsid w:val="00111623"/>
    <w:rsid w:val="00111795"/>
    <w:rsid w:val="0011189B"/>
    <w:rsid w:val="00112ECF"/>
    <w:rsid w:val="00112F19"/>
    <w:rsid w:val="00113383"/>
    <w:rsid w:val="00113959"/>
    <w:rsid w:val="00113D99"/>
    <w:rsid w:val="00113FC0"/>
    <w:rsid w:val="0011487F"/>
    <w:rsid w:val="0011528B"/>
    <w:rsid w:val="001152D0"/>
    <w:rsid w:val="00115982"/>
    <w:rsid w:val="00115ACC"/>
    <w:rsid w:val="00115B92"/>
    <w:rsid w:val="00115D13"/>
    <w:rsid w:val="00116232"/>
    <w:rsid w:val="00116505"/>
    <w:rsid w:val="00116678"/>
    <w:rsid w:val="00116929"/>
    <w:rsid w:val="00116AB2"/>
    <w:rsid w:val="00116E79"/>
    <w:rsid w:val="001172A1"/>
    <w:rsid w:val="00117F6C"/>
    <w:rsid w:val="00120B90"/>
    <w:rsid w:val="00121701"/>
    <w:rsid w:val="00121E8D"/>
    <w:rsid w:val="0012224C"/>
    <w:rsid w:val="00122525"/>
    <w:rsid w:val="001225A8"/>
    <w:rsid w:val="0012326F"/>
    <w:rsid w:val="001234C2"/>
    <w:rsid w:val="001234D8"/>
    <w:rsid w:val="001236F4"/>
    <w:rsid w:val="00123DC9"/>
    <w:rsid w:val="00123EAC"/>
    <w:rsid w:val="00124174"/>
    <w:rsid w:val="00124205"/>
    <w:rsid w:val="001246FF"/>
    <w:rsid w:val="001248B7"/>
    <w:rsid w:val="0012515B"/>
    <w:rsid w:val="00125260"/>
    <w:rsid w:val="001253CF"/>
    <w:rsid w:val="00125F26"/>
    <w:rsid w:val="00125F55"/>
    <w:rsid w:val="001260B6"/>
    <w:rsid w:val="001260F0"/>
    <w:rsid w:val="00126121"/>
    <w:rsid w:val="001266AB"/>
    <w:rsid w:val="0012679B"/>
    <w:rsid w:val="001268EE"/>
    <w:rsid w:val="00126AAD"/>
    <w:rsid w:val="00126B48"/>
    <w:rsid w:val="001276AD"/>
    <w:rsid w:val="00127A48"/>
    <w:rsid w:val="00127B0F"/>
    <w:rsid w:val="00127E00"/>
    <w:rsid w:val="00130030"/>
    <w:rsid w:val="001300D0"/>
    <w:rsid w:val="001304BC"/>
    <w:rsid w:val="00130B91"/>
    <w:rsid w:val="00130E05"/>
    <w:rsid w:val="0013153A"/>
    <w:rsid w:val="001319D0"/>
    <w:rsid w:val="00131C6F"/>
    <w:rsid w:val="00131CAA"/>
    <w:rsid w:val="00131FAC"/>
    <w:rsid w:val="00132284"/>
    <w:rsid w:val="001327AB"/>
    <w:rsid w:val="001340A1"/>
    <w:rsid w:val="00134235"/>
    <w:rsid w:val="0013464D"/>
    <w:rsid w:val="00134A1E"/>
    <w:rsid w:val="00134AAF"/>
    <w:rsid w:val="00134F2C"/>
    <w:rsid w:val="00135474"/>
    <w:rsid w:val="00135C75"/>
    <w:rsid w:val="00135D37"/>
    <w:rsid w:val="0013656A"/>
    <w:rsid w:val="001367BF"/>
    <w:rsid w:val="00137219"/>
    <w:rsid w:val="001377D4"/>
    <w:rsid w:val="00137C0F"/>
    <w:rsid w:val="00140875"/>
    <w:rsid w:val="00140BE7"/>
    <w:rsid w:val="00140E4C"/>
    <w:rsid w:val="00140FF1"/>
    <w:rsid w:val="00141120"/>
    <w:rsid w:val="0014115F"/>
    <w:rsid w:val="00141921"/>
    <w:rsid w:val="00141E4D"/>
    <w:rsid w:val="00141E7D"/>
    <w:rsid w:val="0014234D"/>
    <w:rsid w:val="0014257F"/>
    <w:rsid w:val="00142DAD"/>
    <w:rsid w:val="00142EE6"/>
    <w:rsid w:val="00142F4B"/>
    <w:rsid w:val="00143044"/>
    <w:rsid w:val="001431F5"/>
    <w:rsid w:val="00143312"/>
    <w:rsid w:val="00143476"/>
    <w:rsid w:val="0014380B"/>
    <w:rsid w:val="0014384C"/>
    <w:rsid w:val="00143DAB"/>
    <w:rsid w:val="00144345"/>
    <w:rsid w:val="00144393"/>
    <w:rsid w:val="001446BD"/>
    <w:rsid w:val="0014472A"/>
    <w:rsid w:val="00144B3C"/>
    <w:rsid w:val="00145B82"/>
    <w:rsid w:val="00145BD9"/>
    <w:rsid w:val="00145CA8"/>
    <w:rsid w:val="00145F4F"/>
    <w:rsid w:val="001461AC"/>
    <w:rsid w:val="001463EA"/>
    <w:rsid w:val="00146BC4"/>
    <w:rsid w:val="00147448"/>
    <w:rsid w:val="00147661"/>
    <w:rsid w:val="00147AC2"/>
    <w:rsid w:val="00147AE2"/>
    <w:rsid w:val="00147EF6"/>
    <w:rsid w:val="00147FB1"/>
    <w:rsid w:val="00150426"/>
    <w:rsid w:val="00150461"/>
    <w:rsid w:val="00151228"/>
    <w:rsid w:val="0015145D"/>
    <w:rsid w:val="0015156F"/>
    <w:rsid w:val="001515F7"/>
    <w:rsid w:val="0015182C"/>
    <w:rsid w:val="00151ED3"/>
    <w:rsid w:val="0015215C"/>
    <w:rsid w:val="00152DC9"/>
    <w:rsid w:val="00152E27"/>
    <w:rsid w:val="00152EA2"/>
    <w:rsid w:val="00153303"/>
    <w:rsid w:val="00153A86"/>
    <w:rsid w:val="00154427"/>
    <w:rsid w:val="00154494"/>
    <w:rsid w:val="0015533B"/>
    <w:rsid w:val="0015552C"/>
    <w:rsid w:val="00155564"/>
    <w:rsid w:val="00155872"/>
    <w:rsid w:val="00155BAC"/>
    <w:rsid w:val="00155E92"/>
    <w:rsid w:val="00156154"/>
    <w:rsid w:val="00156757"/>
    <w:rsid w:val="00156CFC"/>
    <w:rsid w:val="00156D94"/>
    <w:rsid w:val="0015705F"/>
    <w:rsid w:val="0015765E"/>
    <w:rsid w:val="00157822"/>
    <w:rsid w:val="00157847"/>
    <w:rsid w:val="0015789F"/>
    <w:rsid w:val="0015790F"/>
    <w:rsid w:val="00157B37"/>
    <w:rsid w:val="00157E75"/>
    <w:rsid w:val="00160406"/>
    <w:rsid w:val="0016063B"/>
    <w:rsid w:val="00160D15"/>
    <w:rsid w:val="00160EA9"/>
    <w:rsid w:val="0016149D"/>
    <w:rsid w:val="001615AB"/>
    <w:rsid w:val="00161DCC"/>
    <w:rsid w:val="001629B6"/>
    <w:rsid w:val="00162C3A"/>
    <w:rsid w:val="00162F20"/>
    <w:rsid w:val="00163467"/>
    <w:rsid w:val="001651F1"/>
    <w:rsid w:val="00165504"/>
    <w:rsid w:val="001657D5"/>
    <w:rsid w:val="00165950"/>
    <w:rsid w:val="00165D39"/>
    <w:rsid w:val="00165F77"/>
    <w:rsid w:val="0016609D"/>
    <w:rsid w:val="001660C8"/>
    <w:rsid w:val="001661B6"/>
    <w:rsid w:val="001662BE"/>
    <w:rsid w:val="00166495"/>
    <w:rsid w:val="001664E3"/>
    <w:rsid w:val="00166568"/>
    <w:rsid w:val="001665D3"/>
    <w:rsid w:val="0016671F"/>
    <w:rsid w:val="00166765"/>
    <w:rsid w:val="00166B05"/>
    <w:rsid w:val="00166D05"/>
    <w:rsid w:val="001673FA"/>
    <w:rsid w:val="00167761"/>
    <w:rsid w:val="001677B3"/>
    <w:rsid w:val="001679A1"/>
    <w:rsid w:val="00167F76"/>
    <w:rsid w:val="00170370"/>
    <w:rsid w:val="00170540"/>
    <w:rsid w:val="001708E0"/>
    <w:rsid w:val="00170D0C"/>
    <w:rsid w:val="00171263"/>
    <w:rsid w:val="001713B2"/>
    <w:rsid w:val="001716AA"/>
    <w:rsid w:val="00171E57"/>
    <w:rsid w:val="001722A8"/>
    <w:rsid w:val="00172785"/>
    <w:rsid w:val="001729B4"/>
    <w:rsid w:val="00172A27"/>
    <w:rsid w:val="00172BE7"/>
    <w:rsid w:val="00172FF6"/>
    <w:rsid w:val="00173049"/>
    <w:rsid w:val="00173738"/>
    <w:rsid w:val="00173E64"/>
    <w:rsid w:val="001747F5"/>
    <w:rsid w:val="00174CA0"/>
    <w:rsid w:val="00174DB0"/>
    <w:rsid w:val="0017513D"/>
    <w:rsid w:val="00175956"/>
    <w:rsid w:val="00175D3A"/>
    <w:rsid w:val="00176555"/>
    <w:rsid w:val="00176906"/>
    <w:rsid w:val="00176C9C"/>
    <w:rsid w:val="00176F36"/>
    <w:rsid w:val="00177419"/>
    <w:rsid w:val="001776B2"/>
    <w:rsid w:val="001778EA"/>
    <w:rsid w:val="00177A47"/>
    <w:rsid w:val="00180434"/>
    <w:rsid w:val="001806D0"/>
    <w:rsid w:val="00180762"/>
    <w:rsid w:val="0018076B"/>
    <w:rsid w:val="00180D58"/>
    <w:rsid w:val="001813A4"/>
    <w:rsid w:val="001813E6"/>
    <w:rsid w:val="00181476"/>
    <w:rsid w:val="001816FA"/>
    <w:rsid w:val="00181CBD"/>
    <w:rsid w:val="00182250"/>
    <w:rsid w:val="001822E6"/>
    <w:rsid w:val="001825A1"/>
    <w:rsid w:val="00182666"/>
    <w:rsid w:val="001826AA"/>
    <w:rsid w:val="001830C3"/>
    <w:rsid w:val="0018360E"/>
    <w:rsid w:val="0018386C"/>
    <w:rsid w:val="001839EE"/>
    <w:rsid w:val="00183F42"/>
    <w:rsid w:val="00184192"/>
    <w:rsid w:val="00184CA4"/>
    <w:rsid w:val="0018577B"/>
    <w:rsid w:val="00185784"/>
    <w:rsid w:val="001857E5"/>
    <w:rsid w:val="00185AD2"/>
    <w:rsid w:val="0018608C"/>
    <w:rsid w:val="00186D3F"/>
    <w:rsid w:val="00187225"/>
    <w:rsid w:val="00187393"/>
    <w:rsid w:val="00187C1B"/>
    <w:rsid w:val="00190214"/>
    <w:rsid w:val="001907AB"/>
    <w:rsid w:val="00190B19"/>
    <w:rsid w:val="00190EBF"/>
    <w:rsid w:val="00190EF6"/>
    <w:rsid w:val="001914C0"/>
    <w:rsid w:val="00191CC0"/>
    <w:rsid w:val="00191EA5"/>
    <w:rsid w:val="00192689"/>
    <w:rsid w:val="00193251"/>
    <w:rsid w:val="00193515"/>
    <w:rsid w:val="00193C19"/>
    <w:rsid w:val="00193CAA"/>
    <w:rsid w:val="00193DE6"/>
    <w:rsid w:val="00194075"/>
    <w:rsid w:val="001941C8"/>
    <w:rsid w:val="0019422E"/>
    <w:rsid w:val="001943DA"/>
    <w:rsid w:val="001944D3"/>
    <w:rsid w:val="00194577"/>
    <w:rsid w:val="00194BBD"/>
    <w:rsid w:val="0019507A"/>
    <w:rsid w:val="001957CF"/>
    <w:rsid w:val="001958FA"/>
    <w:rsid w:val="00195D3F"/>
    <w:rsid w:val="001966C5"/>
    <w:rsid w:val="00196AFE"/>
    <w:rsid w:val="00196C2B"/>
    <w:rsid w:val="00196D30"/>
    <w:rsid w:val="00196D43"/>
    <w:rsid w:val="00196D5A"/>
    <w:rsid w:val="00196EE9"/>
    <w:rsid w:val="00196F14"/>
    <w:rsid w:val="00197EF4"/>
    <w:rsid w:val="001A0261"/>
    <w:rsid w:val="001A0927"/>
    <w:rsid w:val="001A0B64"/>
    <w:rsid w:val="001A106A"/>
    <w:rsid w:val="001A13FD"/>
    <w:rsid w:val="001A14E1"/>
    <w:rsid w:val="001A157D"/>
    <w:rsid w:val="001A1C2C"/>
    <w:rsid w:val="001A1D30"/>
    <w:rsid w:val="001A2226"/>
    <w:rsid w:val="001A242A"/>
    <w:rsid w:val="001A2542"/>
    <w:rsid w:val="001A2A07"/>
    <w:rsid w:val="001A3E00"/>
    <w:rsid w:val="001A4393"/>
    <w:rsid w:val="001A445E"/>
    <w:rsid w:val="001A4558"/>
    <w:rsid w:val="001A4574"/>
    <w:rsid w:val="001A4576"/>
    <w:rsid w:val="001A474F"/>
    <w:rsid w:val="001A4B1C"/>
    <w:rsid w:val="001A4C00"/>
    <w:rsid w:val="001A4D9E"/>
    <w:rsid w:val="001A5055"/>
    <w:rsid w:val="001A51DC"/>
    <w:rsid w:val="001A5337"/>
    <w:rsid w:val="001A58CC"/>
    <w:rsid w:val="001A5CF4"/>
    <w:rsid w:val="001A5D33"/>
    <w:rsid w:val="001A62CC"/>
    <w:rsid w:val="001A664C"/>
    <w:rsid w:val="001A68B8"/>
    <w:rsid w:val="001A6BCB"/>
    <w:rsid w:val="001A701B"/>
    <w:rsid w:val="001A723D"/>
    <w:rsid w:val="001A7574"/>
    <w:rsid w:val="001A763D"/>
    <w:rsid w:val="001A791A"/>
    <w:rsid w:val="001A7DD3"/>
    <w:rsid w:val="001B0541"/>
    <w:rsid w:val="001B07DB"/>
    <w:rsid w:val="001B1202"/>
    <w:rsid w:val="001B15A6"/>
    <w:rsid w:val="001B189E"/>
    <w:rsid w:val="001B19AC"/>
    <w:rsid w:val="001B1E43"/>
    <w:rsid w:val="001B213D"/>
    <w:rsid w:val="001B223A"/>
    <w:rsid w:val="001B22C6"/>
    <w:rsid w:val="001B22D9"/>
    <w:rsid w:val="001B27EB"/>
    <w:rsid w:val="001B2B94"/>
    <w:rsid w:val="001B2C16"/>
    <w:rsid w:val="001B4C1F"/>
    <w:rsid w:val="001B4F58"/>
    <w:rsid w:val="001B53F1"/>
    <w:rsid w:val="001B55AE"/>
    <w:rsid w:val="001B5BB9"/>
    <w:rsid w:val="001B5C51"/>
    <w:rsid w:val="001B5FFC"/>
    <w:rsid w:val="001B6292"/>
    <w:rsid w:val="001B6304"/>
    <w:rsid w:val="001B6422"/>
    <w:rsid w:val="001B6B9B"/>
    <w:rsid w:val="001B6CDB"/>
    <w:rsid w:val="001B6EFB"/>
    <w:rsid w:val="001B6F60"/>
    <w:rsid w:val="001B7739"/>
    <w:rsid w:val="001B7AC4"/>
    <w:rsid w:val="001B7B3E"/>
    <w:rsid w:val="001B7DE9"/>
    <w:rsid w:val="001B7E78"/>
    <w:rsid w:val="001C0275"/>
    <w:rsid w:val="001C0A7C"/>
    <w:rsid w:val="001C0BEB"/>
    <w:rsid w:val="001C1586"/>
    <w:rsid w:val="001C1656"/>
    <w:rsid w:val="001C2076"/>
    <w:rsid w:val="001C2661"/>
    <w:rsid w:val="001C274B"/>
    <w:rsid w:val="001C2885"/>
    <w:rsid w:val="001C296C"/>
    <w:rsid w:val="001C3566"/>
    <w:rsid w:val="001C37A3"/>
    <w:rsid w:val="001C3A60"/>
    <w:rsid w:val="001C4203"/>
    <w:rsid w:val="001C469D"/>
    <w:rsid w:val="001C4790"/>
    <w:rsid w:val="001C49D6"/>
    <w:rsid w:val="001C4E91"/>
    <w:rsid w:val="001C5010"/>
    <w:rsid w:val="001C5044"/>
    <w:rsid w:val="001C506F"/>
    <w:rsid w:val="001C5126"/>
    <w:rsid w:val="001C53A5"/>
    <w:rsid w:val="001C58E8"/>
    <w:rsid w:val="001C5A5B"/>
    <w:rsid w:val="001C5A83"/>
    <w:rsid w:val="001C5D9F"/>
    <w:rsid w:val="001C616A"/>
    <w:rsid w:val="001C650F"/>
    <w:rsid w:val="001C68C1"/>
    <w:rsid w:val="001C6927"/>
    <w:rsid w:val="001C694F"/>
    <w:rsid w:val="001C6ED4"/>
    <w:rsid w:val="001C6EDF"/>
    <w:rsid w:val="001C7A89"/>
    <w:rsid w:val="001C7C20"/>
    <w:rsid w:val="001C7CD5"/>
    <w:rsid w:val="001C7E3A"/>
    <w:rsid w:val="001D025B"/>
    <w:rsid w:val="001D05A6"/>
    <w:rsid w:val="001D0B08"/>
    <w:rsid w:val="001D0BA4"/>
    <w:rsid w:val="001D0E8B"/>
    <w:rsid w:val="001D139A"/>
    <w:rsid w:val="001D1409"/>
    <w:rsid w:val="001D1C0B"/>
    <w:rsid w:val="001D20FA"/>
    <w:rsid w:val="001D23F1"/>
    <w:rsid w:val="001D2798"/>
    <w:rsid w:val="001D27E8"/>
    <w:rsid w:val="001D2A21"/>
    <w:rsid w:val="001D359C"/>
    <w:rsid w:val="001D35DA"/>
    <w:rsid w:val="001D360C"/>
    <w:rsid w:val="001D45E6"/>
    <w:rsid w:val="001D49EA"/>
    <w:rsid w:val="001D4C24"/>
    <w:rsid w:val="001D4C5F"/>
    <w:rsid w:val="001D4D77"/>
    <w:rsid w:val="001D5347"/>
    <w:rsid w:val="001D5A4B"/>
    <w:rsid w:val="001D5D5D"/>
    <w:rsid w:val="001D63FE"/>
    <w:rsid w:val="001D6404"/>
    <w:rsid w:val="001D6823"/>
    <w:rsid w:val="001D6946"/>
    <w:rsid w:val="001D6C4F"/>
    <w:rsid w:val="001D757C"/>
    <w:rsid w:val="001D759F"/>
    <w:rsid w:val="001D780A"/>
    <w:rsid w:val="001D7E43"/>
    <w:rsid w:val="001D7F10"/>
    <w:rsid w:val="001E0484"/>
    <w:rsid w:val="001E051D"/>
    <w:rsid w:val="001E0596"/>
    <w:rsid w:val="001E0DCD"/>
    <w:rsid w:val="001E1200"/>
    <w:rsid w:val="001E137D"/>
    <w:rsid w:val="001E1764"/>
    <w:rsid w:val="001E17D3"/>
    <w:rsid w:val="001E1879"/>
    <w:rsid w:val="001E196E"/>
    <w:rsid w:val="001E1BE5"/>
    <w:rsid w:val="001E1D19"/>
    <w:rsid w:val="001E1D40"/>
    <w:rsid w:val="001E1D83"/>
    <w:rsid w:val="001E2348"/>
    <w:rsid w:val="001E25C7"/>
    <w:rsid w:val="001E2B3A"/>
    <w:rsid w:val="001E2B77"/>
    <w:rsid w:val="001E2BBF"/>
    <w:rsid w:val="001E3063"/>
    <w:rsid w:val="001E31E8"/>
    <w:rsid w:val="001E34B8"/>
    <w:rsid w:val="001E3674"/>
    <w:rsid w:val="001E3D2C"/>
    <w:rsid w:val="001E3F21"/>
    <w:rsid w:val="001E4590"/>
    <w:rsid w:val="001E4761"/>
    <w:rsid w:val="001E481D"/>
    <w:rsid w:val="001E488F"/>
    <w:rsid w:val="001E4D57"/>
    <w:rsid w:val="001E5061"/>
    <w:rsid w:val="001E518B"/>
    <w:rsid w:val="001E574E"/>
    <w:rsid w:val="001E5B69"/>
    <w:rsid w:val="001E5D5B"/>
    <w:rsid w:val="001E5FFB"/>
    <w:rsid w:val="001E7492"/>
    <w:rsid w:val="001E75FF"/>
    <w:rsid w:val="001E7903"/>
    <w:rsid w:val="001E7E30"/>
    <w:rsid w:val="001F008B"/>
    <w:rsid w:val="001F03B2"/>
    <w:rsid w:val="001F06EE"/>
    <w:rsid w:val="001F0DFF"/>
    <w:rsid w:val="001F1166"/>
    <w:rsid w:val="001F132D"/>
    <w:rsid w:val="001F175D"/>
    <w:rsid w:val="001F1B30"/>
    <w:rsid w:val="001F1D04"/>
    <w:rsid w:val="001F1FC8"/>
    <w:rsid w:val="001F2011"/>
    <w:rsid w:val="001F20D7"/>
    <w:rsid w:val="001F2544"/>
    <w:rsid w:val="001F2899"/>
    <w:rsid w:val="001F296A"/>
    <w:rsid w:val="001F2C36"/>
    <w:rsid w:val="001F2DB9"/>
    <w:rsid w:val="001F3A46"/>
    <w:rsid w:val="001F3A75"/>
    <w:rsid w:val="001F3D05"/>
    <w:rsid w:val="001F3DB3"/>
    <w:rsid w:val="001F3E14"/>
    <w:rsid w:val="001F42E3"/>
    <w:rsid w:val="001F44D3"/>
    <w:rsid w:val="001F49C4"/>
    <w:rsid w:val="001F4BF2"/>
    <w:rsid w:val="001F523C"/>
    <w:rsid w:val="001F549F"/>
    <w:rsid w:val="001F59AF"/>
    <w:rsid w:val="001F6BFF"/>
    <w:rsid w:val="001F6C34"/>
    <w:rsid w:val="001F6C47"/>
    <w:rsid w:val="001F6EB2"/>
    <w:rsid w:val="001F7004"/>
    <w:rsid w:val="001F758F"/>
    <w:rsid w:val="001F7781"/>
    <w:rsid w:val="001F7D41"/>
    <w:rsid w:val="002004A6"/>
    <w:rsid w:val="00200B64"/>
    <w:rsid w:val="00200C27"/>
    <w:rsid w:val="00200CB0"/>
    <w:rsid w:val="00200D75"/>
    <w:rsid w:val="00200F10"/>
    <w:rsid w:val="002010FF"/>
    <w:rsid w:val="002015C6"/>
    <w:rsid w:val="002017EB"/>
    <w:rsid w:val="00201EF5"/>
    <w:rsid w:val="002020FD"/>
    <w:rsid w:val="002022CA"/>
    <w:rsid w:val="0020278E"/>
    <w:rsid w:val="00202D7D"/>
    <w:rsid w:val="00202E8A"/>
    <w:rsid w:val="00202F48"/>
    <w:rsid w:val="002030BE"/>
    <w:rsid w:val="00203C5D"/>
    <w:rsid w:val="00203FB7"/>
    <w:rsid w:val="00204592"/>
    <w:rsid w:val="0020479E"/>
    <w:rsid w:val="00204A34"/>
    <w:rsid w:val="00205026"/>
    <w:rsid w:val="00205422"/>
    <w:rsid w:val="002055AE"/>
    <w:rsid w:val="0020568F"/>
    <w:rsid w:val="0020574F"/>
    <w:rsid w:val="002057E5"/>
    <w:rsid w:val="00206332"/>
    <w:rsid w:val="00206474"/>
    <w:rsid w:val="00206AC5"/>
    <w:rsid w:val="00206C02"/>
    <w:rsid w:val="00207107"/>
    <w:rsid w:val="002072E6"/>
    <w:rsid w:val="0020741F"/>
    <w:rsid w:val="00207652"/>
    <w:rsid w:val="00207812"/>
    <w:rsid w:val="0020785A"/>
    <w:rsid w:val="00207995"/>
    <w:rsid w:val="002079A7"/>
    <w:rsid w:val="00207A25"/>
    <w:rsid w:val="00207AF2"/>
    <w:rsid w:val="00207B47"/>
    <w:rsid w:val="00207F54"/>
    <w:rsid w:val="0021040B"/>
    <w:rsid w:val="0021058C"/>
    <w:rsid w:val="00210804"/>
    <w:rsid w:val="00210971"/>
    <w:rsid w:val="00210DDE"/>
    <w:rsid w:val="002110CB"/>
    <w:rsid w:val="002111F9"/>
    <w:rsid w:val="00211291"/>
    <w:rsid w:val="00211DF9"/>
    <w:rsid w:val="00211F87"/>
    <w:rsid w:val="002124AC"/>
    <w:rsid w:val="002125AE"/>
    <w:rsid w:val="002127B4"/>
    <w:rsid w:val="0021288C"/>
    <w:rsid w:val="002129FC"/>
    <w:rsid w:val="00212BD5"/>
    <w:rsid w:val="00212DCA"/>
    <w:rsid w:val="00213988"/>
    <w:rsid w:val="00213999"/>
    <w:rsid w:val="002143BE"/>
    <w:rsid w:val="00214A49"/>
    <w:rsid w:val="00214AC9"/>
    <w:rsid w:val="00214BB2"/>
    <w:rsid w:val="0021538E"/>
    <w:rsid w:val="00215571"/>
    <w:rsid w:val="002161D7"/>
    <w:rsid w:val="00216FF8"/>
    <w:rsid w:val="002170E0"/>
    <w:rsid w:val="0021751C"/>
    <w:rsid w:val="002202E5"/>
    <w:rsid w:val="00220F21"/>
    <w:rsid w:val="00221583"/>
    <w:rsid w:val="00221683"/>
    <w:rsid w:val="002217F6"/>
    <w:rsid w:val="00221F4F"/>
    <w:rsid w:val="002221D8"/>
    <w:rsid w:val="002227F6"/>
    <w:rsid w:val="002228CF"/>
    <w:rsid w:val="00222927"/>
    <w:rsid w:val="00223629"/>
    <w:rsid w:val="00223697"/>
    <w:rsid w:val="0022389D"/>
    <w:rsid w:val="00223AE2"/>
    <w:rsid w:val="00223C0B"/>
    <w:rsid w:val="00223C57"/>
    <w:rsid w:val="00223E15"/>
    <w:rsid w:val="00223FB5"/>
    <w:rsid w:val="0022414B"/>
    <w:rsid w:val="00224267"/>
    <w:rsid w:val="0022479B"/>
    <w:rsid w:val="00224915"/>
    <w:rsid w:val="002254DF"/>
    <w:rsid w:val="002259FB"/>
    <w:rsid w:val="00226143"/>
    <w:rsid w:val="0022614E"/>
    <w:rsid w:val="00226514"/>
    <w:rsid w:val="00226638"/>
    <w:rsid w:val="00226699"/>
    <w:rsid w:val="00226868"/>
    <w:rsid w:val="002269E8"/>
    <w:rsid w:val="00226AF1"/>
    <w:rsid w:val="00226B62"/>
    <w:rsid w:val="00226C4B"/>
    <w:rsid w:val="00226F5B"/>
    <w:rsid w:val="00227147"/>
    <w:rsid w:val="0022766F"/>
    <w:rsid w:val="00227952"/>
    <w:rsid w:val="00227A08"/>
    <w:rsid w:val="00227A1D"/>
    <w:rsid w:val="00230FDC"/>
    <w:rsid w:val="00231218"/>
    <w:rsid w:val="00231261"/>
    <w:rsid w:val="002313AF"/>
    <w:rsid w:val="00231428"/>
    <w:rsid w:val="00231846"/>
    <w:rsid w:val="00231B2C"/>
    <w:rsid w:val="00231F93"/>
    <w:rsid w:val="00232C79"/>
    <w:rsid w:val="00232DDE"/>
    <w:rsid w:val="00232F7D"/>
    <w:rsid w:val="0023378E"/>
    <w:rsid w:val="00233A0D"/>
    <w:rsid w:val="00233BD7"/>
    <w:rsid w:val="00233E08"/>
    <w:rsid w:val="00233F7E"/>
    <w:rsid w:val="0023400E"/>
    <w:rsid w:val="00234451"/>
    <w:rsid w:val="002344C0"/>
    <w:rsid w:val="00234587"/>
    <w:rsid w:val="00234727"/>
    <w:rsid w:val="0023480D"/>
    <w:rsid w:val="00234825"/>
    <w:rsid w:val="00234DC9"/>
    <w:rsid w:val="0023508C"/>
    <w:rsid w:val="00235657"/>
    <w:rsid w:val="002356DD"/>
    <w:rsid w:val="002357BA"/>
    <w:rsid w:val="00235850"/>
    <w:rsid w:val="00235BDB"/>
    <w:rsid w:val="002362B3"/>
    <w:rsid w:val="00236EBE"/>
    <w:rsid w:val="00236F2F"/>
    <w:rsid w:val="00236FCC"/>
    <w:rsid w:val="00237997"/>
    <w:rsid w:val="00237A81"/>
    <w:rsid w:val="00237F4E"/>
    <w:rsid w:val="002402F5"/>
    <w:rsid w:val="002407A6"/>
    <w:rsid w:val="002407E7"/>
    <w:rsid w:val="00240F26"/>
    <w:rsid w:val="00240F41"/>
    <w:rsid w:val="002410A3"/>
    <w:rsid w:val="00241597"/>
    <w:rsid w:val="002416C9"/>
    <w:rsid w:val="002421DF"/>
    <w:rsid w:val="0024267C"/>
    <w:rsid w:val="00242862"/>
    <w:rsid w:val="00242A0A"/>
    <w:rsid w:val="00242CAA"/>
    <w:rsid w:val="00242D3B"/>
    <w:rsid w:val="00243420"/>
    <w:rsid w:val="00243DCD"/>
    <w:rsid w:val="00243F5F"/>
    <w:rsid w:val="00244EB0"/>
    <w:rsid w:val="00245314"/>
    <w:rsid w:val="002453D0"/>
    <w:rsid w:val="002454C0"/>
    <w:rsid w:val="0024589F"/>
    <w:rsid w:val="0024594B"/>
    <w:rsid w:val="00245B14"/>
    <w:rsid w:val="00245B38"/>
    <w:rsid w:val="00246B83"/>
    <w:rsid w:val="00246C43"/>
    <w:rsid w:val="00246ED2"/>
    <w:rsid w:val="00247279"/>
    <w:rsid w:val="0024745B"/>
    <w:rsid w:val="00247AA5"/>
    <w:rsid w:val="00250067"/>
    <w:rsid w:val="00250429"/>
    <w:rsid w:val="0025060E"/>
    <w:rsid w:val="0025081C"/>
    <w:rsid w:val="00250862"/>
    <w:rsid w:val="00250A8A"/>
    <w:rsid w:val="00250D53"/>
    <w:rsid w:val="00251390"/>
    <w:rsid w:val="00251971"/>
    <w:rsid w:val="00251A89"/>
    <w:rsid w:val="00251AA9"/>
    <w:rsid w:val="0025271F"/>
    <w:rsid w:val="00252748"/>
    <w:rsid w:val="0025286A"/>
    <w:rsid w:val="002529A6"/>
    <w:rsid w:val="00252BB0"/>
    <w:rsid w:val="00253281"/>
    <w:rsid w:val="00253736"/>
    <w:rsid w:val="00253BB5"/>
    <w:rsid w:val="00253F35"/>
    <w:rsid w:val="0025404F"/>
    <w:rsid w:val="00254313"/>
    <w:rsid w:val="00254582"/>
    <w:rsid w:val="00254737"/>
    <w:rsid w:val="00254A4B"/>
    <w:rsid w:val="00254D8E"/>
    <w:rsid w:val="00254DB8"/>
    <w:rsid w:val="00255429"/>
    <w:rsid w:val="00255742"/>
    <w:rsid w:val="0025680D"/>
    <w:rsid w:val="0025689D"/>
    <w:rsid w:val="00256A1F"/>
    <w:rsid w:val="00256C1C"/>
    <w:rsid w:val="00256F0C"/>
    <w:rsid w:val="002570A3"/>
    <w:rsid w:val="002576F3"/>
    <w:rsid w:val="002579A9"/>
    <w:rsid w:val="002601F4"/>
    <w:rsid w:val="0026065F"/>
    <w:rsid w:val="00260873"/>
    <w:rsid w:val="002608F8"/>
    <w:rsid w:val="002609A9"/>
    <w:rsid w:val="00260D9F"/>
    <w:rsid w:val="00261516"/>
    <w:rsid w:val="00261813"/>
    <w:rsid w:val="00261F6A"/>
    <w:rsid w:val="00262434"/>
    <w:rsid w:val="00262569"/>
    <w:rsid w:val="00262763"/>
    <w:rsid w:val="002628B9"/>
    <w:rsid w:val="00262928"/>
    <w:rsid w:val="00262A8F"/>
    <w:rsid w:val="00262E7C"/>
    <w:rsid w:val="0026361D"/>
    <w:rsid w:val="00263A5C"/>
    <w:rsid w:val="00263AFA"/>
    <w:rsid w:val="0026443F"/>
    <w:rsid w:val="00264BCD"/>
    <w:rsid w:val="00264E50"/>
    <w:rsid w:val="00264F41"/>
    <w:rsid w:val="002651DF"/>
    <w:rsid w:val="00266137"/>
    <w:rsid w:val="002661F2"/>
    <w:rsid w:val="002669B2"/>
    <w:rsid w:val="00266E73"/>
    <w:rsid w:val="00267175"/>
    <w:rsid w:val="00267188"/>
    <w:rsid w:val="002671A2"/>
    <w:rsid w:val="002674CA"/>
    <w:rsid w:val="002676D9"/>
    <w:rsid w:val="002678BE"/>
    <w:rsid w:val="00267C4C"/>
    <w:rsid w:val="00267E61"/>
    <w:rsid w:val="00270081"/>
    <w:rsid w:val="00270789"/>
    <w:rsid w:val="00270946"/>
    <w:rsid w:val="00270D72"/>
    <w:rsid w:val="0027112C"/>
    <w:rsid w:val="002716C9"/>
    <w:rsid w:val="00271777"/>
    <w:rsid w:val="00271AC0"/>
    <w:rsid w:val="00271CE2"/>
    <w:rsid w:val="002721AE"/>
    <w:rsid w:val="00272599"/>
    <w:rsid w:val="002725DB"/>
    <w:rsid w:val="00272F91"/>
    <w:rsid w:val="00273394"/>
    <w:rsid w:val="002733F4"/>
    <w:rsid w:val="00273C0D"/>
    <w:rsid w:val="00273F9B"/>
    <w:rsid w:val="0027408C"/>
    <w:rsid w:val="002742AD"/>
    <w:rsid w:val="00274473"/>
    <w:rsid w:val="0027449B"/>
    <w:rsid w:val="00274563"/>
    <w:rsid w:val="00274631"/>
    <w:rsid w:val="002748B2"/>
    <w:rsid w:val="00274B6A"/>
    <w:rsid w:val="00274F8B"/>
    <w:rsid w:val="0027544C"/>
    <w:rsid w:val="002756FB"/>
    <w:rsid w:val="00275F2D"/>
    <w:rsid w:val="00276235"/>
    <w:rsid w:val="00276525"/>
    <w:rsid w:val="0027721D"/>
    <w:rsid w:val="002775C9"/>
    <w:rsid w:val="00277967"/>
    <w:rsid w:val="00277A2A"/>
    <w:rsid w:val="00277A8C"/>
    <w:rsid w:val="00280140"/>
    <w:rsid w:val="002801F2"/>
    <w:rsid w:val="0028055A"/>
    <w:rsid w:val="0028083F"/>
    <w:rsid w:val="00280D18"/>
    <w:rsid w:val="002812E7"/>
    <w:rsid w:val="00281431"/>
    <w:rsid w:val="00281511"/>
    <w:rsid w:val="00282191"/>
    <w:rsid w:val="002834B5"/>
    <w:rsid w:val="002836F9"/>
    <w:rsid w:val="002839E6"/>
    <w:rsid w:val="00283B50"/>
    <w:rsid w:val="0028403F"/>
    <w:rsid w:val="002840F7"/>
    <w:rsid w:val="00284136"/>
    <w:rsid w:val="002841B0"/>
    <w:rsid w:val="0028437E"/>
    <w:rsid w:val="00284933"/>
    <w:rsid w:val="00284A29"/>
    <w:rsid w:val="00284B34"/>
    <w:rsid w:val="00284B98"/>
    <w:rsid w:val="0028519F"/>
    <w:rsid w:val="00285764"/>
    <w:rsid w:val="002857F9"/>
    <w:rsid w:val="00285B5F"/>
    <w:rsid w:val="00286310"/>
    <w:rsid w:val="0028651E"/>
    <w:rsid w:val="00286915"/>
    <w:rsid w:val="00286994"/>
    <w:rsid w:val="00286A4E"/>
    <w:rsid w:val="00286B44"/>
    <w:rsid w:val="00287786"/>
    <w:rsid w:val="00287837"/>
    <w:rsid w:val="00287DC0"/>
    <w:rsid w:val="00287DF5"/>
    <w:rsid w:val="00287E48"/>
    <w:rsid w:val="002900A8"/>
    <w:rsid w:val="002903B5"/>
    <w:rsid w:val="00290971"/>
    <w:rsid w:val="00291110"/>
    <w:rsid w:val="00291CD0"/>
    <w:rsid w:val="00291D0B"/>
    <w:rsid w:val="00291F01"/>
    <w:rsid w:val="002920A7"/>
    <w:rsid w:val="002922D1"/>
    <w:rsid w:val="0029317B"/>
    <w:rsid w:val="00293244"/>
    <w:rsid w:val="002932A5"/>
    <w:rsid w:val="002932DC"/>
    <w:rsid w:val="0029366F"/>
    <w:rsid w:val="002938F1"/>
    <w:rsid w:val="002941DD"/>
    <w:rsid w:val="002944F9"/>
    <w:rsid w:val="00294CB7"/>
    <w:rsid w:val="00295AA8"/>
    <w:rsid w:val="00295F97"/>
    <w:rsid w:val="00296168"/>
    <w:rsid w:val="00296262"/>
    <w:rsid w:val="00296296"/>
    <w:rsid w:val="00296433"/>
    <w:rsid w:val="00296C80"/>
    <w:rsid w:val="00296CE5"/>
    <w:rsid w:val="00296CF8"/>
    <w:rsid w:val="00296FD2"/>
    <w:rsid w:val="002973A9"/>
    <w:rsid w:val="00297C78"/>
    <w:rsid w:val="00297D9B"/>
    <w:rsid w:val="00297E17"/>
    <w:rsid w:val="00297FAB"/>
    <w:rsid w:val="002A02DF"/>
    <w:rsid w:val="002A075C"/>
    <w:rsid w:val="002A13B7"/>
    <w:rsid w:val="002A26F7"/>
    <w:rsid w:val="002A274C"/>
    <w:rsid w:val="002A2A31"/>
    <w:rsid w:val="002A2D54"/>
    <w:rsid w:val="002A30FA"/>
    <w:rsid w:val="002A378A"/>
    <w:rsid w:val="002A3870"/>
    <w:rsid w:val="002A3991"/>
    <w:rsid w:val="002A3C80"/>
    <w:rsid w:val="002A3D07"/>
    <w:rsid w:val="002A4119"/>
    <w:rsid w:val="002A494D"/>
    <w:rsid w:val="002A49FD"/>
    <w:rsid w:val="002A4EB3"/>
    <w:rsid w:val="002A5313"/>
    <w:rsid w:val="002A537E"/>
    <w:rsid w:val="002A55BA"/>
    <w:rsid w:val="002A6412"/>
    <w:rsid w:val="002A6F0D"/>
    <w:rsid w:val="002A6FE6"/>
    <w:rsid w:val="002A7787"/>
    <w:rsid w:val="002A7BA1"/>
    <w:rsid w:val="002A7FE8"/>
    <w:rsid w:val="002B006A"/>
    <w:rsid w:val="002B0983"/>
    <w:rsid w:val="002B1092"/>
    <w:rsid w:val="002B1153"/>
    <w:rsid w:val="002B125A"/>
    <w:rsid w:val="002B1E2F"/>
    <w:rsid w:val="002B1E77"/>
    <w:rsid w:val="002B1F72"/>
    <w:rsid w:val="002B25C3"/>
    <w:rsid w:val="002B271F"/>
    <w:rsid w:val="002B2CD8"/>
    <w:rsid w:val="002B3094"/>
    <w:rsid w:val="002B3D22"/>
    <w:rsid w:val="002B3E6E"/>
    <w:rsid w:val="002B42EC"/>
    <w:rsid w:val="002B46BE"/>
    <w:rsid w:val="002B46F4"/>
    <w:rsid w:val="002B4E94"/>
    <w:rsid w:val="002B51AF"/>
    <w:rsid w:val="002B539B"/>
    <w:rsid w:val="002B5A37"/>
    <w:rsid w:val="002B62E0"/>
    <w:rsid w:val="002B643A"/>
    <w:rsid w:val="002B659C"/>
    <w:rsid w:val="002B687C"/>
    <w:rsid w:val="002B68B5"/>
    <w:rsid w:val="002B6C11"/>
    <w:rsid w:val="002B6DCE"/>
    <w:rsid w:val="002B7ACB"/>
    <w:rsid w:val="002B7BE0"/>
    <w:rsid w:val="002C0148"/>
    <w:rsid w:val="002C01E7"/>
    <w:rsid w:val="002C0523"/>
    <w:rsid w:val="002C05F1"/>
    <w:rsid w:val="002C0641"/>
    <w:rsid w:val="002C06BC"/>
    <w:rsid w:val="002C06DF"/>
    <w:rsid w:val="002C0A17"/>
    <w:rsid w:val="002C0E1B"/>
    <w:rsid w:val="002C0F5F"/>
    <w:rsid w:val="002C1485"/>
    <w:rsid w:val="002C18E2"/>
    <w:rsid w:val="002C191B"/>
    <w:rsid w:val="002C1CDE"/>
    <w:rsid w:val="002C1CF6"/>
    <w:rsid w:val="002C1E9E"/>
    <w:rsid w:val="002C1FD6"/>
    <w:rsid w:val="002C2609"/>
    <w:rsid w:val="002C2650"/>
    <w:rsid w:val="002C27F8"/>
    <w:rsid w:val="002C2BCF"/>
    <w:rsid w:val="002C3632"/>
    <w:rsid w:val="002C3C24"/>
    <w:rsid w:val="002C3CAF"/>
    <w:rsid w:val="002C402B"/>
    <w:rsid w:val="002C46F1"/>
    <w:rsid w:val="002C488A"/>
    <w:rsid w:val="002C5025"/>
    <w:rsid w:val="002C5480"/>
    <w:rsid w:val="002C5661"/>
    <w:rsid w:val="002C59A9"/>
    <w:rsid w:val="002C59E7"/>
    <w:rsid w:val="002C5A47"/>
    <w:rsid w:val="002C62A1"/>
    <w:rsid w:val="002C6505"/>
    <w:rsid w:val="002C741A"/>
    <w:rsid w:val="002C79A1"/>
    <w:rsid w:val="002D0081"/>
    <w:rsid w:val="002D011B"/>
    <w:rsid w:val="002D0253"/>
    <w:rsid w:val="002D0421"/>
    <w:rsid w:val="002D0A84"/>
    <w:rsid w:val="002D0DFF"/>
    <w:rsid w:val="002D0F24"/>
    <w:rsid w:val="002D1008"/>
    <w:rsid w:val="002D1079"/>
    <w:rsid w:val="002D11C3"/>
    <w:rsid w:val="002D1772"/>
    <w:rsid w:val="002D1F17"/>
    <w:rsid w:val="002D2381"/>
    <w:rsid w:val="002D2450"/>
    <w:rsid w:val="002D264D"/>
    <w:rsid w:val="002D26D1"/>
    <w:rsid w:val="002D3469"/>
    <w:rsid w:val="002D357C"/>
    <w:rsid w:val="002D35E2"/>
    <w:rsid w:val="002D376B"/>
    <w:rsid w:val="002D3853"/>
    <w:rsid w:val="002D3B85"/>
    <w:rsid w:val="002D3F0A"/>
    <w:rsid w:val="002D43AE"/>
    <w:rsid w:val="002D4842"/>
    <w:rsid w:val="002D487B"/>
    <w:rsid w:val="002D4ED8"/>
    <w:rsid w:val="002D4F3A"/>
    <w:rsid w:val="002D521D"/>
    <w:rsid w:val="002D56AC"/>
    <w:rsid w:val="002D5824"/>
    <w:rsid w:val="002D63AB"/>
    <w:rsid w:val="002D65F3"/>
    <w:rsid w:val="002D67A6"/>
    <w:rsid w:val="002D6BBC"/>
    <w:rsid w:val="002D6BD4"/>
    <w:rsid w:val="002D70BE"/>
    <w:rsid w:val="002D73EE"/>
    <w:rsid w:val="002D770E"/>
    <w:rsid w:val="002D7A03"/>
    <w:rsid w:val="002D7A29"/>
    <w:rsid w:val="002E00A1"/>
    <w:rsid w:val="002E0263"/>
    <w:rsid w:val="002E0993"/>
    <w:rsid w:val="002E1415"/>
    <w:rsid w:val="002E1429"/>
    <w:rsid w:val="002E16D9"/>
    <w:rsid w:val="002E178E"/>
    <w:rsid w:val="002E1C66"/>
    <w:rsid w:val="002E2006"/>
    <w:rsid w:val="002E224C"/>
    <w:rsid w:val="002E27D2"/>
    <w:rsid w:val="002E294C"/>
    <w:rsid w:val="002E2963"/>
    <w:rsid w:val="002E2CEF"/>
    <w:rsid w:val="002E2F6F"/>
    <w:rsid w:val="002E30D0"/>
    <w:rsid w:val="002E35EA"/>
    <w:rsid w:val="002E3B47"/>
    <w:rsid w:val="002E47A8"/>
    <w:rsid w:val="002E492A"/>
    <w:rsid w:val="002E4AD6"/>
    <w:rsid w:val="002E4BD8"/>
    <w:rsid w:val="002E4D7E"/>
    <w:rsid w:val="002E4EB0"/>
    <w:rsid w:val="002E52DE"/>
    <w:rsid w:val="002E54C3"/>
    <w:rsid w:val="002E550C"/>
    <w:rsid w:val="002E5A24"/>
    <w:rsid w:val="002E5D25"/>
    <w:rsid w:val="002E601A"/>
    <w:rsid w:val="002E6C1F"/>
    <w:rsid w:val="002E7160"/>
    <w:rsid w:val="002E7252"/>
    <w:rsid w:val="002E73A6"/>
    <w:rsid w:val="002E74CC"/>
    <w:rsid w:val="002E79A0"/>
    <w:rsid w:val="002E7B09"/>
    <w:rsid w:val="002E7CDC"/>
    <w:rsid w:val="002F0163"/>
    <w:rsid w:val="002F0212"/>
    <w:rsid w:val="002F0269"/>
    <w:rsid w:val="002F0A43"/>
    <w:rsid w:val="002F0ADD"/>
    <w:rsid w:val="002F0ADE"/>
    <w:rsid w:val="002F0CAB"/>
    <w:rsid w:val="002F0EE0"/>
    <w:rsid w:val="002F0FA5"/>
    <w:rsid w:val="002F10D2"/>
    <w:rsid w:val="002F1174"/>
    <w:rsid w:val="002F131F"/>
    <w:rsid w:val="002F1A9D"/>
    <w:rsid w:val="002F20DB"/>
    <w:rsid w:val="002F2B4A"/>
    <w:rsid w:val="002F2F65"/>
    <w:rsid w:val="002F334C"/>
    <w:rsid w:val="002F33DB"/>
    <w:rsid w:val="002F3493"/>
    <w:rsid w:val="002F352E"/>
    <w:rsid w:val="002F3D3D"/>
    <w:rsid w:val="002F3FF6"/>
    <w:rsid w:val="002F409F"/>
    <w:rsid w:val="002F43F0"/>
    <w:rsid w:val="002F4FE4"/>
    <w:rsid w:val="002F52D9"/>
    <w:rsid w:val="002F53E4"/>
    <w:rsid w:val="002F5AD3"/>
    <w:rsid w:val="002F5D2A"/>
    <w:rsid w:val="002F5D92"/>
    <w:rsid w:val="002F5F11"/>
    <w:rsid w:val="002F6328"/>
    <w:rsid w:val="002F673D"/>
    <w:rsid w:val="002F6AE1"/>
    <w:rsid w:val="002F6E8E"/>
    <w:rsid w:val="002F6F2E"/>
    <w:rsid w:val="002F72AA"/>
    <w:rsid w:val="002F779C"/>
    <w:rsid w:val="002F78F0"/>
    <w:rsid w:val="002F7B2C"/>
    <w:rsid w:val="00300077"/>
    <w:rsid w:val="00300503"/>
    <w:rsid w:val="00301189"/>
    <w:rsid w:val="0030137A"/>
    <w:rsid w:val="0030163C"/>
    <w:rsid w:val="00301693"/>
    <w:rsid w:val="0030177D"/>
    <w:rsid w:val="003020C8"/>
    <w:rsid w:val="00302115"/>
    <w:rsid w:val="00302348"/>
    <w:rsid w:val="00302A7C"/>
    <w:rsid w:val="00302F7C"/>
    <w:rsid w:val="00303431"/>
    <w:rsid w:val="00303C09"/>
    <w:rsid w:val="00303F1F"/>
    <w:rsid w:val="00303F90"/>
    <w:rsid w:val="00303FA2"/>
    <w:rsid w:val="00304502"/>
    <w:rsid w:val="00304580"/>
    <w:rsid w:val="00304928"/>
    <w:rsid w:val="00304B53"/>
    <w:rsid w:val="00304DE3"/>
    <w:rsid w:val="003051D8"/>
    <w:rsid w:val="0030528E"/>
    <w:rsid w:val="003054AF"/>
    <w:rsid w:val="00305577"/>
    <w:rsid w:val="00305D9D"/>
    <w:rsid w:val="00305DB7"/>
    <w:rsid w:val="00306216"/>
    <w:rsid w:val="0030625A"/>
    <w:rsid w:val="0030688B"/>
    <w:rsid w:val="00306907"/>
    <w:rsid w:val="00306A18"/>
    <w:rsid w:val="00306A1D"/>
    <w:rsid w:val="00306B69"/>
    <w:rsid w:val="0030737E"/>
    <w:rsid w:val="00307A78"/>
    <w:rsid w:val="00307AF0"/>
    <w:rsid w:val="003105AF"/>
    <w:rsid w:val="00310657"/>
    <w:rsid w:val="00310CB3"/>
    <w:rsid w:val="00311867"/>
    <w:rsid w:val="00311FEC"/>
    <w:rsid w:val="003122D8"/>
    <w:rsid w:val="00312439"/>
    <w:rsid w:val="00312800"/>
    <w:rsid w:val="00313274"/>
    <w:rsid w:val="003138F5"/>
    <w:rsid w:val="00313EE4"/>
    <w:rsid w:val="00313FAD"/>
    <w:rsid w:val="003140E2"/>
    <w:rsid w:val="003142D6"/>
    <w:rsid w:val="00314627"/>
    <w:rsid w:val="00314790"/>
    <w:rsid w:val="003147B2"/>
    <w:rsid w:val="0031491E"/>
    <w:rsid w:val="00314E45"/>
    <w:rsid w:val="0031570A"/>
    <w:rsid w:val="00315933"/>
    <w:rsid w:val="00315ACF"/>
    <w:rsid w:val="00315F80"/>
    <w:rsid w:val="003170CC"/>
    <w:rsid w:val="00317402"/>
    <w:rsid w:val="003177E4"/>
    <w:rsid w:val="0031785C"/>
    <w:rsid w:val="00317A1F"/>
    <w:rsid w:val="00320446"/>
    <w:rsid w:val="0032060F"/>
    <w:rsid w:val="003206B8"/>
    <w:rsid w:val="00320B7C"/>
    <w:rsid w:val="00320F2E"/>
    <w:rsid w:val="0032135E"/>
    <w:rsid w:val="0032158C"/>
    <w:rsid w:val="00321709"/>
    <w:rsid w:val="0032177C"/>
    <w:rsid w:val="00321E17"/>
    <w:rsid w:val="003224B2"/>
    <w:rsid w:val="00322B21"/>
    <w:rsid w:val="00323984"/>
    <w:rsid w:val="00323A43"/>
    <w:rsid w:val="00323B72"/>
    <w:rsid w:val="00323B92"/>
    <w:rsid w:val="00323F3D"/>
    <w:rsid w:val="0032471F"/>
    <w:rsid w:val="00324987"/>
    <w:rsid w:val="00324F61"/>
    <w:rsid w:val="00325211"/>
    <w:rsid w:val="0032562F"/>
    <w:rsid w:val="00325965"/>
    <w:rsid w:val="003261AD"/>
    <w:rsid w:val="003261CA"/>
    <w:rsid w:val="00326274"/>
    <w:rsid w:val="0032654A"/>
    <w:rsid w:val="00326A49"/>
    <w:rsid w:val="00326FA4"/>
    <w:rsid w:val="00327048"/>
    <w:rsid w:val="003271A3"/>
    <w:rsid w:val="00327944"/>
    <w:rsid w:val="00327A5F"/>
    <w:rsid w:val="00327AF5"/>
    <w:rsid w:val="00327B60"/>
    <w:rsid w:val="00327B90"/>
    <w:rsid w:val="00327CA1"/>
    <w:rsid w:val="00327FDD"/>
    <w:rsid w:val="00330056"/>
    <w:rsid w:val="00330152"/>
    <w:rsid w:val="003301C2"/>
    <w:rsid w:val="003302D0"/>
    <w:rsid w:val="00330386"/>
    <w:rsid w:val="00330828"/>
    <w:rsid w:val="00331056"/>
    <w:rsid w:val="003314CB"/>
    <w:rsid w:val="00331561"/>
    <w:rsid w:val="0033159B"/>
    <w:rsid w:val="00331725"/>
    <w:rsid w:val="00331D78"/>
    <w:rsid w:val="00332650"/>
    <w:rsid w:val="003326AD"/>
    <w:rsid w:val="00332C61"/>
    <w:rsid w:val="00332C72"/>
    <w:rsid w:val="00332E00"/>
    <w:rsid w:val="00333173"/>
    <w:rsid w:val="0033317B"/>
    <w:rsid w:val="003333D8"/>
    <w:rsid w:val="00333451"/>
    <w:rsid w:val="0033352A"/>
    <w:rsid w:val="003335F0"/>
    <w:rsid w:val="00333728"/>
    <w:rsid w:val="00333810"/>
    <w:rsid w:val="0033381D"/>
    <w:rsid w:val="00334002"/>
    <w:rsid w:val="0033403E"/>
    <w:rsid w:val="0033404F"/>
    <w:rsid w:val="00334183"/>
    <w:rsid w:val="003346B4"/>
    <w:rsid w:val="00334755"/>
    <w:rsid w:val="00334A8E"/>
    <w:rsid w:val="00334C37"/>
    <w:rsid w:val="00335007"/>
    <w:rsid w:val="00335E76"/>
    <w:rsid w:val="00335EF8"/>
    <w:rsid w:val="00337035"/>
    <w:rsid w:val="003372D3"/>
    <w:rsid w:val="00337523"/>
    <w:rsid w:val="003376E4"/>
    <w:rsid w:val="0033771D"/>
    <w:rsid w:val="003379A4"/>
    <w:rsid w:val="0034007D"/>
    <w:rsid w:val="00340207"/>
    <w:rsid w:val="003404DE"/>
    <w:rsid w:val="00340905"/>
    <w:rsid w:val="003413A6"/>
    <w:rsid w:val="00342156"/>
    <w:rsid w:val="003425DC"/>
    <w:rsid w:val="00342695"/>
    <w:rsid w:val="003429FB"/>
    <w:rsid w:val="00342DFB"/>
    <w:rsid w:val="003433EE"/>
    <w:rsid w:val="003434E8"/>
    <w:rsid w:val="00343686"/>
    <w:rsid w:val="003436A0"/>
    <w:rsid w:val="0034378E"/>
    <w:rsid w:val="00343871"/>
    <w:rsid w:val="00343951"/>
    <w:rsid w:val="003441FC"/>
    <w:rsid w:val="003446E2"/>
    <w:rsid w:val="00344877"/>
    <w:rsid w:val="00344C23"/>
    <w:rsid w:val="00345031"/>
    <w:rsid w:val="003450FF"/>
    <w:rsid w:val="00345439"/>
    <w:rsid w:val="003466EB"/>
    <w:rsid w:val="0034681E"/>
    <w:rsid w:val="00346890"/>
    <w:rsid w:val="003468E5"/>
    <w:rsid w:val="00346A4B"/>
    <w:rsid w:val="00346F3C"/>
    <w:rsid w:val="00347514"/>
    <w:rsid w:val="00347B55"/>
    <w:rsid w:val="00347B69"/>
    <w:rsid w:val="00347E1F"/>
    <w:rsid w:val="00350185"/>
    <w:rsid w:val="003508D6"/>
    <w:rsid w:val="0035110A"/>
    <w:rsid w:val="00351965"/>
    <w:rsid w:val="00351E7D"/>
    <w:rsid w:val="00351EFC"/>
    <w:rsid w:val="0035217E"/>
    <w:rsid w:val="0035288D"/>
    <w:rsid w:val="00352C5D"/>
    <w:rsid w:val="00352E94"/>
    <w:rsid w:val="003530AA"/>
    <w:rsid w:val="003531D8"/>
    <w:rsid w:val="00353808"/>
    <w:rsid w:val="00353EAD"/>
    <w:rsid w:val="003542A9"/>
    <w:rsid w:val="0035442D"/>
    <w:rsid w:val="00354657"/>
    <w:rsid w:val="00354802"/>
    <w:rsid w:val="00354A73"/>
    <w:rsid w:val="00355226"/>
    <w:rsid w:val="00355531"/>
    <w:rsid w:val="003557E8"/>
    <w:rsid w:val="00355FAA"/>
    <w:rsid w:val="00356F52"/>
    <w:rsid w:val="003571E5"/>
    <w:rsid w:val="00357412"/>
    <w:rsid w:val="00357AFA"/>
    <w:rsid w:val="00360521"/>
    <w:rsid w:val="003608F4"/>
    <w:rsid w:val="00360A96"/>
    <w:rsid w:val="00360CCD"/>
    <w:rsid w:val="00360E2A"/>
    <w:rsid w:val="00360FF2"/>
    <w:rsid w:val="00361352"/>
    <w:rsid w:val="003613A7"/>
    <w:rsid w:val="00361831"/>
    <w:rsid w:val="00361D63"/>
    <w:rsid w:val="00361D67"/>
    <w:rsid w:val="00362175"/>
    <w:rsid w:val="003628EC"/>
    <w:rsid w:val="003629DF"/>
    <w:rsid w:val="00362BB2"/>
    <w:rsid w:val="00362CDF"/>
    <w:rsid w:val="00362D26"/>
    <w:rsid w:val="00362E07"/>
    <w:rsid w:val="003634BE"/>
    <w:rsid w:val="003635BF"/>
    <w:rsid w:val="00363A88"/>
    <w:rsid w:val="00363C53"/>
    <w:rsid w:val="00363E7B"/>
    <w:rsid w:val="003647BF"/>
    <w:rsid w:val="0036480E"/>
    <w:rsid w:val="00365198"/>
    <w:rsid w:val="003651DA"/>
    <w:rsid w:val="0036584D"/>
    <w:rsid w:val="003658D4"/>
    <w:rsid w:val="00365A7B"/>
    <w:rsid w:val="00365BBE"/>
    <w:rsid w:val="00365E4A"/>
    <w:rsid w:val="00365F8E"/>
    <w:rsid w:val="003660F3"/>
    <w:rsid w:val="00366369"/>
    <w:rsid w:val="00366375"/>
    <w:rsid w:val="00366380"/>
    <w:rsid w:val="00366697"/>
    <w:rsid w:val="00366EC7"/>
    <w:rsid w:val="003676F7"/>
    <w:rsid w:val="00367D07"/>
    <w:rsid w:val="00367DD4"/>
    <w:rsid w:val="0037006B"/>
    <w:rsid w:val="00370236"/>
    <w:rsid w:val="00370C0F"/>
    <w:rsid w:val="00370C35"/>
    <w:rsid w:val="003710F6"/>
    <w:rsid w:val="00371435"/>
    <w:rsid w:val="0037160D"/>
    <w:rsid w:val="00371772"/>
    <w:rsid w:val="00371B4F"/>
    <w:rsid w:val="00371D89"/>
    <w:rsid w:val="00372140"/>
    <w:rsid w:val="003723B4"/>
    <w:rsid w:val="00372848"/>
    <w:rsid w:val="00372925"/>
    <w:rsid w:val="00372B11"/>
    <w:rsid w:val="00372B5D"/>
    <w:rsid w:val="00372C57"/>
    <w:rsid w:val="00372CC2"/>
    <w:rsid w:val="00372D1E"/>
    <w:rsid w:val="00373224"/>
    <w:rsid w:val="003732E9"/>
    <w:rsid w:val="00373A8B"/>
    <w:rsid w:val="00373B1D"/>
    <w:rsid w:val="00373B58"/>
    <w:rsid w:val="003748A8"/>
    <w:rsid w:val="00374AB0"/>
    <w:rsid w:val="00374D5F"/>
    <w:rsid w:val="003751F3"/>
    <w:rsid w:val="003753F8"/>
    <w:rsid w:val="003757EE"/>
    <w:rsid w:val="00376713"/>
    <w:rsid w:val="0037686B"/>
    <w:rsid w:val="003769A3"/>
    <w:rsid w:val="0037720F"/>
    <w:rsid w:val="00377217"/>
    <w:rsid w:val="003775EA"/>
    <w:rsid w:val="00377862"/>
    <w:rsid w:val="00377AD9"/>
    <w:rsid w:val="00377C24"/>
    <w:rsid w:val="00380079"/>
    <w:rsid w:val="003809E0"/>
    <w:rsid w:val="00380A2B"/>
    <w:rsid w:val="003810E3"/>
    <w:rsid w:val="00381168"/>
    <w:rsid w:val="0038151D"/>
    <w:rsid w:val="00381971"/>
    <w:rsid w:val="0038199D"/>
    <w:rsid w:val="00381A3A"/>
    <w:rsid w:val="00381E53"/>
    <w:rsid w:val="00381EB0"/>
    <w:rsid w:val="00382080"/>
    <w:rsid w:val="00382161"/>
    <w:rsid w:val="00382720"/>
    <w:rsid w:val="00382944"/>
    <w:rsid w:val="00382C3F"/>
    <w:rsid w:val="003836F2"/>
    <w:rsid w:val="00384012"/>
    <w:rsid w:val="003840A0"/>
    <w:rsid w:val="0038421C"/>
    <w:rsid w:val="003846B4"/>
    <w:rsid w:val="0038481C"/>
    <w:rsid w:val="0038496A"/>
    <w:rsid w:val="00384D01"/>
    <w:rsid w:val="00384D94"/>
    <w:rsid w:val="00385283"/>
    <w:rsid w:val="00385A64"/>
    <w:rsid w:val="00385BD1"/>
    <w:rsid w:val="00385D19"/>
    <w:rsid w:val="00385FA1"/>
    <w:rsid w:val="003861BA"/>
    <w:rsid w:val="003862A1"/>
    <w:rsid w:val="003862E1"/>
    <w:rsid w:val="00386511"/>
    <w:rsid w:val="0038670A"/>
    <w:rsid w:val="00386888"/>
    <w:rsid w:val="00386972"/>
    <w:rsid w:val="00386C53"/>
    <w:rsid w:val="00386E51"/>
    <w:rsid w:val="00386F94"/>
    <w:rsid w:val="0038780B"/>
    <w:rsid w:val="00387B73"/>
    <w:rsid w:val="00387B8B"/>
    <w:rsid w:val="003901D7"/>
    <w:rsid w:val="0039075C"/>
    <w:rsid w:val="00390BE5"/>
    <w:rsid w:val="003921EA"/>
    <w:rsid w:val="00392C16"/>
    <w:rsid w:val="00394434"/>
    <w:rsid w:val="00394864"/>
    <w:rsid w:val="00394CBE"/>
    <w:rsid w:val="00394D14"/>
    <w:rsid w:val="00394E35"/>
    <w:rsid w:val="00395091"/>
    <w:rsid w:val="0039538A"/>
    <w:rsid w:val="00395517"/>
    <w:rsid w:val="00395691"/>
    <w:rsid w:val="00395C0F"/>
    <w:rsid w:val="00396B86"/>
    <w:rsid w:val="003970D6"/>
    <w:rsid w:val="0039722F"/>
    <w:rsid w:val="00397547"/>
    <w:rsid w:val="003975DE"/>
    <w:rsid w:val="00397877"/>
    <w:rsid w:val="0039794B"/>
    <w:rsid w:val="00397FD1"/>
    <w:rsid w:val="003A040D"/>
    <w:rsid w:val="003A0AB8"/>
    <w:rsid w:val="003A0B7A"/>
    <w:rsid w:val="003A0E5A"/>
    <w:rsid w:val="003A1352"/>
    <w:rsid w:val="003A1557"/>
    <w:rsid w:val="003A1681"/>
    <w:rsid w:val="003A182D"/>
    <w:rsid w:val="003A193E"/>
    <w:rsid w:val="003A1F59"/>
    <w:rsid w:val="003A2E4C"/>
    <w:rsid w:val="003A2EA1"/>
    <w:rsid w:val="003A368E"/>
    <w:rsid w:val="003A3EFE"/>
    <w:rsid w:val="003A40E1"/>
    <w:rsid w:val="003A410D"/>
    <w:rsid w:val="003A4571"/>
    <w:rsid w:val="003A45D0"/>
    <w:rsid w:val="003A4C4F"/>
    <w:rsid w:val="003A4F95"/>
    <w:rsid w:val="003A5655"/>
    <w:rsid w:val="003A5A48"/>
    <w:rsid w:val="003A5F21"/>
    <w:rsid w:val="003A6162"/>
    <w:rsid w:val="003A680A"/>
    <w:rsid w:val="003A6C7A"/>
    <w:rsid w:val="003A7129"/>
    <w:rsid w:val="003A7182"/>
    <w:rsid w:val="003A736D"/>
    <w:rsid w:val="003A7C8C"/>
    <w:rsid w:val="003A7D92"/>
    <w:rsid w:val="003A7FD8"/>
    <w:rsid w:val="003B06F1"/>
    <w:rsid w:val="003B0B40"/>
    <w:rsid w:val="003B116A"/>
    <w:rsid w:val="003B1820"/>
    <w:rsid w:val="003B18FC"/>
    <w:rsid w:val="003B19B2"/>
    <w:rsid w:val="003B1A6E"/>
    <w:rsid w:val="003B1FDB"/>
    <w:rsid w:val="003B2037"/>
    <w:rsid w:val="003B21BE"/>
    <w:rsid w:val="003B22BF"/>
    <w:rsid w:val="003B259F"/>
    <w:rsid w:val="003B282A"/>
    <w:rsid w:val="003B288F"/>
    <w:rsid w:val="003B2C65"/>
    <w:rsid w:val="003B2CD2"/>
    <w:rsid w:val="003B3196"/>
    <w:rsid w:val="003B3296"/>
    <w:rsid w:val="003B3418"/>
    <w:rsid w:val="003B3869"/>
    <w:rsid w:val="003B3E28"/>
    <w:rsid w:val="003B3ED3"/>
    <w:rsid w:val="003B40BB"/>
    <w:rsid w:val="003B4137"/>
    <w:rsid w:val="003B41AB"/>
    <w:rsid w:val="003B4865"/>
    <w:rsid w:val="003B4AE3"/>
    <w:rsid w:val="003B5338"/>
    <w:rsid w:val="003B5611"/>
    <w:rsid w:val="003B5CC0"/>
    <w:rsid w:val="003B5E43"/>
    <w:rsid w:val="003B5E6C"/>
    <w:rsid w:val="003B619D"/>
    <w:rsid w:val="003B6654"/>
    <w:rsid w:val="003B6853"/>
    <w:rsid w:val="003B6B2F"/>
    <w:rsid w:val="003B6D3B"/>
    <w:rsid w:val="003B70B7"/>
    <w:rsid w:val="003B75A2"/>
    <w:rsid w:val="003B75C5"/>
    <w:rsid w:val="003B76CD"/>
    <w:rsid w:val="003B76EA"/>
    <w:rsid w:val="003C0169"/>
    <w:rsid w:val="003C0693"/>
    <w:rsid w:val="003C0838"/>
    <w:rsid w:val="003C0850"/>
    <w:rsid w:val="003C0872"/>
    <w:rsid w:val="003C0A76"/>
    <w:rsid w:val="003C0B96"/>
    <w:rsid w:val="003C1379"/>
    <w:rsid w:val="003C196F"/>
    <w:rsid w:val="003C1D15"/>
    <w:rsid w:val="003C22B1"/>
    <w:rsid w:val="003C26E2"/>
    <w:rsid w:val="003C2BA3"/>
    <w:rsid w:val="003C2CA6"/>
    <w:rsid w:val="003C2E0C"/>
    <w:rsid w:val="003C3107"/>
    <w:rsid w:val="003C347C"/>
    <w:rsid w:val="003C39F7"/>
    <w:rsid w:val="003C4480"/>
    <w:rsid w:val="003C54E2"/>
    <w:rsid w:val="003C5595"/>
    <w:rsid w:val="003C5EBB"/>
    <w:rsid w:val="003C62CD"/>
    <w:rsid w:val="003C6F12"/>
    <w:rsid w:val="003C7678"/>
    <w:rsid w:val="003C7B40"/>
    <w:rsid w:val="003C7D55"/>
    <w:rsid w:val="003D003B"/>
    <w:rsid w:val="003D055F"/>
    <w:rsid w:val="003D0B4C"/>
    <w:rsid w:val="003D0D37"/>
    <w:rsid w:val="003D0F9C"/>
    <w:rsid w:val="003D1008"/>
    <w:rsid w:val="003D1195"/>
    <w:rsid w:val="003D136F"/>
    <w:rsid w:val="003D14BB"/>
    <w:rsid w:val="003D1505"/>
    <w:rsid w:val="003D18FE"/>
    <w:rsid w:val="003D1D81"/>
    <w:rsid w:val="003D240E"/>
    <w:rsid w:val="003D285B"/>
    <w:rsid w:val="003D28C6"/>
    <w:rsid w:val="003D28FF"/>
    <w:rsid w:val="003D2B2A"/>
    <w:rsid w:val="003D2B7C"/>
    <w:rsid w:val="003D2CE5"/>
    <w:rsid w:val="003D30C9"/>
    <w:rsid w:val="003D3466"/>
    <w:rsid w:val="003D3C3E"/>
    <w:rsid w:val="003D3D76"/>
    <w:rsid w:val="003D43C8"/>
    <w:rsid w:val="003D44EC"/>
    <w:rsid w:val="003D45F2"/>
    <w:rsid w:val="003D49F6"/>
    <w:rsid w:val="003D4CF7"/>
    <w:rsid w:val="003D6287"/>
    <w:rsid w:val="003D6437"/>
    <w:rsid w:val="003D6869"/>
    <w:rsid w:val="003D6991"/>
    <w:rsid w:val="003D7014"/>
    <w:rsid w:val="003D7850"/>
    <w:rsid w:val="003D7BAE"/>
    <w:rsid w:val="003D7F85"/>
    <w:rsid w:val="003E07FD"/>
    <w:rsid w:val="003E08CA"/>
    <w:rsid w:val="003E094B"/>
    <w:rsid w:val="003E0C96"/>
    <w:rsid w:val="003E14AD"/>
    <w:rsid w:val="003E1ECE"/>
    <w:rsid w:val="003E2096"/>
    <w:rsid w:val="003E2D26"/>
    <w:rsid w:val="003E334A"/>
    <w:rsid w:val="003E3669"/>
    <w:rsid w:val="003E396C"/>
    <w:rsid w:val="003E3BCD"/>
    <w:rsid w:val="003E407A"/>
    <w:rsid w:val="003E4497"/>
    <w:rsid w:val="003E44F5"/>
    <w:rsid w:val="003E4954"/>
    <w:rsid w:val="003E5625"/>
    <w:rsid w:val="003E5792"/>
    <w:rsid w:val="003E5950"/>
    <w:rsid w:val="003E5F64"/>
    <w:rsid w:val="003E609F"/>
    <w:rsid w:val="003E6162"/>
    <w:rsid w:val="003E6699"/>
    <w:rsid w:val="003E68EF"/>
    <w:rsid w:val="003E6A07"/>
    <w:rsid w:val="003E6B18"/>
    <w:rsid w:val="003E6D40"/>
    <w:rsid w:val="003E6D78"/>
    <w:rsid w:val="003E6FF3"/>
    <w:rsid w:val="003E70BD"/>
    <w:rsid w:val="003E70E0"/>
    <w:rsid w:val="003E7695"/>
    <w:rsid w:val="003E76A4"/>
    <w:rsid w:val="003F02A9"/>
    <w:rsid w:val="003F08E1"/>
    <w:rsid w:val="003F0A3D"/>
    <w:rsid w:val="003F117F"/>
    <w:rsid w:val="003F11CB"/>
    <w:rsid w:val="003F19A9"/>
    <w:rsid w:val="003F2217"/>
    <w:rsid w:val="003F23BA"/>
    <w:rsid w:val="003F27B7"/>
    <w:rsid w:val="003F353E"/>
    <w:rsid w:val="003F3897"/>
    <w:rsid w:val="003F3E6F"/>
    <w:rsid w:val="003F3EF4"/>
    <w:rsid w:val="003F47AC"/>
    <w:rsid w:val="003F4987"/>
    <w:rsid w:val="003F4DB7"/>
    <w:rsid w:val="003F4DC2"/>
    <w:rsid w:val="003F4E0B"/>
    <w:rsid w:val="003F4EB5"/>
    <w:rsid w:val="003F52B0"/>
    <w:rsid w:val="003F55B4"/>
    <w:rsid w:val="003F5E2A"/>
    <w:rsid w:val="003F637B"/>
    <w:rsid w:val="003F63BE"/>
    <w:rsid w:val="003F65D4"/>
    <w:rsid w:val="003F65F2"/>
    <w:rsid w:val="003F6D0D"/>
    <w:rsid w:val="003F6E5B"/>
    <w:rsid w:val="003F6F91"/>
    <w:rsid w:val="003F764E"/>
    <w:rsid w:val="003F7723"/>
    <w:rsid w:val="004011AD"/>
    <w:rsid w:val="004011FA"/>
    <w:rsid w:val="004014A3"/>
    <w:rsid w:val="004016C8"/>
    <w:rsid w:val="00401E92"/>
    <w:rsid w:val="00401FAB"/>
    <w:rsid w:val="00402006"/>
    <w:rsid w:val="00402052"/>
    <w:rsid w:val="00402935"/>
    <w:rsid w:val="00402A27"/>
    <w:rsid w:val="00402A65"/>
    <w:rsid w:val="00402C76"/>
    <w:rsid w:val="00403470"/>
    <w:rsid w:val="00403A7F"/>
    <w:rsid w:val="00403C7A"/>
    <w:rsid w:val="00403E47"/>
    <w:rsid w:val="00403F39"/>
    <w:rsid w:val="00404106"/>
    <w:rsid w:val="00404184"/>
    <w:rsid w:val="0040473F"/>
    <w:rsid w:val="00404E64"/>
    <w:rsid w:val="004053F8"/>
    <w:rsid w:val="0040580A"/>
    <w:rsid w:val="004059DD"/>
    <w:rsid w:val="00405C29"/>
    <w:rsid w:val="00405CC0"/>
    <w:rsid w:val="00406423"/>
    <w:rsid w:val="004064BD"/>
    <w:rsid w:val="00406A66"/>
    <w:rsid w:val="00406DDE"/>
    <w:rsid w:val="00406DEB"/>
    <w:rsid w:val="0040736C"/>
    <w:rsid w:val="0040763B"/>
    <w:rsid w:val="00407BB4"/>
    <w:rsid w:val="00407E87"/>
    <w:rsid w:val="00410089"/>
    <w:rsid w:val="004104E5"/>
    <w:rsid w:val="0041086C"/>
    <w:rsid w:val="004109BA"/>
    <w:rsid w:val="00410B3F"/>
    <w:rsid w:val="00411335"/>
    <w:rsid w:val="0041145C"/>
    <w:rsid w:val="00411507"/>
    <w:rsid w:val="004115E9"/>
    <w:rsid w:val="00411924"/>
    <w:rsid w:val="00411FB8"/>
    <w:rsid w:val="00412C59"/>
    <w:rsid w:val="0041354E"/>
    <w:rsid w:val="00413866"/>
    <w:rsid w:val="00413A5C"/>
    <w:rsid w:val="00413B51"/>
    <w:rsid w:val="00413E5F"/>
    <w:rsid w:val="00413F64"/>
    <w:rsid w:val="00413FF3"/>
    <w:rsid w:val="004141E0"/>
    <w:rsid w:val="00414B43"/>
    <w:rsid w:val="004151DF"/>
    <w:rsid w:val="004152CF"/>
    <w:rsid w:val="00415929"/>
    <w:rsid w:val="00415E72"/>
    <w:rsid w:val="00415F97"/>
    <w:rsid w:val="004160F9"/>
    <w:rsid w:val="00416768"/>
    <w:rsid w:val="00416A18"/>
    <w:rsid w:val="00416C2C"/>
    <w:rsid w:val="00416F5E"/>
    <w:rsid w:val="00417C61"/>
    <w:rsid w:val="0042010B"/>
    <w:rsid w:val="0042017A"/>
    <w:rsid w:val="0042021B"/>
    <w:rsid w:val="00420758"/>
    <w:rsid w:val="0042098C"/>
    <w:rsid w:val="00420A71"/>
    <w:rsid w:val="004210C1"/>
    <w:rsid w:val="00421172"/>
    <w:rsid w:val="00421211"/>
    <w:rsid w:val="004218CD"/>
    <w:rsid w:val="00421FD7"/>
    <w:rsid w:val="004220F8"/>
    <w:rsid w:val="00422459"/>
    <w:rsid w:val="00422494"/>
    <w:rsid w:val="00422666"/>
    <w:rsid w:val="004230DD"/>
    <w:rsid w:val="004240A2"/>
    <w:rsid w:val="00424115"/>
    <w:rsid w:val="004248A1"/>
    <w:rsid w:val="00424C22"/>
    <w:rsid w:val="00424E2D"/>
    <w:rsid w:val="004251CD"/>
    <w:rsid w:val="0042539E"/>
    <w:rsid w:val="00425628"/>
    <w:rsid w:val="00425AEE"/>
    <w:rsid w:val="00425F27"/>
    <w:rsid w:val="00426BD8"/>
    <w:rsid w:val="00426FEB"/>
    <w:rsid w:val="004271AE"/>
    <w:rsid w:val="00427897"/>
    <w:rsid w:val="00427934"/>
    <w:rsid w:val="00427B3B"/>
    <w:rsid w:val="00427F1C"/>
    <w:rsid w:val="00430290"/>
    <w:rsid w:val="004303A0"/>
    <w:rsid w:val="00430436"/>
    <w:rsid w:val="00430CC3"/>
    <w:rsid w:val="00430E48"/>
    <w:rsid w:val="00430F9B"/>
    <w:rsid w:val="00431F75"/>
    <w:rsid w:val="00432094"/>
    <w:rsid w:val="004321FA"/>
    <w:rsid w:val="00432345"/>
    <w:rsid w:val="00432A49"/>
    <w:rsid w:val="00432DF2"/>
    <w:rsid w:val="00432EED"/>
    <w:rsid w:val="00433245"/>
    <w:rsid w:val="00433A04"/>
    <w:rsid w:val="00433A69"/>
    <w:rsid w:val="00433AB6"/>
    <w:rsid w:val="00433B2F"/>
    <w:rsid w:val="00433B50"/>
    <w:rsid w:val="0043400F"/>
    <w:rsid w:val="004341D4"/>
    <w:rsid w:val="0043435D"/>
    <w:rsid w:val="00434986"/>
    <w:rsid w:val="00434DCC"/>
    <w:rsid w:val="00434F37"/>
    <w:rsid w:val="00434F9B"/>
    <w:rsid w:val="00435040"/>
    <w:rsid w:val="00435671"/>
    <w:rsid w:val="00435A6F"/>
    <w:rsid w:val="00435A9B"/>
    <w:rsid w:val="00435BD3"/>
    <w:rsid w:val="00435CBB"/>
    <w:rsid w:val="004361D8"/>
    <w:rsid w:val="004365EF"/>
    <w:rsid w:val="00436611"/>
    <w:rsid w:val="00436B38"/>
    <w:rsid w:val="00436E61"/>
    <w:rsid w:val="004376E8"/>
    <w:rsid w:val="00437E8B"/>
    <w:rsid w:val="004404AE"/>
    <w:rsid w:val="00440592"/>
    <w:rsid w:val="00440642"/>
    <w:rsid w:val="0044067F"/>
    <w:rsid w:val="004406AF"/>
    <w:rsid w:val="004406E8"/>
    <w:rsid w:val="00440745"/>
    <w:rsid w:val="004407D1"/>
    <w:rsid w:val="004408D0"/>
    <w:rsid w:val="00440D88"/>
    <w:rsid w:val="004413FA"/>
    <w:rsid w:val="00441496"/>
    <w:rsid w:val="00441A98"/>
    <w:rsid w:val="00441CB4"/>
    <w:rsid w:val="00441DD6"/>
    <w:rsid w:val="00441F15"/>
    <w:rsid w:val="0044234C"/>
    <w:rsid w:val="00442514"/>
    <w:rsid w:val="0044255D"/>
    <w:rsid w:val="00442B07"/>
    <w:rsid w:val="00442C44"/>
    <w:rsid w:val="00442CE5"/>
    <w:rsid w:val="00442F3F"/>
    <w:rsid w:val="0044306D"/>
    <w:rsid w:val="004431E8"/>
    <w:rsid w:val="0044335D"/>
    <w:rsid w:val="0044352F"/>
    <w:rsid w:val="004439E9"/>
    <w:rsid w:val="00444073"/>
    <w:rsid w:val="00444211"/>
    <w:rsid w:val="0044439A"/>
    <w:rsid w:val="00444575"/>
    <w:rsid w:val="00444877"/>
    <w:rsid w:val="004449D7"/>
    <w:rsid w:val="00444FD3"/>
    <w:rsid w:val="00445948"/>
    <w:rsid w:val="00445C67"/>
    <w:rsid w:val="004470C0"/>
    <w:rsid w:val="004474A7"/>
    <w:rsid w:val="0044773B"/>
    <w:rsid w:val="004478B6"/>
    <w:rsid w:val="00447B84"/>
    <w:rsid w:val="004501E6"/>
    <w:rsid w:val="004502D8"/>
    <w:rsid w:val="00450887"/>
    <w:rsid w:val="00450A58"/>
    <w:rsid w:val="00450B98"/>
    <w:rsid w:val="00450C2A"/>
    <w:rsid w:val="00450E9E"/>
    <w:rsid w:val="00450F18"/>
    <w:rsid w:val="00451217"/>
    <w:rsid w:val="00451501"/>
    <w:rsid w:val="00451DED"/>
    <w:rsid w:val="00452A6D"/>
    <w:rsid w:val="00452AAB"/>
    <w:rsid w:val="00452DC2"/>
    <w:rsid w:val="00453156"/>
    <w:rsid w:val="00454030"/>
    <w:rsid w:val="0045423B"/>
    <w:rsid w:val="004545F9"/>
    <w:rsid w:val="00454BEF"/>
    <w:rsid w:val="00455067"/>
    <w:rsid w:val="004554AF"/>
    <w:rsid w:val="004559EC"/>
    <w:rsid w:val="004559F4"/>
    <w:rsid w:val="00455C07"/>
    <w:rsid w:val="00455C24"/>
    <w:rsid w:val="00455D67"/>
    <w:rsid w:val="00455F1E"/>
    <w:rsid w:val="004568E2"/>
    <w:rsid w:val="00456B81"/>
    <w:rsid w:val="0045737F"/>
    <w:rsid w:val="00457662"/>
    <w:rsid w:val="00457958"/>
    <w:rsid w:val="00457CFA"/>
    <w:rsid w:val="00457D84"/>
    <w:rsid w:val="00457EA2"/>
    <w:rsid w:val="00460057"/>
    <w:rsid w:val="004600B7"/>
    <w:rsid w:val="0046025B"/>
    <w:rsid w:val="004602FA"/>
    <w:rsid w:val="00460387"/>
    <w:rsid w:val="00460B2F"/>
    <w:rsid w:val="00460DAD"/>
    <w:rsid w:val="00460EBC"/>
    <w:rsid w:val="00460F63"/>
    <w:rsid w:val="00461053"/>
    <w:rsid w:val="0046111F"/>
    <w:rsid w:val="00461456"/>
    <w:rsid w:val="00461611"/>
    <w:rsid w:val="00461F4B"/>
    <w:rsid w:val="00461F83"/>
    <w:rsid w:val="00462435"/>
    <w:rsid w:val="00462A9D"/>
    <w:rsid w:val="00462CE4"/>
    <w:rsid w:val="00462E85"/>
    <w:rsid w:val="00462FF4"/>
    <w:rsid w:val="0046344A"/>
    <w:rsid w:val="00463997"/>
    <w:rsid w:val="00464136"/>
    <w:rsid w:val="004642FA"/>
    <w:rsid w:val="00464B83"/>
    <w:rsid w:val="00464F6E"/>
    <w:rsid w:val="004652FB"/>
    <w:rsid w:val="0046561D"/>
    <w:rsid w:val="00465959"/>
    <w:rsid w:val="00465C9F"/>
    <w:rsid w:val="004662BE"/>
    <w:rsid w:val="00466915"/>
    <w:rsid w:val="00466A52"/>
    <w:rsid w:val="00466A95"/>
    <w:rsid w:val="00467244"/>
    <w:rsid w:val="00467529"/>
    <w:rsid w:val="00467E37"/>
    <w:rsid w:val="004715D7"/>
    <w:rsid w:val="00471833"/>
    <w:rsid w:val="0047192F"/>
    <w:rsid w:val="0047198B"/>
    <w:rsid w:val="00472168"/>
    <w:rsid w:val="004721AF"/>
    <w:rsid w:val="00472FAE"/>
    <w:rsid w:val="004730BD"/>
    <w:rsid w:val="004731BB"/>
    <w:rsid w:val="00473CEC"/>
    <w:rsid w:val="00473FC3"/>
    <w:rsid w:val="00474081"/>
    <w:rsid w:val="00474107"/>
    <w:rsid w:val="0047423D"/>
    <w:rsid w:val="004746A8"/>
    <w:rsid w:val="00474B08"/>
    <w:rsid w:val="00474C03"/>
    <w:rsid w:val="00474FCD"/>
    <w:rsid w:val="004751A7"/>
    <w:rsid w:val="004755E1"/>
    <w:rsid w:val="004757FC"/>
    <w:rsid w:val="00475B1D"/>
    <w:rsid w:val="00475E09"/>
    <w:rsid w:val="00475F1D"/>
    <w:rsid w:val="0047622B"/>
    <w:rsid w:val="00476306"/>
    <w:rsid w:val="00476980"/>
    <w:rsid w:val="00476CEA"/>
    <w:rsid w:val="00476E59"/>
    <w:rsid w:val="00476F0A"/>
    <w:rsid w:val="00476FE4"/>
    <w:rsid w:val="00477204"/>
    <w:rsid w:val="00477C49"/>
    <w:rsid w:val="00477DB8"/>
    <w:rsid w:val="00480266"/>
    <w:rsid w:val="004806BD"/>
    <w:rsid w:val="004808C3"/>
    <w:rsid w:val="00480DB1"/>
    <w:rsid w:val="00480F90"/>
    <w:rsid w:val="00481207"/>
    <w:rsid w:val="0048153C"/>
    <w:rsid w:val="0048154E"/>
    <w:rsid w:val="00481E0A"/>
    <w:rsid w:val="00482261"/>
    <w:rsid w:val="00482771"/>
    <w:rsid w:val="004829C7"/>
    <w:rsid w:val="00482E76"/>
    <w:rsid w:val="00483091"/>
    <w:rsid w:val="004831D6"/>
    <w:rsid w:val="0048373B"/>
    <w:rsid w:val="0048398E"/>
    <w:rsid w:val="00483A8C"/>
    <w:rsid w:val="00484043"/>
    <w:rsid w:val="00484863"/>
    <w:rsid w:val="00484AD1"/>
    <w:rsid w:val="00484B8C"/>
    <w:rsid w:val="004851A4"/>
    <w:rsid w:val="00485751"/>
    <w:rsid w:val="0048584F"/>
    <w:rsid w:val="00485D53"/>
    <w:rsid w:val="0048631E"/>
    <w:rsid w:val="004863FC"/>
    <w:rsid w:val="0048659D"/>
    <w:rsid w:val="00486A1A"/>
    <w:rsid w:val="00486F73"/>
    <w:rsid w:val="00486FA8"/>
    <w:rsid w:val="00487177"/>
    <w:rsid w:val="00487381"/>
    <w:rsid w:val="00487844"/>
    <w:rsid w:val="00487FD2"/>
    <w:rsid w:val="0049001D"/>
    <w:rsid w:val="00490060"/>
    <w:rsid w:val="0049045A"/>
    <w:rsid w:val="00490498"/>
    <w:rsid w:val="004908D0"/>
    <w:rsid w:val="00490D12"/>
    <w:rsid w:val="00490EBD"/>
    <w:rsid w:val="004915B7"/>
    <w:rsid w:val="00491945"/>
    <w:rsid w:val="00491E3B"/>
    <w:rsid w:val="00491F35"/>
    <w:rsid w:val="0049237B"/>
    <w:rsid w:val="004925BA"/>
    <w:rsid w:val="00493116"/>
    <w:rsid w:val="0049335A"/>
    <w:rsid w:val="0049367B"/>
    <w:rsid w:val="00493CBA"/>
    <w:rsid w:val="00493DC4"/>
    <w:rsid w:val="00493ED7"/>
    <w:rsid w:val="004949A8"/>
    <w:rsid w:val="00494C7E"/>
    <w:rsid w:val="00495352"/>
    <w:rsid w:val="004953CE"/>
    <w:rsid w:val="004955BF"/>
    <w:rsid w:val="004956A1"/>
    <w:rsid w:val="00495D34"/>
    <w:rsid w:val="00495E15"/>
    <w:rsid w:val="00495E1F"/>
    <w:rsid w:val="00496B65"/>
    <w:rsid w:val="00496D09"/>
    <w:rsid w:val="00496DBE"/>
    <w:rsid w:val="00497649"/>
    <w:rsid w:val="0049777B"/>
    <w:rsid w:val="004977C4"/>
    <w:rsid w:val="004A06F9"/>
    <w:rsid w:val="004A0A8B"/>
    <w:rsid w:val="004A0E6B"/>
    <w:rsid w:val="004A1045"/>
    <w:rsid w:val="004A1525"/>
    <w:rsid w:val="004A1C6E"/>
    <w:rsid w:val="004A1C7A"/>
    <w:rsid w:val="004A1E12"/>
    <w:rsid w:val="004A1EB0"/>
    <w:rsid w:val="004A2AFB"/>
    <w:rsid w:val="004A2D8B"/>
    <w:rsid w:val="004A2EEE"/>
    <w:rsid w:val="004A354F"/>
    <w:rsid w:val="004A35C8"/>
    <w:rsid w:val="004A379B"/>
    <w:rsid w:val="004A3E2A"/>
    <w:rsid w:val="004A3E42"/>
    <w:rsid w:val="004A42C8"/>
    <w:rsid w:val="004A43F9"/>
    <w:rsid w:val="004A4498"/>
    <w:rsid w:val="004A4C5B"/>
    <w:rsid w:val="004A51D3"/>
    <w:rsid w:val="004A525C"/>
    <w:rsid w:val="004A5526"/>
    <w:rsid w:val="004A59B0"/>
    <w:rsid w:val="004A59B5"/>
    <w:rsid w:val="004A5A4B"/>
    <w:rsid w:val="004A5E0E"/>
    <w:rsid w:val="004A63A1"/>
    <w:rsid w:val="004A65C4"/>
    <w:rsid w:val="004A6A65"/>
    <w:rsid w:val="004A741D"/>
    <w:rsid w:val="004A7563"/>
    <w:rsid w:val="004A7DF5"/>
    <w:rsid w:val="004B0181"/>
    <w:rsid w:val="004B01BE"/>
    <w:rsid w:val="004B0746"/>
    <w:rsid w:val="004B0996"/>
    <w:rsid w:val="004B0B18"/>
    <w:rsid w:val="004B1194"/>
    <w:rsid w:val="004B16E6"/>
    <w:rsid w:val="004B1714"/>
    <w:rsid w:val="004B1815"/>
    <w:rsid w:val="004B1B74"/>
    <w:rsid w:val="004B1E66"/>
    <w:rsid w:val="004B25B5"/>
    <w:rsid w:val="004B25BF"/>
    <w:rsid w:val="004B25CA"/>
    <w:rsid w:val="004B25F6"/>
    <w:rsid w:val="004B263A"/>
    <w:rsid w:val="004B265A"/>
    <w:rsid w:val="004B29F9"/>
    <w:rsid w:val="004B2D22"/>
    <w:rsid w:val="004B2E9E"/>
    <w:rsid w:val="004B2F05"/>
    <w:rsid w:val="004B2F94"/>
    <w:rsid w:val="004B321C"/>
    <w:rsid w:val="004B333C"/>
    <w:rsid w:val="004B3C52"/>
    <w:rsid w:val="004B4BA1"/>
    <w:rsid w:val="004B54E3"/>
    <w:rsid w:val="004B5619"/>
    <w:rsid w:val="004B5C07"/>
    <w:rsid w:val="004B5F2D"/>
    <w:rsid w:val="004B6065"/>
    <w:rsid w:val="004B6409"/>
    <w:rsid w:val="004B777F"/>
    <w:rsid w:val="004B7DFE"/>
    <w:rsid w:val="004C0038"/>
    <w:rsid w:val="004C04A0"/>
    <w:rsid w:val="004C07FF"/>
    <w:rsid w:val="004C09B3"/>
    <w:rsid w:val="004C0A99"/>
    <w:rsid w:val="004C0FD7"/>
    <w:rsid w:val="004C17DD"/>
    <w:rsid w:val="004C235E"/>
    <w:rsid w:val="004C2AE4"/>
    <w:rsid w:val="004C35C5"/>
    <w:rsid w:val="004C36BE"/>
    <w:rsid w:val="004C3898"/>
    <w:rsid w:val="004C39AD"/>
    <w:rsid w:val="004C3DF3"/>
    <w:rsid w:val="004C3EDB"/>
    <w:rsid w:val="004C3F28"/>
    <w:rsid w:val="004C3F99"/>
    <w:rsid w:val="004C44DE"/>
    <w:rsid w:val="004C46FA"/>
    <w:rsid w:val="004C4B5F"/>
    <w:rsid w:val="004C4C03"/>
    <w:rsid w:val="004C5157"/>
    <w:rsid w:val="004C51C0"/>
    <w:rsid w:val="004C51F6"/>
    <w:rsid w:val="004C54B8"/>
    <w:rsid w:val="004C694E"/>
    <w:rsid w:val="004C6D17"/>
    <w:rsid w:val="004C6DA8"/>
    <w:rsid w:val="004C708D"/>
    <w:rsid w:val="004C71D4"/>
    <w:rsid w:val="004C7421"/>
    <w:rsid w:val="004C7CBA"/>
    <w:rsid w:val="004D007D"/>
    <w:rsid w:val="004D0445"/>
    <w:rsid w:val="004D06E0"/>
    <w:rsid w:val="004D06E1"/>
    <w:rsid w:val="004D0F98"/>
    <w:rsid w:val="004D1171"/>
    <w:rsid w:val="004D1417"/>
    <w:rsid w:val="004D144E"/>
    <w:rsid w:val="004D145A"/>
    <w:rsid w:val="004D1466"/>
    <w:rsid w:val="004D1CF7"/>
    <w:rsid w:val="004D1D1B"/>
    <w:rsid w:val="004D25A5"/>
    <w:rsid w:val="004D2C62"/>
    <w:rsid w:val="004D2D15"/>
    <w:rsid w:val="004D3036"/>
    <w:rsid w:val="004D3BA8"/>
    <w:rsid w:val="004D3C31"/>
    <w:rsid w:val="004D3FB5"/>
    <w:rsid w:val="004D4869"/>
    <w:rsid w:val="004D49AD"/>
    <w:rsid w:val="004D4B87"/>
    <w:rsid w:val="004D4B90"/>
    <w:rsid w:val="004D56CB"/>
    <w:rsid w:val="004D56FB"/>
    <w:rsid w:val="004D620C"/>
    <w:rsid w:val="004D6957"/>
    <w:rsid w:val="004D6DF8"/>
    <w:rsid w:val="004D7201"/>
    <w:rsid w:val="004D72CF"/>
    <w:rsid w:val="004D7535"/>
    <w:rsid w:val="004E0837"/>
    <w:rsid w:val="004E09C7"/>
    <w:rsid w:val="004E0F15"/>
    <w:rsid w:val="004E1161"/>
    <w:rsid w:val="004E1183"/>
    <w:rsid w:val="004E11F1"/>
    <w:rsid w:val="004E2698"/>
    <w:rsid w:val="004E28D6"/>
    <w:rsid w:val="004E340B"/>
    <w:rsid w:val="004E352D"/>
    <w:rsid w:val="004E3A36"/>
    <w:rsid w:val="004E3BE1"/>
    <w:rsid w:val="004E3DFB"/>
    <w:rsid w:val="004E46D5"/>
    <w:rsid w:val="004E4AD8"/>
    <w:rsid w:val="004E4C7D"/>
    <w:rsid w:val="004E58CE"/>
    <w:rsid w:val="004E5C82"/>
    <w:rsid w:val="004E5CBD"/>
    <w:rsid w:val="004E5CE5"/>
    <w:rsid w:val="004E5D38"/>
    <w:rsid w:val="004E5F0B"/>
    <w:rsid w:val="004E5FD4"/>
    <w:rsid w:val="004E635D"/>
    <w:rsid w:val="004E66F6"/>
    <w:rsid w:val="004E6A27"/>
    <w:rsid w:val="004E6BD3"/>
    <w:rsid w:val="004E7420"/>
    <w:rsid w:val="004E7716"/>
    <w:rsid w:val="004E777B"/>
    <w:rsid w:val="004E7BE6"/>
    <w:rsid w:val="004F071B"/>
    <w:rsid w:val="004F078D"/>
    <w:rsid w:val="004F09B3"/>
    <w:rsid w:val="004F0F8D"/>
    <w:rsid w:val="004F1252"/>
    <w:rsid w:val="004F13BB"/>
    <w:rsid w:val="004F149F"/>
    <w:rsid w:val="004F170C"/>
    <w:rsid w:val="004F1912"/>
    <w:rsid w:val="004F195C"/>
    <w:rsid w:val="004F1C3C"/>
    <w:rsid w:val="004F23EF"/>
    <w:rsid w:val="004F2597"/>
    <w:rsid w:val="004F25F9"/>
    <w:rsid w:val="004F2C02"/>
    <w:rsid w:val="004F2FC3"/>
    <w:rsid w:val="004F368D"/>
    <w:rsid w:val="004F3762"/>
    <w:rsid w:val="004F3BB8"/>
    <w:rsid w:val="004F40E9"/>
    <w:rsid w:val="004F42F4"/>
    <w:rsid w:val="004F432C"/>
    <w:rsid w:val="004F4F02"/>
    <w:rsid w:val="004F56F3"/>
    <w:rsid w:val="004F5B9C"/>
    <w:rsid w:val="004F5C72"/>
    <w:rsid w:val="004F5E2B"/>
    <w:rsid w:val="004F6083"/>
    <w:rsid w:val="004F6B76"/>
    <w:rsid w:val="004F759D"/>
    <w:rsid w:val="004F7797"/>
    <w:rsid w:val="0050011F"/>
    <w:rsid w:val="005001B9"/>
    <w:rsid w:val="00500852"/>
    <w:rsid w:val="00500E1C"/>
    <w:rsid w:val="005011E2"/>
    <w:rsid w:val="0050131B"/>
    <w:rsid w:val="005013D1"/>
    <w:rsid w:val="005013E3"/>
    <w:rsid w:val="005019E0"/>
    <w:rsid w:val="00501FCA"/>
    <w:rsid w:val="00502046"/>
    <w:rsid w:val="005022AA"/>
    <w:rsid w:val="0050261A"/>
    <w:rsid w:val="00502C4B"/>
    <w:rsid w:val="0050347B"/>
    <w:rsid w:val="00503572"/>
    <w:rsid w:val="0050367A"/>
    <w:rsid w:val="0050383D"/>
    <w:rsid w:val="00503ABC"/>
    <w:rsid w:val="00503C9E"/>
    <w:rsid w:val="00503DCB"/>
    <w:rsid w:val="00503E49"/>
    <w:rsid w:val="005043ED"/>
    <w:rsid w:val="005048A3"/>
    <w:rsid w:val="005048EF"/>
    <w:rsid w:val="00504A3D"/>
    <w:rsid w:val="00504AE5"/>
    <w:rsid w:val="00504C4E"/>
    <w:rsid w:val="00504C99"/>
    <w:rsid w:val="00505118"/>
    <w:rsid w:val="005051A5"/>
    <w:rsid w:val="00505977"/>
    <w:rsid w:val="00505B03"/>
    <w:rsid w:val="00505E26"/>
    <w:rsid w:val="00505F1B"/>
    <w:rsid w:val="005060E5"/>
    <w:rsid w:val="00506361"/>
    <w:rsid w:val="005063B6"/>
    <w:rsid w:val="005065E8"/>
    <w:rsid w:val="0050674B"/>
    <w:rsid w:val="005067F8"/>
    <w:rsid w:val="0050690C"/>
    <w:rsid w:val="0050709B"/>
    <w:rsid w:val="0050773E"/>
    <w:rsid w:val="005077BE"/>
    <w:rsid w:val="00507819"/>
    <w:rsid w:val="0050784E"/>
    <w:rsid w:val="005078B0"/>
    <w:rsid w:val="00507DD4"/>
    <w:rsid w:val="00510677"/>
    <w:rsid w:val="0051074F"/>
    <w:rsid w:val="00510874"/>
    <w:rsid w:val="00510912"/>
    <w:rsid w:val="00510977"/>
    <w:rsid w:val="00510A67"/>
    <w:rsid w:val="00510AA6"/>
    <w:rsid w:val="00510BCB"/>
    <w:rsid w:val="00510FD6"/>
    <w:rsid w:val="0051129A"/>
    <w:rsid w:val="005115AA"/>
    <w:rsid w:val="00511DE0"/>
    <w:rsid w:val="00511E06"/>
    <w:rsid w:val="00512926"/>
    <w:rsid w:val="00512A5D"/>
    <w:rsid w:val="005131B1"/>
    <w:rsid w:val="005134C3"/>
    <w:rsid w:val="005137FD"/>
    <w:rsid w:val="00513D09"/>
    <w:rsid w:val="00514024"/>
    <w:rsid w:val="005140A8"/>
    <w:rsid w:val="0051418E"/>
    <w:rsid w:val="0051430A"/>
    <w:rsid w:val="00514480"/>
    <w:rsid w:val="00514579"/>
    <w:rsid w:val="005149A6"/>
    <w:rsid w:val="00514FAF"/>
    <w:rsid w:val="0051535A"/>
    <w:rsid w:val="005153B9"/>
    <w:rsid w:val="005153BF"/>
    <w:rsid w:val="00515479"/>
    <w:rsid w:val="00515AF0"/>
    <w:rsid w:val="00516159"/>
    <w:rsid w:val="00516AFC"/>
    <w:rsid w:val="00516C08"/>
    <w:rsid w:val="00516C3A"/>
    <w:rsid w:val="00516C4E"/>
    <w:rsid w:val="00516E07"/>
    <w:rsid w:val="0051701C"/>
    <w:rsid w:val="005175E1"/>
    <w:rsid w:val="0051784D"/>
    <w:rsid w:val="00517A4E"/>
    <w:rsid w:val="00517BE0"/>
    <w:rsid w:val="00517EC3"/>
    <w:rsid w:val="00520151"/>
    <w:rsid w:val="00520267"/>
    <w:rsid w:val="0052045B"/>
    <w:rsid w:val="005206ED"/>
    <w:rsid w:val="00520B7B"/>
    <w:rsid w:val="00520F16"/>
    <w:rsid w:val="005216D6"/>
    <w:rsid w:val="0052171D"/>
    <w:rsid w:val="0052181D"/>
    <w:rsid w:val="00521A40"/>
    <w:rsid w:val="00521BBB"/>
    <w:rsid w:val="00521E6B"/>
    <w:rsid w:val="00521F22"/>
    <w:rsid w:val="00522046"/>
    <w:rsid w:val="00522493"/>
    <w:rsid w:val="00522B14"/>
    <w:rsid w:val="005238E4"/>
    <w:rsid w:val="00524208"/>
    <w:rsid w:val="0052439F"/>
    <w:rsid w:val="00524588"/>
    <w:rsid w:val="005248D4"/>
    <w:rsid w:val="00524CEB"/>
    <w:rsid w:val="00524D2E"/>
    <w:rsid w:val="00524EBB"/>
    <w:rsid w:val="005252FF"/>
    <w:rsid w:val="005253F5"/>
    <w:rsid w:val="00525599"/>
    <w:rsid w:val="00525E8C"/>
    <w:rsid w:val="00525EBE"/>
    <w:rsid w:val="00526715"/>
    <w:rsid w:val="00526B8C"/>
    <w:rsid w:val="00526F54"/>
    <w:rsid w:val="0052727E"/>
    <w:rsid w:val="0052749D"/>
    <w:rsid w:val="0052791B"/>
    <w:rsid w:val="00527945"/>
    <w:rsid w:val="00527A3D"/>
    <w:rsid w:val="00530273"/>
    <w:rsid w:val="00530A0E"/>
    <w:rsid w:val="00530A60"/>
    <w:rsid w:val="00530D89"/>
    <w:rsid w:val="00530D9F"/>
    <w:rsid w:val="00531147"/>
    <w:rsid w:val="00531AD1"/>
    <w:rsid w:val="0053215D"/>
    <w:rsid w:val="00532397"/>
    <w:rsid w:val="00532563"/>
    <w:rsid w:val="005326D9"/>
    <w:rsid w:val="00532700"/>
    <w:rsid w:val="005327BD"/>
    <w:rsid w:val="00532EAB"/>
    <w:rsid w:val="005334AC"/>
    <w:rsid w:val="0053399A"/>
    <w:rsid w:val="00533F23"/>
    <w:rsid w:val="00534505"/>
    <w:rsid w:val="0053481E"/>
    <w:rsid w:val="00534E8F"/>
    <w:rsid w:val="005351EC"/>
    <w:rsid w:val="005356B4"/>
    <w:rsid w:val="005357EB"/>
    <w:rsid w:val="00535B13"/>
    <w:rsid w:val="00535D4C"/>
    <w:rsid w:val="00536010"/>
    <w:rsid w:val="00536304"/>
    <w:rsid w:val="00536929"/>
    <w:rsid w:val="00536A97"/>
    <w:rsid w:val="00537417"/>
    <w:rsid w:val="005375DB"/>
    <w:rsid w:val="00537758"/>
    <w:rsid w:val="005377F4"/>
    <w:rsid w:val="00537971"/>
    <w:rsid w:val="00537ADD"/>
    <w:rsid w:val="00540402"/>
    <w:rsid w:val="00541485"/>
    <w:rsid w:val="005414C9"/>
    <w:rsid w:val="005417B6"/>
    <w:rsid w:val="00541BF6"/>
    <w:rsid w:val="00541C4B"/>
    <w:rsid w:val="00541C7A"/>
    <w:rsid w:val="00541CBC"/>
    <w:rsid w:val="00541CF6"/>
    <w:rsid w:val="00541FCB"/>
    <w:rsid w:val="00541FD7"/>
    <w:rsid w:val="00542074"/>
    <w:rsid w:val="00542422"/>
    <w:rsid w:val="00542FB3"/>
    <w:rsid w:val="0054346F"/>
    <w:rsid w:val="00544795"/>
    <w:rsid w:val="005447B6"/>
    <w:rsid w:val="00544A1E"/>
    <w:rsid w:val="00544B57"/>
    <w:rsid w:val="0054529C"/>
    <w:rsid w:val="005454C2"/>
    <w:rsid w:val="005455BD"/>
    <w:rsid w:val="005456D9"/>
    <w:rsid w:val="00546137"/>
    <w:rsid w:val="005467E5"/>
    <w:rsid w:val="0054688A"/>
    <w:rsid w:val="00546904"/>
    <w:rsid w:val="005469EC"/>
    <w:rsid w:val="00546C83"/>
    <w:rsid w:val="00547126"/>
    <w:rsid w:val="005473D4"/>
    <w:rsid w:val="005474C2"/>
    <w:rsid w:val="00547CDB"/>
    <w:rsid w:val="00547E1C"/>
    <w:rsid w:val="00547FA1"/>
    <w:rsid w:val="0055055A"/>
    <w:rsid w:val="00551335"/>
    <w:rsid w:val="00551458"/>
    <w:rsid w:val="00551525"/>
    <w:rsid w:val="00551FD0"/>
    <w:rsid w:val="00552319"/>
    <w:rsid w:val="00552830"/>
    <w:rsid w:val="005532BB"/>
    <w:rsid w:val="0055338A"/>
    <w:rsid w:val="00553506"/>
    <w:rsid w:val="00553536"/>
    <w:rsid w:val="00553872"/>
    <w:rsid w:val="00553BEA"/>
    <w:rsid w:val="0055460D"/>
    <w:rsid w:val="00554784"/>
    <w:rsid w:val="00555228"/>
    <w:rsid w:val="0055545D"/>
    <w:rsid w:val="0055571C"/>
    <w:rsid w:val="00555909"/>
    <w:rsid w:val="00555A4D"/>
    <w:rsid w:val="00555B59"/>
    <w:rsid w:val="00555B90"/>
    <w:rsid w:val="005561C1"/>
    <w:rsid w:val="005564F8"/>
    <w:rsid w:val="00556C5F"/>
    <w:rsid w:val="00556D5F"/>
    <w:rsid w:val="00556DB0"/>
    <w:rsid w:val="0055707B"/>
    <w:rsid w:val="005574F4"/>
    <w:rsid w:val="005574FE"/>
    <w:rsid w:val="005575FE"/>
    <w:rsid w:val="0055768E"/>
    <w:rsid w:val="00557B17"/>
    <w:rsid w:val="00557B7C"/>
    <w:rsid w:val="00557C48"/>
    <w:rsid w:val="005601A0"/>
    <w:rsid w:val="00560727"/>
    <w:rsid w:val="00560C49"/>
    <w:rsid w:val="00560C60"/>
    <w:rsid w:val="00560D8C"/>
    <w:rsid w:val="00560FE9"/>
    <w:rsid w:val="0056163F"/>
    <w:rsid w:val="00561E48"/>
    <w:rsid w:val="00562262"/>
    <w:rsid w:val="005622A9"/>
    <w:rsid w:val="0056240D"/>
    <w:rsid w:val="00562DC1"/>
    <w:rsid w:val="00563271"/>
    <w:rsid w:val="005633A6"/>
    <w:rsid w:val="00563699"/>
    <w:rsid w:val="0056385B"/>
    <w:rsid w:val="00563A87"/>
    <w:rsid w:val="00563C5A"/>
    <w:rsid w:val="00563D48"/>
    <w:rsid w:val="00563F68"/>
    <w:rsid w:val="005642A7"/>
    <w:rsid w:val="005648A5"/>
    <w:rsid w:val="005648D6"/>
    <w:rsid w:val="00564BAE"/>
    <w:rsid w:val="00565B69"/>
    <w:rsid w:val="0056602C"/>
    <w:rsid w:val="00566150"/>
    <w:rsid w:val="00566189"/>
    <w:rsid w:val="005674A1"/>
    <w:rsid w:val="0056781A"/>
    <w:rsid w:val="00567D44"/>
    <w:rsid w:val="00570412"/>
    <w:rsid w:val="00570A4F"/>
    <w:rsid w:val="00570D9E"/>
    <w:rsid w:val="00571025"/>
    <w:rsid w:val="005710FB"/>
    <w:rsid w:val="00571189"/>
    <w:rsid w:val="005714A1"/>
    <w:rsid w:val="0057183C"/>
    <w:rsid w:val="0057191E"/>
    <w:rsid w:val="00571B54"/>
    <w:rsid w:val="00571D5A"/>
    <w:rsid w:val="00571F91"/>
    <w:rsid w:val="005724F6"/>
    <w:rsid w:val="005726AD"/>
    <w:rsid w:val="005727A5"/>
    <w:rsid w:val="005727AE"/>
    <w:rsid w:val="00572AF4"/>
    <w:rsid w:val="00572B19"/>
    <w:rsid w:val="00572B36"/>
    <w:rsid w:val="005730B3"/>
    <w:rsid w:val="0057341F"/>
    <w:rsid w:val="005737EE"/>
    <w:rsid w:val="00573E9A"/>
    <w:rsid w:val="00573F0A"/>
    <w:rsid w:val="00574580"/>
    <w:rsid w:val="005750B3"/>
    <w:rsid w:val="005758BE"/>
    <w:rsid w:val="00575FC8"/>
    <w:rsid w:val="0057625A"/>
    <w:rsid w:val="005766D6"/>
    <w:rsid w:val="005766DA"/>
    <w:rsid w:val="00576802"/>
    <w:rsid w:val="005774EE"/>
    <w:rsid w:val="00577E34"/>
    <w:rsid w:val="005806FA"/>
    <w:rsid w:val="00580858"/>
    <w:rsid w:val="00580888"/>
    <w:rsid w:val="005810D1"/>
    <w:rsid w:val="0058188E"/>
    <w:rsid w:val="00581D12"/>
    <w:rsid w:val="00581E84"/>
    <w:rsid w:val="0058213E"/>
    <w:rsid w:val="00582660"/>
    <w:rsid w:val="0058269C"/>
    <w:rsid w:val="0058274F"/>
    <w:rsid w:val="00582785"/>
    <w:rsid w:val="00582870"/>
    <w:rsid w:val="00583256"/>
    <w:rsid w:val="00583575"/>
    <w:rsid w:val="00583BDB"/>
    <w:rsid w:val="005848FA"/>
    <w:rsid w:val="00584A0E"/>
    <w:rsid w:val="00584AB2"/>
    <w:rsid w:val="00584C27"/>
    <w:rsid w:val="00584D5F"/>
    <w:rsid w:val="00584EDB"/>
    <w:rsid w:val="00585649"/>
    <w:rsid w:val="0058566C"/>
    <w:rsid w:val="005856C2"/>
    <w:rsid w:val="00585842"/>
    <w:rsid w:val="00585F37"/>
    <w:rsid w:val="00586163"/>
    <w:rsid w:val="00586CCF"/>
    <w:rsid w:val="00586FE4"/>
    <w:rsid w:val="0058748C"/>
    <w:rsid w:val="005877C9"/>
    <w:rsid w:val="0058786E"/>
    <w:rsid w:val="0059050C"/>
    <w:rsid w:val="00590805"/>
    <w:rsid w:val="00590E29"/>
    <w:rsid w:val="00590FB0"/>
    <w:rsid w:val="00591015"/>
    <w:rsid w:val="0059119D"/>
    <w:rsid w:val="00591448"/>
    <w:rsid w:val="00591E64"/>
    <w:rsid w:val="00591F37"/>
    <w:rsid w:val="00592003"/>
    <w:rsid w:val="0059299F"/>
    <w:rsid w:val="00592A9C"/>
    <w:rsid w:val="005934CE"/>
    <w:rsid w:val="005934EF"/>
    <w:rsid w:val="00593619"/>
    <w:rsid w:val="00593A29"/>
    <w:rsid w:val="00594074"/>
    <w:rsid w:val="00594492"/>
    <w:rsid w:val="005947E1"/>
    <w:rsid w:val="00594935"/>
    <w:rsid w:val="00594ED9"/>
    <w:rsid w:val="00595135"/>
    <w:rsid w:val="00595165"/>
    <w:rsid w:val="005955B0"/>
    <w:rsid w:val="005955C1"/>
    <w:rsid w:val="00595713"/>
    <w:rsid w:val="005959CB"/>
    <w:rsid w:val="00595ABD"/>
    <w:rsid w:val="00595ACE"/>
    <w:rsid w:val="005961AA"/>
    <w:rsid w:val="005965CC"/>
    <w:rsid w:val="00596DCE"/>
    <w:rsid w:val="005970E8"/>
    <w:rsid w:val="0059752D"/>
    <w:rsid w:val="005975B5"/>
    <w:rsid w:val="005A0BBB"/>
    <w:rsid w:val="005A1474"/>
    <w:rsid w:val="005A14D6"/>
    <w:rsid w:val="005A1BD7"/>
    <w:rsid w:val="005A1ECE"/>
    <w:rsid w:val="005A23BB"/>
    <w:rsid w:val="005A2A17"/>
    <w:rsid w:val="005A2E80"/>
    <w:rsid w:val="005A2EEB"/>
    <w:rsid w:val="005A30A2"/>
    <w:rsid w:val="005A3216"/>
    <w:rsid w:val="005A3958"/>
    <w:rsid w:val="005A3C20"/>
    <w:rsid w:val="005A3D34"/>
    <w:rsid w:val="005A4065"/>
    <w:rsid w:val="005A41C4"/>
    <w:rsid w:val="005A4AD9"/>
    <w:rsid w:val="005A4B32"/>
    <w:rsid w:val="005A4EB0"/>
    <w:rsid w:val="005A55B5"/>
    <w:rsid w:val="005A58BC"/>
    <w:rsid w:val="005A623C"/>
    <w:rsid w:val="005A646E"/>
    <w:rsid w:val="005A6C2F"/>
    <w:rsid w:val="005A717E"/>
    <w:rsid w:val="005A7218"/>
    <w:rsid w:val="005A748F"/>
    <w:rsid w:val="005A7622"/>
    <w:rsid w:val="005A78DC"/>
    <w:rsid w:val="005A7953"/>
    <w:rsid w:val="005A7A90"/>
    <w:rsid w:val="005A7AFF"/>
    <w:rsid w:val="005B035F"/>
    <w:rsid w:val="005B092F"/>
    <w:rsid w:val="005B0E58"/>
    <w:rsid w:val="005B0ED6"/>
    <w:rsid w:val="005B12D2"/>
    <w:rsid w:val="005B1FA2"/>
    <w:rsid w:val="005B273D"/>
    <w:rsid w:val="005B2A80"/>
    <w:rsid w:val="005B302F"/>
    <w:rsid w:val="005B3276"/>
    <w:rsid w:val="005B3461"/>
    <w:rsid w:val="005B34A7"/>
    <w:rsid w:val="005B38CA"/>
    <w:rsid w:val="005B3C71"/>
    <w:rsid w:val="005B3FD2"/>
    <w:rsid w:val="005B4352"/>
    <w:rsid w:val="005B445C"/>
    <w:rsid w:val="005B4D03"/>
    <w:rsid w:val="005B577F"/>
    <w:rsid w:val="005B5823"/>
    <w:rsid w:val="005B5CCE"/>
    <w:rsid w:val="005B5DBA"/>
    <w:rsid w:val="005B6077"/>
    <w:rsid w:val="005B6738"/>
    <w:rsid w:val="005B6956"/>
    <w:rsid w:val="005B6EFF"/>
    <w:rsid w:val="005B706D"/>
    <w:rsid w:val="005B7824"/>
    <w:rsid w:val="005C00AD"/>
    <w:rsid w:val="005C0135"/>
    <w:rsid w:val="005C045D"/>
    <w:rsid w:val="005C07E6"/>
    <w:rsid w:val="005C0ADF"/>
    <w:rsid w:val="005C0EC0"/>
    <w:rsid w:val="005C0F90"/>
    <w:rsid w:val="005C0FB4"/>
    <w:rsid w:val="005C1736"/>
    <w:rsid w:val="005C27E4"/>
    <w:rsid w:val="005C280B"/>
    <w:rsid w:val="005C29A1"/>
    <w:rsid w:val="005C2CC0"/>
    <w:rsid w:val="005C3741"/>
    <w:rsid w:val="005C3F4F"/>
    <w:rsid w:val="005C4B4D"/>
    <w:rsid w:val="005C4F34"/>
    <w:rsid w:val="005C5158"/>
    <w:rsid w:val="005C5270"/>
    <w:rsid w:val="005C5506"/>
    <w:rsid w:val="005C5ABB"/>
    <w:rsid w:val="005C5ADE"/>
    <w:rsid w:val="005C60D8"/>
    <w:rsid w:val="005C67A7"/>
    <w:rsid w:val="005C6AE5"/>
    <w:rsid w:val="005C7356"/>
    <w:rsid w:val="005C743A"/>
    <w:rsid w:val="005C7557"/>
    <w:rsid w:val="005C7EE5"/>
    <w:rsid w:val="005D0807"/>
    <w:rsid w:val="005D0D84"/>
    <w:rsid w:val="005D0F2B"/>
    <w:rsid w:val="005D1323"/>
    <w:rsid w:val="005D19B1"/>
    <w:rsid w:val="005D19D4"/>
    <w:rsid w:val="005D2014"/>
    <w:rsid w:val="005D216A"/>
    <w:rsid w:val="005D2627"/>
    <w:rsid w:val="005D2BAE"/>
    <w:rsid w:val="005D2E8C"/>
    <w:rsid w:val="005D3277"/>
    <w:rsid w:val="005D341E"/>
    <w:rsid w:val="005D36A2"/>
    <w:rsid w:val="005D3F89"/>
    <w:rsid w:val="005D4521"/>
    <w:rsid w:val="005D488E"/>
    <w:rsid w:val="005D4BC0"/>
    <w:rsid w:val="005D4D19"/>
    <w:rsid w:val="005D50C3"/>
    <w:rsid w:val="005D55A5"/>
    <w:rsid w:val="005D56C5"/>
    <w:rsid w:val="005D5786"/>
    <w:rsid w:val="005D5848"/>
    <w:rsid w:val="005D5A9B"/>
    <w:rsid w:val="005D5F65"/>
    <w:rsid w:val="005D6256"/>
    <w:rsid w:val="005D6267"/>
    <w:rsid w:val="005D65A4"/>
    <w:rsid w:val="005D6961"/>
    <w:rsid w:val="005D6A26"/>
    <w:rsid w:val="005D7009"/>
    <w:rsid w:val="005D706B"/>
    <w:rsid w:val="005D7407"/>
    <w:rsid w:val="005D752C"/>
    <w:rsid w:val="005D7838"/>
    <w:rsid w:val="005D7C7E"/>
    <w:rsid w:val="005D7E9E"/>
    <w:rsid w:val="005E001B"/>
    <w:rsid w:val="005E056D"/>
    <w:rsid w:val="005E07ED"/>
    <w:rsid w:val="005E0D6C"/>
    <w:rsid w:val="005E108A"/>
    <w:rsid w:val="005E1093"/>
    <w:rsid w:val="005E1979"/>
    <w:rsid w:val="005E1FD2"/>
    <w:rsid w:val="005E225D"/>
    <w:rsid w:val="005E26F0"/>
    <w:rsid w:val="005E2758"/>
    <w:rsid w:val="005E28D4"/>
    <w:rsid w:val="005E2ED4"/>
    <w:rsid w:val="005E3265"/>
    <w:rsid w:val="005E332C"/>
    <w:rsid w:val="005E33BA"/>
    <w:rsid w:val="005E38A8"/>
    <w:rsid w:val="005E3B2B"/>
    <w:rsid w:val="005E3D38"/>
    <w:rsid w:val="005E460C"/>
    <w:rsid w:val="005E4978"/>
    <w:rsid w:val="005E4A71"/>
    <w:rsid w:val="005E5567"/>
    <w:rsid w:val="005E6615"/>
    <w:rsid w:val="005E6691"/>
    <w:rsid w:val="005E6798"/>
    <w:rsid w:val="005E6C75"/>
    <w:rsid w:val="005E705F"/>
    <w:rsid w:val="005E7380"/>
    <w:rsid w:val="005E76C1"/>
    <w:rsid w:val="005E7BC8"/>
    <w:rsid w:val="005E7E02"/>
    <w:rsid w:val="005E7E4A"/>
    <w:rsid w:val="005E7E9B"/>
    <w:rsid w:val="005F00F4"/>
    <w:rsid w:val="005F02EA"/>
    <w:rsid w:val="005F0578"/>
    <w:rsid w:val="005F0CDA"/>
    <w:rsid w:val="005F0EE1"/>
    <w:rsid w:val="005F146A"/>
    <w:rsid w:val="005F178B"/>
    <w:rsid w:val="005F1E88"/>
    <w:rsid w:val="005F22E8"/>
    <w:rsid w:val="005F2E68"/>
    <w:rsid w:val="005F3053"/>
    <w:rsid w:val="005F38D8"/>
    <w:rsid w:val="005F3EB3"/>
    <w:rsid w:val="005F3FA3"/>
    <w:rsid w:val="005F47BB"/>
    <w:rsid w:val="005F4A83"/>
    <w:rsid w:val="005F5061"/>
    <w:rsid w:val="005F506D"/>
    <w:rsid w:val="005F5E4F"/>
    <w:rsid w:val="005F5EB7"/>
    <w:rsid w:val="005F63F0"/>
    <w:rsid w:val="005F6816"/>
    <w:rsid w:val="005F7260"/>
    <w:rsid w:val="005F733E"/>
    <w:rsid w:val="005F7510"/>
    <w:rsid w:val="005F7A3A"/>
    <w:rsid w:val="005F7D2C"/>
    <w:rsid w:val="00600989"/>
    <w:rsid w:val="00600B49"/>
    <w:rsid w:val="00600CAD"/>
    <w:rsid w:val="00600D7F"/>
    <w:rsid w:val="0060181D"/>
    <w:rsid w:val="0060190A"/>
    <w:rsid w:val="00601BCD"/>
    <w:rsid w:val="00601E12"/>
    <w:rsid w:val="00602502"/>
    <w:rsid w:val="00602CAB"/>
    <w:rsid w:val="006039D5"/>
    <w:rsid w:val="00603A0C"/>
    <w:rsid w:val="006041D7"/>
    <w:rsid w:val="006045DB"/>
    <w:rsid w:val="006048E7"/>
    <w:rsid w:val="006048F2"/>
    <w:rsid w:val="00604A4E"/>
    <w:rsid w:val="00605327"/>
    <w:rsid w:val="006055F0"/>
    <w:rsid w:val="00605854"/>
    <w:rsid w:val="00605BE6"/>
    <w:rsid w:val="00605D49"/>
    <w:rsid w:val="00606583"/>
    <w:rsid w:val="006066CC"/>
    <w:rsid w:val="00606730"/>
    <w:rsid w:val="00606D6B"/>
    <w:rsid w:val="006072E1"/>
    <w:rsid w:val="00607356"/>
    <w:rsid w:val="00607A6F"/>
    <w:rsid w:val="00607C62"/>
    <w:rsid w:val="00607D41"/>
    <w:rsid w:val="0061004F"/>
    <w:rsid w:val="006101A4"/>
    <w:rsid w:val="00610445"/>
    <w:rsid w:val="006107C8"/>
    <w:rsid w:val="006108DB"/>
    <w:rsid w:val="00610937"/>
    <w:rsid w:val="00611892"/>
    <w:rsid w:val="00611977"/>
    <w:rsid w:val="00611C07"/>
    <w:rsid w:val="00611E1B"/>
    <w:rsid w:val="0061203F"/>
    <w:rsid w:val="0061270D"/>
    <w:rsid w:val="00612A7C"/>
    <w:rsid w:val="00612CE0"/>
    <w:rsid w:val="00612FBF"/>
    <w:rsid w:val="006130EE"/>
    <w:rsid w:val="006139EF"/>
    <w:rsid w:val="00614083"/>
    <w:rsid w:val="006140BB"/>
    <w:rsid w:val="0061446A"/>
    <w:rsid w:val="006144F3"/>
    <w:rsid w:val="00614B71"/>
    <w:rsid w:val="00614BEB"/>
    <w:rsid w:val="00614CE1"/>
    <w:rsid w:val="00614DF4"/>
    <w:rsid w:val="00615359"/>
    <w:rsid w:val="00615836"/>
    <w:rsid w:val="00615B0D"/>
    <w:rsid w:val="00615C7A"/>
    <w:rsid w:val="00615EB0"/>
    <w:rsid w:val="00615F61"/>
    <w:rsid w:val="006164B9"/>
    <w:rsid w:val="006165F5"/>
    <w:rsid w:val="006166EA"/>
    <w:rsid w:val="00616741"/>
    <w:rsid w:val="006167CD"/>
    <w:rsid w:val="0061696A"/>
    <w:rsid w:val="00616C9B"/>
    <w:rsid w:val="0061769A"/>
    <w:rsid w:val="00617F8A"/>
    <w:rsid w:val="006200E2"/>
    <w:rsid w:val="00620497"/>
    <w:rsid w:val="0062069E"/>
    <w:rsid w:val="006206E2"/>
    <w:rsid w:val="00620871"/>
    <w:rsid w:val="00620B43"/>
    <w:rsid w:val="00620C99"/>
    <w:rsid w:val="006211AE"/>
    <w:rsid w:val="0062132F"/>
    <w:rsid w:val="0062145A"/>
    <w:rsid w:val="0062145F"/>
    <w:rsid w:val="006216FB"/>
    <w:rsid w:val="00621C5D"/>
    <w:rsid w:val="00621FDE"/>
    <w:rsid w:val="00622000"/>
    <w:rsid w:val="006223E9"/>
    <w:rsid w:val="00622BA4"/>
    <w:rsid w:val="00623965"/>
    <w:rsid w:val="00623D92"/>
    <w:rsid w:val="006241F7"/>
    <w:rsid w:val="0062450C"/>
    <w:rsid w:val="00624D01"/>
    <w:rsid w:val="00625244"/>
    <w:rsid w:val="006253EF"/>
    <w:rsid w:val="0062552B"/>
    <w:rsid w:val="006257E5"/>
    <w:rsid w:val="00625909"/>
    <w:rsid w:val="00625C23"/>
    <w:rsid w:val="00625D63"/>
    <w:rsid w:val="00626A98"/>
    <w:rsid w:val="00626FF0"/>
    <w:rsid w:val="006274BB"/>
    <w:rsid w:val="00627550"/>
    <w:rsid w:val="00627616"/>
    <w:rsid w:val="00627936"/>
    <w:rsid w:val="00627C50"/>
    <w:rsid w:val="00630AB3"/>
    <w:rsid w:val="00630AF8"/>
    <w:rsid w:val="00630C83"/>
    <w:rsid w:val="00630D11"/>
    <w:rsid w:val="00630D31"/>
    <w:rsid w:val="00631131"/>
    <w:rsid w:val="00631195"/>
    <w:rsid w:val="006313D6"/>
    <w:rsid w:val="0063161E"/>
    <w:rsid w:val="0063181D"/>
    <w:rsid w:val="00631A0C"/>
    <w:rsid w:val="00631A43"/>
    <w:rsid w:val="00631D3A"/>
    <w:rsid w:val="0063229C"/>
    <w:rsid w:val="00632342"/>
    <w:rsid w:val="00632423"/>
    <w:rsid w:val="00632436"/>
    <w:rsid w:val="00632BDF"/>
    <w:rsid w:val="00633498"/>
    <w:rsid w:val="0063379A"/>
    <w:rsid w:val="00633EB2"/>
    <w:rsid w:val="00633F4B"/>
    <w:rsid w:val="00633FAF"/>
    <w:rsid w:val="0063447C"/>
    <w:rsid w:val="00634B87"/>
    <w:rsid w:val="00634C6C"/>
    <w:rsid w:val="00634D27"/>
    <w:rsid w:val="006351DB"/>
    <w:rsid w:val="006352A0"/>
    <w:rsid w:val="006356DF"/>
    <w:rsid w:val="00635722"/>
    <w:rsid w:val="00636153"/>
    <w:rsid w:val="0063628F"/>
    <w:rsid w:val="00636930"/>
    <w:rsid w:val="00636D53"/>
    <w:rsid w:val="006370AD"/>
    <w:rsid w:val="0063717E"/>
    <w:rsid w:val="0063780C"/>
    <w:rsid w:val="00637F04"/>
    <w:rsid w:val="0064014A"/>
    <w:rsid w:val="00640565"/>
    <w:rsid w:val="00640AB3"/>
    <w:rsid w:val="00640EE4"/>
    <w:rsid w:val="006412BF"/>
    <w:rsid w:val="006412C5"/>
    <w:rsid w:val="006417AB"/>
    <w:rsid w:val="006418DE"/>
    <w:rsid w:val="00642EBA"/>
    <w:rsid w:val="00643243"/>
    <w:rsid w:val="00643854"/>
    <w:rsid w:val="00643A0F"/>
    <w:rsid w:val="00644F50"/>
    <w:rsid w:val="00644F6F"/>
    <w:rsid w:val="00645059"/>
    <w:rsid w:val="006452F7"/>
    <w:rsid w:val="00646A07"/>
    <w:rsid w:val="006478BB"/>
    <w:rsid w:val="0064794B"/>
    <w:rsid w:val="00651760"/>
    <w:rsid w:val="0065265A"/>
    <w:rsid w:val="006526F9"/>
    <w:rsid w:val="00652884"/>
    <w:rsid w:val="00652C8C"/>
    <w:rsid w:val="00652CC1"/>
    <w:rsid w:val="00652D81"/>
    <w:rsid w:val="00652D9C"/>
    <w:rsid w:val="006535E1"/>
    <w:rsid w:val="00653976"/>
    <w:rsid w:val="00654044"/>
    <w:rsid w:val="0065422C"/>
    <w:rsid w:val="0065425C"/>
    <w:rsid w:val="0065498A"/>
    <w:rsid w:val="00654DCC"/>
    <w:rsid w:val="0065572E"/>
    <w:rsid w:val="0065573A"/>
    <w:rsid w:val="00655CEA"/>
    <w:rsid w:val="00655E54"/>
    <w:rsid w:val="0065685F"/>
    <w:rsid w:val="00656A1E"/>
    <w:rsid w:val="00656A4D"/>
    <w:rsid w:val="00656B29"/>
    <w:rsid w:val="00656FA9"/>
    <w:rsid w:val="006570C3"/>
    <w:rsid w:val="0065754F"/>
    <w:rsid w:val="00657A57"/>
    <w:rsid w:val="00657E64"/>
    <w:rsid w:val="00657EE8"/>
    <w:rsid w:val="006600FA"/>
    <w:rsid w:val="0066066A"/>
    <w:rsid w:val="00660DB4"/>
    <w:rsid w:val="006616C2"/>
    <w:rsid w:val="0066188F"/>
    <w:rsid w:val="00661B6B"/>
    <w:rsid w:val="00661F97"/>
    <w:rsid w:val="00661FFD"/>
    <w:rsid w:val="0066213A"/>
    <w:rsid w:val="00662471"/>
    <w:rsid w:val="00662C40"/>
    <w:rsid w:val="00662CD6"/>
    <w:rsid w:val="00662D68"/>
    <w:rsid w:val="00663AE0"/>
    <w:rsid w:val="00663D5E"/>
    <w:rsid w:val="0066425F"/>
    <w:rsid w:val="00664EEA"/>
    <w:rsid w:val="00665D2C"/>
    <w:rsid w:val="00665DA0"/>
    <w:rsid w:val="0066604C"/>
    <w:rsid w:val="00666A11"/>
    <w:rsid w:val="0066731B"/>
    <w:rsid w:val="006675D3"/>
    <w:rsid w:val="006676E0"/>
    <w:rsid w:val="006702F4"/>
    <w:rsid w:val="0067032B"/>
    <w:rsid w:val="00670598"/>
    <w:rsid w:val="00670E3B"/>
    <w:rsid w:val="00670ED5"/>
    <w:rsid w:val="00671E33"/>
    <w:rsid w:val="00671FB1"/>
    <w:rsid w:val="0067213F"/>
    <w:rsid w:val="00672230"/>
    <w:rsid w:val="006722E5"/>
    <w:rsid w:val="006728AB"/>
    <w:rsid w:val="00672BCF"/>
    <w:rsid w:val="0067314B"/>
    <w:rsid w:val="00673950"/>
    <w:rsid w:val="00673A59"/>
    <w:rsid w:val="006742EE"/>
    <w:rsid w:val="006746A1"/>
    <w:rsid w:val="00674EBF"/>
    <w:rsid w:val="0067528E"/>
    <w:rsid w:val="006759DC"/>
    <w:rsid w:val="00675AFD"/>
    <w:rsid w:val="00675B6A"/>
    <w:rsid w:val="0067645A"/>
    <w:rsid w:val="00676BE7"/>
    <w:rsid w:val="00676D8E"/>
    <w:rsid w:val="00676E18"/>
    <w:rsid w:val="006771EC"/>
    <w:rsid w:val="006772EA"/>
    <w:rsid w:val="006775B8"/>
    <w:rsid w:val="00677616"/>
    <w:rsid w:val="00677D43"/>
    <w:rsid w:val="00677F20"/>
    <w:rsid w:val="0068011E"/>
    <w:rsid w:val="006807C0"/>
    <w:rsid w:val="00680947"/>
    <w:rsid w:val="00681591"/>
    <w:rsid w:val="006816BA"/>
    <w:rsid w:val="00681B69"/>
    <w:rsid w:val="0068209E"/>
    <w:rsid w:val="0068211C"/>
    <w:rsid w:val="006831AF"/>
    <w:rsid w:val="00683236"/>
    <w:rsid w:val="00683D19"/>
    <w:rsid w:val="00684ABA"/>
    <w:rsid w:val="00684BB6"/>
    <w:rsid w:val="00685561"/>
    <w:rsid w:val="0068561E"/>
    <w:rsid w:val="006857D6"/>
    <w:rsid w:val="00685AAE"/>
    <w:rsid w:val="00685C38"/>
    <w:rsid w:val="00685CED"/>
    <w:rsid w:val="00686416"/>
    <w:rsid w:val="00686647"/>
    <w:rsid w:val="00686AF3"/>
    <w:rsid w:val="006870CA"/>
    <w:rsid w:val="006871A4"/>
    <w:rsid w:val="00687700"/>
    <w:rsid w:val="00687F19"/>
    <w:rsid w:val="00687F5C"/>
    <w:rsid w:val="00690BEA"/>
    <w:rsid w:val="00690D61"/>
    <w:rsid w:val="00690DA6"/>
    <w:rsid w:val="00690F90"/>
    <w:rsid w:val="0069111B"/>
    <w:rsid w:val="00691601"/>
    <w:rsid w:val="00691750"/>
    <w:rsid w:val="0069175D"/>
    <w:rsid w:val="006918AF"/>
    <w:rsid w:val="00691D62"/>
    <w:rsid w:val="00692630"/>
    <w:rsid w:val="0069264F"/>
    <w:rsid w:val="00692DE9"/>
    <w:rsid w:val="00693841"/>
    <w:rsid w:val="00693957"/>
    <w:rsid w:val="006939EE"/>
    <w:rsid w:val="00694020"/>
    <w:rsid w:val="00694350"/>
    <w:rsid w:val="006947E9"/>
    <w:rsid w:val="006948E8"/>
    <w:rsid w:val="006953E0"/>
    <w:rsid w:val="00695504"/>
    <w:rsid w:val="00695645"/>
    <w:rsid w:val="006960EA"/>
    <w:rsid w:val="0069642E"/>
    <w:rsid w:val="00696628"/>
    <w:rsid w:val="00696935"/>
    <w:rsid w:val="00696FD3"/>
    <w:rsid w:val="006970C6"/>
    <w:rsid w:val="0069721C"/>
    <w:rsid w:val="0069725C"/>
    <w:rsid w:val="00697AA6"/>
    <w:rsid w:val="00697D2A"/>
    <w:rsid w:val="00697D81"/>
    <w:rsid w:val="006A0893"/>
    <w:rsid w:val="006A151A"/>
    <w:rsid w:val="006A158E"/>
    <w:rsid w:val="006A164A"/>
    <w:rsid w:val="006A18AC"/>
    <w:rsid w:val="006A1C6E"/>
    <w:rsid w:val="006A22B3"/>
    <w:rsid w:val="006A2948"/>
    <w:rsid w:val="006A2AEE"/>
    <w:rsid w:val="006A2F23"/>
    <w:rsid w:val="006A3101"/>
    <w:rsid w:val="006A3192"/>
    <w:rsid w:val="006A322C"/>
    <w:rsid w:val="006A3760"/>
    <w:rsid w:val="006A3A95"/>
    <w:rsid w:val="006A3E8A"/>
    <w:rsid w:val="006A44B1"/>
    <w:rsid w:val="006A4A7E"/>
    <w:rsid w:val="006A4BC7"/>
    <w:rsid w:val="006A52D0"/>
    <w:rsid w:val="006A52F8"/>
    <w:rsid w:val="006A5475"/>
    <w:rsid w:val="006A570D"/>
    <w:rsid w:val="006A5812"/>
    <w:rsid w:val="006A5D43"/>
    <w:rsid w:val="006A5E36"/>
    <w:rsid w:val="006A60E2"/>
    <w:rsid w:val="006A6234"/>
    <w:rsid w:val="006A6423"/>
    <w:rsid w:val="006A6648"/>
    <w:rsid w:val="006A68EE"/>
    <w:rsid w:val="006A6A07"/>
    <w:rsid w:val="006A6B10"/>
    <w:rsid w:val="006A7051"/>
    <w:rsid w:val="006A719B"/>
    <w:rsid w:val="006A7263"/>
    <w:rsid w:val="006A79CA"/>
    <w:rsid w:val="006A7ADA"/>
    <w:rsid w:val="006A7DC9"/>
    <w:rsid w:val="006B00F0"/>
    <w:rsid w:val="006B026A"/>
    <w:rsid w:val="006B039B"/>
    <w:rsid w:val="006B044B"/>
    <w:rsid w:val="006B0661"/>
    <w:rsid w:val="006B0749"/>
    <w:rsid w:val="006B0961"/>
    <w:rsid w:val="006B0A21"/>
    <w:rsid w:val="006B0FB0"/>
    <w:rsid w:val="006B1426"/>
    <w:rsid w:val="006B1901"/>
    <w:rsid w:val="006B1A09"/>
    <w:rsid w:val="006B1E18"/>
    <w:rsid w:val="006B1E6A"/>
    <w:rsid w:val="006B1E88"/>
    <w:rsid w:val="006B1FCD"/>
    <w:rsid w:val="006B23A3"/>
    <w:rsid w:val="006B27EE"/>
    <w:rsid w:val="006B289A"/>
    <w:rsid w:val="006B2BE9"/>
    <w:rsid w:val="006B323B"/>
    <w:rsid w:val="006B324F"/>
    <w:rsid w:val="006B3415"/>
    <w:rsid w:val="006B3478"/>
    <w:rsid w:val="006B348C"/>
    <w:rsid w:val="006B353C"/>
    <w:rsid w:val="006B39B9"/>
    <w:rsid w:val="006B3E93"/>
    <w:rsid w:val="006B3EB6"/>
    <w:rsid w:val="006B405D"/>
    <w:rsid w:val="006B40D2"/>
    <w:rsid w:val="006B436A"/>
    <w:rsid w:val="006B45B2"/>
    <w:rsid w:val="006B50F6"/>
    <w:rsid w:val="006B5192"/>
    <w:rsid w:val="006B519C"/>
    <w:rsid w:val="006B5206"/>
    <w:rsid w:val="006B5B55"/>
    <w:rsid w:val="006B5DE3"/>
    <w:rsid w:val="006B6157"/>
    <w:rsid w:val="006B623D"/>
    <w:rsid w:val="006B6661"/>
    <w:rsid w:val="006B68A2"/>
    <w:rsid w:val="006B6D15"/>
    <w:rsid w:val="006B74F7"/>
    <w:rsid w:val="006B7E8A"/>
    <w:rsid w:val="006C046C"/>
    <w:rsid w:val="006C0865"/>
    <w:rsid w:val="006C0BCD"/>
    <w:rsid w:val="006C0C9E"/>
    <w:rsid w:val="006C1285"/>
    <w:rsid w:val="006C14E3"/>
    <w:rsid w:val="006C1EA1"/>
    <w:rsid w:val="006C2ABB"/>
    <w:rsid w:val="006C2DD8"/>
    <w:rsid w:val="006C2FEF"/>
    <w:rsid w:val="006C31CC"/>
    <w:rsid w:val="006C3475"/>
    <w:rsid w:val="006C3B68"/>
    <w:rsid w:val="006C3D7B"/>
    <w:rsid w:val="006C3DA8"/>
    <w:rsid w:val="006C4078"/>
    <w:rsid w:val="006C4C37"/>
    <w:rsid w:val="006C4EB6"/>
    <w:rsid w:val="006C52D9"/>
    <w:rsid w:val="006C52F6"/>
    <w:rsid w:val="006C53A8"/>
    <w:rsid w:val="006C5F11"/>
    <w:rsid w:val="006C6467"/>
    <w:rsid w:val="006C6AC5"/>
    <w:rsid w:val="006C7294"/>
    <w:rsid w:val="006C7374"/>
    <w:rsid w:val="006C7525"/>
    <w:rsid w:val="006C7575"/>
    <w:rsid w:val="006C75E7"/>
    <w:rsid w:val="006C7783"/>
    <w:rsid w:val="006C77BB"/>
    <w:rsid w:val="006C7BE8"/>
    <w:rsid w:val="006D05D0"/>
    <w:rsid w:val="006D0736"/>
    <w:rsid w:val="006D0D62"/>
    <w:rsid w:val="006D1272"/>
    <w:rsid w:val="006D1474"/>
    <w:rsid w:val="006D17E2"/>
    <w:rsid w:val="006D1E90"/>
    <w:rsid w:val="006D1F23"/>
    <w:rsid w:val="006D1F99"/>
    <w:rsid w:val="006D25DB"/>
    <w:rsid w:val="006D26B8"/>
    <w:rsid w:val="006D2A4E"/>
    <w:rsid w:val="006D31F3"/>
    <w:rsid w:val="006D360B"/>
    <w:rsid w:val="006D3AB0"/>
    <w:rsid w:val="006D3E29"/>
    <w:rsid w:val="006D4DD4"/>
    <w:rsid w:val="006D548C"/>
    <w:rsid w:val="006D5806"/>
    <w:rsid w:val="006D5862"/>
    <w:rsid w:val="006D66F9"/>
    <w:rsid w:val="006D6A99"/>
    <w:rsid w:val="006D6CCF"/>
    <w:rsid w:val="006D6D87"/>
    <w:rsid w:val="006D6FE0"/>
    <w:rsid w:val="006D7756"/>
    <w:rsid w:val="006D7A9D"/>
    <w:rsid w:val="006D7DE8"/>
    <w:rsid w:val="006D7EED"/>
    <w:rsid w:val="006E0776"/>
    <w:rsid w:val="006E17EA"/>
    <w:rsid w:val="006E1909"/>
    <w:rsid w:val="006E19E2"/>
    <w:rsid w:val="006E1B3A"/>
    <w:rsid w:val="006E1C1B"/>
    <w:rsid w:val="006E1C1E"/>
    <w:rsid w:val="006E2437"/>
    <w:rsid w:val="006E2976"/>
    <w:rsid w:val="006E2A6B"/>
    <w:rsid w:val="006E2F96"/>
    <w:rsid w:val="006E3BF2"/>
    <w:rsid w:val="006E3E1A"/>
    <w:rsid w:val="006E3F24"/>
    <w:rsid w:val="006E4430"/>
    <w:rsid w:val="006E4627"/>
    <w:rsid w:val="006E4AEF"/>
    <w:rsid w:val="006E4D98"/>
    <w:rsid w:val="006E5071"/>
    <w:rsid w:val="006E587F"/>
    <w:rsid w:val="006E589E"/>
    <w:rsid w:val="006E59F5"/>
    <w:rsid w:val="006E5A18"/>
    <w:rsid w:val="006E5CE1"/>
    <w:rsid w:val="006E5D49"/>
    <w:rsid w:val="006E5D6E"/>
    <w:rsid w:val="006E5EF2"/>
    <w:rsid w:val="006E610C"/>
    <w:rsid w:val="006E622B"/>
    <w:rsid w:val="006E6606"/>
    <w:rsid w:val="006E6E88"/>
    <w:rsid w:val="006E785F"/>
    <w:rsid w:val="006E7A83"/>
    <w:rsid w:val="006E7BCF"/>
    <w:rsid w:val="006E7BEE"/>
    <w:rsid w:val="006F0131"/>
    <w:rsid w:val="006F0690"/>
    <w:rsid w:val="006F08EC"/>
    <w:rsid w:val="006F0A6C"/>
    <w:rsid w:val="006F0B4A"/>
    <w:rsid w:val="006F0D2A"/>
    <w:rsid w:val="006F11F4"/>
    <w:rsid w:val="006F1208"/>
    <w:rsid w:val="006F1218"/>
    <w:rsid w:val="006F2C03"/>
    <w:rsid w:val="006F2C28"/>
    <w:rsid w:val="006F34BB"/>
    <w:rsid w:val="006F3DBE"/>
    <w:rsid w:val="006F42E1"/>
    <w:rsid w:val="006F487A"/>
    <w:rsid w:val="006F4A09"/>
    <w:rsid w:val="006F4D66"/>
    <w:rsid w:val="006F4DF0"/>
    <w:rsid w:val="006F4EF9"/>
    <w:rsid w:val="006F51C2"/>
    <w:rsid w:val="006F5800"/>
    <w:rsid w:val="006F5981"/>
    <w:rsid w:val="006F6528"/>
    <w:rsid w:val="006F687A"/>
    <w:rsid w:val="006F6F87"/>
    <w:rsid w:val="006F708F"/>
    <w:rsid w:val="006F7201"/>
    <w:rsid w:val="006F7304"/>
    <w:rsid w:val="006F77B1"/>
    <w:rsid w:val="006F79AF"/>
    <w:rsid w:val="006F7C08"/>
    <w:rsid w:val="006F7C17"/>
    <w:rsid w:val="006F7C88"/>
    <w:rsid w:val="006F7F5B"/>
    <w:rsid w:val="007005CB"/>
    <w:rsid w:val="00700D8F"/>
    <w:rsid w:val="00700DAB"/>
    <w:rsid w:val="00700EF6"/>
    <w:rsid w:val="00701211"/>
    <w:rsid w:val="0070184F"/>
    <w:rsid w:val="007019CC"/>
    <w:rsid w:val="00701EDA"/>
    <w:rsid w:val="00702063"/>
    <w:rsid w:val="0070212D"/>
    <w:rsid w:val="007023DC"/>
    <w:rsid w:val="00702706"/>
    <w:rsid w:val="00702ADA"/>
    <w:rsid w:val="007031C3"/>
    <w:rsid w:val="00703367"/>
    <w:rsid w:val="007039C2"/>
    <w:rsid w:val="00703D1B"/>
    <w:rsid w:val="00704493"/>
    <w:rsid w:val="0070451C"/>
    <w:rsid w:val="00704876"/>
    <w:rsid w:val="00704B83"/>
    <w:rsid w:val="00704C89"/>
    <w:rsid w:val="00704D4F"/>
    <w:rsid w:val="00704F4A"/>
    <w:rsid w:val="00705301"/>
    <w:rsid w:val="007055DB"/>
    <w:rsid w:val="00705AA3"/>
    <w:rsid w:val="00705B69"/>
    <w:rsid w:val="00705CB8"/>
    <w:rsid w:val="00705D84"/>
    <w:rsid w:val="00706047"/>
    <w:rsid w:val="00706A62"/>
    <w:rsid w:val="00706FDF"/>
    <w:rsid w:val="00707287"/>
    <w:rsid w:val="007075D4"/>
    <w:rsid w:val="00707AFA"/>
    <w:rsid w:val="00707C9E"/>
    <w:rsid w:val="00707FFD"/>
    <w:rsid w:val="0071013D"/>
    <w:rsid w:val="00710176"/>
    <w:rsid w:val="0071053F"/>
    <w:rsid w:val="0071067E"/>
    <w:rsid w:val="00710887"/>
    <w:rsid w:val="00710A0F"/>
    <w:rsid w:val="00710B44"/>
    <w:rsid w:val="00710CC1"/>
    <w:rsid w:val="0071125D"/>
    <w:rsid w:val="00711333"/>
    <w:rsid w:val="007115C6"/>
    <w:rsid w:val="007118E1"/>
    <w:rsid w:val="00711B2B"/>
    <w:rsid w:val="00711C2B"/>
    <w:rsid w:val="00712485"/>
    <w:rsid w:val="00712722"/>
    <w:rsid w:val="0071282C"/>
    <w:rsid w:val="00713175"/>
    <w:rsid w:val="007131C7"/>
    <w:rsid w:val="0071331E"/>
    <w:rsid w:val="007133EF"/>
    <w:rsid w:val="00713704"/>
    <w:rsid w:val="00713D93"/>
    <w:rsid w:val="0071456C"/>
    <w:rsid w:val="0071476B"/>
    <w:rsid w:val="00714FBE"/>
    <w:rsid w:val="00715160"/>
    <w:rsid w:val="00715562"/>
    <w:rsid w:val="00715E86"/>
    <w:rsid w:val="007160AF"/>
    <w:rsid w:val="00716113"/>
    <w:rsid w:val="00716585"/>
    <w:rsid w:val="00716C58"/>
    <w:rsid w:val="00716EB8"/>
    <w:rsid w:val="00717491"/>
    <w:rsid w:val="00717985"/>
    <w:rsid w:val="007202BF"/>
    <w:rsid w:val="0072116D"/>
    <w:rsid w:val="00721B29"/>
    <w:rsid w:val="00721BCF"/>
    <w:rsid w:val="00721EA7"/>
    <w:rsid w:val="007222B6"/>
    <w:rsid w:val="00722312"/>
    <w:rsid w:val="007223EF"/>
    <w:rsid w:val="00722913"/>
    <w:rsid w:val="00723316"/>
    <w:rsid w:val="0072437B"/>
    <w:rsid w:val="00724B10"/>
    <w:rsid w:val="00725537"/>
    <w:rsid w:val="00725575"/>
    <w:rsid w:val="007255CE"/>
    <w:rsid w:val="00725FCC"/>
    <w:rsid w:val="00725FE4"/>
    <w:rsid w:val="0072614E"/>
    <w:rsid w:val="007263A2"/>
    <w:rsid w:val="00726E28"/>
    <w:rsid w:val="0072726A"/>
    <w:rsid w:val="007272DF"/>
    <w:rsid w:val="0072761A"/>
    <w:rsid w:val="00727827"/>
    <w:rsid w:val="00727877"/>
    <w:rsid w:val="007303A7"/>
    <w:rsid w:val="00730422"/>
    <w:rsid w:val="0073043C"/>
    <w:rsid w:val="0073074A"/>
    <w:rsid w:val="00730B48"/>
    <w:rsid w:val="00730D7D"/>
    <w:rsid w:val="00730DEC"/>
    <w:rsid w:val="00731131"/>
    <w:rsid w:val="007315FF"/>
    <w:rsid w:val="00732040"/>
    <w:rsid w:val="007322E2"/>
    <w:rsid w:val="00732644"/>
    <w:rsid w:val="0073275F"/>
    <w:rsid w:val="00732B49"/>
    <w:rsid w:val="00732DB2"/>
    <w:rsid w:val="00732F75"/>
    <w:rsid w:val="0073313F"/>
    <w:rsid w:val="0073316E"/>
    <w:rsid w:val="007331CC"/>
    <w:rsid w:val="007333A9"/>
    <w:rsid w:val="007336CF"/>
    <w:rsid w:val="0073392E"/>
    <w:rsid w:val="00733956"/>
    <w:rsid w:val="0073396C"/>
    <w:rsid w:val="00733D27"/>
    <w:rsid w:val="00733D87"/>
    <w:rsid w:val="00734488"/>
    <w:rsid w:val="007348FE"/>
    <w:rsid w:val="00734D0E"/>
    <w:rsid w:val="0073531A"/>
    <w:rsid w:val="00735952"/>
    <w:rsid w:val="00736447"/>
    <w:rsid w:val="00736BF1"/>
    <w:rsid w:val="007376B8"/>
    <w:rsid w:val="00737805"/>
    <w:rsid w:val="007378D3"/>
    <w:rsid w:val="00737C0B"/>
    <w:rsid w:val="00737D33"/>
    <w:rsid w:val="00737DBA"/>
    <w:rsid w:val="00737F5A"/>
    <w:rsid w:val="007400F7"/>
    <w:rsid w:val="00740321"/>
    <w:rsid w:val="007403CC"/>
    <w:rsid w:val="00740549"/>
    <w:rsid w:val="007406E7"/>
    <w:rsid w:val="007408DB"/>
    <w:rsid w:val="00740EEB"/>
    <w:rsid w:val="0074124B"/>
    <w:rsid w:val="00741329"/>
    <w:rsid w:val="007413B3"/>
    <w:rsid w:val="0074191D"/>
    <w:rsid w:val="00741CC2"/>
    <w:rsid w:val="00741F25"/>
    <w:rsid w:val="00742002"/>
    <w:rsid w:val="0074208C"/>
    <w:rsid w:val="007420ED"/>
    <w:rsid w:val="0074226C"/>
    <w:rsid w:val="0074232B"/>
    <w:rsid w:val="00742F74"/>
    <w:rsid w:val="0074329C"/>
    <w:rsid w:val="007435BB"/>
    <w:rsid w:val="00743654"/>
    <w:rsid w:val="007437CB"/>
    <w:rsid w:val="00743818"/>
    <w:rsid w:val="00743C45"/>
    <w:rsid w:val="00743CEB"/>
    <w:rsid w:val="00743DA6"/>
    <w:rsid w:val="00743F1C"/>
    <w:rsid w:val="00743FD0"/>
    <w:rsid w:val="00743FD1"/>
    <w:rsid w:val="00744495"/>
    <w:rsid w:val="00744D18"/>
    <w:rsid w:val="007458E7"/>
    <w:rsid w:val="00745ACE"/>
    <w:rsid w:val="00745EBE"/>
    <w:rsid w:val="00746AF9"/>
    <w:rsid w:val="00746D9D"/>
    <w:rsid w:val="00746DC1"/>
    <w:rsid w:val="00746FBE"/>
    <w:rsid w:val="00747FC9"/>
    <w:rsid w:val="0075001B"/>
    <w:rsid w:val="0075028E"/>
    <w:rsid w:val="007506BB"/>
    <w:rsid w:val="00750F0B"/>
    <w:rsid w:val="007514C5"/>
    <w:rsid w:val="00751716"/>
    <w:rsid w:val="00751BD7"/>
    <w:rsid w:val="00751BE6"/>
    <w:rsid w:val="00751F8E"/>
    <w:rsid w:val="00752016"/>
    <w:rsid w:val="00752073"/>
    <w:rsid w:val="00752714"/>
    <w:rsid w:val="00752D2C"/>
    <w:rsid w:val="00753AB0"/>
    <w:rsid w:val="00753B87"/>
    <w:rsid w:val="00754058"/>
    <w:rsid w:val="00754068"/>
    <w:rsid w:val="00754394"/>
    <w:rsid w:val="00754487"/>
    <w:rsid w:val="007546FC"/>
    <w:rsid w:val="00754E3A"/>
    <w:rsid w:val="0075530E"/>
    <w:rsid w:val="00755318"/>
    <w:rsid w:val="0075551B"/>
    <w:rsid w:val="007557CC"/>
    <w:rsid w:val="00755A73"/>
    <w:rsid w:val="00755BC7"/>
    <w:rsid w:val="0075649D"/>
    <w:rsid w:val="00756883"/>
    <w:rsid w:val="007572D0"/>
    <w:rsid w:val="0075760E"/>
    <w:rsid w:val="007577DB"/>
    <w:rsid w:val="00757A9B"/>
    <w:rsid w:val="00757D05"/>
    <w:rsid w:val="00757EE7"/>
    <w:rsid w:val="0076019F"/>
    <w:rsid w:val="007601B7"/>
    <w:rsid w:val="007603C5"/>
    <w:rsid w:val="00760F1C"/>
    <w:rsid w:val="00760F24"/>
    <w:rsid w:val="00761782"/>
    <w:rsid w:val="007618CC"/>
    <w:rsid w:val="00761970"/>
    <w:rsid w:val="007624AC"/>
    <w:rsid w:val="00762710"/>
    <w:rsid w:val="00762FB2"/>
    <w:rsid w:val="007633AD"/>
    <w:rsid w:val="0076359E"/>
    <w:rsid w:val="0076480B"/>
    <w:rsid w:val="00764BCF"/>
    <w:rsid w:val="00764D85"/>
    <w:rsid w:val="00764F5C"/>
    <w:rsid w:val="00764FE2"/>
    <w:rsid w:val="007651C6"/>
    <w:rsid w:val="007655E2"/>
    <w:rsid w:val="00765C17"/>
    <w:rsid w:val="00765C9B"/>
    <w:rsid w:val="00766B2F"/>
    <w:rsid w:val="00766E2E"/>
    <w:rsid w:val="00767105"/>
    <w:rsid w:val="00767C4A"/>
    <w:rsid w:val="00770D02"/>
    <w:rsid w:val="00770EA4"/>
    <w:rsid w:val="00770F5A"/>
    <w:rsid w:val="00771AF6"/>
    <w:rsid w:val="00771CCE"/>
    <w:rsid w:val="00771D86"/>
    <w:rsid w:val="00771F8C"/>
    <w:rsid w:val="0077228B"/>
    <w:rsid w:val="0077240E"/>
    <w:rsid w:val="007725F3"/>
    <w:rsid w:val="00772B2B"/>
    <w:rsid w:val="00772B8D"/>
    <w:rsid w:val="0077302D"/>
    <w:rsid w:val="007733FA"/>
    <w:rsid w:val="0077345F"/>
    <w:rsid w:val="007736A1"/>
    <w:rsid w:val="00773DB3"/>
    <w:rsid w:val="00774388"/>
    <w:rsid w:val="00774916"/>
    <w:rsid w:val="00774B06"/>
    <w:rsid w:val="00774B0C"/>
    <w:rsid w:val="00774BA8"/>
    <w:rsid w:val="007752E7"/>
    <w:rsid w:val="0077560F"/>
    <w:rsid w:val="00775834"/>
    <w:rsid w:val="00775BCF"/>
    <w:rsid w:val="00775F00"/>
    <w:rsid w:val="00776533"/>
    <w:rsid w:val="00777436"/>
    <w:rsid w:val="00777A64"/>
    <w:rsid w:val="00780DE3"/>
    <w:rsid w:val="00780E0E"/>
    <w:rsid w:val="0078148E"/>
    <w:rsid w:val="00781C08"/>
    <w:rsid w:val="00782AF1"/>
    <w:rsid w:val="0078305C"/>
    <w:rsid w:val="00783A81"/>
    <w:rsid w:val="00783C24"/>
    <w:rsid w:val="00783C5C"/>
    <w:rsid w:val="00783D3B"/>
    <w:rsid w:val="0078418D"/>
    <w:rsid w:val="00784956"/>
    <w:rsid w:val="007849EB"/>
    <w:rsid w:val="00784B4D"/>
    <w:rsid w:val="007850A2"/>
    <w:rsid w:val="00785314"/>
    <w:rsid w:val="0078552D"/>
    <w:rsid w:val="007856AF"/>
    <w:rsid w:val="00785A92"/>
    <w:rsid w:val="00785C17"/>
    <w:rsid w:val="00785D77"/>
    <w:rsid w:val="0078610B"/>
    <w:rsid w:val="00786349"/>
    <w:rsid w:val="00786520"/>
    <w:rsid w:val="00787309"/>
    <w:rsid w:val="00787389"/>
    <w:rsid w:val="00787491"/>
    <w:rsid w:val="007878DB"/>
    <w:rsid w:val="00787E47"/>
    <w:rsid w:val="007902B3"/>
    <w:rsid w:val="007902D9"/>
    <w:rsid w:val="0079054D"/>
    <w:rsid w:val="00790606"/>
    <w:rsid w:val="00790A49"/>
    <w:rsid w:val="00790A56"/>
    <w:rsid w:val="0079182F"/>
    <w:rsid w:val="00791AA8"/>
    <w:rsid w:val="00791C3B"/>
    <w:rsid w:val="007921C4"/>
    <w:rsid w:val="007923D0"/>
    <w:rsid w:val="0079281F"/>
    <w:rsid w:val="007930E7"/>
    <w:rsid w:val="007939B9"/>
    <w:rsid w:val="00793BC7"/>
    <w:rsid w:val="00793C9F"/>
    <w:rsid w:val="00793E46"/>
    <w:rsid w:val="007941EE"/>
    <w:rsid w:val="007949A4"/>
    <w:rsid w:val="00794F7C"/>
    <w:rsid w:val="0079575F"/>
    <w:rsid w:val="00795CDE"/>
    <w:rsid w:val="00795DB8"/>
    <w:rsid w:val="00795EE4"/>
    <w:rsid w:val="00795F20"/>
    <w:rsid w:val="00796300"/>
    <w:rsid w:val="00796656"/>
    <w:rsid w:val="00796831"/>
    <w:rsid w:val="00796884"/>
    <w:rsid w:val="00796C1D"/>
    <w:rsid w:val="00796F23"/>
    <w:rsid w:val="00797152"/>
    <w:rsid w:val="007972E6"/>
    <w:rsid w:val="00797743"/>
    <w:rsid w:val="007979B6"/>
    <w:rsid w:val="00797AE7"/>
    <w:rsid w:val="00797B3E"/>
    <w:rsid w:val="00797FCC"/>
    <w:rsid w:val="007A0614"/>
    <w:rsid w:val="007A0733"/>
    <w:rsid w:val="007A09B8"/>
    <w:rsid w:val="007A0CC0"/>
    <w:rsid w:val="007A0CF5"/>
    <w:rsid w:val="007A0DE3"/>
    <w:rsid w:val="007A1087"/>
    <w:rsid w:val="007A135D"/>
    <w:rsid w:val="007A1485"/>
    <w:rsid w:val="007A1BF0"/>
    <w:rsid w:val="007A1C21"/>
    <w:rsid w:val="007A2122"/>
    <w:rsid w:val="007A2196"/>
    <w:rsid w:val="007A24A5"/>
    <w:rsid w:val="007A2BAF"/>
    <w:rsid w:val="007A2FD6"/>
    <w:rsid w:val="007A31E7"/>
    <w:rsid w:val="007A3372"/>
    <w:rsid w:val="007A33CF"/>
    <w:rsid w:val="007A3614"/>
    <w:rsid w:val="007A38C1"/>
    <w:rsid w:val="007A3F61"/>
    <w:rsid w:val="007A445B"/>
    <w:rsid w:val="007A46F4"/>
    <w:rsid w:val="007A4778"/>
    <w:rsid w:val="007A5112"/>
    <w:rsid w:val="007A531D"/>
    <w:rsid w:val="007A5A4D"/>
    <w:rsid w:val="007A5BD6"/>
    <w:rsid w:val="007A5C2D"/>
    <w:rsid w:val="007A622C"/>
    <w:rsid w:val="007A629A"/>
    <w:rsid w:val="007A64C9"/>
    <w:rsid w:val="007A6859"/>
    <w:rsid w:val="007A693F"/>
    <w:rsid w:val="007A6A1B"/>
    <w:rsid w:val="007A6ABD"/>
    <w:rsid w:val="007A6D18"/>
    <w:rsid w:val="007A6DA1"/>
    <w:rsid w:val="007A7602"/>
    <w:rsid w:val="007A7A9B"/>
    <w:rsid w:val="007A7EF2"/>
    <w:rsid w:val="007A7FA4"/>
    <w:rsid w:val="007B01DB"/>
    <w:rsid w:val="007B0270"/>
    <w:rsid w:val="007B0277"/>
    <w:rsid w:val="007B049F"/>
    <w:rsid w:val="007B0E51"/>
    <w:rsid w:val="007B19BD"/>
    <w:rsid w:val="007B1DEE"/>
    <w:rsid w:val="007B2312"/>
    <w:rsid w:val="007B25BD"/>
    <w:rsid w:val="007B2983"/>
    <w:rsid w:val="007B29A7"/>
    <w:rsid w:val="007B2C30"/>
    <w:rsid w:val="007B32F0"/>
    <w:rsid w:val="007B3428"/>
    <w:rsid w:val="007B349E"/>
    <w:rsid w:val="007B3578"/>
    <w:rsid w:val="007B3683"/>
    <w:rsid w:val="007B3D84"/>
    <w:rsid w:val="007B3E6D"/>
    <w:rsid w:val="007B409A"/>
    <w:rsid w:val="007B41B7"/>
    <w:rsid w:val="007B460F"/>
    <w:rsid w:val="007B4A6E"/>
    <w:rsid w:val="007B4A94"/>
    <w:rsid w:val="007B4BAE"/>
    <w:rsid w:val="007B5824"/>
    <w:rsid w:val="007B5B5D"/>
    <w:rsid w:val="007B5BCC"/>
    <w:rsid w:val="007B6539"/>
    <w:rsid w:val="007B66C4"/>
    <w:rsid w:val="007B687F"/>
    <w:rsid w:val="007B75AD"/>
    <w:rsid w:val="007B7E43"/>
    <w:rsid w:val="007B7E6A"/>
    <w:rsid w:val="007C01B4"/>
    <w:rsid w:val="007C0271"/>
    <w:rsid w:val="007C0F7F"/>
    <w:rsid w:val="007C0FC2"/>
    <w:rsid w:val="007C130A"/>
    <w:rsid w:val="007C13B0"/>
    <w:rsid w:val="007C20AD"/>
    <w:rsid w:val="007C2A17"/>
    <w:rsid w:val="007C2B5C"/>
    <w:rsid w:val="007C2CF3"/>
    <w:rsid w:val="007C2D15"/>
    <w:rsid w:val="007C2D74"/>
    <w:rsid w:val="007C2F55"/>
    <w:rsid w:val="007C310D"/>
    <w:rsid w:val="007C31AC"/>
    <w:rsid w:val="007C34CC"/>
    <w:rsid w:val="007C3860"/>
    <w:rsid w:val="007C3A45"/>
    <w:rsid w:val="007C3DCC"/>
    <w:rsid w:val="007C41A1"/>
    <w:rsid w:val="007C4546"/>
    <w:rsid w:val="007C4CA2"/>
    <w:rsid w:val="007C4CEB"/>
    <w:rsid w:val="007C57D1"/>
    <w:rsid w:val="007C5ED9"/>
    <w:rsid w:val="007C6505"/>
    <w:rsid w:val="007C6F37"/>
    <w:rsid w:val="007C7312"/>
    <w:rsid w:val="007C7754"/>
    <w:rsid w:val="007C7780"/>
    <w:rsid w:val="007C77B5"/>
    <w:rsid w:val="007C77E0"/>
    <w:rsid w:val="007C7823"/>
    <w:rsid w:val="007C7967"/>
    <w:rsid w:val="007C7C4E"/>
    <w:rsid w:val="007C7FDD"/>
    <w:rsid w:val="007D020A"/>
    <w:rsid w:val="007D05C3"/>
    <w:rsid w:val="007D130C"/>
    <w:rsid w:val="007D189A"/>
    <w:rsid w:val="007D1C4C"/>
    <w:rsid w:val="007D1C9D"/>
    <w:rsid w:val="007D1F9E"/>
    <w:rsid w:val="007D216F"/>
    <w:rsid w:val="007D21AC"/>
    <w:rsid w:val="007D227E"/>
    <w:rsid w:val="007D229F"/>
    <w:rsid w:val="007D26B8"/>
    <w:rsid w:val="007D2A7E"/>
    <w:rsid w:val="007D372E"/>
    <w:rsid w:val="007D38C3"/>
    <w:rsid w:val="007D3F71"/>
    <w:rsid w:val="007D458A"/>
    <w:rsid w:val="007D4603"/>
    <w:rsid w:val="007D5261"/>
    <w:rsid w:val="007D59F6"/>
    <w:rsid w:val="007D5FBB"/>
    <w:rsid w:val="007D63E4"/>
    <w:rsid w:val="007D65E7"/>
    <w:rsid w:val="007D6610"/>
    <w:rsid w:val="007D67B5"/>
    <w:rsid w:val="007D68C7"/>
    <w:rsid w:val="007D6A76"/>
    <w:rsid w:val="007D6E1D"/>
    <w:rsid w:val="007D6F7C"/>
    <w:rsid w:val="007D7993"/>
    <w:rsid w:val="007D7D65"/>
    <w:rsid w:val="007E060B"/>
    <w:rsid w:val="007E0662"/>
    <w:rsid w:val="007E107B"/>
    <w:rsid w:val="007E1269"/>
    <w:rsid w:val="007E126F"/>
    <w:rsid w:val="007E172B"/>
    <w:rsid w:val="007E1A35"/>
    <w:rsid w:val="007E2667"/>
    <w:rsid w:val="007E2771"/>
    <w:rsid w:val="007E280E"/>
    <w:rsid w:val="007E2E02"/>
    <w:rsid w:val="007E3424"/>
    <w:rsid w:val="007E364E"/>
    <w:rsid w:val="007E3C62"/>
    <w:rsid w:val="007E40A6"/>
    <w:rsid w:val="007E4445"/>
    <w:rsid w:val="007E4871"/>
    <w:rsid w:val="007E5981"/>
    <w:rsid w:val="007E599B"/>
    <w:rsid w:val="007E688A"/>
    <w:rsid w:val="007E6D85"/>
    <w:rsid w:val="007E6DC9"/>
    <w:rsid w:val="007E6ED6"/>
    <w:rsid w:val="007E6FF9"/>
    <w:rsid w:val="007E71AD"/>
    <w:rsid w:val="007E71D2"/>
    <w:rsid w:val="007E7293"/>
    <w:rsid w:val="007E76B5"/>
    <w:rsid w:val="007E7CA5"/>
    <w:rsid w:val="007E7D99"/>
    <w:rsid w:val="007E7DC0"/>
    <w:rsid w:val="007F07B9"/>
    <w:rsid w:val="007F0CC2"/>
    <w:rsid w:val="007F0EA8"/>
    <w:rsid w:val="007F0FF0"/>
    <w:rsid w:val="007F142C"/>
    <w:rsid w:val="007F14CE"/>
    <w:rsid w:val="007F171B"/>
    <w:rsid w:val="007F1907"/>
    <w:rsid w:val="007F1C8E"/>
    <w:rsid w:val="007F1D01"/>
    <w:rsid w:val="007F1E82"/>
    <w:rsid w:val="007F2298"/>
    <w:rsid w:val="007F2502"/>
    <w:rsid w:val="007F2EDD"/>
    <w:rsid w:val="007F2FF2"/>
    <w:rsid w:val="007F30BD"/>
    <w:rsid w:val="007F30DE"/>
    <w:rsid w:val="007F32C2"/>
    <w:rsid w:val="007F33F2"/>
    <w:rsid w:val="007F35C9"/>
    <w:rsid w:val="007F379E"/>
    <w:rsid w:val="007F3DDA"/>
    <w:rsid w:val="007F3E56"/>
    <w:rsid w:val="007F3ED2"/>
    <w:rsid w:val="007F414B"/>
    <w:rsid w:val="007F42B2"/>
    <w:rsid w:val="007F430F"/>
    <w:rsid w:val="007F4468"/>
    <w:rsid w:val="007F44F6"/>
    <w:rsid w:val="007F4630"/>
    <w:rsid w:val="007F48CA"/>
    <w:rsid w:val="007F4C90"/>
    <w:rsid w:val="007F5472"/>
    <w:rsid w:val="007F5710"/>
    <w:rsid w:val="007F58A9"/>
    <w:rsid w:val="007F5B2B"/>
    <w:rsid w:val="007F5CBF"/>
    <w:rsid w:val="007F5E44"/>
    <w:rsid w:val="007F5FC0"/>
    <w:rsid w:val="007F624B"/>
    <w:rsid w:val="007F6B9A"/>
    <w:rsid w:val="007F6BF4"/>
    <w:rsid w:val="007F6DD6"/>
    <w:rsid w:val="007F6F05"/>
    <w:rsid w:val="007F7932"/>
    <w:rsid w:val="007F7E51"/>
    <w:rsid w:val="007F7F4B"/>
    <w:rsid w:val="0080012D"/>
    <w:rsid w:val="008002BB"/>
    <w:rsid w:val="008011C2"/>
    <w:rsid w:val="00801484"/>
    <w:rsid w:val="00801860"/>
    <w:rsid w:val="008019B4"/>
    <w:rsid w:val="00801B22"/>
    <w:rsid w:val="00801D30"/>
    <w:rsid w:val="0080223C"/>
    <w:rsid w:val="0080256D"/>
    <w:rsid w:val="0080263E"/>
    <w:rsid w:val="008028DA"/>
    <w:rsid w:val="00802D30"/>
    <w:rsid w:val="00803161"/>
    <w:rsid w:val="008034A8"/>
    <w:rsid w:val="00803A1D"/>
    <w:rsid w:val="00803E31"/>
    <w:rsid w:val="00803EFD"/>
    <w:rsid w:val="008040AB"/>
    <w:rsid w:val="00804517"/>
    <w:rsid w:val="00804559"/>
    <w:rsid w:val="008045E1"/>
    <w:rsid w:val="00804EB3"/>
    <w:rsid w:val="00804FE1"/>
    <w:rsid w:val="00804FEB"/>
    <w:rsid w:val="00805100"/>
    <w:rsid w:val="008054D9"/>
    <w:rsid w:val="00805653"/>
    <w:rsid w:val="00805AAA"/>
    <w:rsid w:val="00805D8B"/>
    <w:rsid w:val="008065A1"/>
    <w:rsid w:val="0080673D"/>
    <w:rsid w:val="00806BF6"/>
    <w:rsid w:val="00806CB1"/>
    <w:rsid w:val="00806CFA"/>
    <w:rsid w:val="00806EAD"/>
    <w:rsid w:val="00807436"/>
    <w:rsid w:val="0080749F"/>
    <w:rsid w:val="00807C4E"/>
    <w:rsid w:val="0081058A"/>
    <w:rsid w:val="00811020"/>
    <w:rsid w:val="008110D3"/>
    <w:rsid w:val="00811346"/>
    <w:rsid w:val="008113D3"/>
    <w:rsid w:val="00811850"/>
    <w:rsid w:val="00811C35"/>
    <w:rsid w:val="0081214B"/>
    <w:rsid w:val="0081222B"/>
    <w:rsid w:val="008128A0"/>
    <w:rsid w:val="00812C47"/>
    <w:rsid w:val="00812DF6"/>
    <w:rsid w:val="00813485"/>
    <w:rsid w:val="008135D4"/>
    <w:rsid w:val="008136C8"/>
    <w:rsid w:val="00813927"/>
    <w:rsid w:val="00813A13"/>
    <w:rsid w:val="00813A33"/>
    <w:rsid w:val="00813ABC"/>
    <w:rsid w:val="00813B31"/>
    <w:rsid w:val="00813C56"/>
    <w:rsid w:val="008146EB"/>
    <w:rsid w:val="0081522F"/>
    <w:rsid w:val="00815289"/>
    <w:rsid w:val="008152FE"/>
    <w:rsid w:val="0081535C"/>
    <w:rsid w:val="00815391"/>
    <w:rsid w:val="00815798"/>
    <w:rsid w:val="00816108"/>
    <w:rsid w:val="008161AE"/>
    <w:rsid w:val="0081633D"/>
    <w:rsid w:val="00816760"/>
    <w:rsid w:val="00816DB5"/>
    <w:rsid w:val="00816E67"/>
    <w:rsid w:val="00816F60"/>
    <w:rsid w:val="00816F83"/>
    <w:rsid w:val="0081776C"/>
    <w:rsid w:val="00817860"/>
    <w:rsid w:val="008178D0"/>
    <w:rsid w:val="00817FCF"/>
    <w:rsid w:val="00820222"/>
    <w:rsid w:val="008209BF"/>
    <w:rsid w:val="00820E13"/>
    <w:rsid w:val="00820F89"/>
    <w:rsid w:val="00821086"/>
    <w:rsid w:val="0082130F"/>
    <w:rsid w:val="008217C2"/>
    <w:rsid w:val="00821981"/>
    <w:rsid w:val="00821B4B"/>
    <w:rsid w:val="0082205F"/>
    <w:rsid w:val="008220B4"/>
    <w:rsid w:val="00822755"/>
    <w:rsid w:val="00822998"/>
    <w:rsid w:val="0082342C"/>
    <w:rsid w:val="008234AE"/>
    <w:rsid w:val="00823A34"/>
    <w:rsid w:val="00823A56"/>
    <w:rsid w:val="00823C6C"/>
    <w:rsid w:val="00823C9E"/>
    <w:rsid w:val="00823EE1"/>
    <w:rsid w:val="00823FD0"/>
    <w:rsid w:val="00824523"/>
    <w:rsid w:val="008245FE"/>
    <w:rsid w:val="00824924"/>
    <w:rsid w:val="00824946"/>
    <w:rsid w:val="00824B96"/>
    <w:rsid w:val="00824E53"/>
    <w:rsid w:val="008250E2"/>
    <w:rsid w:val="00825510"/>
    <w:rsid w:val="00825966"/>
    <w:rsid w:val="008260F1"/>
    <w:rsid w:val="008275E3"/>
    <w:rsid w:val="0082775D"/>
    <w:rsid w:val="00827C1C"/>
    <w:rsid w:val="00827C7F"/>
    <w:rsid w:val="00827E4C"/>
    <w:rsid w:val="00830247"/>
    <w:rsid w:val="00830796"/>
    <w:rsid w:val="00830872"/>
    <w:rsid w:val="00830AA1"/>
    <w:rsid w:val="00830CC5"/>
    <w:rsid w:val="00830D02"/>
    <w:rsid w:val="00831507"/>
    <w:rsid w:val="008318F7"/>
    <w:rsid w:val="00831909"/>
    <w:rsid w:val="008322E5"/>
    <w:rsid w:val="008324BE"/>
    <w:rsid w:val="0083275A"/>
    <w:rsid w:val="00832A07"/>
    <w:rsid w:val="00832D2A"/>
    <w:rsid w:val="008335C9"/>
    <w:rsid w:val="008335F2"/>
    <w:rsid w:val="00833B1D"/>
    <w:rsid w:val="00833DE0"/>
    <w:rsid w:val="00833DFF"/>
    <w:rsid w:val="008342E9"/>
    <w:rsid w:val="00834B08"/>
    <w:rsid w:val="00834FAF"/>
    <w:rsid w:val="008350E1"/>
    <w:rsid w:val="0083515A"/>
    <w:rsid w:val="00835402"/>
    <w:rsid w:val="00835669"/>
    <w:rsid w:val="0083583F"/>
    <w:rsid w:val="00835862"/>
    <w:rsid w:val="00836A20"/>
    <w:rsid w:val="00836BA8"/>
    <w:rsid w:val="00836F72"/>
    <w:rsid w:val="00837301"/>
    <w:rsid w:val="008374CA"/>
    <w:rsid w:val="0083787D"/>
    <w:rsid w:val="0083793D"/>
    <w:rsid w:val="00837D4C"/>
    <w:rsid w:val="0084006A"/>
    <w:rsid w:val="00840614"/>
    <w:rsid w:val="00840E4E"/>
    <w:rsid w:val="00840F1A"/>
    <w:rsid w:val="0084120C"/>
    <w:rsid w:val="0084256C"/>
    <w:rsid w:val="00842B2D"/>
    <w:rsid w:val="00843094"/>
    <w:rsid w:val="008433E7"/>
    <w:rsid w:val="00843414"/>
    <w:rsid w:val="0084395D"/>
    <w:rsid w:val="00843BED"/>
    <w:rsid w:val="008440BE"/>
    <w:rsid w:val="00844242"/>
    <w:rsid w:val="00844E5E"/>
    <w:rsid w:val="00845051"/>
    <w:rsid w:val="00845064"/>
    <w:rsid w:val="00845297"/>
    <w:rsid w:val="008452C5"/>
    <w:rsid w:val="008452D8"/>
    <w:rsid w:val="008459F2"/>
    <w:rsid w:val="008460A6"/>
    <w:rsid w:val="00846127"/>
    <w:rsid w:val="00846405"/>
    <w:rsid w:val="008467EF"/>
    <w:rsid w:val="008468BE"/>
    <w:rsid w:val="00846A77"/>
    <w:rsid w:val="00846B23"/>
    <w:rsid w:val="00846CFF"/>
    <w:rsid w:val="0084743D"/>
    <w:rsid w:val="00847846"/>
    <w:rsid w:val="00847C44"/>
    <w:rsid w:val="00850000"/>
    <w:rsid w:val="00850E64"/>
    <w:rsid w:val="00850EC1"/>
    <w:rsid w:val="00851227"/>
    <w:rsid w:val="00851494"/>
    <w:rsid w:val="008519EC"/>
    <w:rsid w:val="00851B34"/>
    <w:rsid w:val="00851BD0"/>
    <w:rsid w:val="00851BEB"/>
    <w:rsid w:val="008520AA"/>
    <w:rsid w:val="0085247F"/>
    <w:rsid w:val="0085260A"/>
    <w:rsid w:val="00852867"/>
    <w:rsid w:val="008532D8"/>
    <w:rsid w:val="00853602"/>
    <w:rsid w:val="0085369F"/>
    <w:rsid w:val="00853973"/>
    <w:rsid w:val="00853C3F"/>
    <w:rsid w:val="00853F96"/>
    <w:rsid w:val="008547AF"/>
    <w:rsid w:val="00854A37"/>
    <w:rsid w:val="00854C1A"/>
    <w:rsid w:val="00854D0C"/>
    <w:rsid w:val="00854D90"/>
    <w:rsid w:val="00854DA9"/>
    <w:rsid w:val="00854EF4"/>
    <w:rsid w:val="00854FF9"/>
    <w:rsid w:val="008553D9"/>
    <w:rsid w:val="00855462"/>
    <w:rsid w:val="008555CC"/>
    <w:rsid w:val="0085578E"/>
    <w:rsid w:val="00855A3E"/>
    <w:rsid w:val="00855C7E"/>
    <w:rsid w:val="00855E2B"/>
    <w:rsid w:val="0085673E"/>
    <w:rsid w:val="00856902"/>
    <w:rsid w:val="0085694F"/>
    <w:rsid w:val="008570CA"/>
    <w:rsid w:val="008572BD"/>
    <w:rsid w:val="008572CE"/>
    <w:rsid w:val="00857325"/>
    <w:rsid w:val="008573CC"/>
    <w:rsid w:val="0085769B"/>
    <w:rsid w:val="00857723"/>
    <w:rsid w:val="0085782C"/>
    <w:rsid w:val="0086047E"/>
    <w:rsid w:val="008605C5"/>
    <w:rsid w:val="0086072F"/>
    <w:rsid w:val="0086079A"/>
    <w:rsid w:val="00860DAE"/>
    <w:rsid w:val="00860EB0"/>
    <w:rsid w:val="00861004"/>
    <w:rsid w:val="008610CA"/>
    <w:rsid w:val="00861469"/>
    <w:rsid w:val="00861EB2"/>
    <w:rsid w:val="00861F7B"/>
    <w:rsid w:val="00861FD8"/>
    <w:rsid w:val="008627D2"/>
    <w:rsid w:val="00862B68"/>
    <w:rsid w:val="00862FB3"/>
    <w:rsid w:val="00863562"/>
    <w:rsid w:val="00863A4B"/>
    <w:rsid w:val="00863EB7"/>
    <w:rsid w:val="00863FBB"/>
    <w:rsid w:val="00864182"/>
    <w:rsid w:val="00864426"/>
    <w:rsid w:val="00864AB7"/>
    <w:rsid w:val="00864BC6"/>
    <w:rsid w:val="00864DD6"/>
    <w:rsid w:val="00864E1C"/>
    <w:rsid w:val="00865D6E"/>
    <w:rsid w:val="00865F5C"/>
    <w:rsid w:val="00866022"/>
    <w:rsid w:val="008664E5"/>
    <w:rsid w:val="0086665A"/>
    <w:rsid w:val="008666BE"/>
    <w:rsid w:val="0086699A"/>
    <w:rsid w:val="00866FF3"/>
    <w:rsid w:val="0086710E"/>
    <w:rsid w:val="008675E9"/>
    <w:rsid w:val="00867637"/>
    <w:rsid w:val="00867ADB"/>
    <w:rsid w:val="00870280"/>
    <w:rsid w:val="008702EF"/>
    <w:rsid w:val="00870359"/>
    <w:rsid w:val="008704FC"/>
    <w:rsid w:val="00870502"/>
    <w:rsid w:val="00870BE6"/>
    <w:rsid w:val="00870C25"/>
    <w:rsid w:val="00870E00"/>
    <w:rsid w:val="00870F77"/>
    <w:rsid w:val="00871664"/>
    <w:rsid w:val="008718A7"/>
    <w:rsid w:val="00871D5C"/>
    <w:rsid w:val="00871F42"/>
    <w:rsid w:val="00872039"/>
    <w:rsid w:val="0087308A"/>
    <w:rsid w:val="0087310A"/>
    <w:rsid w:val="00873449"/>
    <w:rsid w:val="0087348E"/>
    <w:rsid w:val="008735F6"/>
    <w:rsid w:val="00873674"/>
    <w:rsid w:val="00873936"/>
    <w:rsid w:val="00873C2D"/>
    <w:rsid w:val="00873CDD"/>
    <w:rsid w:val="00873CFE"/>
    <w:rsid w:val="008742A2"/>
    <w:rsid w:val="008742E8"/>
    <w:rsid w:val="0087436E"/>
    <w:rsid w:val="008743DF"/>
    <w:rsid w:val="00874787"/>
    <w:rsid w:val="00874A61"/>
    <w:rsid w:val="008750BA"/>
    <w:rsid w:val="008750BF"/>
    <w:rsid w:val="008752F7"/>
    <w:rsid w:val="00875A9E"/>
    <w:rsid w:val="0087650E"/>
    <w:rsid w:val="0087689F"/>
    <w:rsid w:val="0087694C"/>
    <w:rsid w:val="00876A21"/>
    <w:rsid w:val="00876A65"/>
    <w:rsid w:val="008776F4"/>
    <w:rsid w:val="00877E66"/>
    <w:rsid w:val="00877F8E"/>
    <w:rsid w:val="00877F96"/>
    <w:rsid w:val="00880FDC"/>
    <w:rsid w:val="00881118"/>
    <w:rsid w:val="00881266"/>
    <w:rsid w:val="00881620"/>
    <w:rsid w:val="00881670"/>
    <w:rsid w:val="00881756"/>
    <w:rsid w:val="00881848"/>
    <w:rsid w:val="0088194C"/>
    <w:rsid w:val="00881A56"/>
    <w:rsid w:val="00881A5C"/>
    <w:rsid w:val="00881F06"/>
    <w:rsid w:val="008820DC"/>
    <w:rsid w:val="00882288"/>
    <w:rsid w:val="008822A6"/>
    <w:rsid w:val="008823F6"/>
    <w:rsid w:val="00882427"/>
    <w:rsid w:val="008824D1"/>
    <w:rsid w:val="0088257F"/>
    <w:rsid w:val="008825C5"/>
    <w:rsid w:val="00882EAB"/>
    <w:rsid w:val="00883053"/>
    <w:rsid w:val="00883150"/>
    <w:rsid w:val="00883234"/>
    <w:rsid w:val="008837D1"/>
    <w:rsid w:val="0088383F"/>
    <w:rsid w:val="00883A6C"/>
    <w:rsid w:val="00883DE3"/>
    <w:rsid w:val="00883E60"/>
    <w:rsid w:val="0088414E"/>
    <w:rsid w:val="0088462E"/>
    <w:rsid w:val="00884A15"/>
    <w:rsid w:val="00884D8E"/>
    <w:rsid w:val="008850B7"/>
    <w:rsid w:val="00885457"/>
    <w:rsid w:val="008855FB"/>
    <w:rsid w:val="00885615"/>
    <w:rsid w:val="00885943"/>
    <w:rsid w:val="00885B84"/>
    <w:rsid w:val="00885D1B"/>
    <w:rsid w:val="008865BD"/>
    <w:rsid w:val="00886E1A"/>
    <w:rsid w:val="00886E51"/>
    <w:rsid w:val="0088786D"/>
    <w:rsid w:val="00887D3E"/>
    <w:rsid w:val="00890063"/>
    <w:rsid w:val="0089077B"/>
    <w:rsid w:val="008909ED"/>
    <w:rsid w:val="00890C2E"/>
    <w:rsid w:val="0089113C"/>
    <w:rsid w:val="00891287"/>
    <w:rsid w:val="0089149E"/>
    <w:rsid w:val="008915D8"/>
    <w:rsid w:val="00891898"/>
    <w:rsid w:val="00891959"/>
    <w:rsid w:val="008920B5"/>
    <w:rsid w:val="008920FB"/>
    <w:rsid w:val="00892A5F"/>
    <w:rsid w:val="00892B5B"/>
    <w:rsid w:val="00892D67"/>
    <w:rsid w:val="00892EDB"/>
    <w:rsid w:val="00893910"/>
    <w:rsid w:val="008941E3"/>
    <w:rsid w:val="0089423E"/>
    <w:rsid w:val="0089435A"/>
    <w:rsid w:val="00894A15"/>
    <w:rsid w:val="00894C47"/>
    <w:rsid w:val="00894D5A"/>
    <w:rsid w:val="00895425"/>
    <w:rsid w:val="008955C2"/>
    <w:rsid w:val="008958A1"/>
    <w:rsid w:val="00895A8B"/>
    <w:rsid w:val="00895AD8"/>
    <w:rsid w:val="00895DA5"/>
    <w:rsid w:val="00895DE5"/>
    <w:rsid w:val="00895F79"/>
    <w:rsid w:val="008960C8"/>
    <w:rsid w:val="00896A08"/>
    <w:rsid w:val="00896B93"/>
    <w:rsid w:val="00896F98"/>
    <w:rsid w:val="00897205"/>
    <w:rsid w:val="00897417"/>
    <w:rsid w:val="00897BBB"/>
    <w:rsid w:val="00897DF3"/>
    <w:rsid w:val="00897FA4"/>
    <w:rsid w:val="00897FD2"/>
    <w:rsid w:val="008A036E"/>
    <w:rsid w:val="008A060E"/>
    <w:rsid w:val="008A0757"/>
    <w:rsid w:val="008A08FF"/>
    <w:rsid w:val="008A0E1B"/>
    <w:rsid w:val="008A1E68"/>
    <w:rsid w:val="008A1F23"/>
    <w:rsid w:val="008A1F59"/>
    <w:rsid w:val="008A2081"/>
    <w:rsid w:val="008A2798"/>
    <w:rsid w:val="008A29B6"/>
    <w:rsid w:val="008A2DFA"/>
    <w:rsid w:val="008A31B8"/>
    <w:rsid w:val="008A3301"/>
    <w:rsid w:val="008A3390"/>
    <w:rsid w:val="008A3904"/>
    <w:rsid w:val="008A40D9"/>
    <w:rsid w:val="008A4646"/>
    <w:rsid w:val="008A473B"/>
    <w:rsid w:val="008A4C95"/>
    <w:rsid w:val="008A4DAB"/>
    <w:rsid w:val="008A4F08"/>
    <w:rsid w:val="008A511B"/>
    <w:rsid w:val="008A56B2"/>
    <w:rsid w:val="008A57A4"/>
    <w:rsid w:val="008A5F47"/>
    <w:rsid w:val="008A677E"/>
    <w:rsid w:val="008A68A8"/>
    <w:rsid w:val="008A6AAB"/>
    <w:rsid w:val="008A6F38"/>
    <w:rsid w:val="008A7235"/>
    <w:rsid w:val="008A742F"/>
    <w:rsid w:val="008A75D4"/>
    <w:rsid w:val="008A773E"/>
    <w:rsid w:val="008A7896"/>
    <w:rsid w:val="008A7A15"/>
    <w:rsid w:val="008A7A4F"/>
    <w:rsid w:val="008B0D42"/>
    <w:rsid w:val="008B136C"/>
    <w:rsid w:val="008B22B3"/>
    <w:rsid w:val="008B2468"/>
    <w:rsid w:val="008B2642"/>
    <w:rsid w:val="008B26F4"/>
    <w:rsid w:val="008B275B"/>
    <w:rsid w:val="008B283D"/>
    <w:rsid w:val="008B29F9"/>
    <w:rsid w:val="008B2C04"/>
    <w:rsid w:val="008B2FCD"/>
    <w:rsid w:val="008B35C9"/>
    <w:rsid w:val="008B3D29"/>
    <w:rsid w:val="008B4117"/>
    <w:rsid w:val="008B45D2"/>
    <w:rsid w:val="008B46E7"/>
    <w:rsid w:val="008B47EF"/>
    <w:rsid w:val="008B4F60"/>
    <w:rsid w:val="008B4F6B"/>
    <w:rsid w:val="008B4FDA"/>
    <w:rsid w:val="008B5131"/>
    <w:rsid w:val="008B5399"/>
    <w:rsid w:val="008B55BA"/>
    <w:rsid w:val="008B56E3"/>
    <w:rsid w:val="008B5B63"/>
    <w:rsid w:val="008B5C38"/>
    <w:rsid w:val="008B5D6C"/>
    <w:rsid w:val="008B5EC0"/>
    <w:rsid w:val="008B5FBE"/>
    <w:rsid w:val="008B5FFA"/>
    <w:rsid w:val="008B6264"/>
    <w:rsid w:val="008B6411"/>
    <w:rsid w:val="008B6DC2"/>
    <w:rsid w:val="008B70EB"/>
    <w:rsid w:val="008B721B"/>
    <w:rsid w:val="008B72D6"/>
    <w:rsid w:val="008B764D"/>
    <w:rsid w:val="008B76A6"/>
    <w:rsid w:val="008B771C"/>
    <w:rsid w:val="008B7FAA"/>
    <w:rsid w:val="008C0003"/>
    <w:rsid w:val="008C027F"/>
    <w:rsid w:val="008C08C0"/>
    <w:rsid w:val="008C09ED"/>
    <w:rsid w:val="008C0FC4"/>
    <w:rsid w:val="008C1247"/>
    <w:rsid w:val="008C130A"/>
    <w:rsid w:val="008C198E"/>
    <w:rsid w:val="008C1AAC"/>
    <w:rsid w:val="008C1E98"/>
    <w:rsid w:val="008C21E2"/>
    <w:rsid w:val="008C22F1"/>
    <w:rsid w:val="008C2B62"/>
    <w:rsid w:val="008C36CD"/>
    <w:rsid w:val="008C3AA7"/>
    <w:rsid w:val="008C3F6F"/>
    <w:rsid w:val="008C3FBA"/>
    <w:rsid w:val="008C49FF"/>
    <w:rsid w:val="008C51C0"/>
    <w:rsid w:val="008C59C6"/>
    <w:rsid w:val="008C5BFE"/>
    <w:rsid w:val="008C601A"/>
    <w:rsid w:val="008C6255"/>
    <w:rsid w:val="008C6489"/>
    <w:rsid w:val="008C655A"/>
    <w:rsid w:val="008C679F"/>
    <w:rsid w:val="008C6DCD"/>
    <w:rsid w:val="008C6EA1"/>
    <w:rsid w:val="008C74BA"/>
    <w:rsid w:val="008C789D"/>
    <w:rsid w:val="008D042F"/>
    <w:rsid w:val="008D0894"/>
    <w:rsid w:val="008D0F66"/>
    <w:rsid w:val="008D14E5"/>
    <w:rsid w:val="008D15EC"/>
    <w:rsid w:val="008D1612"/>
    <w:rsid w:val="008D16CD"/>
    <w:rsid w:val="008D16DD"/>
    <w:rsid w:val="008D1830"/>
    <w:rsid w:val="008D193B"/>
    <w:rsid w:val="008D197A"/>
    <w:rsid w:val="008D245D"/>
    <w:rsid w:val="008D2A4B"/>
    <w:rsid w:val="008D2C97"/>
    <w:rsid w:val="008D3E9A"/>
    <w:rsid w:val="008D41C8"/>
    <w:rsid w:val="008D43BB"/>
    <w:rsid w:val="008D4816"/>
    <w:rsid w:val="008D4A3A"/>
    <w:rsid w:val="008D4AB7"/>
    <w:rsid w:val="008D4D62"/>
    <w:rsid w:val="008D4E6A"/>
    <w:rsid w:val="008D50DF"/>
    <w:rsid w:val="008D51C5"/>
    <w:rsid w:val="008D5E87"/>
    <w:rsid w:val="008D6009"/>
    <w:rsid w:val="008D6B01"/>
    <w:rsid w:val="008D6CBB"/>
    <w:rsid w:val="008D6F1B"/>
    <w:rsid w:val="008D6FA7"/>
    <w:rsid w:val="008D70BD"/>
    <w:rsid w:val="008D7652"/>
    <w:rsid w:val="008D77C7"/>
    <w:rsid w:val="008D78AF"/>
    <w:rsid w:val="008D7D71"/>
    <w:rsid w:val="008D7FE0"/>
    <w:rsid w:val="008E03C7"/>
    <w:rsid w:val="008E0567"/>
    <w:rsid w:val="008E0972"/>
    <w:rsid w:val="008E097D"/>
    <w:rsid w:val="008E0E1E"/>
    <w:rsid w:val="008E1143"/>
    <w:rsid w:val="008E1ACA"/>
    <w:rsid w:val="008E1BB7"/>
    <w:rsid w:val="008E1D66"/>
    <w:rsid w:val="008E1EDE"/>
    <w:rsid w:val="008E22F6"/>
    <w:rsid w:val="008E24EF"/>
    <w:rsid w:val="008E2985"/>
    <w:rsid w:val="008E317D"/>
    <w:rsid w:val="008E3E44"/>
    <w:rsid w:val="008E41BA"/>
    <w:rsid w:val="008E4276"/>
    <w:rsid w:val="008E42E7"/>
    <w:rsid w:val="008E4386"/>
    <w:rsid w:val="008E4506"/>
    <w:rsid w:val="008E459E"/>
    <w:rsid w:val="008E4DE9"/>
    <w:rsid w:val="008E588D"/>
    <w:rsid w:val="008E6037"/>
    <w:rsid w:val="008E68C2"/>
    <w:rsid w:val="008E6E20"/>
    <w:rsid w:val="008E6F1A"/>
    <w:rsid w:val="008E7265"/>
    <w:rsid w:val="008E73A2"/>
    <w:rsid w:val="008E74F8"/>
    <w:rsid w:val="008E7707"/>
    <w:rsid w:val="008E7895"/>
    <w:rsid w:val="008E7A8C"/>
    <w:rsid w:val="008E7D79"/>
    <w:rsid w:val="008E7DF1"/>
    <w:rsid w:val="008E7F25"/>
    <w:rsid w:val="008F076E"/>
    <w:rsid w:val="008F0932"/>
    <w:rsid w:val="008F0BDD"/>
    <w:rsid w:val="008F105F"/>
    <w:rsid w:val="008F10A6"/>
    <w:rsid w:val="008F138A"/>
    <w:rsid w:val="008F138B"/>
    <w:rsid w:val="008F146C"/>
    <w:rsid w:val="008F1714"/>
    <w:rsid w:val="008F1D81"/>
    <w:rsid w:val="008F1D88"/>
    <w:rsid w:val="008F2477"/>
    <w:rsid w:val="008F2507"/>
    <w:rsid w:val="008F26DE"/>
    <w:rsid w:val="008F2B41"/>
    <w:rsid w:val="008F2B7C"/>
    <w:rsid w:val="008F3166"/>
    <w:rsid w:val="008F3692"/>
    <w:rsid w:val="008F3C3E"/>
    <w:rsid w:val="008F3EE6"/>
    <w:rsid w:val="008F4350"/>
    <w:rsid w:val="008F4480"/>
    <w:rsid w:val="008F491C"/>
    <w:rsid w:val="008F49E1"/>
    <w:rsid w:val="008F4CE0"/>
    <w:rsid w:val="008F4DC2"/>
    <w:rsid w:val="008F4EE9"/>
    <w:rsid w:val="008F50D8"/>
    <w:rsid w:val="008F5F29"/>
    <w:rsid w:val="008F61B3"/>
    <w:rsid w:val="008F61F7"/>
    <w:rsid w:val="008F6496"/>
    <w:rsid w:val="008F694C"/>
    <w:rsid w:val="008F6D0A"/>
    <w:rsid w:val="008F70B5"/>
    <w:rsid w:val="008F7236"/>
    <w:rsid w:val="008F736C"/>
    <w:rsid w:val="008F790B"/>
    <w:rsid w:val="008F7B0C"/>
    <w:rsid w:val="008F7BDB"/>
    <w:rsid w:val="008F7D02"/>
    <w:rsid w:val="008F7DAF"/>
    <w:rsid w:val="00900132"/>
    <w:rsid w:val="009007FE"/>
    <w:rsid w:val="00900977"/>
    <w:rsid w:val="009009EB"/>
    <w:rsid w:val="00900B4A"/>
    <w:rsid w:val="00900CB7"/>
    <w:rsid w:val="00900DAB"/>
    <w:rsid w:val="0090110F"/>
    <w:rsid w:val="00901468"/>
    <w:rsid w:val="00901D86"/>
    <w:rsid w:val="00901EFE"/>
    <w:rsid w:val="00901F43"/>
    <w:rsid w:val="009022B8"/>
    <w:rsid w:val="00902921"/>
    <w:rsid w:val="00902B9A"/>
    <w:rsid w:val="00902E56"/>
    <w:rsid w:val="00902E86"/>
    <w:rsid w:val="00903B9E"/>
    <w:rsid w:val="00903C89"/>
    <w:rsid w:val="00903E9A"/>
    <w:rsid w:val="00903F98"/>
    <w:rsid w:val="00904598"/>
    <w:rsid w:val="0090493B"/>
    <w:rsid w:val="00904A74"/>
    <w:rsid w:val="00904D72"/>
    <w:rsid w:val="00904DED"/>
    <w:rsid w:val="00904E41"/>
    <w:rsid w:val="00904F0F"/>
    <w:rsid w:val="009051CA"/>
    <w:rsid w:val="009056AC"/>
    <w:rsid w:val="00905869"/>
    <w:rsid w:val="0090704F"/>
    <w:rsid w:val="009071B6"/>
    <w:rsid w:val="00907C42"/>
    <w:rsid w:val="00907DBE"/>
    <w:rsid w:val="00910105"/>
    <w:rsid w:val="009107A0"/>
    <w:rsid w:val="00910862"/>
    <w:rsid w:val="00910C31"/>
    <w:rsid w:val="009112EA"/>
    <w:rsid w:val="0091157C"/>
    <w:rsid w:val="00911BF2"/>
    <w:rsid w:val="00911C4F"/>
    <w:rsid w:val="009125C9"/>
    <w:rsid w:val="00912618"/>
    <w:rsid w:val="0091277A"/>
    <w:rsid w:val="00912A52"/>
    <w:rsid w:val="00913106"/>
    <w:rsid w:val="00913953"/>
    <w:rsid w:val="00914068"/>
    <w:rsid w:val="00914096"/>
    <w:rsid w:val="00914120"/>
    <w:rsid w:val="009146EB"/>
    <w:rsid w:val="009147CC"/>
    <w:rsid w:val="009148B9"/>
    <w:rsid w:val="00914C0D"/>
    <w:rsid w:val="00915202"/>
    <w:rsid w:val="0091560E"/>
    <w:rsid w:val="0091597B"/>
    <w:rsid w:val="00915C33"/>
    <w:rsid w:val="00915F23"/>
    <w:rsid w:val="00916263"/>
    <w:rsid w:val="009162EE"/>
    <w:rsid w:val="00916488"/>
    <w:rsid w:val="0091671C"/>
    <w:rsid w:val="0091680C"/>
    <w:rsid w:val="00916A82"/>
    <w:rsid w:val="00916BE6"/>
    <w:rsid w:val="00916F78"/>
    <w:rsid w:val="009175D7"/>
    <w:rsid w:val="009177A1"/>
    <w:rsid w:val="00917CE1"/>
    <w:rsid w:val="009200E3"/>
    <w:rsid w:val="00920488"/>
    <w:rsid w:val="009207EF"/>
    <w:rsid w:val="00920EA4"/>
    <w:rsid w:val="009211E2"/>
    <w:rsid w:val="00921238"/>
    <w:rsid w:val="00921743"/>
    <w:rsid w:val="00921869"/>
    <w:rsid w:val="009219E9"/>
    <w:rsid w:val="00921E38"/>
    <w:rsid w:val="00921E72"/>
    <w:rsid w:val="009222B1"/>
    <w:rsid w:val="00922336"/>
    <w:rsid w:val="00923035"/>
    <w:rsid w:val="00923178"/>
    <w:rsid w:val="00923DA9"/>
    <w:rsid w:val="009246CE"/>
    <w:rsid w:val="00924A67"/>
    <w:rsid w:val="00924C34"/>
    <w:rsid w:val="00924D95"/>
    <w:rsid w:val="00925228"/>
    <w:rsid w:val="009252C0"/>
    <w:rsid w:val="00925D96"/>
    <w:rsid w:val="0092651B"/>
    <w:rsid w:val="00926558"/>
    <w:rsid w:val="00926B06"/>
    <w:rsid w:val="00926E21"/>
    <w:rsid w:val="00926F23"/>
    <w:rsid w:val="0092726C"/>
    <w:rsid w:val="0092763D"/>
    <w:rsid w:val="00927B1D"/>
    <w:rsid w:val="00927C0D"/>
    <w:rsid w:val="0093017D"/>
    <w:rsid w:val="009302E3"/>
    <w:rsid w:val="00930483"/>
    <w:rsid w:val="009309D0"/>
    <w:rsid w:val="00930A37"/>
    <w:rsid w:val="00930D25"/>
    <w:rsid w:val="00930E6D"/>
    <w:rsid w:val="00931681"/>
    <w:rsid w:val="00931BC4"/>
    <w:rsid w:val="0093255A"/>
    <w:rsid w:val="009327D8"/>
    <w:rsid w:val="00932BAE"/>
    <w:rsid w:val="00932E2B"/>
    <w:rsid w:val="0093351C"/>
    <w:rsid w:val="00933742"/>
    <w:rsid w:val="0093392D"/>
    <w:rsid w:val="00933A74"/>
    <w:rsid w:val="00933A92"/>
    <w:rsid w:val="00933AA8"/>
    <w:rsid w:val="00933FF0"/>
    <w:rsid w:val="0093443B"/>
    <w:rsid w:val="009344DC"/>
    <w:rsid w:val="009348A5"/>
    <w:rsid w:val="00934A1E"/>
    <w:rsid w:val="00934A49"/>
    <w:rsid w:val="00934A5C"/>
    <w:rsid w:val="00934C26"/>
    <w:rsid w:val="00934E9B"/>
    <w:rsid w:val="0093555B"/>
    <w:rsid w:val="0093563E"/>
    <w:rsid w:val="00935789"/>
    <w:rsid w:val="00935B60"/>
    <w:rsid w:val="00935C5C"/>
    <w:rsid w:val="00935E6F"/>
    <w:rsid w:val="009363F2"/>
    <w:rsid w:val="0093640E"/>
    <w:rsid w:val="00936817"/>
    <w:rsid w:val="00936A03"/>
    <w:rsid w:val="00937145"/>
    <w:rsid w:val="009373B2"/>
    <w:rsid w:val="0093774E"/>
    <w:rsid w:val="00937B77"/>
    <w:rsid w:val="0094044C"/>
    <w:rsid w:val="0094055E"/>
    <w:rsid w:val="009406E5"/>
    <w:rsid w:val="0094078D"/>
    <w:rsid w:val="0094099B"/>
    <w:rsid w:val="00940B99"/>
    <w:rsid w:val="00940CD1"/>
    <w:rsid w:val="00940DCC"/>
    <w:rsid w:val="00940F78"/>
    <w:rsid w:val="00940FA3"/>
    <w:rsid w:val="009422A0"/>
    <w:rsid w:val="00942324"/>
    <w:rsid w:val="009427A5"/>
    <w:rsid w:val="00942AB4"/>
    <w:rsid w:val="00942E26"/>
    <w:rsid w:val="009436F0"/>
    <w:rsid w:val="0094390D"/>
    <w:rsid w:val="00943924"/>
    <w:rsid w:val="009444D6"/>
    <w:rsid w:val="009446B8"/>
    <w:rsid w:val="00944965"/>
    <w:rsid w:val="00944A0C"/>
    <w:rsid w:val="00944C2D"/>
    <w:rsid w:val="00944C4E"/>
    <w:rsid w:val="00944F18"/>
    <w:rsid w:val="00944F2B"/>
    <w:rsid w:val="009452E2"/>
    <w:rsid w:val="009452E3"/>
    <w:rsid w:val="00945334"/>
    <w:rsid w:val="0094598A"/>
    <w:rsid w:val="00945B47"/>
    <w:rsid w:val="00945D9A"/>
    <w:rsid w:val="00946156"/>
    <w:rsid w:val="00946658"/>
    <w:rsid w:val="00946A77"/>
    <w:rsid w:val="009474C2"/>
    <w:rsid w:val="009478DD"/>
    <w:rsid w:val="00947989"/>
    <w:rsid w:val="009479DF"/>
    <w:rsid w:val="00947C7D"/>
    <w:rsid w:val="00947F99"/>
    <w:rsid w:val="00950480"/>
    <w:rsid w:val="00950C4E"/>
    <w:rsid w:val="00950E27"/>
    <w:rsid w:val="00951147"/>
    <w:rsid w:val="00951294"/>
    <w:rsid w:val="009516EC"/>
    <w:rsid w:val="00952160"/>
    <w:rsid w:val="00952376"/>
    <w:rsid w:val="009528D2"/>
    <w:rsid w:val="00952FA0"/>
    <w:rsid w:val="009535EB"/>
    <w:rsid w:val="00953A90"/>
    <w:rsid w:val="00953C04"/>
    <w:rsid w:val="00953D5F"/>
    <w:rsid w:val="00953F24"/>
    <w:rsid w:val="009545ED"/>
    <w:rsid w:val="00954710"/>
    <w:rsid w:val="00954726"/>
    <w:rsid w:val="00954A23"/>
    <w:rsid w:val="00954B34"/>
    <w:rsid w:val="00954EA8"/>
    <w:rsid w:val="00954FD2"/>
    <w:rsid w:val="00955797"/>
    <w:rsid w:val="00955B9C"/>
    <w:rsid w:val="00955F35"/>
    <w:rsid w:val="00955FF7"/>
    <w:rsid w:val="0095609D"/>
    <w:rsid w:val="009565C4"/>
    <w:rsid w:val="009566CB"/>
    <w:rsid w:val="00956CD4"/>
    <w:rsid w:val="00956E99"/>
    <w:rsid w:val="00956EAD"/>
    <w:rsid w:val="009577E0"/>
    <w:rsid w:val="00957A9D"/>
    <w:rsid w:val="00957AD0"/>
    <w:rsid w:val="00957D85"/>
    <w:rsid w:val="00957DB1"/>
    <w:rsid w:val="0096009F"/>
    <w:rsid w:val="009600DE"/>
    <w:rsid w:val="0096014C"/>
    <w:rsid w:val="00960548"/>
    <w:rsid w:val="00960B7E"/>
    <w:rsid w:val="00960DDB"/>
    <w:rsid w:val="00960E19"/>
    <w:rsid w:val="009611A8"/>
    <w:rsid w:val="009616D8"/>
    <w:rsid w:val="0096191A"/>
    <w:rsid w:val="00961A30"/>
    <w:rsid w:val="00961E9A"/>
    <w:rsid w:val="00961F57"/>
    <w:rsid w:val="0096245A"/>
    <w:rsid w:val="00962472"/>
    <w:rsid w:val="0096256E"/>
    <w:rsid w:val="009626FB"/>
    <w:rsid w:val="009629F4"/>
    <w:rsid w:val="00962B57"/>
    <w:rsid w:val="00962BFB"/>
    <w:rsid w:val="00962DEC"/>
    <w:rsid w:val="00962EAA"/>
    <w:rsid w:val="00962ED1"/>
    <w:rsid w:val="0096323F"/>
    <w:rsid w:val="009634E0"/>
    <w:rsid w:val="00963BD7"/>
    <w:rsid w:val="00963C37"/>
    <w:rsid w:val="00963D69"/>
    <w:rsid w:val="0096408D"/>
    <w:rsid w:val="0096454F"/>
    <w:rsid w:val="00964702"/>
    <w:rsid w:val="00964EEA"/>
    <w:rsid w:val="00964FF3"/>
    <w:rsid w:val="00965B44"/>
    <w:rsid w:val="00965DBD"/>
    <w:rsid w:val="009662A4"/>
    <w:rsid w:val="009665D2"/>
    <w:rsid w:val="00966A5F"/>
    <w:rsid w:val="00966F31"/>
    <w:rsid w:val="00966F34"/>
    <w:rsid w:val="00967772"/>
    <w:rsid w:val="009677D5"/>
    <w:rsid w:val="00967DC3"/>
    <w:rsid w:val="009704CF"/>
    <w:rsid w:val="009717BC"/>
    <w:rsid w:val="00971C24"/>
    <w:rsid w:val="0097208E"/>
    <w:rsid w:val="00972208"/>
    <w:rsid w:val="009727FF"/>
    <w:rsid w:val="00972E1E"/>
    <w:rsid w:val="009730AF"/>
    <w:rsid w:val="00973350"/>
    <w:rsid w:val="00973595"/>
    <w:rsid w:val="009736B9"/>
    <w:rsid w:val="00973A11"/>
    <w:rsid w:val="00973E7B"/>
    <w:rsid w:val="00974778"/>
    <w:rsid w:val="0097481D"/>
    <w:rsid w:val="0097484B"/>
    <w:rsid w:val="0097498F"/>
    <w:rsid w:val="00974A3B"/>
    <w:rsid w:val="00975269"/>
    <w:rsid w:val="0097552D"/>
    <w:rsid w:val="009756C8"/>
    <w:rsid w:val="00975B33"/>
    <w:rsid w:val="00976932"/>
    <w:rsid w:val="00976A71"/>
    <w:rsid w:val="00976DDB"/>
    <w:rsid w:val="009772D6"/>
    <w:rsid w:val="009778C1"/>
    <w:rsid w:val="00977B91"/>
    <w:rsid w:val="00977C97"/>
    <w:rsid w:val="00977FC0"/>
    <w:rsid w:val="00977FCE"/>
    <w:rsid w:val="00980043"/>
    <w:rsid w:val="009807BF"/>
    <w:rsid w:val="009808B9"/>
    <w:rsid w:val="009811E2"/>
    <w:rsid w:val="00981618"/>
    <w:rsid w:val="00981F48"/>
    <w:rsid w:val="009821BA"/>
    <w:rsid w:val="00982684"/>
    <w:rsid w:val="009829D8"/>
    <w:rsid w:val="0098336F"/>
    <w:rsid w:val="009833CB"/>
    <w:rsid w:val="00983490"/>
    <w:rsid w:val="00983624"/>
    <w:rsid w:val="00983F2D"/>
    <w:rsid w:val="00984205"/>
    <w:rsid w:val="00984364"/>
    <w:rsid w:val="009843C7"/>
    <w:rsid w:val="00984441"/>
    <w:rsid w:val="00984568"/>
    <w:rsid w:val="0098472A"/>
    <w:rsid w:val="00984738"/>
    <w:rsid w:val="00984E35"/>
    <w:rsid w:val="00984EDF"/>
    <w:rsid w:val="009854C0"/>
    <w:rsid w:val="00985896"/>
    <w:rsid w:val="00985D93"/>
    <w:rsid w:val="00985DE2"/>
    <w:rsid w:val="00985F8A"/>
    <w:rsid w:val="00986584"/>
    <w:rsid w:val="00986A1D"/>
    <w:rsid w:val="00986A50"/>
    <w:rsid w:val="009875A6"/>
    <w:rsid w:val="00987BAF"/>
    <w:rsid w:val="00987E05"/>
    <w:rsid w:val="00987F24"/>
    <w:rsid w:val="0099023A"/>
    <w:rsid w:val="00990D82"/>
    <w:rsid w:val="00990EDE"/>
    <w:rsid w:val="00991031"/>
    <w:rsid w:val="00991216"/>
    <w:rsid w:val="0099149B"/>
    <w:rsid w:val="009915B9"/>
    <w:rsid w:val="0099179E"/>
    <w:rsid w:val="009921ED"/>
    <w:rsid w:val="00992220"/>
    <w:rsid w:val="00992A7A"/>
    <w:rsid w:val="0099302C"/>
    <w:rsid w:val="00993090"/>
    <w:rsid w:val="009931DC"/>
    <w:rsid w:val="00993413"/>
    <w:rsid w:val="00993418"/>
    <w:rsid w:val="0099364A"/>
    <w:rsid w:val="00993B96"/>
    <w:rsid w:val="00993C0C"/>
    <w:rsid w:val="00993ED6"/>
    <w:rsid w:val="00993F5F"/>
    <w:rsid w:val="00993F79"/>
    <w:rsid w:val="00994BC9"/>
    <w:rsid w:val="00994D03"/>
    <w:rsid w:val="00994D55"/>
    <w:rsid w:val="00994E1F"/>
    <w:rsid w:val="00994FAB"/>
    <w:rsid w:val="00995326"/>
    <w:rsid w:val="00995AFB"/>
    <w:rsid w:val="00995BF0"/>
    <w:rsid w:val="00995D26"/>
    <w:rsid w:val="00995E46"/>
    <w:rsid w:val="009961B6"/>
    <w:rsid w:val="00996297"/>
    <w:rsid w:val="00996363"/>
    <w:rsid w:val="009966F5"/>
    <w:rsid w:val="0099681B"/>
    <w:rsid w:val="0099682F"/>
    <w:rsid w:val="00996942"/>
    <w:rsid w:val="00996F47"/>
    <w:rsid w:val="00997356"/>
    <w:rsid w:val="009976FC"/>
    <w:rsid w:val="00997A41"/>
    <w:rsid w:val="00997B2A"/>
    <w:rsid w:val="00997DAF"/>
    <w:rsid w:val="00997F98"/>
    <w:rsid w:val="009A0302"/>
    <w:rsid w:val="009A0CE5"/>
    <w:rsid w:val="009A0DDE"/>
    <w:rsid w:val="009A2399"/>
    <w:rsid w:val="009A3147"/>
    <w:rsid w:val="009A3633"/>
    <w:rsid w:val="009A4192"/>
    <w:rsid w:val="009A435B"/>
    <w:rsid w:val="009A4527"/>
    <w:rsid w:val="009A4609"/>
    <w:rsid w:val="009A4743"/>
    <w:rsid w:val="009A4C33"/>
    <w:rsid w:val="009A4CD2"/>
    <w:rsid w:val="009A4D6A"/>
    <w:rsid w:val="009A4F6A"/>
    <w:rsid w:val="009A50C3"/>
    <w:rsid w:val="009A53EE"/>
    <w:rsid w:val="009A5F02"/>
    <w:rsid w:val="009A604D"/>
    <w:rsid w:val="009A6073"/>
    <w:rsid w:val="009A7565"/>
    <w:rsid w:val="009A76FB"/>
    <w:rsid w:val="009A7C25"/>
    <w:rsid w:val="009B03D6"/>
    <w:rsid w:val="009B0C55"/>
    <w:rsid w:val="009B0F31"/>
    <w:rsid w:val="009B1045"/>
    <w:rsid w:val="009B1CF7"/>
    <w:rsid w:val="009B1D1A"/>
    <w:rsid w:val="009B1F8F"/>
    <w:rsid w:val="009B1FAE"/>
    <w:rsid w:val="009B225B"/>
    <w:rsid w:val="009B251E"/>
    <w:rsid w:val="009B2B2A"/>
    <w:rsid w:val="009B2CE9"/>
    <w:rsid w:val="009B36A7"/>
    <w:rsid w:val="009B3775"/>
    <w:rsid w:val="009B3C4F"/>
    <w:rsid w:val="009B3E20"/>
    <w:rsid w:val="009B3FEA"/>
    <w:rsid w:val="009B40AF"/>
    <w:rsid w:val="009B432E"/>
    <w:rsid w:val="009B4560"/>
    <w:rsid w:val="009B45A9"/>
    <w:rsid w:val="009B486F"/>
    <w:rsid w:val="009B4B45"/>
    <w:rsid w:val="009B4CD8"/>
    <w:rsid w:val="009B4FA8"/>
    <w:rsid w:val="009B534C"/>
    <w:rsid w:val="009B5C40"/>
    <w:rsid w:val="009B5F2D"/>
    <w:rsid w:val="009B605D"/>
    <w:rsid w:val="009B64CE"/>
    <w:rsid w:val="009B6680"/>
    <w:rsid w:val="009B755D"/>
    <w:rsid w:val="009B773C"/>
    <w:rsid w:val="009B77A4"/>
    <w:rsid w:val="009B799A"/>
    <w:rsid w:val="009B7DA4"/>
    <w:rsid w:val="009B7DDB"/>
    <w:rsid w:val="009B7EB1"/>
    <w:rsid w:val="009C07A1"/>
    <w:rsid w:val="009C08BC"/>
    <w:rsid w:val="009C0C3B"/>
    <w:rsid w:val="009C0F5B"/>
    <w:rsid w:val="009C0F9D"/>
    <w:rsid w:val="009C124E"/>
    <w:rsid w:val="009C15D2"/>
    <w:rsid w:val="009C2326"/>
    <w:rsid w:val="009C2444"/>
    <w:rsid w:val="009C24AF"/>
    <w:rsid w:val="009C24DE"/>
    <w:rsid w:val="009C24E3"/>
    <w:rsid w:val="009C259E"/>
    <w:rsid w:val="009C2963"/>
    <w:rsid w:val="009C2C00"/>
    <w:rsid w:val="009C2CB2"/>
    <w:rsid w:val="009C2DE8"/>
    <w:rsid w:val="009C3123"/>
    <w:rsid w:val="009C348D"/>
    <w:rsid w:val="009C3835"/>
    <w:rsid w:val="009C40FA"/>
    <w:rsid w:val="009C48D9"/>
    <w:rsid w:val="009C57E9"/>
    <w:rsid w:val="009C582C"/>
    <w:rsid w:val="009C5BBE"/>
    <w:rsid w:val="009C5F5B"/>
    <w:rsid w:val="009C60D4"/>
    <w:rsid w:val="009C631C"/>
    <w:rsid w:val="009C6453"/>
    <w:rsid w:val="009C6530"/>
    <w:rsid w:val="009C6DB3"/>
    <w:rsid w:val="009C6F1E"/>
    <w:rsid w:val="009C7665"/>
    <w:rsid w:val="009C766B"/>
    <w:rsid w:val="009C7BDE"/>
    <w:rsid w:val="009D03CA"/>
    <w:rsid w:val="009D0472"/>
    <w:rsid w:val="009D052B"/>
    <w:rsid w:val="009D0819"/>
    <w:rsid w:val="009D08D3"/>
    <w:rsid w:val="009D0B85"/>
    <w:rsid w:val="009D0C87"/>
    <w:rsid w:val="009D0F1F"/>
    <w:rsid w:val="009D1665"/>
    <w:rsid w:val="009D1684"/>
    <w:rsid w:val="009D1B4A"/>
    <w:rsid w:val="009D235B"/>
    <w:rsid w:val="009D2670"/>
    <w:rsid w:val="009D2699"/>
    <w:rsid w:val="009D2716"/>
    <w:rsid w:val="009D296C"/>
    <w:rsid w:val="009D2DDA"/>
    <w:rsid w:val="009D2EDE"/>
    <w:rsid w:val="009D331E"/>
    <w:rsid w:val="009D3A57"/>
    <w:rsid w:val="009D4544"/>
    <w:rsid w:val="009D4EBB"/>
    <w:rsid w:val="009D4FCF"/>
    <w:rsid w:val="009D500C"/>
    <w:rsid w:val="009D5220"/>
    <w:rsid w:val="009D528D"/>
    <w:rsid w:val="009D53E4"/>
    <w:rsid w:val="009D57FC"/>
    <w:rsid w:val="009D583F"/>
    <w:rsid w:val="009D5AAD"/>
    <w:rsid w:val="009D5BA8"/>
    <w:rsid w:val="009D5CF0"/>
    <w:rsid w:val="009D6175"/>
    <w:rsid w:val="009D63FB"/>
    <w:rsid w:val="009D6E34"/>
    <w:rsid w:val="009D6F88"/>
    <w:rsid w:val="009D7002"/>
    <w:rsid w:val="009D71C7"/>
    <w:rsid w:val="009D74E8"/>
    <w:rsid w:val="009D76CE"/>
    <w:rsid w:val="009D7731"/>
    <w:rsid w:val="009D79F8"/>
    <w:rsid w:val="009D7E5E"/>
    <w:rsid w:val="009E0145"/>
    <w:rsid w:val="009E03B6"/>
    <w:rsid w:val="009E0BE0"/>
    <w:rsid w:val="009E0E45"/>
    <w:rsid w:val="009E10BF"/>
    <w:rsid w:val="009E13C9"/>
    <w:rsid w:val="009E18F9"/>
    <w:rsid w:val="009E196E"/>
    <w:rsid w:val="009E1BE3"/>
    <w:rsid w:val="009E1FA4"/>
    <w:rsid w:val="009E2880"/>
    <w:rsid w:val="009E2F09"/>
    <w:rsid w:val="009E312B"/>
    <w:rsid w:val="009E359B"/>
    <w:rsid w:val="009E35E0"/>
    <w:rsid w:val="009E3808"/>
    <w:rsid w:val="009E3965"/>
    <w:rsid w:val="009E42F5"/>
    <w:rsid w:val="009E4509"/>
    <w:rsid w:val="009E45DB"/>
    <w:rsid w:val="009E4609"/>
    <w:rsid w:val="009E489E"/>
    <w:rsid w:val="009E4A77"/>
    <w:rsid w:val="009E4BCF"/>
    <w:rsid w:val="009E4D9A"/>
    <w:rsid w:val="009E4E23"/>
    <w:rsid w:val="009E4F54"/>
    <w:rsid w:val="009E5064"/>
    <w:rsid w:val="009E5766"/>
    <w:rsid w:val="009E57F2"/>
    <w:rsid w:val="009E5ABC"/>
    <w:rsid w:val="009E5B40"/>
    <w:rsid w:val="009E5DCB"/>
    <w:rsid w:val="009E5F97"/>
    <w:rsid w:val="009E5FF3"/>
    <w:rsid w:val="009E6AD0"/>
    <w:rsid w:val="009E6C15"/>
    <w:rsid w:val="009E6E7B"/>
    <w:rsid w:val="009E6FD9"/>
    <w:rsid w:val="009E75FF"/>
    <w:rsid w:val="009E7D79"/>
    <w:rsid w:val="009F036D"/>
    <w:rsid w:val="009F05AE"/>
    <w:rsid w:val="009F0AF5"/>
    <w:rsid w:val="009F1207"/>
    <w:rsid w:val="009F164C"/>
    <w:rsid w:val="009F1770"/>
    <w:rsid w:val="009F1D55"/>
    <w:rsid w:val="009F2115"/>
    <w:rsid w:val="009F222D"/>
    <w:rsid w:val="009F22BE"/>
    <w:rsid w:val="009F237B"/>
    <w:rsid w:val="009F2789"/>
    <w:rsid w:val="009F341A"/>
    <w:rsid w:val="009F3442"/>
    <w:rsid w:val="009F3A2C"/>
    <w:rsid w:val="009F3BB4"/>
    <w:rsid w:val="009F43CA"/>
    <w:rsid w:val="009F4BC2"/>
    <w:rsid w:val="009F4EBE"/>
    <w:rsid w:val="009F5A14"/>
    <w:rsid w:val="009F5D77"/>
    <w:rsid w:val="009F604F"/>
    <w:rsid w:val="009F665D"/>
    <w:rsid w:val="009F6B40"/>
    <w:rsid w:val="009F6B48"/>
    <w:rsid w:val="009F7179"/>
    <w:rsid w:val="009F7335"/>
    <w:rsid w:val="009F750D"/>
    <w:rsid w:val="009F757B"/>
    <w:rsid w:val="009F7D8B"/>
    <w:rsid w:val="009F7F18"/>
    <w:rsid w:val="00A00935"/>
    <w:rsid w:val="00A009CF"/>
    <w:rsid w:val="00A00EAB"/>
    <w:rsid w:val="00A017AD"/>
    <w:rsid w:val="00A01942"/>
    <w:rsid w:val="00A01AE3"/>
    <w:rsid w:val="00A01C7F"/>
    <w:rsid w:val="00A02E0A"/>
    <w:rsid w:val="00A0360B"/>
    <w:rsid w:val="00A03840"/>
    <w:rsid w:val="00A0394D"/>
    <w:rsid w:val="00A03B5C"/>
    <w:rsid w:val="00A042C8"/>
    <w:rsid w:val="00A044A7"/>
    <w:rsid w:val="00A04719"/>
    <w:rsid w:val="00A047D5"/>
    <w:rsid w:val="00A0487A"/>
    <w:rsid w:val="00A04B71"/>
    <w:rsid w:val="00A053DB"/>
    <w:rsid w:val="00A061A1"/>
    <w:rsid w:val="00A066DB"/>
    <w:rsid w:val="00A071A1"/>
    <w:rsid w:val="00A0787E"/>
    <w:rsid w:val="00A07B0E"/>
    <w:rsid w:val="00A07C74"/>
    <w:rsid w:val="00A07E6B"/>
    <w:rsid w:val="00A10221"/>
    <w:rsid w:val="00A10342"/>
    <w:rsid w:val="00A10609"/>
    <w:rsid w:val="00A10745"/>
    <w:rsid w:val="00A10834"/>
    <w:rsid w:val="00A10D70"/>
    <w:rsid w:val="00A1184A"/>
    <w:rsid w:val="00A1196E"/>
    <w:rsid w:val="00A11DF7"/>
    <w:rsid w:val="00A1202F"/>
    <w:rsid w:val="00A12641"/>
    <w:rsid w:val="00A1290C"/>
    <w:rsid w:val="00A12BF2"/>
    <w:rsid w:val="00A12E67"/>
    <w:rsid w:val="00A13054"/>
    <w:rsid w:val="00A13928"/>
    <w:rsid w:val="00A13A24"/>
    <w:rsid w:val="00A13A67"/>
    <w:rsid w:val="00A14321"/>
    <w:rsid w:val="00A14863"/>
    <w:rsid w:val="00A14F38"/>
    <w:rsid w:val="00A1555F"/>
    <w:rsid w:val="00A15596"/>
    <w:rsid w:val="00A155F8"/>
    <w:rsid w:val="00A156F8"/>
    <w:rsid w:val="00A15D4A"/>
    <w:rsid w:val="00A161F1"/>
    <w:rsid w:val="00A16A2E"/>
    <w:rsid w:val="00A16F98"/>
    <w:rsid w:val="00A16FB3"/>
    <w:rsid w:val="00A17155"/>
    <w:rsid w:val="00A17F76"/>
    <w:rsid w:val="00A20098"/>
    <w:rsid w:val="00A200B2"/>
    <w:rsid w:val="00A20E4B"/>
    <w:rsid w:val="00A20EA7"/>
    <w:rsid w:val="00A20FED"/>
    <w:rsid w:val="00A2100C"/>
    <w:rsid w:val="00A21342"/>
    <w:rsid w:val="00A215F9"/>
    <w:rsid w:val="00A21B5B"/>
    <w:rsid w:val="00A21D16"/>
    <w:rsid w:val="00A21D7B"/>
    <w:rsid w:val="00A22925"/>
    <w:rsid w:val="00A22C25"/>
    <w:rsid w:val="00A22E7B"/>
    <w:rsid w:val="00A231B3"/>
    <w:rsid w:val="00A231C3"/>
    <w:rsid w:val="00A234A3"/>
    <w:rsid w:val="00A237D8"/>
    <w:rsid w:val="00A23867"/>
    <w:rsid w:val="00A23DFA"/>
    <w:rsid w:val="00A247BD"/>
    <w:rsid w:val="00A249CD"/>
    <w:rsid w:val="00A24D62"/>
    <w:rsid w:val="00A25038"/>
    <w:rsid w:val="00A254C6"/>
    <w:rsid w:val="00A25AB9"/>
    <w:rsid w:val="00A2642A"/>
    <w:rsid w:val="00A26C57"/>
    <w:rsid w:val="00A276D9"/>
    <w:rsid w:val="00A278CC"/>
    <w:rsid w:val="00A27B6C"/>
    <w:rsid w:val="00A27BC9"/>
    <w:rsid w:val="00A27D2D"/>
    <w:rsid w:val="00A27F44"/>
    <w:rsid w:val="00A27FC3"/>
    <w:rsid w:val="00A30393"/>
    <w:rsid w:val="00A304D8"/>
    <w:rsid w:val="00A3054A"/>
    <w:rsid w:val="00A305B3"/>
    <w:rsid w:val="00A3136F"/>
    <w:rsid w:val="00A3186F"/>
    <w:rsid w:val="00A3189B"/>
    <w:rsid w:val="00A31E59"/>
    <w:rsid w:val="00A321AD"/>
    <w:rsid w:val="00A327D9"/>
    <w:rsid w:val="00A3312F"/>
    <w:rsid w:val="00A331D3"/>
    <w:rsid w:val="00A3335C"/>
    <w:rsid w:val="00A335C9"/>
    <w:rsid w:val="00A33C75"/>
    <w:rsid w:val="00A33D6A"/>
    <w:rsid w:val="00A33E4E"/>
    <w:rsid w:val="00A33EE7"/>
    <w:rsid w:val="00A3451D"/>
    <w:rsid w:val="00A34A1A"/>
    <w:rsid w:val="00A34D3E"/>
    <w:rsid w:val="00A34DBB"/>
    <w:rsid w:val="00A34E21"/>
    <w:rsid w:val="00A35CD3"/>
    <w:rsid w:val="00A35EED"/>
    <w:rsid w:val="00A3615C"/>
    <w:rsid w:val="00A361E4"/>
    <w:rsid w:val="00A366D6"/>
    <w:rsid w:val="00A3677D"/>
    <w:rsid w:val="00A368B8"/>
    <w:rsid w:val="00A36CA2"/>
    <w:rsid w:val="00A36FA5"/>
    <w:rsid w:val="00A37047"/>
    <w:rsid w:val="00A37321"/>
    <w:rsid w:val="00A37550"/>
    <w:rsid w:val="00A37B64"/>
    <w:rsid w:val="00A37E0F"/>
    <w:rsid w:val="00A407E1"/>
    <w:rsid w:val="00A40857"/>
    <w:rsid w:val="00A40AC4"/>
    <w:rsid w:val="00A40D88"/>
    <w:rsid w:val="00A40DA2"/>
    <w:rsid w:val="00A410D7"/>
    <w:rsid w:val="00A416A0"/>
    <w:rsid w:val="00A42506"/>
    <w:rsid w:val="00A4251E"/>
    <w:rsid w:val="00A4261A"/>
    <w:rsid w:val="00A42B6E"/>
    <w:rsid w:val="00A42D7C"/>
    <w:rsid w:val="00A4302D"/>
    <w:rsid w:val="00A43A79"/>
    <w:rsid w:val="00A43F5B"/>
    <w:rsid w:val="00A44018"/>
    <w:rsid w:val="00A44143"/>
    <w:rsid w:val="00A44172"/>
    <w:rsid w:val="00A442A6"/>
    <w:rsid w:val="00A4449A"/>
    <w:rsid w:val="00A445EE"/>
    <w:rsid w:val="00A44F53"/>
    <w:rsid w:val="00A44FE5"/>
    <w:rsid w:val="00A45849"/>
    <w:rsid w:val="00A45B34"/>
    <w:rsid w:val="00A45CF1"/>
    <w:rsid w:val="00A45E16"/>
    <w:rsid w:val="00A46486"/>
    <w:rsid w:val="00A467A1"/>
    <w:rsid w:val="00A46978"/>
    <w:rsid w:val="00A46DBB"/>
    <w:rsid w:val="00A46F6C"/>
    <w:rsid w:val="00A47007"/>
    <w:rsid w:val="00A47187"/>
    <w:rsid w:val="00A47467"/>
    <w:rsid w:val="00A474B6"/>
    <w:rsid w:val="00A47D15"/>
    <w:rsid w:val="00A50190"/>
    <w:rsid w:val="00A50525"/>
    <w:rsid w:val="00A506AE"/>
    <w:rsid w:val="00A509C3"/>
    <w:rsid w:val="00A50E29"/>
    <w:rsid w:val="00A516CD"/>
    <w:rsid w:val="00A51F31"/>
    <w:rsid w:val="00A5231B"/>
    <w:rsid w:val="00A5263D"/>
    <w:rsid w:val="00A52714"/>
    <w:rsid w:val="00A528D4"/>
    <w:rsid w:val="00A52B8A"/>
    <w:rsid w:val="00A52ECC"/>
    <w:rsid w:val="00A53003"/>
    <w:rsid w:val="00A531C8"/>
    <w:rsid w:val="00A53211"/>
    <w:rsid w:val="00A53251"/>
    <w:rsid w:val="00A53691"/>
    <w:rsid w:val="00A53905"/>
    <w:rsid w:val="00A541A0"/>
    <w:rsid w:val="00A54775"/>
    <w:rsid w:val="00A54E45"/>
    <w:rsid w:val="00A54EF7"/>
    <w:rsid w:val="00A54FF0"/>
    <w:rsid w:val="00A55113"/>
    <w:rsid w:val="00A5512C"/>
    <w:rsid w:val="00A55572"/>
    <w:rsid w:val="00A55575"/>
    <w:rsid w:val="00A5569E"/>
    <w:rsid w:val="00A558D0"/>
    <w:rsid w:val="00A55BF6"/>
    <w:rsid w:val="00A55EB6"/>
    <w:rsid w:val="00A56447"/>
    <w:rsid w:val="00A56749"/>
    <w:rsid w:val="00A6020A"/>
    <w:rsid w:val="00A60401"/>
    <w:rsid w:val="00A60439"/>
    <w:rsid w:val="00A604DA"/>
    <w:rsid w:val="00A608F7"/>
    <w:rsid w:val="00A609CC"/>
    <w:rsid w:val="00A60B05"/>
    <w:rsid w:val="00A60BD5"/>
    <w:rsid w:val="00A61741"/>
    <w:rsid w:val="00A61AE5"/>
    <w:rsid w:val="00A61C9F"/>
    <w:rsid w:val="00A61E9D"/>
    <w:rsid w:val="00A62051"/>
    <w:rsid w:val="00A6218B"/>
    <w:rsid w:val="00A6255E"/>
    <w:rsid w:val="00A627FC"/>
    <w:rsid w:val="00A6326F"/>
    <w:rsid w:val="00A637D6"/>
    <w:rsid w:val="00A63BE2"/>
    <w:rsid w:val="00A64ACA"/>
    <w:rsid w:val="00A65401"/>
    <w:rsid w:val="00A655B1"/>
    <w:rsid w:val="00A659A8"/>
    <w:rsid w:val="00A659AB"/>
    <w:rsid w:val="00A6645C"/>
    <w:rsid w:val="00A66771"/>
    <w:rsid w:val="00A67110"/>
    <w:rsid w:val="00A67176"/>
    <w:rsid w:val="00A6717C"/>
    <w:rsid w:val="00A6783E"/>
    <w:rsid w:val="00A679F8"/>
    <w:rsid w:val="00A67CE3"/>
    <w:rsid w:val="00A67FD2"/>
    <w:rsid w:val="00A706AD"/>
    <w:rsid w:val="00A7085C"/>
    <w:rsid w:val="00A71328"/>
    <w:rsid w:val="00A713C2"/>
    <w:rsid w:val="00A716D1"/>
    <w:rsid w:val="00A71B96"/>
    <w:rsid w:val="00A722E4"/>
    <w:rsid w:val="00A724CD"/>
    <w:rsid w:val="00A73867"/>
    <w:rsid w:val="00A73B9B"/>
    <w:rsid w:val="00A73F3F"/>
    <w:rsid w:val="00A73FF9"/>
    <w:rsid w:val="00A74845"/>
    <w:rsid w:val="00A74861"/>
    <w:rsid w:val="00A74F2C"/>
    <w:rsid w:val="00A750B7"/>
    <w:rsid w:val="00A75222"/>
    <w:rsid w:val="00A752E8"/>
    <w:rsid w:val="00A75487"/>
    <w:rsid w:val="00A759EF"/>
    <w:rsid w:val="00A75B5D"/>
    <w:rsid w:val="00A76097"/>
    <w:rsid w:val="00A76276"/>
    <w:rsid w:val="00A766F3"/>
    <w:rsid w:val="00A76724"/>
    <w:rsid w:val="00A76989"/>
    <w:rsid w:val="00A76CB3"/>
    <w:rsid w:val="00A76F4A"/>
    <w:rsid w:val="00A774BA"/>
    <w:rsid w:val="00A776E5"/>
    <w:rsid w:val="00A77FC3"/>
    <w:rsid w:val="00A80C51"/>
    <w:rsid w:val="00A80F6D"/>
    <w:rsid w:val="00A810A8"/>
    <w:rsid w:val="00A816D7"/>
    <w:rsid w:val="00A819FD"/>
    <w:rsid w:val="00A81BA3"/>
    <w:rsid w:val="00A82048"/>
    <w:rsid w:val="00A8204F"/>
    <w:rsid w:val="00A82231"/>
    <w:rsid w:val="00A824D0"/>
    <w:rsid w:val="00A828EB"/>
    <w:rsid w:val="00A82999"/>
    <w:rsid w:val="00A82C7F"/>
    <w:rsid w:val="00A832D8"/>
    <w:rsid w:val="00A833B5"/>
    <w:rsid w:val="00A83628"/>
    <w:rsid w:val="00A83693"/>
    <w:rsid w:val="00A83C71"/>
    <w:rsid w:val="00A84118"/>
    <w:rsid w:val="00A84292"/>
    <w:rsid w:val="00A84DED"/>
    <w:rsid w:val="00A84FB6"/>
    <w:rsid w:val="00A85301"/>
    <w:rsid w:val="00A854FE"/>
    <w:rsid w:val="00A858ED"/>
    <w:rsid w:val="00A859EB"/>
    <w:rsid w:val="00A85EB1"/>
    <w:rsid w:val="00A8631A"/>
    <w:rsid w:val="00A86B16"/>
    <w:rsid w:val="00A86F31"/>
    <w:rsid w:val="00A86FF0"/>
    <w:rsid w:val="00A87066"/>
    <w:rsid w:val="00A8779E"/>
    <w:rsid w:val="00A87BA4"/>
    <w:rsid w:val="00A87C04"/>
    <w:rsid w:val="00A9016D"/>
    <w:rsid w:val="00A9018B"/>
    <w:rsid w:val="00A90225"/>
    <w:rsid w:val="00A905F7"/>
    <w:rsid w:val="00A907E7"/>
    <w:rsid w:val="00A908F9"/>
    <w:rsid w:val="00A909BC"/>
    <w:rsid w:val="00A9136F"/>
    <w:rsid w:val="00A915DF"/>
    <w:rsid w:val="00A91CB5"/>
    <w:rsid w:val="00A91F2B"/>
    <w:rsid w:val="00A921FB"/>
    <w:rsid w:val="00A92360"/>
    <w:rsid w:val="00A92465"/>
    <w:rsid w:val="00A9368D"/>
    <w:rsid w:val="00A939F1"/>
    <w:rsid w:val="00A93DDA"/>
    <w:rsid w:val="00A93F1E"/>
    <w:rsid w:val="00A93FFD"/>
    <w:rsid w:val="00A9430D"/>
    <w:rsid w:val="00A94819"/>
    <w:rsid w:val="00A94AA2"/>
    <w:rsid w:val="00A9509A"/>
    <w:rsid w:val="00A95538"/>
    <w:rsid w:val="00A95605"/>
    <w:rsid w:val="00A95B49"/>
    <w:rsid w:val="00A95F13"/>
    <w:rsid w:val="00A95FC8"/>
    <w:rsid w:val="00A96191"/>
    <w:rsid w:val="00A96300"/>
    <w:rsid w:val="00A966F1"/>
    <w:rsid w:val="00A96966"/>
    <w:rsid w:val="00A97057"/>
    <w:rsid w:val="00A97385"/>
    <w:rsid w:val="00A97479"/>
    <w:rsid w:val="00A97504"/>
    <w:rsid w:val="00A975D4"/>
    <w:rsid w:val="00A976E0"/>
    <w:rsid w:val="00A97840"/>
    <w:rsid w:val="00A97980"/>
    <w:rsid w:val="00A97C37"/>
    <w:rsid w:val="00AA02CA"/>
    <w:rsid w:val="00AA1547"/>
    <w:rsid w:val="00AA1571"/>
    <w:rsid w:val="00AA169A"/>
    <w:rsid w:val="00AA1F54"/>
    <w:rsid w:val="00AA232E"/>
    <w:rsid w:val="00AA28BD"/>
    <w:rsid w:val="00AA2DEA"/>
    <w:rsid w:val="00AA2F9D"/>
    <w:rsid w:val="00AA33CC"/>
    <w:rsid w:val="00AA346A"/>
    <w:rsid w:val="00AA3E17"/>
    <w:rsid w:val="00AA457A"/>
    <w:rsid w:val="00AA4A61"/>
    <w:rsid w:val="00AA4E87"/>
    <w:rsid w:val="00AA574E"/>
    <w:rsid w:val="00AA5A7B"/>
    <w:rsid w:val="00AA620F"/>
    <w:rsid w:val="00AA68F9"/>
    <w:rsid w:val="00AA68FB"/>
    <w:rsid w:val="00AA6DEF"/>
    <w:rsid w:val="00AA6E85"/>
    <w:rsid w:val="00AA6EA9"/>
    <w:rsid w:val="00AA759E"/>
    <w:rsid w:val="00AA7755"/>
    <w:rsid w:val="00AA7D1A"/>
    <w:rsid w:val="00AB070A"/>
    <w:rsid w:val="00AB0716"/>
    <w:rsid w:val="00AB0731"/>
    <w:rsid w:val="00AB0AA6"/>
    <w:rsid w:val="00AB10BC"/>
    <w:rsid w:val="00AB1353"/>
    <w:rsid w:val="00AB177B"/>
    <w:rsid w:val="00AB2101"/>
    <w:rsid w:val="00AB2123"/>
    <w:rsid w:val="00AB282F"/>
    <w:rsid w:val="00AB285A"/>
    <w:rsid w:val="00AB2C54"/>
    <w:rsid w:val="00AB2E2E"/>
    <w:rsid w:val="00AB3112"/>
    <w:rsid w:val="00AB3ADE"/>
    <w:rsid w:val="00AB4244"/>
    <w:rsid w:val="00AB4645"/>
    <w:rsid w:val="00AB496E"/>
    <w:rsid w:val="00AB4D3B"/>
    <w:rsid w:val="00AB4F99"/>
    <w:rsid w:val="00AB50E0"/>
    <w:rsid w:val="00AB50F8"/>
    <w:rsid w:val="00AB526D"/>
    <w:rsid w:val="00AB5473"/>
    <w:rsid w:val="00AB5509"/>
    <w:rsid w:val="00AB5A67"/>
    <w:rsid w:val="00AB5D8A"/>
    <w:rsid w:val="00AB5EF3"/>
    <w:rsid w:val="00AB61FC"/>
    <w:rsid w:val="00AB6AA5"/>
    <w:rsid w:val="00AB6D72"/>
    <w:rsid w:val="00AB6F00"/>
    <w:rsid w:val="00AB71DC"/>
    <w:rsid w:val="00AB7683"/>
    <w:rsid w:val="00AB775E"/>
    <w:rsid w:val="00AB77A0"/>
    <w:rsid w:val="00AB78DA"/>
    <w:rsid w:val="00AB7A1A"/>
    <w:rsid w:val="00AB7CEE"/>
    <w:rsid w:val="00AB7F6E"/>
    <w:rsid w:val="00AC0816"/>
    <w:rsid w:val="00AC0BE7"/>
    <w:rsid w:val="00AC131E"/>
    <w:rsid w:val="00AC183B"/>
    <w:rsid w:val="00AC2054"/>
    <w:rsid w:val="00AC267A"/>
    <w:rsid w:val="00AC2A98"/>
    <w:rsid w:val="00AC2C6B"/>
    <w:rsid w:val="00AC30C0"/>
    <w:rsid w:val="00AC35E4"/>
    <w:rsid w:val="00AC38E8"/>
    <w:rsid w:val="00AC3EB2"/>
    <w:rsid w:val="00AC3FA3"/>
    <w:rsid w:val="00AC4863"/>
    <w:rsid w:val="00AC494C"/>
    <w:rsid w:val="00AC496E"/>
    <w:rsid w:val="00AC49D9"/>
    <w:rsid w:val="00AC51DF"/>
    <w:rsid w:val="00AC53FE"/>
    <w:rsid w:val="00AC5D04"/>
    <w:rsid w:val="00AC5D34"/>
    <w:rsid w:val="00AC5D8A"/>
    <w:rsid w:val="00AC6089"/>
    <w:rsid w:val="00AC693B"/>
    <w:rsid w:val="00AC6ED3"/>
    <w:rsid w:val="00AC706C"/>
    <w:rsid w:val="00AC70E6"/>
    <w:rsid w:val="00AC720C"/>
    <w:rsid w:val="00AC7564"/>
    <w:rsid w:val="00AC77B8"/>
    <w:rsid w:val="00AC7BBE"/>
    <w:rsid w:val="00AC7EB4"/>
    <w:rsid w:val="00AD0180"/>
    <w:rsid w:val="00AD037B"/>
    <w:rsid w:val="00AD07DD"/>
    <w:rsid w:val="00AD0A17"/>
    <w:rsid w:val="00AD0B17"/>
    <w:rsid w:val="00AD11E0"/>
    <w:rsid w:val="00AD12FB"/>
    <w:rsid w:val="00AD1945"/>
    <w:rsid w:val="00AD1DC3"/>
    <w:rsid w:val="00AD26A5"/>
    <w:rsid w:val="00AD2F74"/>
    <w:rsid w:val="00AD3140"/>
    <w:rsid w:val="00AD3422"/>
    <w:rsid w:val="00AD371F"/>
    <w:rsid w:val="00AD3974"/>
    <w:rsid w:val="00AD3C04"/>
    <w:rsid w:val="00AD3CB2"/>
    <w:rsid w:val="00AD3EEB"/>
    <w:rsid w:val="00AD4021"/>
    <w:rsid w:val="00AD452C"/>
    <w:rsid w:val="00AD480B"/>
    <w:rsid w:val="00AD4A32"/>
    <w:rsid w:val="00AD4A77"/>
    <w:rsid w:val="00AD5451"/>
    <w:rsid w:val="00AD5836"/>
    <w:rsid w:val="00AD6112"/>
    <w:rsid w:val="00AD61C2"/>
    <w:rsid w:val="00AD6A3D"/>
    <w:rsid w:val="00AD6B26"/>
    <w:rsid w:val="00AD6BD8"/>
    <w:rsid w:val="00AD6D20"/>
    <w:rsid w:val="00AD6E3F"/>
    <w:rsid w:val="00AD6F17"/>
    <w:rsid w:val="00AD6F23"/>
    <w:rsid w:val="00AD6F6E"/>
    <w:rsid w:val="00AD6FFD"/>
    <w:rsid w:val="00AD71A0"/>
    <w:rsid w:val="00AD71CA"/>
    <w:rsid w:val="00AD7775"/>
    <w:rsid w:val="00AE030C"/>
    <w:rsid w:val="00AE080E"/>
    <w:rsid w:val="00AE0D7E"/>
    <w:rsid w:val="00AE1045"/>
    <w:rsid w:val="00AE151F"/>
    <w:rsid w:val="00AE19D5"/>
    <w:rsid w:val="00AE1BFD"/>
    <w:rsid w:val="00AE1F4A"/>
    <w:rsid w:val="00AE20C1"/>
    <w:rsid w:val="00AE22A8"/>
    <w:rsid w:val="00AE274B"/>
    <w:rsid w:val="00AE2B9B"/>
    <w:rsid w:val="00AE39F3"/>
    <w:rsid w:val="00AE3A37"/>
    <w:rsid w:val="00AE43D0"/>
    <w:rsid w:val="00AE46DC"/>
    <w:rsid w:val="00AE49B1"/>
    <w:rsid w:val="00AE544D"/>
    <w:rsid w:val="00AE5526"/>
    <w:rsid w:val="00AE553B"/>
    <w:rsid w:val="00AE5718"/>
    <w:rsid w:val="00AE6375"/>
    <w:rsid w:val="00AE63D2"/>
    <w:rsid w:val="00AE65FE"/>
    <w:rsid w:val="00AE692E"/>
    <w:rsid w:val="00AE6C1F"/>
    <w:rsid w:val="00AE70A5"/>
    <w:rsid w:val="00AE754C"/>
    <w:rsid w:val="00AE76BF"/>
    <w:rsid w:val="00AE7832"/>
    <w:rsid w:val="00AF00F2"/>
    <w:rsid w:val="00AF02C0"/>
    <w:rsid w:val="00AF05CB"/>
    <w:rsid w:val="00AF071E"/>
    <w:rsid w:val="00AF07B9"/>
    <w:rsid w:val="00AF08C3"/>
    <w:rsid w:val="00AF0FDC"/>
    <w:rsid w:val="00AF1020"/>
    <w:rsid w:val="00AF118B"/>
    <w:rsid w:val="00AF16B9"/>
    <w:rsid w:val="00AF17EC"/>
    <w:rsid w:val="00AF1A7F"/>
    <w:rsid w:val="00AF1BD1"/>
    <w:rsid w:val="00AF2331"/>
    <w:rsid w:val="00AF2AF2"/>
    <w:rsid w:val="00AF3661"/>
    <w:rsid w:val="00AF3A12"/>
    <w:rsid w:val="00AF3A53"/>
    <w:rsid w:val="00AF3A65"/>
    <w:rsid w:val="00AF404B"/>
    <w:rsid w:val="00AF4478"/>
    <w:rsid w:val="00AF4533"/>
    <w:rsid w:val="00AF4720"/>
    <w:rsid w:val="00AF4ACA"/>
    <w:rsid w:val="00AF51E3"/>
    <w:rsid w:val="00AF56D7"/>
    <w:rsid w:val="00AF5796"/>
    <w:rsid w:val="00AF58B8"/>
    <w:rsid w:val="00AF5A5A"/>
    <w:rsid w:val="00AF5F5A"/>
    <w:rsid w:val="00AF69D4"/>
    <w:rsid w:val="00AF71CE"/>
    <w:rsid w:val="00AF77A9"/>
    <w:rsid w:val="00AF77EF"/>
    <w:rsid w:val="00AF7D02"/>
    <w:rsid w:val="00AF7EB6"/>
    <w:rsid w:val="00AF7F77"/>
    <w:rsid w:val="00B0008F"/>
    <w:rsid w:val="00B0035A"/>
    <w:rsid w:val="00B0041A"/>
    <w:rsid w:val="00B0053E"/>
    <w:rsid w:val="00B00F16"/>
    <w:rsid w:val="00B0108C"/>
    <w:rsid w:val="00B010EA"/>
    <w:rsid w:val="00B01110"/>
    <w:rsid w:val="00B013E7"/>
    <w:rsid w:val="00B015FB"/>
    <w:rsid w:val="00B01898"/>
    <w:rsid w:val="00B01E14"/>
    <w:rsid w:val="00B021C8"/>
    <w:rsid w:val="00B02474"/>
    <w:rsid w:val="00B02B95"/>
    <w:rsid w:val="00B02E8F"/>
    <w:rsid w:val="00B02F89"/>
    <w:rsid w:val="00B032EA"/>
    <w:rsid w:val="00B0334D"/>
    <w:rsid w:val="00B03687"/>
    <w:rsid w:val="00B0371B"/>
    <w:rsid w:val="00B04602"/>
    <w:rsid w:val="00B04606"/>
    <w:rsid w:val="00B04656"/>
    <w:rsid w:val="00B04806"/>
    <w:rsid w:val="00B04A55"/>
    <w:rsid w:val="00B05413"/>
    <w:rsid w:val="00B05C23"/>
    <w:rsid w:val="00B05D6F"/>
    <w:rsid w:val="00B05E07"/>
    <w:rsid w:val="00B05EBA"/>
    <w:rsid w:val="00B05F4C"/>
    <w:rsid w:val="00B06E73"/>
    <w:rsid w:val="00B070B3"/>
    <w:rsid w:val="00B07131"/>
    <w:rsid w:val="00B07190"/>
    <w:rsid w:val="00B073C5"/>
    <w:rsid w:val="00B10303"/>
    <w:rsid w:val="00B104AD"/>
    <w:rsid w:val="00B109F8"/>
    <w:rsid w:val="00B10B4D"/>
    <w:rsid w:val="00B10DB2"/>
    <w:rsid w:val="00B10EF7"/>
    <w:rsid w:val="00B112AF"/>
    <w:rsid w:val="00B112BF"/>
    <w:rsid w:val="00B116F5"/>
    <w:rsid w:val="00B117B8"/>
    <w:rsid w:val="00B12E30"/>
    <w:rsid w:val="00B12FBF"/>
    <w:rsid w:val="00B13183"/>
    <w:rsid w:val="00B134DC"/>
    <w:rsid w:val="00B1359A"/>
    <w:rsid w:val="00B139D2"/>
    <w:rsid w:val="00B1516F"/>
    <w:rsid w:val="00B152EB"/>
    <w:rsid w:val="00B15DD3"/>
    <w:rsid w:val="00B16239"/>
    <w:rsid w:val="00B1631E"/>
    <w:rsid w:val="00B16334"/>
    <w:rsid w:val="00B1679E"/>
    <w:rsid w:val="00B169AD"/>
    <w:rsid w:val="00B16A0B"/>
    <w:rsid w:val="00B16B1D"/>
    <w:rsid w:val="00B16C86"/>
    <w:rsid w:val="00B171BB"/>
    <w:rsid w:val="00B1721F"/>
    <w:rsid w:val="00B173F4"/>
    <w:rsid w:val="00B1797B"/>
    <w:rsid w:val="00B17F2F"/>
    <w:rsid w:val="00B200F8"/>
    <w:rsid w:val="00B201F7"/>
    <w:rsid w:val="00B20314"/>
    <w:rsid w:val="00B2083E"/>
    <w:rsid w:val="00B20BD2"/>
    <w:rsid w:val="00B21EE5"/>
    <w:rsid w:val="00B222A6"/>
    <w:rsid w:val="00B222F7"/>
    <w:rsid w:val="00B22A87"/>
    <w:rsid w:val="00B22D3D"/>
    <w:rsid w:val="00B22E46"/>
    <w:rsid w:val="00B22E6F"/>
    <w:rsid w:val="00B23337"/>
    <w:rsid w:val="00B23D1B"/>
    <w:rsid w:val="00B24458"/>
    <w:rsid w:val="00B24AFA"/>
    <w:rsid w:val="00B24B32"/>
    <w:rsid w:val="00B25BFC"/>
    <w:rsid w:val="00B25C4E"/>
    <w:rsid w:val="00B26DCC"/>
    <w:rsid w:val="00B26E42"/>
    <w:rsid w:val="00B271B0"/>
    <w:rsid w:val="00B27895"/>
    <w:rsid w:val="00B27BA9"/>
    <w:rsid w:val="00B27F80"/>
    <w:rsid w:val="00B301AE"/>
    <w:rsid w:val="00B301B3"/>
    <w:rsid w:val="00B3075A"/>
    <w:rsid w:val="00B30BFE"/>
    <w:rsid w:val="00B311EE"/>
    <w:rsid w:val="00B312DA"/>
    <w:rsid w:val="00B3174C"/>
    <w:rsid w:val="00B31A0E"/>
    <w:rsid w:val="00B31C35"/>
    <w:rsid w:val="00B31DA5"/>
    <w:rsid w:val="00B32027"/>
    <w:rsid w:val="00B32839"/>
    <w:rsid w:val="00B32BD0"/>
    <w:rsid w:val="00B32F33"/>
    <w:rsid w:val="00B332C4"/>
    <w:rsid w:val="00B33412"/>
    <w:rsid w:val="00B33599"/>
    <w:rsid w:val="00B335B6"/>
    <w:rsid w:val="00B33CE0"/>
    <w:rsid w:val="00B33F7D"/>
    <w:rsid w:val="00B34277"/>
    <w:rsid w:val="00B34427"/>
    <w:rsid w:val="00B348F0"/>
    <w:rsid w:val="00B3538C"/>
    <w:rsid w:val="00B357AB"/>
    <w:rsid w:val="00B3605C"/>
    <w:rsid w:val="00B3618A"/>
    <w:rsid w:val="00B3681F"/>
    <w:rsid w:val="00B368F1"/>
    <w:rsid w:val="00B36AB9"/>
    <w:rsid w:val="00B36D97"/>
    <w:rsid w:val="00B373ED"/>
    <w:rsid w:val="00B37526"/>
    <w:rsid w:val="00B377ED"/>
    <w:rsid w:val="00B37882"/>
    <w:rsid w:val="00B37A71"/>
    <w:rsid w:val="00B37FC4"/>
    <w:rsid w:val="00B401FB"/>
    <w:rsid w:val="00B40808"/>
    <w:rsid w:val="00B40849"/>
    <w:rsid w:val="00B40888"/>
    <w:rsid w:val="00B40A95"/>
    <w:rsid w:val="00B40B1F"/>
    <w:rsid w:val="00B410A8"/>
    <w:rsid w:val="00B412E8"/>
    <w:rsid w:val="00B414E6"/>
    <w:rsid w:val="00B414FB"/>
    <w:rsid w:val="00B41539"/>
    <w:rsid w:val="00B416AB"/>
    <w:rsid w:val="00B42C41"/>
    <w:rsid w:val="00B43164"/>
    <w:rsid w:val="00B43692"/>
    <w:rsid w:val="00B43E1E"/>
    <w:rsid w:val="00B440B5"/>
    <w:rsid w:val="00B442EA"/>
    <w:rsid w:val="00B44C97"/>
    <w:rsid w:val="00B45024"/>
    <w:rsid w:val="00B45092"/>
    <w:rsid w:val="00B454A9"/>
    <w:rsid w:val="00B45AAF"/>
    <w:rsid w:val="00B460A2"/>
    <w:rsid w:val="00B46132"/>
    <w:rsid w:val="00B463A9"/>
    <w:rsid w:val="00B464D7"/>
    <w:rsid w:val="00B46532"/>
    <w:rsid w:val="00B4664C"/>
    <w:rsid w:val="00B467D9"/>
    <w:rsid w:val="00B4680F"/>
    <w:rsid w:val="00B46D81"/>
    <w:rsid w:val="00B46F89"/>
    <w:rsid w:val="00B47043"/>
    <w:rsid w:val="00B47256"/>
    <w:rsid w:val="00B4737E"/>
    <w:rsid w:val="00B474E4"/>
    <w:rsid w:val="00B474FC"/>
    <w:rsid w:val="00B4799C"/>
    <w:rsid w:val="00B47B50"/>
    <w:rsid w:val="00B47EC7"/>
    <w:rsid w:val="00B5018D"/>
    <w:rsid w:val="00B50309"/>
    <w:rsid w:val="00B50323"/>
    <w:rsid w:val="00B50983"/>
    <w:rsid w:val="00B5142C"/>
    <w:rsid w:val="00B5156A"/>
    <w:rsid w:val="00B5177B"/>
    <w:rsid w:val="00B52063"/>
    <w:rsid w:val="00B520C5"/>
    <w:rsid w:val="00B523E5"/>
    <w:rsid w:val="00B52415"/>
    <w:rsid w:val="00B528F3"/>
    <w:rsid w:val="00B52CEF"/>
    <w:rsid w:val="00B53046"/>
    <w:rsid w:val="00B53510"/>
    <w:rsid w:val="00B53C10"/>
    <w:rsid w:val="00B54402"/>
    <w:rsid w:val="00B5452D"/>
    <w:rsid w:val="00B549F5"/>
    <w:rsid w:val="00B55967"/>
    <w:rsid w:val="00B55BF0"/>
    <w:rsid w:val="00B56186"/>
    <w:rsid w:val="00B56223"/>
    <w:rsid w:val="00B565B7"/>
    <w:rsid w:val="00B5672F"/>
    <w:rsid w:val="00B56C0F"/>
    <w:rsid w:val="00B56CB0"/>
    <w:rsid w:val="00B57024"/>
    <w:rsid w:val="00B570B1"/>
    <w:rsid w:val="00B573B4"/>
    <w:rsid w:val="00B57DAA"/>
    <w:rsid w:val="00B57E76"/>
    <w:rsid w:val="00B57F3D"/>
    <w:rsid w:val="00B60143"/>
    <w:rsid w:val="00B60635"/>
    <w:rsid w:val="00B6082C"/>
    <w:rsid w:val="00B60F10"/>
    <w:rsid w:val="00B6103B"/>
    <w:rsid w:val="00B61273"/>
    <w:rsid w:val="00B613FB"/>
    <w:rsid w:val="00B6163F"/>
    <w:rsid w:val="00B61BA8"/>
    <w:rsid w:val="00B623EB"/>
    <w:rsid w:val="00B62C33"/>
    <w:rsid w:val="00B62CEA"/>
    <w:rsid w:val="00B62EB9"/>
    <w:rsid w:val="00B63C02"/>
    <w:rsid w:val="00B63F2F"/>
    <w:rsid w:val="00B6417E"/>
    <w:rsid w:val="00B646DA"/>
    <w:rsid w:val="00B64838"/>
    <w:rsid w:val="00B64C35"/>
    <w:rsid w:val="00B64DFC"/>
    <w:rsid w:val="00B64E76"/>
    <w:rsid w:val="00B64E77"/>
    <w:rsid w:val="00B65060"/>
    <w:rsid w:val="00B65282"/>
    <w:rsid w:val="00B653A2"/>
    <w:rsid w:val="00B6588A"/>
    <w:rsid w:val="00B65B64"/>
    <w:rsid w:val="00B65CBA"/>
    <w:rsid w:val="00B65DFD"/>
    <w:rsid w:val="00B66483"/>
    <w:rsid w:val="00B6657D"/>
    <w:rsid w:val="00B666CF"/>
    <w:rsid w:val="00B668E7"/>
    <w:rsid w:val="00B66BB8"/>
    <w:rsid w:val="00B66E32"/>
    <w:rsid w:val="00B6749A"/>
    <w:rsid w:val="00B677FF"/>
    <w:rsid w:val="00B67FB8"/>
    <w:rsid w:val="00B7015E"/>
    <w:rsid w:val="00B702E8"/>
    <w:rsid w:val="00B703BF"/>
    <w:rsid w:val="00B70BB0"/>
    <w:rsid w:val="00B70BEB"/>
    <w:rsid w:val="00B7118D"/>
    <w:rsid w:val="00B71A3D"/>
    <w:rsid w:val="00B71A73"/>
    <w:rsid w:val="00B71CB1"/>
    <w:rsid w:val="00B72175"/>
    <w:rsid w:val="00B72A2A"/>
    <w:rsid w:val="00B72BB2"/>
    <w:rsid w:val="00B72C9D"/>
    <w:rsid w:val="00B72D29"/>
    <w:rsid w:val="00B733ED"/>
    <w:rsid w:val="00B7340F"/>
    <w:rsid w:val="00B735F9"/>
    <w:rsid w:val="00B736AD"/>
    <w:rsid w:val="00B74B3D"/>
    <w:rsid w:val="00B74E94"/>
    <w:rsid w:val="00B750FE"/>
    <w:rsid w:val="00B75100"/>
    <w:rsid w:val="00B7574C"/>
    <w:rsid w:val="00B7603B"/>
    <w:rsid w:val="00B76118"/>
    <w:rsid w:val="00B76394"/>
    <w:rsid w:val="00B76397"/>
    <w:rsid w:val="00B77143"/>
    <w:rsid w:val="00B7738B"/>
    <w:rsid w:val="00B773D9"/>
    <w:rsid w:val="00B77848"/>
    <w:rsid w:val="00B77856"/>
    <w:rsid w:val="00B77A94"/>
    <w:rsid w:val="00B77E17"/>
    <w:rsid w:val="00B80173"/>
    <w:rsid w:val="00B8094A"/>
    <w:rsid w:val="00B80AC1"/>
    <w:rsid w:val="00B80DFA"/>
    <w:rsid w:val="00B8108A"/>
    <w:rsid w:val="00B81091"/>
    <w:rsid w:val="00B8166A"/>
    <w:rsid w:val="00B81AAB"/>
    <w:rsid w:val="00B81DAC"/>
    <w:rsid w:val="00B81F91"/>
    <w:rsid w:val="00B82067"/>
    <w:rsid w:val="00B82181"/>
    <w:rsid w:val="00B82668"/>
    <w:rsid w:val="00B82BD0"/>
    <w:rsid w:val="00B831AB"/>
    <w:rsid w:val="00B833DA"/>
    <w:rsid w:val="00B838A1"/>
    <w:rsid w:val="00B8433B"/>
    <w:rsid w:val="00B8491D"/>
    <w:rsid w:val="00B84E66"/>
    <w:rsid w:val="00B85407"/>
    <w:rsid w:val="00B85487"/>
    <w:rsid w:val="00B85C86"/>
    <w:rsid w:val="00B85EF7"/>
    <w:rsid w:val="00B85F15"/>
    <w:rsid w:val="00B868F5"/>
    <w:rsid w:val="00B86D57"/>
    <w:rsid w:val="00B870BC"/>
    <w:rsid w:val="00B870F7"/>
    <w:rsid w:val="00B87374"/>
    <w:rsid w:val="00B873E9"/>
    <w:rsid w:val="00B8750E"/>
    <w:rsid w:val="00B87B91"/>
    <w:rsid w:val="00B87F5C"/>
    <w:rsid w:val="00B90389"/>
    <w:rsid w:val="00B903A8"/>
    <w:rsid w:val="00B906A8"/>
    <w:rsid w:val="00B90791"/>
    <w:rsid w:val="00B9091F"/>
    <w:rsid w:val="00B90CC9"/>
    <w:rsid w:val="00B90FC8"/>
    <w:rsid w:val="00B913C9"/>
    <w:rsid w:val="00B915E0"/>
    <w:rsid w:val="00B91696"/>
    <w:rsid w:val="00B91A44"/>
    <w:rsid w:val="00B921D2"/>
    <w:rsid w:val="00B92426"/>
    <w:rsid w:val="00B92442"/>
    <w:rsid w:val="00B92B6F"/>
    <w:rsid w:val="00B92EE6"/>
    <w:rsid w:val="00B93064"/>
    <w:rsid w:val="00B9321F"/>
    <w:rsid w:val="00B932A8"/>
    <w:rsid w:val="00B933EA"/>
    <w:rsid w:val="00B9340F"/>
    <w:rsid w:val="00B934AF"/>
    <w:rsid w:val="00B93A94"/>
    <w:rsid w:val="00B93FB5"/>
    <w:rsid w:val="00B9415D"/>
    <w:rsid w:val="00B9488A"/>
    <w:rsid w:val="00B94A74"/>
    <w:rsid w:val="00B94D8B"/>
    <w:rsid w:val="00B9540B"/>
    <w:rsid w:val="00B95A11"/>
    <w:rsid w:val="00B95F6C"/>
    <w:rsid w:val="00B96175"/>
    <w:rsid w:val="00B96DEF"/>
    <w:rsid w:val="00B96F88"/>
    <w:rsid w:val="00B96FE9"/>
    <w:rsid w:val="00B97446"/>
    <w:rsid w:val="00B97690"/>
    <w:rsid w:val="00B97E83"/>
    <w:rsid w:val="00B97F41"/>
    <w:rsid w:val="00BA00CC"/>
    <w:rsid w:val="00BA033F"/>
    <w:rsid w:val="00BA045E"/>
    <w:rsid w:val="00BA0781"/>
    <w:rsid w:val="00BA0B84"/>
    <w:rsid w:val="00BA0E28"/>
    <w:rsid w:val="00BA16E3"/>
    <w:rsid w:val="00BA1851"/>
    <w:rsid w:val="00BA1A79"/>
    <w:rsid w:val="00BA1B4B"/>
    <w:rsid w:val="00BA1D0B"/>
    <w:rsid w:val="00BA2202"/>
    <w:rsid w:val="00BA2318"/>
    <w:rsid w:val="00BA2907"/>
    <w:rsid w:val="00BA2D53"/>
    <w:rsid w:val="00BA3F0A"/>
    <w:rsid w:val="00BA3F77"/>
    <w:rsid w:val="00BA4433"/>
    <w:rsid w:val="00BA49FB"/>
    <w:rsid w:val="00BA5079"/>
    <w:rsid w:val="00BA521B"/>
    <w:rsid w:val="00BA5245"/>
    <w:rsid w:val="00BA6789"/>
    <w:rsid w:val="00BA6794"/>
    <w:rsid w:val="00BA741E"/>
    <w:rsid w:val="00BA7462"/>
    <w:rsid w:val="00BA7919"/>
    <w:rsid w:val="00BA7BDE"/>
    <w:rsid w:val="00BA7C98"/>
    <w:rsid w:val="00BA7F9E"/>
    <w:rsid w:val="00BA7FEC"/>
    <w:rsid w:val="00BB0462"/>
    <w:rsid w:val="00BB05A8"/>
    <w:rsid w:val="00BB079B"/>
    <w:rsid w:val="00BB0828"/>
    <w:rsid w:val="00BB096F"/>
    <w:rsid w:val="00BB0E48"/>
    <w:rsid w:val="00BB0EFB"/>
    <w:rsid w:val="00BB0FBA"/>
    <w:rsid w:val="00BB135D"/>
    <w:rsid w:val="00BB163E"/>
    <w:rsid w:val="00BB171D"/>
    <w:rsid w:val="00BB1CAD"/>
    <w:rsid w:val="00BB22F7"/>
    <w:rsid w:val="00BB2AED"/>
    <w:rsid w:val="00BB38E7"/>
    <w:rsid w:val="00BB398D"/>
    <w:rsid w:val="00BB39D4"/>
    <w:rsid w:val="00BB3C11"/>
    <w:rsid w:val="00BB3C17"/>
    <w:rsid w:val="00BB3D32"/>
    <w:rsid w:val="00BB4129"/>
    <w:rsid w:val="00BB443F"/>
    <w:rsid w:val="00BB44D5"/>
    <w:rsid w:val="00BB44E4"/>
    <w:rsid w:val="00BB4AE1"/>
    <w:rsid w:val="00BB4CFB"/>
    <w:rsid w:val="00BB4D4B"/>
    <w:rsid w:val="00BB5023"/>
    <w:rsid w:val="00BB5AE2"/>
    <w:rsid w:val="00BB5C85"/>
    <w:rsid w:val="00BB616A"/>
    <w:rsid w:val="00BB6588"/>
    <w:rsid w:val="00BB69CC"/>
    <w:rsid w:val="00BB713F"/>
    <w:rsid w:val="00BB78AD"/>
    <w:rsid w:val="00BC08A1"/>
    <w:rsid w:val="00BC0B03"/>
    <w:rsid w:val="00BC0B93"/>
    <w:rsid w:val="00BC0C09"/>
    <w:rsid w:val="00BC12C3"/>
    <w:rsid w:val="00BC1388"/>
    <w:rsid w:val="00BC1466"/>
    <w:rsid w:val="00BC15B0"/>
    <w:rsid w:val="00BC1650"/>
    <w:rsid w:val="00BC1C85"/>
    <w:rsid w:val="00BC1EE7"/>
    <w:rsid w:val="00BC251D"/>
    <w:rsid w:val="00BC2609"/>
    <w:rsid w:val="00BC2735"/>
    <w:rsid w:val="00BC2B5C"/>
    <w:rsid w:val="00BC327C"/>
    <w:rsid w:val="00BC340E"/>
    <w:rsid w:val="00BC3522"/>
    <w:rsid w:val="00BC3525"/>
    <w:rsid w:val="00BC3DE7"/>
    <w:rsid w:val="00BC3F73"/>
    <w:rsid w:val="00BC46AC"/>
    <w:rsid w:val="00BC48F7"/>
    <w:rsid w:val="00BC4907"/>
    <w:rsid w:val="00BC577D"/>
    <w:rsid w:val="00BC5876"/>
    <w:rsid w:val="00BC5D97"/>
    <w:rsid w:val="00BC65EF"/>
    <w:rsid w:val="00BC6C3B"/>
    <w:rsid w:val="00BC6E4D"/>
    <w:rsid w:val="00BC72E0"/>
    <w:rsid w:val="00BC739F"/>
    <w:rsid w:val="00BD022B"/>
    <w:rsid w:val="00BD02C2"/>
    <w:rsid w:val="00BD078B"/>
    <w:rsid w:val="00BD08C8"/>
    <w:rsid w:val="00BD099F"/>
    <w:rsid w:val="00BD0AC3"/>
    <w:rsid w:val="00BD1278"/>
    <w:rsid w:val="00BD16CD"/>
    <w:rsid w:val="00BD17F1"/>
    <w:rsid w:val="00BD2620"/>
    <w:rsid w:val="00BD2709"/>
    <w:rsid w:val="00BD2838"/>
    <w:rsid w:val="00BD2C19"/>
    <w:rsid w:val="00BD2E45"/>
    <w:rsid w:val="00BD2EC0"/>
    <w:rsid w:val="00BD2F42"/>
    <w:rsid w:val="00BD3490"/>
    <w:rsid w:val="00BD3900"/>
    <w:rsid w:val="00BD397D"/>
    <w:rsid w:val="00BD3A1C"/>
    <w:rsid w:val="00BD3EA5"/>
    <w:rsid w:val="00BD3F41"/>
    <w:rsid w:val="00BD3FE5"/>
    <w:rsid w:val="00BD434D"/>
    <w:rsid w:val="00BD489B"/>
    <w:rsid w:val="00BD5112"/>
    <w:rsid w:val="00BD5234"/>
    <w:rsid w:val="00BD5590"/>
    <w:rsid w:val="00BD6876"/>
    <w:rsid w:val="00BD6CE6"/>
    <w:rsid w:val="00BD6CFD"/>
    <w:rsid w:val="00BD7A42"/>
    <w:rsid w:val="00BD7CB9"/>
    <w:rsid w:val="00BD7E5C"/>
    <w:rsid w:val="00BD7E60"/>
    <w:rsid w:val="00BE005F"/>
    <w:rsid w:val="00BE05FA"/>
    <w:rsid w:val="00BE099D"/>
    <w:rsid w:val="00BE0D0B"/>
    <w:rsid w:val="00BE19A8"/>
    <w:rsid w:val="00BE1D39"/>
    <w:rsid w:val="00BE1EE6"/>
    <w:rsid w:val="00BE276A"/>
    <w:rsid w:val="00BE27E1"/>
    <w:rsid w:val="00BE287C"/>
    <w:rsid w:val="00BE2967"/>
    <w:rsid w:val="00BE3160"/>
    <w:rsid w:val="00BE32E9"/>
    <w:rsid w:val="00BE36E4"/>
    <w:rsid w:val="00BE3929"/>
    <w:rsid w:val="00BE3C0A"/>
    <w:rsid w:val="00BE43B8"/>
    <w:rsid w:val="00BE4897"/>
    <w:rsid w:val="00BE48FC"/>
    <w:rsid w:val="00BE550D"/>
    <w:rsid w:val="00BE63C3"/>
    <w:rsid w:val="00BE6754"/>
    <w:rsid w:val="00BE685C"/>
    <w:rsid w:val="00BE6C10"/>
    <w:rsid w:val="00BE6EC3"/>
    <w:rsid w:val="00BE71A2"/>
    <w:rsid w:val="00BE746D"/>
    <w:rsid w:val="00BE7DD4"/>
    <w:rsid w:val="00BE7E1E"/>
    <w:rsid w:val="00BF02E1"/>
    <w:rsid w:val="00BF0645"/>
    <w:rsid w:val="00BF1AAA"/>
    <w:rsid w:val="00BF1B81"/>
    <w:rsid w:val="00BF1D30"/>
    <w:rsid w:val="00BF2119"/>
    <w:rsid w:val="00BF25B8"/>
    <w:rsid w:val="00BF2CD3"/>
    <w:rsid w:val="00BF2FC0"/>
    <w:rsid w:val="00BF344B"/>
    <w:rsid w:val="00BF3E2C"/>
    <w:rsid w:val="00BF3E7F"/>
    <w:rsid w:val="00BF41C4"/>
    <w:rsid w:val="00BF4A43"/>
    <w:rsid w:val="00BF5017"/>
    <w:rsid w:val="00BF505E"/>
    <w:rsid w:val="00BF53A3"/>
    <w:rsid w:val="00BF580A"/>
    <w:rsid w:val="00BF5963"/>
    <w:rsid w:val="00BF5AB2"/>
    <w:rsid w:val="00BF6243"/>
    <w:rsid w:val="00BF62DC"/>
    <w:rsid w:val="00BF69E6"/>
    <w:rsid w:val="00BF6EF3"/>
    <w:rsid w:val="00BF7082"/>
    <w:rsid w:val="00BF70F2"/>
    <w:rsid w:val="00BF74E7"/>
    <w:rsid w:val="00BF7D71"/>
    <w:rsid w:val="00BF7F4B"/>
    <w:rsid w:val="00C006D0"/>
    <w:rsid w:val="00C008CF"/>
    <w:rsid w:val="00C008E5"/>
    <w:rsid w:val="00C00D78"/>
    <w:rsid w:val="00C017C8"/>
    <w:rsid w:val="00C024C7"/>
    <w:rsid w:val="00C028A3"/>
    <w:rsid w:val="00C031D0"/>
    <w:rsid w:val="00C033AE"/>
    <w:rsid w:val="00C03F99"/>
    <w:rsid w:val="00C043D7"/>
    <w:rsid w:val="00C0458A"/>
    <w:rsid w:val="00C04689"/>
    <w:rsid w:val="00C04798"/>
    <w:rsid w:val="00C04819"/>
    <w:rsid w:val="00C04EE2"/>
    <w:rsid w:val="00C0609A"/>
    <w:rsid w:val="00C0643F"/>
    <w:rsid w:val="00C064F8"/>
    <w:rsid w:val="00C065EC"/>
    <w:rsid w:val="00C069E0"/>
    <w:rsid w:val="00C06EB2"/>
    <w:rsid w:val="00C07089"/>
    <w:rsid w:val="00C07258"/>
    <w:rsid w:val="00C07791"/>
    <w:rsid w:val="00C07881"/>
    <w:rsid w:val="00C07B75"/>
    <w:rsid w:val="00C07E22"/>
    <w:rsid w:val="00C07F04"/>
    <w:rsid w:val="00C100D0"/>
    <w:rsid w:val="00C1090C"/>
    <w:rsid w:val="00C109FD"/>
    <w:rsid w:val="00C10A8A"/>
    <w:rsid w:val="00C11082"/>
    <w:rsid w:val="00C11673"/>
    <w:rsid w:val="00C1243B"/>
    <w:rsid w:val="00C12720"/>
    <w:rsid w:val="00C12E02"/>
    <w:rsid w:val="00C12F71"/>
    <w:rsid w:val="00C13C87"/>
    <w:rsid w:val="00C14915"/>
    <w:rsid w:val="00C1498D"/>
    <w:rsid w:val="00C14C86"/>
    <w:rsid w:val="00C1508B"/>
    <w:rsid w:val="00C151E6"/>
    <w:rsid w:val="00C157A9"/>
    <w:rsid w:val="00C15A25"/>
    <w:rsid w:val="00C17357"/>
    <w:rsid w:val="00C17448"/>
    <w:rsid w:val="00C17574"/>
    <w:rsid w:val="00C17593"/>
    <w:rsid w:val="00C20CB2"/>
    <w:rsid w:val="00C20E34"/>
    <w:rsid w:val="00C21FAD"/>
    <w:rsid w:val="00C221F9"/>
    <w:rsid w:val="00C230AB"/>
    <w:rsid w:val="00C230BD"/>
    <w:rsid w:val="00C238B5"/>
    <w:rsid w:val="00C23FCA"/>
    <w:rsid w:val="00C24928"/>
    <w:rsid w:val="00C24C37"/>
    <w:rsid w:val="00C24FF5"/>
    <w:rsid w:val="00C25098"/>
    <w:rsid w:val="00C257EA"/>
    <w:rsid w:val="00C2588C"/>
    <w:rsid w:val="00C25B0A"/>
    <w:rsid w:val="00C25D6A"/>
    <w:rsid w:val="00C25FA9"/>
    <w:rsid w:val="00C260E4"/>
    <w:rsid w:val="00C262BC"/>
    <w:rsid w:val="00C2647F"/>
    <w:rsid w:val="00C26BEA"/>
    <w:rsid w:val="00C27AB0"/>
    <w:rsid w:val="00C27D7A"/>
    <w:rsid w:val="00C27ED3"/>
    <w:rsid w:val="00C309BD"/>
    <w:rsid w:val="00C312AA"/>
    <w:rsid w:val="00C312B5"/>
    <w:rsid w:val="00C31632"/>
    <w:rsid w:val="00C31AC1"/>
    <w:rsid w:val="00C31EE6"/>
    <w:rsid w:val="00C3227F"/>
    <w:rsid w:val="00C325AF"/>
    <w:rsid w:val="00C33008"/>
    <w:rsid w:val="00C331FF"/>
    <w:rsid w:val="00C338D5"/>
    <w:rsid w:val="00C33A37"/>
    <w:rsid w:val="00C33D1E"/>
    <w:rsid w:val="00C34009"/>
    <w:rsid w:val="00C3418B"/>
    <w:rsid w:val="00C3429E"/>
    <w:rsid w:val="00C344D5"/>
    <w:rsid w:val="00C3463E"/>
    <w:rsid w:val="00C34EF1"/>
    <w:rsid w:val="00C3637A"/>
    <w:rsid w:val="00C36698"/>
    <w:rsid w:val="00C3693D"/>
    <w:rsid w:val="00C37268"/>
    <w:rsid w:val="00C375E2"/>
    <w:rsid w:val="00C3766D"/>
    <w:rsid w:val="00C3778D"/>
    <w:rsid w:val="00C37AD7"/>
    <w:rsid w:val="00C37B38"/>
    <w:rsid w:val="00C37F82"/>
    <w:rsid w:val="00C40248"/>
    <w:rsid w:val="00C407A1"/>
    <w:rsid w:val="00C40C41"/>
    <w:rsid w:val="00C40FF7"/>
    <w:rsid w:val="00C41076"/>
    <w:rsid w:val="00C41141"/>
    <w:rsid w:val="00C4140C"/>
    <w:rsid w:val="00C414BE"/>
    <w:rsid w:val="00C41801"/>
    <w:rsid w:val="00C4196B"/>
    <w:rsid w:val="00C41AB2"/>
    <w:rsid w:val="00C41BFA"/>
    <w:rsid w:val="00C41D68"/>
    <w:rsid w:val="00C42408"/>
    <w:rsid w:val="00C426FD"/>
    <w:rsid w:val="00C42998"/>
    <w:rsid w:val="00C42BC0"/>
    <w:rsid w:val="00C43921"/>
    <w:rsid w:val="00C43E6E"/>
    <w:rsid w:val="00C43EA5"/>
    <w:rsid w:val="00C442BA"/>
    <w:rsid w:val="00C44E01"/>
    <w:rsid w:val="00C463FF"/>
    <w:rsid w:val="00C4650E"/>
    <w:rsid w:val="00C46DF4"/>
    <w:rsid w:val="00C47623"/>
    <w:rsid w:val="00C506A2"/>
    <w:rsid w:val="00C50D3C"/>
    <w:rsid w:val="00C50F64"/>
    <w:rsid w:val="00C517D9"/>
    <w:rsid w:val="00C51CEE"/>
    <w:rsid w:val="00C5209F"/>
    <w:rsid w:val="00C52121"/>
    <w:rsid w:val="00C52823"/>
    <w:rsid w:val="00C52B6E"/>
    <w:rsid w:val="00C52DE4"/>
    <w:rsid w:val="00C52E5A"/>
    <w:rsid w:val="00C52F6D"/>
    <w:rsid w:val="00C52F7D"/>
    <w:rsid w:val="00C53ECA"/>
    <w:rsid w:val="00C54567"/>
    <w:rsid w:val="00C545BC"/>
    <w:rsid w:val="00C5460E"/>
    <w:rsid w:val="00C547F3"/>
    <w:rsid w:val="00C55040"/>
    <w:rsid w:val="00C55166"/>
    <w:rsid w:val="00C5534F"/>
    <w:rsid w:val="00C55373"/>
    <w:rsid w:val="00C5548F"/>
    <w:rsid w:val="00C55B73"/>
    <w:rsid w:val="00C55C2B"/>
    <w:rsid w:val="00C55D5D"/>
    <w:rsid w:val="00C56395"/>
    <w:rsid w:val="00C5643E"/>
    <w:rsid w:val="00C56601"/>
    <w:rsid w:val="00C56B99"/>
    <w:rsid w:val="00C56F7C"/>
    <w:rsid w:val="00C57143"/>
    <w:rsid w:val="00C573EE"/>
    <w:rsid w:val="00C574DF"/>
    <w:rsid w:val="00C6066E"/>
    <w:rsid w:val="00C60992"/>
    <w:rsid w:val="00C60E47"/>
    <w:rsid w:val="00C610E3"/>
    <w:rsid w:val="00C61846"/>
    <w:rsid w:val="00C6186C"/>
    <w:rsid w:val="00C618A6"/>
    <w:rsid w:val="00C61924"/>
    <w:rsid w:val="00C6220D"/>
    <w:rsid w:val="00C6252E"/>
    <w:rsid w:val="00C62684"/>
    <w:rsid w:val="00C6294F"/>
    <w:rsid w:val="00C62AD9"/>
    <w:rsid w:val="00C62FFE"/>
    <w:rsid w:val="00C63201"/>
    <w:rsid w:val="00C63555"/>
    <w:rsid w:val="00C638BF"/>
    <w:rsid w:val="00C6408D"/>
    <w:rsid w:val="00C6421D"/>
    <w:rsid w:val="00C642CC"/>
    <w:rsid w:val="00C64F2E"/>
    <w:rsid w:val="00C650D9"/>
    <w:rsid w:val="00C651B5"/>
    <w:rsid w:val="00C659CD"/>
    <w:rsid w:val="00C65D8F"/>
    <w:rsid w:val="00C661D2"/>
    <w:rsid w:val="00C662F4"/>
    <w:rsid w:val="00C66447"/>
    <w:rsid w:val="00C6660C"/>
    <w:rsid w:val="00C66637"/>
    <w:rsid w:val="00C66EB3"/>
    <w:rsid w:val="00C67078"/>
    <w:rsid w:val="00C678B7"/>
    <w:rsid w:val="00C678BD"/>
    <w:rsid w:val="00C704AC"/>
    <w:rsid w:val="00C705A3"/>
    <w:rsid w:val="00C70832"/>
    <w:rsid w:val="00C7093F"/>
    <w:rsid w:val="00C709F6"/>
    <w:rsid w:val="00C71032"/>
    <w:rsid w:val="00C7143D"/>
    <w:rsid w:val="00C71579"/>
    <w:rsid w:val="00C72021"/>
    <w:rsid w:val="00C725B3"/>
    <w:rsid w:val="00C72B0D"/>
    <w:rsid w:val="00C72BFB"/>
    <w:rsid w:val="00C72C75"/>
    <w:rsid w:val="00C73F8B"/>
    <w:rsid w:val="00C73F90"/>
    <w:rsid w:val="00C73FD1"/>
    <w:rsid w:val="00C749A4"/>
    <w:rsid w:val="00C74C34"/>
    <w:rsid w:val="00C74D78"/>
    <w:rsid w:val="00C74E94"/>
    <w:rsid w:val="00C75517"/>
    <w:rsid w:val="00C7573A"/>
    <w:rsid w:val="00C7588F"/>
    <w:rsid w:val="00C75BF6"/>
    <w:rsid w:val="00C768E9"/>
    <w:rsid w:val="00C76E84"/>
    <w:rsid w:val="00C77696"/>
    <w:rsid w:val="00C77B82"/>
    <w:rsid w:val="00C77D0A"/>
    <w:rsid w:val="00C80488"/>
    <w:rsid w:val="00C810DB"/>
    <w:rsid w:val="00C819EF"/>
    <w:rsid w:val="00C822F7"/>
    <w:rsid w:val="00C82E28"/>
    <w:rsid w:val="00C82F18"/>
    <w:rsid w:val="00C82FCC"/>
    <w:rsid w:val="00C82FDA"/>
    <w:rsid w:val="00C83284"/>
    <w:rsid w:val="00C836DF"/>
    <w:rsid w:val="00C8377D"/>
    <w:rsid w:val="00C83D93"/>
    <w:rsid w:val="00C83E45"/>
    <w:rsid w:val="00C83E93"/>
    <w:rsid w:val="00C83FB4"/>
    <w:rsid w:val="00C840D7"/>
    <w:rsid w:val="00C84B64"/>
    <w:rsid w:val="00C85B27"/>
    <w:rsid w:val="00C85B70"/>
    <w:rsid w:val="00C85F6D"/>
    <w:rsid w:val="00C864B8"/>
    <w:rsid w:val="00C86525"/>
    <w:rsid w:val="00C86AE2"/>
    <w:rsid w:val="00C86FA5"/>
    <w:rsid w:val="00C87721"/>
    <w:rsid w:val="00C87830"/>
    <w:rsid w:val="00C87EE6"/>
    <w:rsid w:val="00C90441"/>
    <w:rsid w:val="00C91113"/>
    <w:rsid w:val="00C911BA"/>
    <w:rsid w:val="00C91F44"/>
    <w:rsid w:val="00C9222E"/>
    <w:rsid w:val="00C92801"/>
    <w:rsid w:val="00C9301E"/>
    <w:rsid w:val="00C9398D"/>
    <w:rsid w:val="00C939FF"/>
    <w:rsid w:val="00C93A7A"/>
    <w:rsid w:val="00C93F19"/>
    <w:rsid w:val="00C94166"/>
    <w:rsid w:val="00C9426B"/>
    <w:rsid w:val="00C943F7"/>
    <w:rsid w:val="00C944F4"/>
    <w:rsid w:val="00C948A5"/>
    <w:rsid w:val="00C948F8"/>
    <w:rsid w:val="00C94F77"/>
    <w:rsid w:val="00C9516A"/>
    <w:rsid w:val="00C95340"/>
    <w:rsid w:val="00C95645"/>
    <w:rsid w:val="00C959CA"/>
    <w:rsid w:val="00C95DFB"/>
    <w:rsid w:val="00C95E75"/>
    <w:rsid w:val="00C964A1"/>
    <w:rsid w:val="00C96793"/>
    <w:rsid w:val="00C96B1D"/>
    <w:rsid w:val="00C96ECC"/>
    <w:rsid w:val="00C97776"/>
    <w:rsid w:val="00C97ADE"/>
    <w:rsid w:val="00CA0332"/>
    <w:rsid w:val="00CA090F"/>
    <w:rsid w:val="00CA0C6D"/>
    <w:rsid w:val="00CA12AD"/>
    <w:rsid w:val="00CA1533"/>
    <w:rsid w:val="00CA1907"/>
    <w:rsid w:val="00CA2369"/>
    <w:rsid w:val="00CA2BB9"/>
    <w:rsid w:val="00CA2DD4"/>
    <w:rsid w:val="00CA3334"/>
    <w:rsid w:val="00CA3621"/>
    <w:rsid w:val="00CA377A"/>
    <w:rsid w:val="00CA429F"/>
    <w:rsid w:val="00CA4355"/>
    <w:rsid w:val="00CA4824"/>
    <w:rsid w:val="00CA4A3E"/>
    <w:rsid w:val="00CA4B5E"/>
    <w:rsid w:val="00CA4BF1"/>
    <w:rsid w:val="00CA4E4C"/>
    <w:rsid w:val="00CA4EE3"/>
    <w:rsid w:val="00CA5363"/>
    <w:rsid w:val="00CA5541"/>
    <w:rsid w:val="00CA594C"/>
    <w:rsid w:val="00CA5CEA"/>
    <w:rsid w:val="00CA6832"/>
    <w:rsid w:val="00CA7233"/>
    <w:rsid w:val="00CA79CA"/>
    <w:rsid w:val="00CA7A08"/>
    <w:rsid w:val="00CA7B23"/>
    <w:rsid w:val="00CA7E45"/>
    <w:rsid w:val="00CA7E6B"/>
    <w:rsid w:val="00CB0037"/>
    <w:rsid w:val="00CB00B0"/>
    <w:rsid w:val="00CB00BC"/>
    <w:rsid w:val="00CB0452"/>
    <w:rsid w:val="00CB04E0"/>
    <w:rsid w:val="00CB04EB"/>
    <w:rsid w:val="00CB058F"/>
    <w:rsid w:val="00CB133B"/>
    <w:rsid w:val="00CB256F"/>
    <w:rsid w:val="00CB2A18"/>
    <w:rsid w:val="00CB35C5"/>
    <w:rsid w:val="00CB3A38"/>
    <w:rsid w:val="00CB3E9E"/>
    <w:rsid w:val="00CB480B"/>
    <w:rsid w:val="00CB4841"/>
    <w:rsid w:val="00CB4E09"/>
    <w:rsid w:val="00CB5256"/>
    <w:rsid w:val="00CB52BD"/>
    <w:rsid w:val="00CB5333"/>
    <w:rsid w:val="00CB5A1C"/>
    <w:rsid w:val="00CB5B6D"/>
    <w:rsid w:val="00CB6206"/>
    <w:rsid w:val="00CB6371"/>
    <w:rsid w:val="00CB650E"/>
    <w:rsid w:val="00CB66FC"/>
    <w:rsid w:val="00CB70C2"/>
    <w:rsid w:val="00CB71C2"/>
    <w:rsid w:val="00CB71FA"/>
    <w:rsid w:val="00CB7A09"/>
    <w:rsid w:val="00CB7A6D"/>
    <w:rsid w:val="00CB7E88"/>
    <w:rsid w:val="00CC0EFC"/>
    <w:rsid w:val="00CC0F13"/>
    <w:rsid w:val="00CC10E1"/>
    <w:rsid w:val="00CC1957"/>
    <w:rsid w:val="00CC1C32"/>
    <w:rsid w:val="00CC23C7"/>
    <w:rsid w:val="00CC23D1"/>
    <w:rsid w:val="00CC23DF"/>
    <w:rsid w:val="00CC2920"/>
    <w:rsid w:val="00CC2BED"/>
    <w:rsid w:val="00CC2C5B"/>
    <w:rsid w:val="00CC31C4"/>
    <w:rsid w:val="00CC33A8"/>
    <w:rsid w:val="00CC36BF"/>
    <w:rsid w:val="00CC3864"/>
    <w:rsid w:val="00CC3A94"/>
    <w:rsid w:val="00CC3C9D"/>
    <w:rsid w:val="00CC418F"/>
    <w:rsid w:val="00CC484D"/>
    <w:rsid w:val="00CC492A"/>
    <w:rsid w:val="00CC4ACC"/>
    <w:rsid w:val="00CC4B8D"/>
    <w:rsid w:val="00CC4F65"/>
    <w:rsid w:val="00CC528C"/>
    <w:rsid w:val="00CC5300"/>
    <w:rsid w:val="00CC58F6"/>
    <w:rsid w:val="00CC5F72"/>
    <w:rsid w:val="00CC614D"/>
    <w:rsid w:val="00CC631A"/>
    <w:rsid w:val="00CC6366"/>
    <w:rsid w:val="00CC73C2"/>
    <w:rsid w:val="00CC7447"/>
    <w:rsid w:val="00CC769B"/>
    <w:rsid w:val="00CC7714"/>
    <w:rsid w:val="00CC7A79"/>
    <w:rsid w:val="00CC7B40"/>
    <w:rsid w:val="00CD02F0"/>
    <w:rsid w:val="00CD0339"/>
    <w:rsid w:val="00CD058C"/>
    <w:rsid w:val="00CD063A"/>
    <w:rsid w:val="00CD0A5B"/>
    <w:rsid w:val="00CD0BF3"/>
    <w:rsid w:val="00CD1290"/>
    <w:rsid w:val="00CD1756"/>
    <w:rsid w:val="00CD19BD"/>
    <w:rsid w:val="00CD2549"/>
    <w:rsid w:val="00CD2769"/>
    <w:rsid w:val="00CD291B"/>
    <w:rsid w:val="00CD3298"/>
    <w:rsid w:val="00CD3591"/>
    <w:rsid w:val="00CD408D"/>
    <w:rsid w:val="00CD40AB"/>
    <w:rsid w:val="00CD4120"/>
    <w:rsid w:val="00CD4241"/>
    <w:rsid w:val="00CD42B9"/>
    <w:rsid w:val="00CD47A9"/>
    <w:rsid w:val="00CD4AE1"/>
    <w:rsid w:val="00CD4B5E"/>
    <w:rsid w:val="00CD4B94"/>
    <w:rsid w:val="00CD4CE8"/>
    <w:rsid w:val="00CD5012"/>
    <w:rsid w:val="00CD5104"/>
    <w:rsid w:val="00CD5332"/>
    <w:rsid w:val="00CD55EB"/>
    <w:rsid w:val="00CD5627"/>
    <w:rsid w:val="00CD5CC2"/>
    <w:rsid w:val="00CD6584"/>
    <w:rsid w:val="00CD666D"/>
    <w:rsid w:val="00CD6B62"/>
    <w:rsid w:val="00CD734D"/>
    <w:rsid w:val="00CD73EA"/>
    <w:rsid w:val="00CD7411"/>
    <w:rsid w:val="00CD7474"/>
    <w:rsid w:val="00CD77FC"/>
    <w:rsid w:val="00CD78F3"/>
    <w:rsid w:val="00CE027B"/>
    <w:rsid w:val="00CE035B"/>
    <w:rsid w:val="00CE0382"/>
    <w:rsid w:val="00CE04DF"/>
    <w:rsid w:val="00CE080C"/>
    <w:rsid w:val="00CE0859"/>
    <w:rsid w:val="00CE0DB6"/>
    <w:rsid w:val="00CE0DF0"/>
    <w:rsid w:val="00CE1590"/>
    <w:rsid w:val="00CE15EF"/>
    <w:rsid w:val="00CE1646"/>
    <w:rsid w:val="00CE1C74"/>
    <w:rsid w:val="00CE220F"/>
    <w:rsid w:val="00CE229E"/>
    <w:rsid w:val="00CE22E9"/>
    <w:rsid w:val="00CE27FF"/>
    <w:rsid w:val="00CE2830"/>
    <w:rsid w:val="00CE28C6"/>
    <w:rsid w:val="00CE2B5A"/>
    <w:rsid w:val="00CE3054"/>
    <w:rsid w:val="00CE3980"/>
    <w:rsid w:val="00CE3BA6"/>
    <w:rsid w:val="00CE3D17"/>
    <w:rsid w:val="00CE3E29"/>
    <w:rsid w:val="00CE3E40"/>
    <w:rsid w:val="00CE3ED9"/>
    <w:rsid w:val="00CE3F44"/>
    <w:rsid w:val="00CE429E"/>
    <w:rsid w:val="00CE4345"/>
    <w:rsid w:val="00CE4789"/>
    <w:rsid w:val="00CE484D"/>
    <w:rsid w:val="00CE4985"/>
    <w:rsid w:val="00CE4B3C"/>
    <w:rsid w:val="00CE5C00"/>
    <w:rsid w:val="00CE5CF3"/>
    <w:rsid w:val="00CE5DEF"/>
    <w:rsid w:val="00CE6154"/>
    <w:rsid w:val="00CE675B"/>
    <w:rsid w:val="00CE71A1"/>
    <w:rsid w:val="00CE73F3"/>
    <w:rsid w:val="00CF01B0"/>
    <w:rsid w:val="00CF01FF"/>
    <w:rsid w:val="00CF096F"/>
    <w:rsid w:val="00CF0AB4"/>
    <w:rsid w:val="00CF13F4"/>
    <w:rsid w:val="00CF1487"/>
    <w:rsid w:val="00CF1724"/>
    <w:rsid w:val="00CF1872"/>
    <w:rsid w:val="00CF2708"/>
    <w:rsid w:val="00CF2996"/>
    <w:rsid w:val="00CF2AF0"/>
    <w:rsid w:val="00CF2B65"/>
    <w:rsid w:val="00CF2D76"/>
    <w:rsid w:val="00CF2EA3"/>
    <w:rsid w:val="00CF321B"/>
    <w:rsid w:val="00CF368E"/>
    <w:rsid w:val="00CF4056"/>
    <w:rsid w:val="00CF4811"/>
    <w:rsid w:val="00CF49E2"/>
    <w:rsid w:val="00CF52C7"/>
    <w:rsid w:val="00CF53D0"/>
    <w:rsid w:val="00CF5514"/>
    <w:rsid w:val="00CF55AC"/>
    <w:rsid w:val="00CF56FB"/>
    <w:rsid w:val="00CF5A12"/>
    <w:rsid w:val="00CF613C"/>
    <w:rsid w:val="00CF6978"/>
    <w:rsid w:val="00CF6B17"/>
    <w:rsid w:val="00CF71FA"/>
    <w:rsid w:val="00CF7A20"/>
    <w:rsid w:val="00CF7A25"/>
    <w:rsid w:val="00D00094"/>
    <w:rsid w:val="00D00129"/>
    <w:rsid w:val="00D00528"/>
    <w:rsid w:val="00D008D5"/>
    <w:rsid w:val="00D00F21"/>
    <w:rsid w:val="00D01238"/>
    <w:rsid w:val="00D012FD"/>
    <w:rsid w:val="00D0147F"/>
    <w:rsid w:val="00D01FB5"/>
    <w:rsid w:val="00D021FD"/>
    <w:rsid w:val="00D02F00"/>
    <w:rsid w:val="00D038D4"/>
    <w:rsid w:val="00D03BBC"/>
    <w:rsid w:val="00D03FDD"/>
    <w:rsid w:val="00D0411A"/>
    <w:rsid w:val="00D042AF"/>
    <w:rsid w:val="00D04466"/>
    <w:rsid w:val="00D0485C"/>
    <w:rsid w:val="00D049B4"/>
    <w:rsid w:val="00D04CEB"/>
    <w:rsid w:val="00D04F89"/>
    <w:rsid w:val="00D05640"/>
    <w:rsid w:val="00D057F6"/>
    <w:rsid w:val="00D05F18"/>
    <w:rsid w:val="00D05FB9"/>
    <w:rsid w:val="00D06812"/>
    <w:rsid w:val="00D06A87"/>
    <w:rsid w:val="00D06CA9"/>
    <w:rsid w:val="00D06F1D"/>
    <w:rsid w:val="00D070F8"/>
    <w:rsid w:val="00D0724A"/>
    <w:rsid w:val="00D07334"/>
    <w:rsid w:val="00D07379"/>
    <w:rsid w:val="00D07B51"/>
    <w:rsid w:val="00D1010F"/>
    <w:rsid w:val="00D105E2"/>
    <w:rsid w:val="00D1072B"/>
    <w:rsid w:val="00D1106C"/>
    <w:rsid w:val="00D111F6"/>
    <w:rsid w:val="00D112E8"/>
    <w:rsid w:val="00D11702"/>
    <w:rsid w:val="00D1174F"/>
    <w:rsid w:val="00D11804"/>
    <w:rsid w:val="00D11AF1"/>
    <w:rsid w:val="00D11B40"/>
    <w:rsid w:val="00D11EB9"/>
    <w:rsid w:val="00D11F6F"/>
    <w:rsid w:val="00D124D8"/>
    <w:rsid w:val="00D129EC"/>
    <w:rsid w:val="00D12A9E"/>
    <w:rsid w:val="00D12C63"/>
    <w:rsid w:val="00D12D35"/>
    <w:rsid w:val="00D12D3B"/>
    <w:rsid w:val="00D132D8"/>
    <w:rsid w:val="00D13818"/>
    <w:rsid w:val="00D13BDF"/>
    <w:rsid w:val="00D13C71"/>
    <w:rsid w:val="00D13E2D"/>
    <w:rsid w:val="00D14250"/>
    <w:rsid w:val="00D14FDF"/>
    <w:rsid w:val="00D1502B"/>
    <w:rsid w:val="00D15C27"/>
    <w:rsid w:val="00D15E00"/>
    <w:rsid w:val="00D164EA"/>
    <w:rsid w:val="00D174A5"/>
    <w:rsid w:val="00D17595"/>
    <w:rsid w:val="00D17D38"/>
    <w:rsid w:val="00D201AF"/>
    <w:rsid w:val="00D20787"/>
    <w:rsid w:val="00D20D1E"/>
    <w:rsid w:val="00D217C0"/>
    <w:rsid w:val="00D21B5F"/>
    <w:rsid w:val="00D21D69"/>
    <w:rsid w:val="00D22166"/>
    <w:rsid w:val="00D2247D"/>
    <w:rsid w:val="00D2276D"/>
    <w:rsid w:val="00D22970"/>
    <w:rsid w:val="00D23108"/>
    <w:rsid w:val="00D23501"/>
    <w:rsid w:val="00D2372F"/>
    <w:rsid w:val="00D23792"/>
    <w:rsid w:val="00D2386C"/>
    <w:rsid w:val="00D23969"/>
    <w:rsid w:val="00D23B83"/>
    <w:rsid w:val="00D23B89"/>
    <w:rsid w:val="00D23C42"/>
    <w:rsid w:val="00D23E79"/>
    <w:rsid w:val="00D2405B"/>
    <w:rsid w:val="00D247DF"/>
    <w:rsid w:val="00D24C73"/>
    <w:rsid w:val="00D24E93"/>
    <w:rsid w:val="00D24EB5"/>
    <w:rsid w:val="00D25119"/>
    <w:rsid w:val="00D25EBC"/>
    <w:rsid w:val="00D26ACE"/>
    <w:rsid w:val="00D26EB7"/>
    <w:rsid w:val="00D27274"/>
    <w:rsid w:val="00D273FE"/>
    <w:rsid w:val="00D2756F"/>
    <w:rsid w:val="00D2760D"/>
    <w:rsid w:val="00D27740"/>
    <w:rsid w:val="00D27A99"/>
    <w:rsid w:val="00D27EE7"/>
    <w:rsid w:val="00D30CF0"/>
    <w:rsid w:val="00D31102"/>
    <w:rsid w:val="00D314CE"/>
    <w:rsid w:val="00D321FA"/>
    <w:rsid w:val="00D32693"/>
    <w:rsid w:val="00D32967"/>
    <w:rsid w:val="00D3298F"/>
    <w:rsid w:val="00D32CA0"/>
    <w:rsid w:val="00D33158"/>
    <w:rsid w:val="00D33643"/>
    <w:rsid w:val="00D34039"/>
    <w:rsid w:val="00D340A9"/>
    <w:rsid w:val="00D340B0"/>
    <w:rsid w:val="00D34203"/>
    <w:rsid w:val="00D34856"/>
    <w:rsid w:val="00D34A4B"/>
    <w:rsid w:val="00D34B90"/>
    <w:rsid w:val="00D355C3"/>
    <w:rsid w:val="00D35734"/>
    <w:rsid w:val="00D357C6"/>
    <w:rsid w:val="00D35CE1"/>
    <w:rsid w:val="00D361ED"/>
    <w:rsid w:val="00D3733F"/>
    <w:rsid w:val="00D374B9"/>
    <w:rsid w:val="00D3752A"/>
    <w:rsid w:val="00D375BC"/>
    <w:rsid w:val="00D3778C"/>
    <w:rsid w:val="00D4073A"/>
    <w:rsid w:val="00D4092C"/>
    <w:rsid w:val="00D40D5F"/>
    <w:rsid w:val="00D40DF9"/>
    <w:rsid w:val="00D40EFE"/>
    <w:rsid w:val="00D411FD"/>
    <w:rsid w:val="00D415E5"/>
    <w:rsid w:val="00D41702"/>
    <w:rsid w:val="00D4178A"/>
    <w:rsid w:val="00D41C67"/>
    <w:rsid w:val="00D41DBE"/>
    <w:rsid w:val="00D41E51"/>
    <w:rsid w:val="00D422E5"/>
    <w:rsid w:val="00D42551"/>
    <w:rsid w:val="00D4277E"/>
    <w:rsid w:val="00D42AA3"/>
    <w:rsid w:val="00D43321"/>
    <w:rsid w:val="00D434C2"/>
    <w:rsid w:val="00D44621"/>
    <w:rsid w:val="00D44B5A"/>
    <w:rsid w:val="00D4581B"/>
    <w:rsid w:val="00D4609B"/>
    <w:rsid w:val="00D462E7"/>
    <w:rsid w:val="00D4684F"/>
    <w:rsid w:val="00D46D80"/>
    <w:rsid w:val="00D46DC8"/>
    <w:rsid w:val="00D47185"/>
    <w:rsid w:val="00D47212"/>
    <w:rsid w:val="00D5012B"/>
    <w:rsid w:val="00D50567"/>
    <w:rsid w:val="00D509BC"/>
    <w:rsid w:val="00D50EAE"/>
    <w:rsid w:val="00D51618"/>
    <w:rsid w:val="00D51CDE"/>
    <w:rsid w:val="00D51E01"/>
    <w:rsid w:val="00D51FE3"/>
    <w:rsid w:val="00D5255D"/>
    <w:rsid w:val="00D52649"/>
    <w:rsid w:val="00D52E33"/>
    <w:rsid w:val="00D52F0B"/>
    <w:rsid w:val="00D54088"/>
    <w:rsid w:val="00D54380"/>
    <w:rsid w:val="00D54B29"/>
    <w:rsid w:val="00D54D2F"/>
    <w:rsid w:val="00D551C0"/>
    <w:rsid w:val="00D551D0"/>
    <w:rsid w:val="00D5567B"/>
    <w:rsid w:val="00D556F1"/>
    <w:rsid w:val="00D55721"/>
    <w:rsid w:val="00D55E5E"/>
    <w:rsid w:val="00D56150"/>
    <w:rsid w:val="00D563AB"/>
    <w:rsid w:val="00D564FA"/>
    <w:rsid w:val="00D56753"/>
    <w:rsid w:val="00D56DDC"/>
    <w:rsid w:val="00D56E5B"/>
    <w:rsid w:val="00D5736B"/>
    <w:rsid w:val="00D575C1"/>
    <w:rsid w:val="00D57F44"/>
    <w:rsid w:val="00D60496"/>
    <w:rsid w:val="00D60703"/>
    <w:rsid w:val="00D60900"/>
    <w:rsid w:val="00D609DA"/>
    <w:rsid w:val="00D60A95"/>
    <w:rsid w:val="00D60FCE"/>
    <w:rsid w:val="00D6161C"/>
    <w:rsid w:val="00D61996"/>
    <w:rsid w:val="00D61E50"/>
    <w:rsid w:val="00D62632"/>
    <w:rsid w:val="00D6275F"/>
    <w:rsid w:val="00D62A16"/>
    <w:rsid w:val="00D62A64"/>
    <w:rsid w:val="00D62BA3"/>
    <w:rsid w:val="00D62D73"/>
    <w:rsid w:val="00D62EE5"/>
    <w:rsid w:val="00D63013"/>
    <w:rsid w:val="00D63898"/>
    <w:rsid w:val="00D63942"/>
    <w:rsid w:val="00D64020"/>
    <w:rsid w:val="00D6422A"/>
    <w:rsid w:val="00D648DB"/>
    <w:rsid w:val="00D64ACD"/>
    <w:rsid w:val="00D650DB"/>
    <w:rsid w:val="00D65F43"/>
    <w:rsid w:val="00D6603F"/>
    <w:rsid w:val="00D6691F"/>
    <w:rsid w:val="00D6752E"/>
    <w:rsid w:val="00D705A7"/>
    <w:rsid w:val="00D70B26"/>
    <w:rsid w:val="00D71242"/>
    <w:rsid w:val="00D712B9"/>
    <w:rsid w:val="00D71640"/>
    <w:rsid w:val="00D719FA"/>
    <w:rsid w:val="00D720DA"/>
    <w:rsid w:val="00D72104"/>
    <w:rsid w:val="00D721B3"/>
    <w:rsid w:val="00D72AE7"/>
    <w:rsid w:val="00D72B31"/>
    <w:rsid w:val="00D72DCB"/>
    <w:rsid w:val="00D73402"/>
    <w:rsid w:val="00D73482"/>
    <w:rsid w:val="00D73A0E"/>
    <w:rsid w:val="00D73EE8"/>
    <w:rsid w:val="00D73FF7"/>
    <w:rsid w:val="00D74194"/>
    <w:rsid w:val="00D74538"/>
    <w:rsid w:val="00D745E6"/>
    <w:rsid w:val="00D74667"/>
    <w:rsid w:val="00D74801"/>
    <w:rsid w:val="00D749AE"/>
    <w:rsid w:val="00D74CA3"/>
    <w:rsid w:val="00D74D01"/>
    <w:rsid w:val="00D74DD7"/>
    <w:rsid w:val="00D74FA6"/>
    <w:rsid w:val="00D7513D"/>
    <w:rsid w:val="00D75924"/>
    <w:rsid w:val="00D75AC0"/>
    <w:rsid w:val="00D75B4B"/>
    <w:rsid w:val="00D75C19"/>
    <w:rsid w:val="00D75F1E"/>
    <w:rsid w:val="00D7615F"/>
    <w:rsid w:val="00D766FC"/>
    <w:rsid w:val="00D7678E"/>
    <w:rsid w:val="00D76C11"/>
    <w:rsid w:val="00D770B6"/>
    <w:rsid w:val="00D775AE"/>
    <w:rsid w:val="00D77697"/>
    <w:rsid w:val="00D776EB"/>
    <w:rsid w:val="00D778EE"/>
    <w:rsid w:val="00D7795B"/>
    <w:rsid w:val="00D77AE2"/>
    <w:rsid w:val="00D77FAF"/>
    <w:rsid w:val="00D80237"/>
    <w:rsid w:val="00D80541"/>
    <w:rsid w:val="00D80F0A"/>
    <w:rsid w:val="00D81567"/>
    <w:rsid w:val="00D81B8B"/>
    <w:rsid w:val="00D82739"/>
    <w:rsid w:val="00D82908"/>
    <w:rsid w:val="00D82ADD"/>
    <w:rsid w:val="00D83127"/>
    <w:rsid w:val="00D83719"/>
    <w:rsid w:val="00D83B2F"/>
    <w:rsid w:val="00D83F67"/>
    <w:rsid w:val="00D844BF"/>
    <w:rsid w:val="00D84C92"/>
    <w:rsid w:val="00D851A4"/>
    <w:rsid w:val="00D854F5"/>
    <w:rsid w:val="00D8557F"/>
    <w:rsid w:val="00D85794"/>
    <w:rsid w:val="00D8602A"/>
    <w:rsid w:val="00D8644E"/>
    <w:rsid w:val="00D865F3"/>
    <w:rsid w:val="00D86958"/>
    <w:rsid w:val="00D8697C"/>
    <w:rsid w:val="00D8698D"/>
    <w:rsid w:val="00D86A3F"/>
    <w:rsid w:val="00D86CAB"/>
    <w:rsid w:val="00D8728D"/>
    <w:rsid w:val="00D87588"/>
    <w:rsid w:val="00D876E1"/>
    <w:rsid w:val="00D87C30"/>
    <w:rsid w:val="00D87D38"/>
    <w:rsid w:val="00D905A3"/>
    <w:rsid w:val="00D9063B"/>
    <w:rsid w:val="00D90C66"/>
    <w:rsid w:val="00D90D3B"/>
    <w:rsid w:val="00D90D49"/>
    <w:rsid w:val="00D90F3A"/>
    <w:rsid w:val="00D913AB"/>
    <w:rsid w:val="00D913AC"/>
    <w:rsid w:val="00D916FD"/>
    <w:rsid w:val="00D91920"/>
    <w:rsid w:val="00D91BC1"/>
    <w:rsid w:val="00D91BDD"/>
    <w:rsid w:val="00D91FD8"/>
    <w:rsid w:val="00D9258F"/>
    <w:rsid w:val="00D92A7E"/>
    <w:rsid w:val="00D93165"/>
    <w:rsid w:val="00D936CF"/>
    <w:rsid w:val="00D93A21"/>
    <w:rsid w:val="00D9410B"/>
    <w:rsid w:val="00D94249"/>
    <w:rsid w:val="00D944C7"/>
    <w:rsid w:val="00D9460E"/>
    <w:rsid w:val="00D94827"/>
    <w:rsid w:val="00D9486C"/>
    <w:rsid w:val="00D94A8E"/>
    <w:rsid w:val="00D95160"/>
    <w:rsid w:val="00D95235"/>
    <w:rsid w:val="00D95290"/>
    <w:rsid w:val="00D956D4"/>
    <w:rsid w:val="00D958AC"/>
    <w:rsid w:val="00D95AC3"/>
    <w:rsid w:val="00D95C7C"/>
    <w:rsid w:val="00D95FC7"/>
    <w:rsid w:val="00D96576"/>
    <w:rsid w:val="00D965CE"/>
    <w:rsid w:val="00D968B0"/>
    <w:rsid w:val="00D96BE4"/>
    <w:rsid w:val="00D96EF3"/>
    <w:rsid w:val="00D9715E"/>
    <w:rsid w:val="00D97296"/>
    <w:rsid w:val="00D974E3"/>
    <w:rsid w:val="00D975E7"/>
    <w:rsid w:val="00D9784F"/>
    <w:rsid w:val="00D978CB"/>
    <w:rsid w:val="00D978F5"/>
    <w:rsid w:val="00D97D39"/>
    <w:rsid w:val="00D97E96"/>
    <w:rsid w:val="00D97F5D"/>
    <w:rsid w:val="00DA079B"/>
    <w:rsid w:val="00DA0945"/>
    <w:rsid w:val="00DA0DEF"/>
    <w:rsid w:val="00DA11E1"/>
    <w:rsid w:val="00DA13AA"/>
    <w:rsid w:val="00DA18C5"/>
    <w:rsid w:val="00DA1908"/>
    <w:rsid w:val="00DA190E"/>
    <w:rsid w:val="00DA1AF1"/>
    <w:rsid w:val="00DA1C54"/>
    <w:rsid w:val="00DA1DA6"/>
    <w:rsid w:val="00DA2329"/>
    <w:rsid w:val="00DA280A"/>
    <w:rsid w:val="00DA2AAD"/>
    <w:rsid w:val="00DA2B42"/>
    <w:rsid w:val="00DA328E"/>
    <w:rsid w:val="00DA3372"/>
    <w:rsid w:val="00DA3641"/>
    <w:rsid w:val="00DA3AD9"/>
    <w:rsid w:val="00DA3D65"/>
    <w:rsid w:val="00DA3E3B"/>
    <w:rsid w:val="00DA405D"/>
    <w:rsid w:val="00DA42C1"/>
    <w:rsid w:val="00DA51B4"/>
    <w:rsid w:val="00DA520D"/>
    <w:rsid w:val="00DA5999"/>
    <w:rsid w:val="00DA676E"/>
    <w:rsid w:val="00DA6C33"/>
    <w:rsid w:val="00DA6E26"/>
    <w:rsid w:val="00DA6EAA"/>
    <w:rsid w:val="00DA6F16"/>
    <w:rsid w:val="00DA7000"/>
    <w:rsid w:val="00DA7143"/>
    <w:rsid w:val="00DA729F"/>
    <w:rsid w:val="00DA762B"/>
    <w:rsid w:val="00DA77D6"/>
    <w:rsid w:val="00DA7E2C"/>
    <w:rsid w:val="00DB0332"/>
    <w:rsid w:val="00DB0761"/>
    <w:rsid w:val="00DB07DA"/>
    <w:rsid w:val="00DB0CC7"/>
    <w:rsid w:val="00DB120A"/>
    <w:rsid w:val="00DB12E8"/>
    <w:rsid w:val="00DB13E4"/>
    <w:rsid w:val="00DB1402"/>
    <w:rsid w:val="00DB1504"/>
    <w:rsid w:val="00DB167F"/>
    <w:rsid w:val="00DB1ECE"/>
    <w:rsid w:val="00DB212C"/>
    <w:rsid w:val="00DB2212"/>
    <w:rsid w:val="00DB22A4"/>
    <w:rsid w:val="00DB24D0"/>
    <w:rsid w:val="00DB2895"/>
    <w:rsid w:val="00DB2951"/>
    <w:rsid w:val="00DB2A14"/>
    <w:rsid w:val="00DB3120"/>
    <w:rsid w:val="00DB3619"/>
    <w:rsid w:val="00DB444E"/>
    <w:rsid w:val="00DB44B2"/>
    <w:rsid w:val="00DB4972"/>
    <w:rsid w:val="00DB498B"/>
    <w:rsid w:val="00DB4BC5"/>
    <w:rsid w:val="00DB4CCD"/>
    <w:rsid w:val="00DB4DAD"/>
    <w:rsid w:val="00DB4ED5"/>
    <w:rsid w:val="00DB563D"/>
    <w:rsid w:val="00DB5A5D"/>
    <w:rsid w:val="00DB5C95"/>
    <w:rsid w:val="00DB6342"/>
    <w:rsid w:val="00DB6960"/>
    <w:rsid w:val="00DB6AD3"/>
    <w:rsid w:val="00DB730F"/>
    <w:rsid w:val="00DB7650"/>
    <w:rsid w:val="00DB7C26"/>
    <w:rsid w:val="00DB7D9C"/>
    <w:rsid w:val="00DC00A3"/>
    <w:rsid w:val="00DC0153"/>
    <w:rsid w:val="00DC05F3"/>
    <w:rsid w:val="00DC0705"/>
    <w:rsid w:val="00DC0976"/>
    <w:rsid w:val="00DC0999"/>
    <w:rsid w:val="00DC099B"/>
    <w:rsid w:val="00DC12ED"/>
    <w:rsid w:val="00DC1EC4"/>
    <w:rsid w:val="00DC22CA"/>
    <w:rsid w:val="00DC260E"/>
    <w:rsid w:val="00DC2AF6"/>
    <w:rsid w:val="00DC3549"/>
    <w:rsid w:val="00DC367C"/>
    <w:rsid w:val="00DC3700"/>
    <w:rsid w:val="00DC38EA"/>
    <w:rsid w:val="00DC3922"/>
    <w:rsid w:val="00DC399B"/>
    <w:rsid w:val="00DC3DC9"/>
    <w:rsid w:val="00DC42C2"/>
    <w:rsid w:val="00DC4520"/>
    <w:rsid w:val="00DC4571"/>
    <w:rsid w:val="00DC4BF2"/>
    <w:rsid w:val="00DC5364"/>
    <w:rsid w:val="00DC536C"/>
    <w:rsid w:val="00DC539D"/>
    <w:rsid w:val="00DC54C5"/>
    <w:rsid w:val="00DC5667"/>
    <w:rsid w:val="00DC5E35"/>
    <w:rsid w:val="00DC602F"/>
    <w:rsid w:val="00DC60E3"/>
    <w:rsid w:val="00DC642D"/>
    <w:rsid w:val="00DC69D3"/>
    <w:rsid w:val="00DC737E"/>
    <w:rsid w:val="00DC74B8"/>
    <w:rsid w:val="00DC74F3"/>
    <w:rsid w:val="00DC75E4"/>
    <w:rsid w:val="00DC7D42"/>
    <w:rsid w:val="00DD01D6"/>
    <w:rsid w:val="00DD0777"/>
    <w:rsid w:val="00DD140C"/>
    <w:rsid w:val="00DD16B6"/>
    <w:rsid w:val="00DD1714"/>
    <w:rsid w:val="00DD17B0"/>
    <w:rsid w:val="00DD1CA6"/>
    <w:rsid w:val="00DD21D8"/>
    <w:rsid w:val="00DD22BF"/>
    <w:rsid w:val="00DD2362"/>
    <w:rsid w:val="00DD2450"/>
    <w:rsid w:val="00DD2488"/>
    <w:rsid w:val="00DD2ED1"/>
    <w:rsid w:val="00DD3011"/>
    <w:rsid w:val="00DD3378"/>
    <w:rsid w:val="00DD3396"/>
    <w:rsid w:val="00DD37BF"/>
    <w:rsid w:val="00DD3C61"/>
    <w:rsid w:val="00DD3F05"/>
    <w:rsid w:val="00DD3F62"/>
    <w:rsid w:val="00DD4208"/>
    <w:rsid w:val="00DD4489"/>
    <w:rsid w:val="00DD4766"/>
    <w:rsid w:val="00DD5194"/>
    <w:rsid w:val="00DD57AB"/>
    <w:rsid w:val="00DD5968"/>
    <w:rsid w:val="00DD5D68"/>
    <w:rsid w:val="00DD5DD7"/>
    <w:rsid w:val="00DD5E9C"/>
    <w:rsid w:val="00DD6517"/>
    <w:rsid w:val="00DD6DCB"/>
    <w:rsid w:val="00DD6E7B"/>
    <w:rsid w:val="00DD6F29"/>
    <w:rsid w:val="00DD7007"/>
    <w:rsid w:val="00DD7022"/>
    <w:rsid w:val="00DD7566"/>
    <w:rsid w:val="00DD75FB"/>
    <w:rsid w:val="00DD782C"/>
    <w:rsid w:val="00DD7FE7"/>
    <w:rsid w:val="00DE06C6"/>
    <w:rsid w:val="00DE0876"/>
    <w:rsid w:val="00DE09CE"/>
    <w:rsid w:val="00DE1207"/>
    <w:rsid w:val="00DE13BA"/>
    <w:rsid w:val="00DE1513"/>
    <w:rsid w:val="00DE17C8"/>
    <w:rsid w:val="00DE1C0E"/>
    <w:rsid w:val="00DE1C9C"/>
    <w:rsid w:val="00DE1F24"/>
    <w:rsid w:val="00DE20D4"/>
    <w:rsid w:val="00DE2148"/>
    <w:rsid w:val="00DE2381"/>
    <w:rsid w:val="00DE264A"/>
    <w:rsid w:val="00DE28C4"/>
    <w:rsid w:val="00DE3193"/>
    <w:rsid w:val="00DE3399"/>
    <w:rsid w:val="00DE3595"/>
    <w:rsid w:val="00DE3647"/>
    <w:rsid w:val="00DE37DD"/>
    <w:rsid w:val="00DE386C"/>
    <w:rsid w:val="00DE387A"/>
    <w:rsid w:val="00DE3B1D"/>
    <w:rsid w:val="00DE3B3C"/>
    <w:rsid w:val="00DE3F0F"/>
    <w:rsid w:val="00DE45D7"/>
    <w:rsid w:val="00DE4602"/>
    <w:rsid w:val="00DE4830"/>
    <w:rsid w:val="00DE5043"/>
    <w:rsid w:val="00DE5097"/>
    <w:rsid w:val="00DE50D0"/>
    <w:rsid w:val="00DE5111"/>
    <w:rsid w:val="00DE5766"/>
    <w:rsid w:val="00DE5D88"/>
    <w:rsid w:val="00DE5DB5"/>
    <w:rsid w:val="00DE6512"/>
    <w:rsid w:val="00DE69CD"/>
    <w:rsid w:val="00DE79C3"/>
    <w:rsid w:val="00DE7AB6"/>
    <w:rsid w:val="00DF02E9"/>
    <w:rsid w:val="00DF037D"/>
    <w:rsid w:val="00DF0D9C"/>
    <w:rsid w:val="00DF10D5"/>
    <w:rsid w:val="00DF1262"/>
    <w:rsid w:val="00DF152E"/>
    <w:rsid w:val="00DF15B0"/>
    <w:rsid w:val="00DF16C2"/>
    <w:rsid w:val="00DF179B"/>
    <w:rsid w:val="00DF186F"/>
    <w:rsid w:val="00DF1910"/>
    <w:rsid w:val="00DF1D8A"/>
    <w:rsid w:val="00DF2109"/>
    <w:rsid w:val="00DF2332"/>
    <w:rsid w:val="00DF29D9"/>
    <w:rsid w:val="00DF2C59"/>
    <w:rsid w:val="00DF2D19"/>
    <w:rsid w:val="00DF2E07"/>
    <w:rsid w:val="00DF3003"/>
    <w:rsid w:val="00DF33D6"/>
    <w:rsid w:val="00DF43BB"/>
    <w:rsid w:val="00DF4706"/>
    <w:rsid w:val="00DF47A4"/>
    <w:rsid w:val="00DF4B7B"/>
    <w:rsid w:val="00DF54C7"/>
    <w:rsid w:val="00DF57E9"/>
    <w:rsid w:val="00DF58BD"/>
    <w:rsid w:val="00DF5F2C"/>
    <w:rsid w:val="00DF6BD8"/>
    <w:rsid w:val="00DF6EBA"/>
    <w:rsid w:val="00DF7299"/>
    <w:rsid w:val="00E00131"/>
    <w:rsid w:val="00E0019D"/>
    <w:rsid w:val="00E002F3"/>
    <w:rsid w:val="00E00423"/>
    <w:rsid w:val="00E00A4B"/>
    <w:rsid w:val="00E00AD5"/>
    <w:rsid w:val="00E0101F"/>
    <w:rsid w:val="00E0103D"/>
    <w:rsid w:val="00E018F6"/>
    <w:rsid w:val="00E01B1D"/>
    <w:rsid w:val="00E01C36"/>
    <w:rsid w:val="00E01C98"/>
    <w:rsid w:val="00E02092"/>
    <w:rsid w:val="00E02288"/>
    <w:rsid w:val="00E02374"/>
    <w:rsid w:val="00E024BB"/>
    <w:rsid w:val="00E02A19"/>
    <w:rsid w:val="00E02C7B"/>
    <w:rsid w:val="00E03292"/>
    <w:rsid w:val="00E032B8"/>
    <w:rsid w:val="00E03B38"/>
    <w:rsid w:val="00E03C4E"/>
    <w:rsid w:val="00E03F61"/>
    <w:rsid w:val="00E042EA"/>
    <w:rsid w:val="00E043DF"/>
    <w:rsid w:val="00E046E4"/>
    <w:rsid w:val="00E049BA"/>
    <w:rsid w:val="00E05041"/>
    <w:rsid w:val="00E05787"/>
    <w:rsid w:val="00E0589E"/>
    <w:rsid w:val="00E05F8C"/>
    <w:rsid w:val="00E0621B"/>
    <w:rsid w:val="00E062A2"/>
    <w:rsid w:val="00E06838"/>
    <w:rsid w:val="00E06922"/>
    <w:rsid w:val="00E07B67"/>
    <w:rsid w:val="00E07C1B"/>
    <w:rsid w:val="00E101BF"/>
    <w:rsid w:val="00E10A36"/>
    <w:rsid w:val="00E11088"/>
    <w:rsid w:val="00E1160B"/>
    <w:rsid w:val="00E12255"/>
    <w:rsid w:val="00E1254D"/>
    <w:rsid w:val="00E126F3"/>
    <w:rsid w:val="00E12C60"/>
    <w:rsid w:val="00E132D7"/>
    <w:rsid w:val="00E1348C"/>
    <w:rsid w:val="00E13A4E"/>
    <w:rsid w:val="00E14325"/>
    <w:rsid w:val="00E145AB"/>
    <w:rsid w:val="00E14ADC"/>
    <w:rsid w:val="00E14DE3"/>
    <w:rsid w:val="00E14EB6"/>
    <w:rsid w:val="00E1528C"/>
    <w:rsid w:val="00E152A8"/>
    <w:rsid w:val="00E152E0"/>
    <w:rsid w:val="00E1556F"/>
    <w:rsid w:val="00E15679"/>
    <w:rsid w:val="00E15C7A"/>
    <w:rsid w:val="00E16061"/>
    <w:rsid w:val="00E160F4"/>
    <w:rsid w:val="00E160F7"/>
    <w:rsid w:val="00E162EC"/>
    <w:rsid w:val="00E166CB"/>
    <w:rsid w:val="00E16778"/>
    <w:rsid w:val="00E16A8A"/>
    <w:rsid w:val="00E16DFF"/>
    <w:rsid w:val="00E17394"/>
    <w:rsid w:val="00E173CF"/>
    <w:rsid w:val="00E176B0"/>
    <w:rsid w:val="00E1771F"/>
    <w:rsid w:val="00E17976"/>
    <w:rsid w:val="00E20AD3"/>
    <w:rsid w:val="00E20C06"/>
    <w:rsid w:val="00E216CE"/>
    <w:rsid w:val="00E21B41"/>
    <w:rsid w:val="00E21BF9"/>
    <w:rsid w:val="00E222A2"/>
    <w:rsid w:val="00E23358"/>
    <w:rsid w:val="00E235CA"/>
    <w:rsid w:val="00E239F7"/>
    <w:rsid w:val="00E23B40"/>
    <w:rsid w:val="00E24693"/>
    <w:rsid w:val="00E24876"/>
    <w:rsid w:val="00E24C0D"/>
    <w:rsid w:val="00E24CD4"/>
    <w:rsid w:val="00E24CE4"/>
    <w:rsid w:val="00E24D85"/>
    <w:rsid w:val="00E24F25"/>
    <w:rsid w:val="00E24FD8"/>
    <w:rsid w:val="00E25360"/>
    <w:rsid w:val="00E25A92"/>
    <w:rsid w:val="00E25E87"/>
    <w:rsid w:val="00E260D3"/>
    <w:rsid w:val="00E261AC"/>
    <w:rsid w:val="00E2652D"/>
    <w:rsid w:val="00E26542"/>
    <w:rsid w:val="00E26630"/>
    <w:rsid w:val="00E267C3"/>
    <w:rsid w:val="00E2697F"/>
    <w:rsid w:val="00E26A1B"/>
    <w:rsid w:val="00E26AA2"/>
    <w:rsid w:val="00E26C45"/>
    <w:rsid w:val="00E26DC0"/>
    <w:rsid w:val="00E26E4B"/>
    <w:rsid w:val="00E27038"/>
    <w:rsid w:val="00E27134"/>
    <w:rsid w:val="00E272B6"/>
    <w:rsid w:val="00E27C6E"/>
    <w:rsid w:val="00E27E1B"/>
    <w:rsid w:val="00E30B0C"/>
    <w:rsid w:val="00E313A1"/>
    <w:rsid w:val="00E319EB"/>
    <w:rsid w:val="00E31C66"/>
    <w:rsid w:val="00E3259B"/>
    <w:rsid w:val="00E3293A"/>
    <w:rsid w:val="00E32A78"/>
    <w:rsid w:val="00E32C53"/>
    <w:rsid w:val="00E32CFE"/>
    <w:rsid w:val="00E32D6C"/>
    <w:rsid w:val="00E32DFE"/>
    <w:rsid w:val="00E34180"/>
    <w:rsid w:val="00E3480F"/>
    <w:rsid w:val="00E34BA0"/>
    <w:rsid w:val="00E34D72"/>
    <w:rsid w:val="00E34ECA"/>
    <w:rsid w:val="00E3541D"/>
    <w:rsid w:val="00E35FAC"/>
    <w:rsid w:val="00E36179"/>
    <w:rsid w:val="00E367D6"/>
    <w:rsid w:val="00E36A0E"/>
    <w:rsid w:val="00E36B31"/>
    <w:rsid w:val="00E374E7"/>
    <w:rsid w:val="00E375CB"/>
    <w:rsid w:val="00E37685"/>
    <w:rsid w:val="00E37C0D"/>
    <w:rsid w:val="00E37FB0"/>
    <w:rsid w:val="00E401D7"/>
    <w:rsid w:val="00E40A84"/>
    <w:rsid w:val="00E40F23"/>
    <w:rsid w:val="00E4154F"/>
    <w:rsid w:val="00E417B2"/>
    <w:rsid w:val="00E42571"/>
    <w:rsid w:val="00E427FE"/>
    <w:rsid w:val="00E4286F"/>
    <w:rsid w:val="00E42E30"/>
    <w:rsid w:val="00E42FF3"/>
    <w:rsid w:val="00E433F3"/>
    <w:rsid w:val="00E43459"/>
    <w:rsid w:val="00E4369E"/>
    <w:rsid w:val="00E44127"/>
    <w:rsid w:val="00E448A7"/>
    <w:rsid w:val="00E448CE"/>
    <w:rsid w:val="00E44DC1"/>
    <w:rsid w:val="00E44F89"/>
    <w:rsid w:val="00E458CA"/>
    <w:rsid w:val="00E459F8"/>
    <w:rsid w:val="00E45BB9"/>
    <w:rsid w:val="00E462D4"/>
    <w:rsid w:val="00E4669C"/>
    <w:rsid w:val="00E468DD"/>
    <w:rsid w:val="00E46D96"/>
    <w:rsid w:val="00E474DA"/>
    <w:rsid w:val="00E477D9"/>
    <w:rsid w:val="00E47A07"/>
    <w:rsid w:val="00E47BCC"/>
    <w:rsid w:val="00E47CE0"/>
    <w:rsid w:val="00E47E29"/>
    <w:rsid w:val="00E47E76"/>
    <w:rsid w:val="00E50002"/>
    <w:rsid w:val="00E50B0E"/>
    <w:rsid w:val="00E51A7E"/>
    <w:rsid w:val="00E51BB9"/>
    <w:rsid w:val="00E51BD4"/>
    <w:rsid w:val="00E51E75"/>
    <w:rsid w:val="00E51F81"/>
    <w:rsid w:val="00E5267C"/>
    <w:rsid w:val="00E52B23"/>
    <w:rsid w:val="00E52D64"/>
    <w:rsid w:val="00E52FC5"/>
    <w:rsid w:val="00E536A7"/>
    <w:rsid w:val="00E5381B"/>
    <w:rsid w:val="00E5385F"/>
    <w:rsid w:val="00E53C0C"/>
    <w:rsid w:val="00E53C15"/>
    <w:rsid w:val="00E53C8F"/>
    <w:rsid w:val="00E53CE2"/>
    <w:rsid w:val="00E543D4"/>
    <w:rsid w:val="00E54654"/>
    <w:rsid w:val="00E5476F"/>
    <w:rsid w:val="00E54F2F"/>
    <w:rsid w:val="00E54F33"/>
    <w:rsid w:val="00E55381"/>
    <w:rsid w:val="00E55723"/>
    <w:rsid w:val="00E5576B"/>
    <w:rsid w:val="00E55BC2"/>
    <w:rsid w:val="00E55E5D"/>
    <w:rsid w:val="00E55EBC"/>
    <w:rsid w:val="00E55FB7"/>
    <w:rsid w:val="00E5618E"/>
    <w:rsid w:val="00E56454"/>
    <w:rsid w:val="00E567BC"/>
    <w:rsid w:val="00E56AC5"/>
    <w:rsid w:val="00E56F8D"/>
    <w:rsid w:val="00E574B8"/>
    <w:rsid w:val="00E57672"/>
    <w:rsid w:val="00E57AEB"/>
    <w:rsid w:val="00E57DD1"/>
    <w:rsid w:val="00E57E86"/>
    <w:rsid w:val="00E57E9E"/>
    <w:rsid w:val="00E57F2C"/>
    <w:rsid w:val="00E60127"/>
    <w:rsid w:val="00E60FF1"/>
    <w:rsid w:val="00E617E0"/>
    <w:rsid w:val="00E61C6F"/>
    <w:rsid w:val="00E6227E"/>
    <w:rsid w:val="00E623C9"/>
    <w:rsid w:val="00E6271D"/>
    <w:rsid w:val="00E627DF"/>
    <w:rsid w:val="00E62C69"/>
    <w:rsid w:val="00E62D0C"/>
    <w:rsid w:val="00E63B28"/>
    <w:rsid w:val="00E63FD7"/>
    <w:rsid w:val="00E646D0"/>
    <w:rsid w:val="00E653BC"/>
    <w:rsid w:val="00E659B9"/>
    <w:rsid w:val="00E65A6F"/>
    <w:rsid w:val="00E65DCE"/>
    <w:rsid w:val="00E65E7F"/>
    <w:rsid w:val="00E6634A"/>
    <w:rsid w:val="00E67782"/>
    <w:rsid w:val="00E677C3"/>
    <w:rsid w:val="00E67F24"/>
    <w:rsid w:val="00E700C3"/>
    <w:rsid w:val="00E7043D"/>
    <w:rsid w:val="00E706FA"/>
    <w:rsid w:val="00E70795"/>
    <w:rsid w:val="00E712AD"/>
    <w:rsid w:val="00E7141B"/>
    <w:rsid w:val="00E714D7"/>
    <w:rsid w:val="00E714DD"/>
    <w:rsid w:val="00E71CEB"/>
    <w:rsid w:val="00E71F28"/>
    <w:rsid w:val="00E7237B"/>
    <w:rsid w:val="00E72402"/>
    <w:rsid w:val="00E72526"/>
    <w:rsid w:val="00E730A8"/>
    <w:rsid w:val="00E73D20"/>
    <w:rsid w:val="00E743A1"/>
    <w:rsid w:val="00E743EA"/>
    <w:rsid w:val="00E74943"/>
    <w:rsid w:val="00E74BCD"/>
    <w:rsid w:val="00E74F35"/>
    <w:rsid w:val="00E75A4F"/>
    <w:rsid w:val="00E7611E"/>
    <w:rsid w:val="00E76F4E"/>
    <w:rsid w:val="00E76F52"/>
    <w:rsid w:val="00E774E1"/>
    <w:rsid w:val="00E7785F"/>
    <w:rsid w:val="00E778D2"/>
    <w:rsid w:val="00E778FC"/>
    <w:rsid w:val="00E77AE3"/>
    <w:rsid w:val="00E8027E"/>
    <w:rsid w:val="00E809BE"/>
    <w:rsid w:val="00E80D30"/>
    <w:rsid w:val="00E80DBB"/>
    <w:rsid w:val="00E8100B"/>
    <w:rsid w:val="00E81315"/>
    <w:rsid w:val="00E81337"/>
    <w:rsid w:val="00E813D5"/>
    <w:rsid w:val="00E8146D"/>
    <w:rsid w:val="00E817AD"/>
    <w:rsid w:val="00E81D43"/>
    <w:rsid w:val="00E824D9"/>
    <w:rsid w:val="00E82FC2"/>
    <w:rsid w:val="00E8316C"/>
    <w:rsid w:val="00E83270"/>
    <w:rsid w:val="00E83794"/>
    <w:rsid w:val="00E837E5"/>
    <w:rsid w:val="00E83C10"/>
    <w:rsid w:val="00E840FE"/>
    <w:rsid w:val="00E848EF"/>
    <w:rsid w:val="00E84E0D"/>
    <w:rsid w:val="00E84E27"/>
    <w:rsid w:val="00E84E61"/>
    <w:rsid w:val="00E85731"/>
    <w:rsid w:val="00E8580E"/>
    <w:rsid w:val="00E85974"/>
    <w:rsid w:val="00E85B88"/>
    <w:rsid w:val="00E85BD1"/>
    <w:rsid w:val="00E86CCE"/>
    <w:rsid w:val="00E86DE2"/>
    <w:rsid w:val="00E87467"/>
    <w:rsid w:val="00E87837"/>
    <w:rsid w:val="00E87E30"/>
    <w:rsid w:val="00E87F0F"/>
    <w:rsid w:val="00E904EA"/>
    <w:rsid w:val="00E90737"/>
    <w:rsid w:val="00E913B9"/>
    <w:rsid w:val="00E91452"/>
    <w:rsid w:val="00E91713"/>
    <w:rsid w:val="00E91958"/>
    <w:rsid w:val="00E91A22"/>
    <w:rsid w:val="00E91B38"/>
    <w:rsid w:val="00E91C5A"/>
    <w:rsid w:val="00E91D95"/>
    <w:rsid w:val="00E9201C"/>
    <w:rsid w:val="00E9225D"/>
    <w:rsid w:val="00E923E1"/>
    <w:rsid w:val="00E92623"/>
    <w:rsid w:val="00E92CCC"/>
    <w:rsid w:val="00E9359F"/>
    <w:rsid w:val="00E93850"/>
    <w:rsid w:val="00E93C9D"/>
    <w:rsid w:val="00E93E1A"/>
    <w:rsid w:val="00E93EE4"/>
    <w:rsid w:val="00E94033"/>
    <w:rsid w:val="00E941EA"/>
    <w:rsid w:val="00E942C5"/>
    <w:rsid w:val="00E9437D"/>
    <w:rsid w:val="00E947E5"/>
    <w:rsid w:val="00E94949"/>
    <w:rsid w:val="00E94A31"/>
    <w:rsid w:val="00E94B25"/>
    <w:rsid w:val="00E94CDE"/>
    <w:rsid w:val="00E94EF7"/>
    <w:rsid w:val="00E9543B"/>
    <w:rsid w:val="00E956EF"/>
    <w:rsid w:val="00E95D71"/>
    <w:rsid w:val="00E95DEA"/>
    <w:rsid w:val="00E95F7B"/>
    <w:rsid w:val="00E9605B"/>
    <w:rsid w:val="00E96481"/>
    <w:rsid w:val="00E96B6F"/>
    <w:rsid w:val="00E96B86"/>
    <w:rsid w:val="00E96CBC"/>
    <w:rsid w:val="00E96FD4"/>
    <w:rsid w:val="00E9719D"/>
    <w:rsid w:val="00E9761A"/>
    <w:rsid w:val="00E979B8"/>
    <w:rsid w:val="00EA02B0"/>
    <w:rsid w:val="00EA09F7"/>
    <w:rsid w:val="00EA0AB3"/>
    <w:rsid w:val="00EA1661"/>
    <w:rsid w:val="00EA1B9A"/>
    <w:rsid w:val="00EA1D2E"/>
    <w:rsid w:val="00EA1E5A"/>
    <w:rsid w:val="00EA2027"/>
    <w:rsid w:val="00EA21DB"/>
    <w:rsid w:val="00EA27FC"/>
    <w:rsid w:val="00EA2A16"/>
    <w:rsid w:val="00EA31A3"/>
    <w:rsid w:val="00EA3351"/>
    <w:rsid w:val="00EA35F8"/>
    <w:rsid w:val="00EA37C7"/>
    <w:rsid w:val="00EA3BC0"/>
    <w:rsid w:val="00EA3EC3"/>
    <w:rsid w:val="00EA40D2"/>
    <w:rsid w:val="00EA4414"/>
    <w:rsid w:val="00EA4481"/>
    <w:rsid w:val="00EA4791"/>
    <w:rsid w:val="00EA4C2D"/>
    <w:rsid w:val="00EA4CA7"/>
    <w:rsid w:val="00EA4CF1"/>
    <w:rsid w:val="00EA4E0C"/>
    <w:rsid w:val="00EA4FB3"/>
    <w:rsid w:val="00EA4FCC"/>
    <w:rsid w:val="00EA508F"/>
    <w:rsid w:val="00EA50EB"/>
    <w:rsid w:val="00EA5239"/>
    <w:rsid w:val="00EA5297"/>
    <w:rsid w:val="00EA576F"/>
    <w:rsid w:val="00EA58CD"/>
    <w:rsid w:val="00EA590A"/>
    <w:rsid w:val="00EA5F09"/>
    <w:rsid w:val="00EA6392"/>
    <w:rsid w:val="00EA6438"/>
    <w:rsid w:val="00EA647C"/>
    <w:rsid w:val="00EA6A8D"/>
    <w:rsid w:val="00EA6B75"/>
    <w:rsid w:val="00EA6C45"/>
    <w:rsid w:val="00EA727D"/>
    <w:rsid w:val="00EA774C"/>
    <w:rsid w:val="00EA79C8"/>
    <w:rsid w:val="00EA7A50"/>
    <w:rsid w:val="00EA7D14"/>
    <w:rsid w:val="00EB005B"/>
    <w:rsid w:val="00EB0426"/>
    <w:rsid w:val="00EB04E4"/>
    <w:rsid w:val="00EB0B8C"/>
    <w:rsid w:val="00EB110C"/>
    <w:rsid w:val="00EB1B2B"/>
    <w:rsid w:val="00EB2958"/>
    <w:rsid w:val="00EB3062"/>
    <w:rsid w:val="00EB32CD"/>
    <w:rsid w:val="00EB32D5"/>
    <w:rsid w:val="00EB37DB"/>
    <w:rsid w:val="00EB4372"/>
    <w:rsid w:val="00EB4543"/>
    <w:rsid w:val="00EB484D"/>
    <w:rsid w:val="00EB5137"/>
    <w:rsid w:val="00EB52EC"/>
    <w:rsid w:val="00EB58D1"/>
    <w:rsid w:val="00EB591D"/>
    <w:rsid w:val="00EB5958"/>
    <w:rsid w:val="00EB5984"/>
    <w:rsid w:val="00EB59C7"/>
    <w:rsid w:val="00EB5B12"/>
    <w:rsid w:val="00EB5D56"/>
    <w:rsid w:val="00EB5D9D"/>
    <w:rsid w:val="00EB62C7"/>
    <w:rsid w:val="00EB637B"/>
    <w:rsid w:val="00EB65D1"/>
    <w:rsid w:val="00EB6CB2"/>
    <w:rsid w:val="00EB6F7B"/>
    <w:rsid w:val="00EB7016"/>
    <w:rsid w:val="00EB77C9"/>
    <w:rsid w:val="00EB7B78"/>
    <w:rsid w:val="00EC0A32"/>
    <w:rsid w:val="00EC0B8B"/>
    <w:rsid w:val="00EC0DCA"/>
    <w:rsid w:val="00EC11D3"/>
    <w:rsid w:val="00EC16A3"/>
    <w:rsid w:val="00EC19AC"/>
    <w:rsid w:val="00EC1B47"/>
    <w:rsid w:val="00EC2113"/>
    <w:rsid w:val="00EC254E"/>
    <w:rsid w:val="00EC28EC"/>
    <w:rsid w:val="00EC2A71"/>
    <w:rsid w:val="00EC2C81"/>
    <w:rsid w:val="00EC34DD"/>
    <w:rsid w:val="00EC36DF"/>
    <w:rsid w:val="00EC37B0"/>
    <w:rsid w:val="00EC4174"/>
    <w:rsid w:val="00EC4421"/>
    <w:rsid w:val="00EC4B78"/>
    <w:rsid w:val="00EC4DCA"/>
    <w:rsid w:val="00EC519A"/>
    <w:rsid w:val="00EC521B"/>
    <w:rsid w:val="00EC557B"/>
    <w:rsid w:val="00EC598E"/>
    <w:rsid w:val="00EC5EB6"/>
    <w:rsid w:val="00EC652E"/>
    <w:rsid w:val="00EC6548"/>
    <w:rsid w:val="00EC65B8"/>
    <w:rsid w:val="00EC6707"/>
    <w:rsid w:val="00EC75C9"/>
    <w:rsid w:val="00EC785A"/>
    <w:rsid w:val="00EC7A34"/>
    <w:rsid w:val="00EC7E28"/>
    <w:rsid w:val="00EC7E3D"/>
    <w:rsid w:val="00ED12BD"/>
    <w:rsid w:val="00ED1459"/>
    <w:rsid w:val="00ED2248"/>
    <w:rsid w:val="00ED22B1"/>
    <w:rsid w:val="00ED2306"/>
    <w:rsid w:val="00ED2316"/>
    <w:rsid w:val="00ED2342"/>
    <w:rsid w:val="00ED252F"/>
    <w:rsid w:val="00ED25A3"/>
    <w:rsid w:val="00ED25E5"/>
    <w:rsid w:val="00ED2F7B"/>
    <w:rsid w:val="00ED303C"/>
    <w:rsid w:val="00ED31B6"/>
    <w:rsid w:val="00ED3A36"/>
    <w:rsid w:val="00ED3BCA"/>
    <w:rsid w:val="00ED417B"/>
    <w:rsid w:val="00ED482B"/>
    <w:rsid w:val="00ED53E8"/>
    <w:rsid w:val="00ED594A"/>
    <w:rsid w:val="00ED5D16"/>
    <w:rsid w:val="00ED5FA2"/>
    <w:rsid w:val="00ED6000"/>
    <w:rsid w:val="00ED607F"/>
    <w:rsid w:val="00ED72A8"/>
    <w:rsid w:val="00ED731E"/>
    <w:rsid w:val="00ED735C"/>
    <w:rsid w:val="00ED749D"/>
    <w:rsid w:val="00ED795D"/>
    <w:rsid w:val="00EE023C"/>
    <w:rsid w:val="00EE0252"/>
    <w:rsid w:val="00EE059B"/>
    <w:rsid w:val="00EE0C3C"/>
    <w:rsid w:val="00EE0DAA"/>
    <w:rsid w:val="00EE1DAF"/>
    <w:rsid w:val="00EE23C3"/>
    <w:rsid w:val="00EE2796"/>
    <w:rsid w:val="00EE338B"/>
    <w:rsid w:val="00EE33D4"/>
    <w:rsid w:val="00EE3694"/>
    <w:rsid w:val="00EE3841"/>
    <w:rsid w:val="00EE385A"/>
    <w:rsid w:val="00EE3937"/>
    <w:rsid w:val="00EE4533"/>
    <w:rsid w:val="00EE4735"/>
    <w:rsid w:val="00EE499C"/>
    <w:rsid w:val="00EE49D3"/>
    <w:rsid w:val="00EE4E02"/>
    <w:rsid w:val="00EE533F"/>
    <w:rsid w:val="00EE542F"/>
    <w:rsid w:val="00EE54DB"/>
    <w:rsid w:val="00EE553C"/>
    <w:rsid w:val="00EE579A"/>
    <w:rsid w:val="00EE6212"/>
    <w:rsid w:val="00EE65DD"/>
    <w:rsid w:val="00EE683A"/>
    <w:rsid w:val="00EE6B6E"/>
    <w:rsid w:val="00EE6C7A"/>
    <w:rsid w:val="00EE7090"/>
    <w:rsid w:val="00EE736E"/>
    <w:rsid w:val="00EE784C"/>
    <w:rsid w:val="00EE790E"/>
    <w:rsid w:val="00EE7ACA"/>
    <w:rsid w:val="00EE7BE2"/>
    <w:rsid w:val="00EE7DDC"/>
    <w:rsid w:val="00EF037F"/>
    <w:rsid w:val="00EF074A"/>
    <w:rsid w:val="00EF0880"/>
    <w:rsid w:val="00EF1319"/>
    <w:rsid w:val="00EF1994"/>
    <w:rsid w:val="00EF24A5"/>
    <w:rsid w:val="00EF2956"/>
    <w:rsid w:val="00EF2B99"/>
    <w:rsid w:val="00EF3071"/>
    <w:rsid w:val="00EF32CB"/>
    <w:rsid w:val="00EF3314"/>
    <w:rsid w:val="00EF3F6C"/>
    <w:rsid w:val="00EF4127"/>
    <w:rsid w:val="00EF492E"/>
    <w:rsid w:val="00EF4A2D"/>
    <w:rsid w:val="00EF553E"/>
    <w:rsid w:val="00EF5AEC"/>
    <w:rsid w:val="00EF5AFF"/>
    <w:rsid w:val="00EF5E6C"/>
    <w:rsid w:val="00EF612C"/>
    <w:rsid w:val="00EF640C"/>
    <w:rsid w:val="00EF6BE0"/>
    <w:rsid w:val="00EF6D96"/>
    <w:rsid w:val="00EF6EF7"/>
    <w:rsid w:val="00EF74E2"/>
    <w:rsid w:val="00EF75A5"/>
    <w:rsid w:val="00EF75D6"/>
    <w:rsid w:val="00EF76A9"/>
    <w:rsid w:val="00EF76FD"/>
    <w:rsid w:val="00EF7864"/>
    <w:rsid w:val="00EF78E3"/>
    <w:rsid w:val="00EF7903"/>
    <w:rsid w:val="00EF79A3"/>
    <w:rsid w:val="00F00856"/>
    <w:rsid w:val="00F00BA7"/>
    <w:rsid w:val="00F00C78"/>
    <w:rsid w:val="00F00DD8"/>
    <w:rsid w:val="00F01307"/>
    <w:rsid w:val="00F01E5F"/>
    <w:rsid w:val="00F02005"/>
    <w:rsid w:val="00F025E6"/>
    <w:rsid w:val="00F02A31"/>
    <w:rsid w:val="00F02B39"/>
    <w:rsid w:val="00F02CE5"/>
    <w:rsid w:val="00F032E5"/>
    <w:rsid w:val="00F03732"/>
    <w:rsid w:val="00F041A6"/>
    <w:rsid w:val="00F0439F"/>
    <w:rsid w:val="00F04509"/>
    <w:rsid w:val="00F04B35"/>
    <w:rsid w:val="00F04D27"/>
    <w:rsid w:val="00F051B2"/>
    <w:rsid w:val="00F05696"/>
    <w:rsid w:val="00F0576B"/>
    <w:rsid w:val="00F0581D"/>
    <w:rsid w:val="00F05A4D"/>
    <w:rsid w:val="00F06044"/>
    <w:rsid w:val="00F06628"/>
    <w:rsid w:val="00F06AF7"/>
    <w:rsid w:val="00F06B0B"/>
    <w:rsid w:val="00F06E24"/>
    <w:rsid w:val="00F07202"/>
    <w:rsid w:val="00F07230"/>
    <w:rsid w:val="00F0730C"/>
    <w:rsid w:val="00F077CB"/>
    <w:rsid w:val="00F07CCB"/>
    <w:rsid w:val="00F07E0F"/>
    <w:rsid w:val="00F07E8E"/>
    <w:rsid w:val="00F07EA7"/>
    <w:rsid w:val="00F07EC1"/>
    <w:rsid w:val="00F07FA6"/>
    <w:rsid w:val="00F07FE3"/>
    <w:rsid w:val="00F07FF7"/>
    <w:rsid w:val="00F10195"/>
    <w:rsid w:val="00F10653"/>
    <w:rsid w:val="00F10A5A"/>
    <w:rsid w:val="00F11788"/>
    <w:rsid w:val="00F119C3"/>
    <w:rsid w:val="00F11A19"/>
    <w:rsid w:val="00F11AD9"/>
    <w:rsid w:val="00F1248D"/>
    <w:rsid w:val="00F12599"/>
    <w:rsid w:val="00F12708"/>
    <w:rsid w:val="00F128E6"/>
    <w:rsid w:val="00F12E07"/>
    <w:rsid w:val="00F12F74"/>
    <w:rsid w:val="00F131E9"/>
    <w:rsid w:val="00F13357"/>
    <w:rsid w:val="00F13450"/>
    <w:rsid w:val="00F1352F"/>
    <w:rsid w:val="00F136B9"/>
    <w:rsid w:val="00F139CA"/>
    <w:rsid w:val="00F13CB5"/>
    <w:rsid w:val="00F13F80"/>
    <w:rsid w:val="00F140A4"/>
    <w:rsid w:val="00F143CF"/>
    <w:rsid w:val="00F14A70"/>
    <w:rsid w:val="00F14F43"/>
    <w:rsid w:val="00F15127"/>
    <w:rsid w:val="00F152C8"/>
    <w:rsid w:val="00F15B5F"/>
    <w:rsid w:val="00F15EE3"/>
    <w:rsid w:val="00F15F50"/>
    <w:rsid w:val="00F16A1F"/>
    <w:rsid w:val="00F16A63"/>
    <w:rsid w:val="00F17252"/>
    <w:rsid w:val="00F17346"/>
    <w:rsid w:val="00F17B40"/>
    <w:rsid w:val="00F213E1"/>
    <w:rsid w:val="00F216F0"/>
    <w:rsid w:val="00F21A53"/>
    <w:rsid w:val="00F21AF9"/>
    <w:rsid w:val="00F2278B"/>
    <w:rsid w:val="00F228EB"/>
    <w:rsid w:val="00F22BF7"/>
    <w:rsid w:val="00F23961"/>
    <w:rsid w:val="00F23F0F"/>
    <w:rsid w:val="00F24116"/>
    <w:rsid w:val="00F244D7"/>
    <w:rsid w:val="00F2466E"/>
    <w:rsid w:val="00F24763"/>
    <w:rsid w:val="00F24E43"/>
    <w:rsid w:val="00F2573E"/>
    <w:rsid w:val="00F2578F"/>
    <w:rsid w:val="00F2592D"/>
    <w:rsid w:val="00F26088"/>
    <w:rsid w:val="00F26995"/>
    <w:rsid w:val="00F2699D"/>
    <w:rsid w:val="00F26E11"/>
    <w:rsid w:val="00F26E6D"/>
    <w:rsid w:val="00F26F1E"/>
    <w:rsid w:val="00F2704F"/>
    <w:rsid w:val="00F2734A"/>
    <w:rsid w:val="00F303C5"/>
    <w:rsid w:val="00F30446"/>
    <w:rsid w:val="00F30DA2"/>
    <w:rsid w:val="00F31260"/>
    <w:rsid w:val="00F312CA"/>
    <w:rsid w:val="00F3142E"/>
    <w:rsid w:val="00F31676"/>
    <w:rsid w:val="00F319AE"/>
    <w:rsid w:val="00F31B80"/>
    <w:rsid w:val="00F32172"/>
    <w:rsid w:val="00F326B9"/>
    <w:rsid w:val="00F32CED"/>
    <w:rsid w:val="00F32D33"/>
    <w:rsid w:val="00F32DA4"/>
    <w:rsid w:val="00F32F5B"/>
    <w:rsid w:val="00F33199"/>
    <w:rsid w:val="00F3360C"/>
    <w:rsid w:val="00F3383E"/>
    <w:rsid w:val="00F33E0D"/>
    <w:rsid w:val="00F33E2D"/>
    <w:rsid w:val="00F342EC"/>
    <w:rsid w:val="00F3488D"/>
    <w:rsid w:val="00F34915"/>
    <w:rsid w:val="00F34E9F"/>
    <w:rsid w:val="00F34EA9"/>
    <w:rsid w:val="00F35B1B"/>
    <w:rsid w:val="00F35BA4"/>
    <w:rsid w:val="00F35FA2"/>
    <w:rsid w:val="00F369E2"/>
    <w:rsid w:val="00F36BF7"/>
    <w:rsid w:val="00F3702D"/>
    <w:rsid w:val="00F3756F"/>
    <w:rsid w:val="00F3794E"/>
    <w:rsid w:val="00F37B79"/>
    <w:rsid w:val="00F37BBE"/>
    <w:rsid w:val="00F4087B"/>
    <w:rsid w:val="00F418EC"/>
    <w:rsid w:val="00F41927"/>
    <w:rsid w:val="00F42069"/>
    <w:rsid w:val="00F4215A"/>
    <w:rsid w:val="00F424C1"/>
    <w:rsid w:val="00F42D93"/>
    <w:rsid w:val="00F4306D"/>
    <w:rsid w:val="00F43587"/>
    <w:rsid w:val="00F43977"/>
    <w:rsid w:val="00F439BC"/>
    <w:rsid w:val="00F43A84"/>
    <w:rsid w:val="00F43AD9"/>
    <w:rsid w:val="00F43C6A"/>
    <w:rsid w:val="00F4446C"/>
    <w:rsid w:val="00F44C30"/>
    <w:rsid w:val="00F44CF2"/>
    <w:rsid w:val="00F44D8A"/>
    <w:rsid w:val="00F44D8F"/>
    <w:rsid w:val="00F44DC9"/>
    <w:rsid w:val="00F452D3"/>
    <w:rsid w:val="00F45594"/>
    <w:rsid w:val="00F456CB"/>
    <w:rsid w:val="00F459E6"/>
    <w:rsid w:val="00F45A9A"/>
    <w:rsid w:val="00F45B2A"/>
    <w:rsid w:val="00F46749"/>
    <w:rsid w:val="00F46BAA"/>
    <w:rsid w:val="00F46C70"/>
    <w:rsid w:val="00F4711C"/>
    <w:rsid w:val="00F4725C"/>
    <w:rsid w:val="00F47780"/>
    <w:rsid w:val="00F47C79"/>
    <w:rsid w:val="00F47E1E"/>
    <w:rsid w:val="00F5036C"/>
    <w:rsid w:val="00F507CA"/>
    <w:rsid w:val="00F51A5B"/>
    <w:rsid w:val="00F51BCC"/>
    <w:rsid w:val="00F5203F"/>
    <w:rsid w:val="00F52094"/>
    <w:rsid w:val="00F523A8"/>
    <w:rsid w:val="00F5243A"/>
    <w:rsid w:val="00F532B5"/>
    <w:rsid w:val="00F53669"/>
    <w:rsid w:val="00F53936"/>
    <w:rsid w:val="00F53C20"/>
    <w:rsid w:val="00F54047"/>
    <w:rsid w:val="00F5406A"/>
    <w:rsid w:val="00F54070"/>
    <w:rsid w:val="00F545C2"/>
    <w:rsid w:val="00F545DF"/>
    <w:rsid w:val="00F54AE0"/>
    <w:rsid w:val="00F54C9C"/>
    <w:rsid w:val="00F5501F"/>
    <w:rsid w:val="00F5509D"/>
    <w:rsid w:val="00F55514"/>
    <w:rsid w:val="00F557D1"/>
    <w:rsid w:val="00F559C2"/>
    <w:rsid w:val="00F55A78"/>
    <w:rsid w:val="00F55FDA"/>
    <w:rsid w:val="00F565FF"/>
    <w:rsid w:val="00F57472"/>
    <w:rsid w:val="00F57A81"/>
    <w:rsid w:val="00F57D34"/>
    <w:rsid w:val="00F57D8C"/>
    <w:rsid w:val="00F60180"/>
    <w:rsid w:val="00F6027F"/>
    <w:rsid w:val="00F60729"/>
    <w:rsid w:val="00F60BC3"/>
    <w:rsid w:val="00F6106D"/>
    <w:rsid w:val="00F61665"/>
    <w:rsid w:val="00F61B7C"/>
    <w:rsid w:val="00F61B94"/>
    <w:rsid w:val="00F61D58"/>
    <w:rsid w:val="00F627FA"/>
    <w:rsid w:val="00F62876"/>
    <w:rsid w:val="00F62A86"/>
    <w:rsid w:val="00F62C99"/>
    <w:rsid w:val="00F63202"/>
    <w:rsid w:val="00F632FD"/>
    <w:rsid w:val="00F6379B"/>
    <w:rsid w:val="00F63810"/>
    <w:rsid w:val="00F63EFC"/>
    <w:rsid w:val="00F63F99"/>
    <w:rsid w:val="00F63FCA"/>
    <w:rsid w:val="00F640C8"/>
    <w:rsid w:val="00F6435D"/>
    <w:rsid w:val="00F643AE"/>
    <w:rsid w:val="00F64A0E"/>
    <w:rsid w:val="00F64C8C"/>
    <w:rsid w:val="00F6500C"/>
    <w:rsid w:val="00F6531F"/>
    <w:rsid w:val="00F6549F"/>
    <w:rsid w:val="00F6592B"/>
    <w:rsid w:val="00F65BF7"/>
    <w:rsid w:val="00F65F8D"/>
    <w:rsid w:val="00F660BF"/>
    <w:rsid w:val="00F6638F"/>
    <w:rsid w:val="00F666DF"/>
    <w:rsid w:val="00F66AD8"/>
    <w:rsid w:val="00F66B43"/>
    <w:rsid w:val="00F66E14"/>
    <w:rsid w:val="00F672AB"/>
    <w:rsid w:val="00F6785F"/>
    <w:rsid w:val="00F6788E"/>
    <w:rsid w:val="00F67B9D"/>
    <w:rsid w:val="00F67ED8"/>
    <w:rsid w:val="00F70082"/>
    <w:rsid w:val="00F700D0"/>
    <w:rsid w:val="00F70BE8"/>
    <w:rsid w:val="00F70C6F"/>
    <w:rsid w:val="00F70D76"/>
    <w:rsid w:val="00F7135D"/>
    <w:rsid w:val="00F71482"/>
    <w:rsid w:val="00F71501"/>
    <w:rsid w:val="00F7165F"/>
    <w:rsid w:val="00F71949"/>
    <w:rsid w:val="00F71BB9"/>
    <w:rsid w:val="00F71D41"/>
    <w:rsid w:val="00F720B0"/>
    <w:rsid w:val="00F724F1"/>
    <w:rsid w:val="00F726B4"/>
    <w:rsid w:val="00F72924"/>
    <w:rsid w:val="00F72D7E"/>
    <w:rsid w:val="00F72DD5"/>
    <w:rsid w:val="00F7327E"/>
    <w:rsid w:val="00F73640"/>
    <w:rsid w:val="00F7367F"/>
    <w:rsid w:val="00F73936"/>
    <w:rsid w:val="00F7437B"/>
    <w:rsid w:val="00F7447B"/>
    <w:rsid w:val="00F7457C"/>
    <w:rsid w:val="00F745FB"/>
    <w:rsid w:val="00F74796"/>
    <w:rsid w:val="00F747E6"/>
    <w:rsid w:val="00F74821"/>
    <w:rsid w:val="00F748FC"/>
    <w:rsid w:val="00F74C61"/>
    <w:rsid w:val="00F74FC2"/>
    <w:rsid w:val="00F7504A"/>
    <w:rsid w:val="00F752EA"/>
    <w:rsid w:val="00F7669A"/>
    <w:rsid w:val="00F7690A"/>
    <w:rsid w:val="00F76A37"/>
    <w:rsid w:val="00F76AF0"/>
    <w:rsid w:val="00F76B31"/>
    <w:rsid w:val="00F76B7F"/>
    <w:rsid w:val="00F76DB1"/>
    <w:rsid w:val="00F76F05"/>
    <w:rsid w:val="00F770F2"/>
    <w:rsid w:val="00F7742C"/>
    <w:rsid w:val="00F774F4"/>
    <w:rsid w:val="00F77EBB"/>
    <w:rsid w:val="00F808ED"/>
    <w:rsid w:val="00F808F2"/>
    <w:rsid w:val="00F80B16"/>
    <w:rsid w:val="00F8100E"/>
    <w:rsid w:val="00F81032"/>
    <w:rsid w:val="00F81368"/>
    <w:rsid w:val="00F81386"/>
    <w:rsid w:val="00F814C4"/>
    <w:rsid w:val="00F815E4"/>
    <w:rsid w:val="00F816B1"/>
    <w:rsid w:val="00F8179F"/>
    <w:rsid w:val="00F81B96"/>
    <w:rsid w:val="00F8212E"/>
    <w:rsid w:val="00F82556"/>
    <w:rsid w:val="00F82871"/>
    <w:rsid w:val="00F83985"/>
    <w:rsid w:val="00F83FC1"/>
    <w:rsid w:val="00F84145"/>
    <w:rsid w:val="00F841C1"/>
    <w:rsid w:val="00F84451"/>
    <w:rsid w:val="00F84585"/>
    <w:rsid w:val="00F8467E"/>
    <w:rsid w:val="00F84B85"/>
    <w:rsid w:val="00F84D5D"/>
    <w:rsid w:val="00F84FE0"/>
    <w:rsid w:val="00F85103"/>
    <w:rsid w:val="00F85445"/>
    <w:rsid w:val="00F855D0"/>
    <w:rsid w:val="00F856CC"/>
    <w:rsid w:val="00F8573A"/>
    <w:rsid w:val="00F85768"/>
    <w:rsid w:val="00F859E9"/>
    <w:rsid w:val="00F85C71"/>
    <w:rsid w:val="00F85E1C"/>
    <w:rsid w:val="00F8629B"/>
    <w:rsid w:val="00F865B5"/>
    <w:rsid w:val="00F86EAC"/>
    <w:rsid w:val="00F879B8"/>
    <w:rsid w:val="00F87ADD"/>
    <w:rsid w:val="00F87B2D"/>
    <w:rsid w:val="00F900C6"/>
    <w:rsid w:val="00F90319"/>
    <w:rsid w:val="00F90B9C"/>
    <w:rsid w:val="00F9107C"/>
    <w:rsid w:val="00F91A9F"/>
    <w:rsid w:val="00F91B9A"/>
    <w:rsid w:val="00F91CB4"/>
    <w:rsid w:val="00F91D3A"/>
    <w:rsid w:val="00F91FE1"/>
    <w:rsid w:val="00F923A3"/>
    <w:rsid w:val="00F92410"/>
    <w:rsid w:val="00F9327B"/>
    <w:rsid w:val="00F932D3"/>
    <w:rsid w:val="00F939B1"/>
    <w:rsid w:val="00F93D43"/>
    <w:rsid w:val="00F93FE1"/>
    <w:rsid w:val="00F94582"/>
    <w:rsid w:val="00F94777"/>
    <w:rsid w:val="00F94815"/>
    <w:rsid w:val="00F94AB5"/>
    <w:rsid w:val="00F94BEE"/>
    <w:rsid w:val="00F94CAF"/>
    <w:rsid w:val="00F954EA"/>
    <w:rsid w:val="00F95587"/>
    <w:rsid w:val="00F967E5"/>
    <w:rsid w:val="00F968D4"/>
    <w:rsid w:val="00F969D4"/>
    <w:rsid w:val="00F96AD1"/>
    <w:rsid w:val="00F96C39"/>
    <w:rsid w:val="00F96FE7"/>
    <w:rsid w:val="00F978FA"/>
    <w:rsid w:val="00F97A12"/>
    <w:rsid w:val="00FA01E5"/>
    <w:rsid w:val="00FA0452"/>
    <w:rsid w:val="00FA0495"/>
    <w:rsid w:val="00FA04CA"/>
    <w:rsid w:val="00FA1100"/>
    <w:rsid w:val="00FA2340"/>
    <w:rsid w:val="00FA254D"/>
    <w:rsid w:val="00FA34F7"/>
    <w:rsid w:val="00FA3B6D"/>
    <w:rsid w:val="00FA3D4F"/>
    <w:rsid w:val="00FA419D"/>
    <w:rsid w:val="00FA5022"/>
    <w:rsid w:val="00FA536C"/>
    <w:rsid w:val="00FA5614"/>
    <w:rsid w:val="00FA56DD"/>
    <w:rsid w:val="00FA583E"/>
    <w:rsid w:val="00FA5923"/>
    <w:rsid w:val="00FA652F"/>
    <w:rsid w:val="00FA66DB"/>
    <w:rsid w:val="00FA6E28"/>
    <w:rsid w:val="00FA6E52"/>
    <w:rsid w:val="00FA6E66"/>
    <w:rsid w:val="00FA6EEA"/>
    <w:rsid w:val="00FA6FD0"/>
    <w:rsid w:val="00FA7433"/>
    <w:rsid w:val="00FA7873"/>
    <w:rsid w:val="00FB0742"/>
    <w:rsid w:val="00FB07A5"/>
    <w:rsid w:val="00FB0A1F"/>
    <w:rsid w:val="00FB0C6B"/>
    <w:rsid w:val="00FB0CC8"/>
    <w:rsid w:val="00FB0EBB"/>
    <w:rsid w:val="00FB16B5"/>
    <w:rsid w:val="00FB245D"/>
    <w:rsid w:val="00FB2C00"/>
    <w:rsid w:val="00FB2F04"/>
    <w:rsid w:val="00FB36FE"/>
    <w:rsid w:val="00FB37D1"/>
    <w:rsid w:val="00FB3ADC"/>
    <w:rsid w:val="00FB3BCE"/>
    <w:rsid w:val="00FB4490"/>
    <w:rsid w:val="00FB455A"/>
    <w:rsid w:val="00FB4EB5"/>
    <w:rsid w:val="00FB55E6"/>
    <w:rsid w:val="00FB5B10"/>
    <w:rsid w:val="00FB60FA"/>
    <w:rsid w:val="00FB6112"/>
    <w:rsid w:val="00FB66BB"/>
    <w:rsid w:val="00FB66EC"/>
    <w:rsid w:val="00FB688D"/>
    <w:rsid w:val="00FB69ED"/>
    <w:rsid w:val="00FB6D94"/>
    <w:rsid w:val="00FB6F11"/>
    <w:rsid w:val="00FB7074"/>
    <w:rsid w:val="00FB77E4"/>
    <w:rsid w:val="00FB7B72"/>
    <w:rsid w:val="00FB7E90"/>
    <w:rsid w:val="00FB7F61"/>
    <w:rsid w:val="00FC0731"/>
    <w:rsid w:val="00FC0987"/>
    <w:rsid w:val="00FC0EA6"/>
    <w:rsid w:val="00FC1697"/>
    <w:rsid w:val="00FC2150"/>
    <w:rsid w:val="00FC23C0"/>
    <w:rsid w:val="00FC2660"/>
    <w:rsid w:val="00FC27E5"/>
    <w:rsid w:val="00FC290F"/>
    <w:rsid w:val="00FC2E1D"/>
    <w:rsid w:val="00FC33CA"/>
    <w:rsid w:val="00FC3B94"/>
    <w:rsid w:val="00FC3C2B"/>
    <w:rsid w:val="00FC3CA3"/>
    <w:rsid w:val="00FC3D5F"/>
    <w:rsid w:val="00FC3FC6"/>
    <w:rsid w:val="00FC40FB"/>
    <w:rsid w:val="00FC4B71"/>
    <w:rsid w:val="00FC4BB4"/>
    <w:rsid w:val="00FC4BBB"/>
    <w:rsid w:val="00FC4D6C"/>
    <w:rsid w:val="00FC4F9B"/>
    <w:rsid w:val="00FC5048"/>
    <w:rsid w:val="00FC5239"/>
    <w:rsid w:val="00FC5941"/>
    <w:rsid w:val="00FC5B2F"/>
    <w:rsid w:val="00FC63C2"/>
    <w:rsid w:val="00FC653E"/>
    <w:rsid w:val="00FC66AD"/>
    <w:rsid w:val="00FC66D0"/>
    <w:rsid w:val="00FC6742"/>
    <w:rsid w:val="00FC67F3"/>
    <w:rsid w:val="00FC6ACD"/>
    <w:rsid w:val="00FC6C58"/>
    <w:rsid w:val="00FC6F2C"/>
    <w:rsid w:val="00FC757A"/>
    <w:rsid w:val="00FC76E4"/>
    <w:rsid w:val="00FC7BB7"/>
    <w:rsid w:val="00FC7E26"/>
    <w:rsid w:val="00FD003A"/>
    <w:rsid w:val="00FD0403"/>
    <w:rsid w:val="00FD0443"/>
    <w:rsid w:val="00FD05F1"/>
    <w:rsid w:val="00FD08B5"/>
    <w:rsid w:val="00FD0B76"/>
    <w:rsid w:val="00FD0BEA"/>
    <w:rsid w:val="00FD0C93"/>
    <w:rsid w:val="00FD16C1"/>
    <w:rsid w:val="00FD19BB"/>
    <w:rsid w:val="00FD1D88"/>
    <w:rsid w:val="00FD2466"/>
    <w:rsid w:val="00FD2CB6"/>
    <w:rsid w:val="00FD2DBF"/>
    <w:rsid w:val="00FD3BF0"/>
    <w:rsid w:val="00FD4344"/>
    <w:rsid w:val="00FD5064"/>
    <w:rsid w:val="00FD5A27"/>
    <w:rsid w:val="00FD5B3A"/>
    <w:rsid w:val="00FD5B94"/>
    <w:rsid w:val="00FD62F9"/>
    <w:rsid w:val="00FD645E"/>
    <w:rsid w:val="00FD677D"/>
    <w:rsid w:val="00FD6E6F"/>
    <w:rsid w:val="00FD717B"/>
    <w:rsid w:val="00FD76D1"/>
    <w:rsid w:val="00FD7AC1"/>
    <w:rsid w:val="00FD7B36"/>
    <w:rsid w:val="00FD7B9F"/>
    <w:rsid w:val="00FE02B7"/>
    <w:rsid w:val="00FE065F"/>
    <w:rsid w:val="00FE0B11"/>
    <w:rsid w:val="00FE0C18"/>
    <w:rsid w:val="00FE0CF9"/>
    <w:rsid w:val="00FE0E47"/>
    <w:rsid w:val="00FE127A"/>
    <w:rsid w:val="00FE12AC"/>
    <w:rsid w:val="00FE14F9"/>
    <w:rsid w:val="00FE1647"/>
    <w:rsid w:val="00FE1CE2"/>
    <w:rsid w:val="00FE20C0"/>
    <w:rsid w:val="00FE2396"/>
    <w:rsid w:val="00FE244A"/>
    <w:rsid w:val="00FE29ED"/>
    <w:rsid w:val="00FE2BA7"/>
    <w:rsid w:val="00FE2D96"/>
    <w:rsid w:val="00FE33A7"/>
    <w:rsid w:val="00FE33F7"/>
    <w:rsid w:val="00FE3580"/>
    <w:rsid w:val="00FE3BEE"/>
    <w:rsid w:val="00FE3EA6"/>
    <w:rsid w:val="00FE4127"/>
    <w:rsid w:val="00FE4418"/>
    <w:rsid w:val="00FE528E"/>
    <w:rsid w:val="00FE54E0"/>
    <w:rsid w:val="00FE57B2"/>
    <w:rsid w:val="00FE5E84"/>
    <w:rsid w:val="00FE5F8C"/>
    <w:rsid w:val="00FE6034"/>
    <w:rsid w:val="00FE6599"/>
    <w:rsid w:val="00FE685B"/>
    <w:rsid w:val="00FE6985"/>
    <w:rsid w:val="00FE6EE9"/>
    <w:rsid w:val="00FE7081"/>
    <w:rsid w:val="00FE71F0"/>
    <w:rsid w:val="00FE7E08"/>
    <w:rsid w:val="00FE7EBE"/>
    <w:rsid w:val="00FE7FF5"/>
    <w:rsid w:val="00FF1098"/>
    <w:rsid w:val="00FF10D7"/>
    <w:rsid w:val="00FF143E"/>
    <w:rsid w:val="00FF14F3"/>
    <w:rsid w:val="00FF1843"/>
    <w:rsid w:val="00FF1A43"/>
    <w:rsid w:val="00FF22B7"/>
    <w:rsid w:val="00FF25A2"/>
    <w:rsid w:val="00FF273F"/>
    <w:rsid w:val="00FF2779"/>
    <w:rsid w:val="00FF29A7"/>
    <w:rsid w:val="00FF2C82"/>
    <w:rsid w:val="00FF38FA"/>
    <w:rsid w:val="00FF397A"/>
    <w:rsid w:val="00FF3B64"/>
    <w:rsid w:val="00FF3E82"/>
    <w:rsid w:val="00FF3E90"/>
    <w:rsid w:val="00FF3F42"/>
    <w:rsid w:val="00FF432B"/>
    <w:rsid w:val="00FF4338"/>
    <w:rsid w:val="00FF4638"/>
    <w:rsid w:val="00FF4887"/>
    <w:rsid w:val="00FF49E8"/>
    <w:rsid w:val="00FF4B50"/>
    <w:rsid w:val="00FF4D4A"/>
    <w:rsid w:val="00FF507E"/>
    <w:rsid w:val="00FF519E"/>
    <w:rsid w:val="00FF51D7"/>
    <w:rsid w:val="00FF5393"/>
    <w:rsid w:val="00FF55F7"/>
    <w:rsid w:val="00FF5E0B"/>
    <w:rsid w:val="00FF5ECE"/>
    <w:rsid w:val="00FF667F"/>
    <w:rsid w:val="00FF6E05"/>
    <w:rsid w:val="00FF7133"/>
    <w:rsid w:val="00FF7561"/>
    <w:rsid w:val="00FF7888"/>
    <w:rsid w:val="00FF794E"/>
    <w:rsid w:val="00FF7BAF"/>
    <w:rsid w:val="00FF7E82"/>
    <w:rsid w:val="01A842C6"/>
    <w:rsid w:val="01B664A1"/>
    <w:rsid w:val="01F52A91"/>
    <w:rsid w:val="02120D87"/>
    <w:rsid w:val="027E1012"/>
    <w:rsid w:val="032052CC"/>
    <w:rsid w:val="03400B2D"/>
    <w:rsid w:val="0346283E"/>
    <w:rsid w:val="03D3384A"/>
    <w:rsid w:val="04E0586A"/>
    <w:rsid w:val="058C7BA2"/>
    <w:rsid w:val="05AE2353"/>
    <w:rsid w:val="061401EF"/>
    <w:rsid w:val="06536344"/>
    <w:rsid w:val="066C15D9"/>
    <w:rsid w:val="07074209"/>
    <w:rsid w:val="082160D5"/>
    <w:rsid w:val="089B3B7D"/>
    <w:rsid w:val="089F13B4"/>
    <w:rsid w:val="0969482B"/>
    <w:rsid w:val="097151F5"/>
    <w:rsid w:val="09BD4E22"/>
    <w:rsid w:val="0A35213D"/>
    <w:rsid w:val="0A851D25"/>
    <w:rsid w:val="0ADB4710"/>
    <w:rsid w:val="0AEA77EF"/>
    <w:rsid w:val="0AF6345A"/>
    <w:rsid w:val="0B3A1976"/>
    <w:rsid w:val="0B6B1D52"/>
    <w:rsid w:val="0B923B58"/>
    <w:rsid w:val="0B9873AF"/>
    <w:rsid w:val="0BAE5D98"/>
    <w:rsid w:val="0C684910"/>
    <w:rsid w:val="0CAE2F5A"/>
    <w:rsid w:val="0CC15C7D"/>
    <w:rsid w:val="0CCA6E2C"/>
    <w:rsid w:val="0D051E28"/>
    <w:rsid w:val="0D8C36D4"/>
    <w:rsid w:val="0DB72C24"/>
    <w:rsid w:val="0DF42FB8"/>
    <w:rsid w:val="0DFF7FDA"/>
    <w:rsid w:val="0E224058"/>
    <w:rsid w:val="0E4A4E62"/>
    <w:rsid w:val="0ED27B18"/>
    <w:rsid w:val="0F480717"/>
    <w:rsid w:val="0FD07D2B"/>
    <w:rsid w:val="0FE92855"/>
    <w:rsid w:val="10483AEB"/>
    <w:rsid w:val="107B278C"/>
    <w:rsid w:val="10B276AF"/>
    <w:rsid w:val="10B93E79"/>
    <w:rsid w:val="11350324"/>
    <w:rsid w:val="11352DCD"/>
    <w:rsid w:val="113B5611"/>
    <w:rsid w:val="116A6549"/>
    <w:rsid w:val="118C68C6"/>
    <w:rsid w:val="11D81ED4"/>
    <w:rsid w:val="12BD286B"/>
    <w:rsid w:val="12E16AF5"/>
    <w:rsid w:val="12F52C6C"/>
    <w:rsid w:val="13081E63"/>
    <w:rsid w:val="133731A8"/>
    <w:rsid w:val="136828AD"/>
    <w:rsid w:val="136C602E"/>
    <w:rsid w:val="1389740B"/>
    <w:rsid w:val="142E4DE5"/>
    <w:rsid w:val="14496100"/>
    <w:rsid w:val="14632853"/>
    <w:rsid w:val="14953E84"/>
    <w:rsid w:val="14D257B5"/>
    <w:rsid w:val="14F054EE"/>
    <w:rsid w:val="14F36394"/>
    <w:rsid w:val="15014F81"/>
    <w:rsid w:val="151A1B61"/>
    <w:rsid w:val="151C5CD0"/>
    <w:rsid w:val="15F00EA2"/>
    <w:rsid w:val="16294E7C"/>
    <w:rsid w:val="1636420B"/>
    <w:rsid w:val="17137E35"/>
    <w:rsid w:val="172E09D1"/>
    <w:rsid w:val="17835F7D"/>
    <w:rsid w:val="17B82EFA"/>
    <w:rsid w:val="182541F9"/>
    <w:rsid w:val="18B22D85"/>
    <w:rsid w:val="18E96437"/>
    <w:rsid w:val="190F6BFD"/>
    <w:rsid w:val="194542A9"/>
    <w:rsid w:val="195B3309"/>
    <w:rsid w:val="19802551"/>
    <w:rsid w:val="19A57603"/>
    <w:rsid w:val="19C713A6"/>
    <w:rsid w:val="19CF500F"/>
    <w:rsid w:val="1AF311B8"/>
    <w:rsid w:val="1B1E25E5"/>
    <w:rsid w:val="1B9D082B"/>
    <w:rsid w:val="1BA11E74"/>
    <w:rsid w:val="1BBE183A"/>
    <w:rsid w:val="1BDD4E53"/>
    <w:rsid w:val="1BF37476"/>
    <w:rsid w:val="1C386D1E"/>
    <w:rsid w:val="1C931FE4"/>
    <w:rsid w:val="1D1113D0"/>
    <w:rsid w:val="1D1C3E12"/>
    <w:rsid w:val="1D396DCB"/>
    <w:rsid w:val="1D5B1AD4"/>
    <w:rsid w:val="1DD54314"/>
    <w:rsid w:val="1DEE1E52"/>
    <w:rsid w:val="1E577873"/>
    <w:rsid w:val="1E5B0D32"/>
    <w:rsid w:val="1E8D5F4F"/>
    <w:rsid w:val="1F3F5731"/>
    <w:rsid w:val="1F6A5F0E"/>
    <w:rsid w:val="1F892A6F"/>
    <w:rsid w:val="1FB84F15"/>
    <w:rsid w:val="20376BBD"/>
    <w:rsid w:val="203F0D32"/>
    <w:rsid w:val="206C1A34"/>
    <w:rsid w:val="206F4949"/>
    <w:rsid w:val="2077061A"/>
    <w:rsid w:val="207C1569"/>
    <w:rsid w:val="20E537B7"/>
    <w:rsid w:val="21137496"/>
    <w:rsid w:val="21361B5B"/>
    <w:rsid w:val="21AF1B2D"/>
    <w:rsid w:val="21D11841"/>
    <w:rsid w:val="21E027E8"/>
    <w:rsid w:val="220715CD"/>
    <w:rsid w:val="22111510"/>
    <w:rsid w:val="223709DC"/>
    <w:rsid w:val="22392924"/>
    <w:rsid w:val="22503A99"/>
    <w:rsid w:val="22641056"/>
    <w:rsid w:val="226D0F7D"/>
    <w:rsid w:val="22971EA5"/>
    <w:rsid w:val="22E468F9"/>
    <w:rsid w:val="2379528B"/>
    <w:rsid w:val="237F6188"/>
    <w:rsid w:val="247C3A15"/>
    <w:rsid w:val="249C2489"/>
    <w:rsid w:val="251B0028"/>
    <w:rsid w:val="257418AF"/>
    <w:rsid w:val="271B3851"/>
    <w:rsid w:val="275B29A3"/>
    <w:rsid w:val="282C1694"/>
    <w:rsid w:val="28334283"/>
    <w:rsid w:val="285B4951"/>
    <w:rsid w:val="28AF42E4"/>
    <w:rsid w:val="28CE3B87"/>
    <w:rsid w:val="28D059C8"/>
    <w:rsid w:val="29030FAE"/>
    <w:rsid w:val="29362716"/>
    <w:rsid w:val="2AD22F61"/>
    <w:rsid w:val="2B510C81"/>
    <w:rsid w:val="2B5C23FE"/>
    <w:rsid w:val="2B644127"/>
    <w:rsid w:val="2B777D40"/>
    <w:rsid w:val="2B795B18"/>
    <w:rsid w:val="2BF10A3D"/>
    <w:rsid w:val="2C430F97"/>
    <w:rsid w:val="2C4E46CD"/>
    <w:rsid w:val="2C753EBB"/>
    <w:rsid w:val="2CD30402"/>
    <w:rsid w:val="2CF0164E"/>
    <w:rsid w:val="2D0E4B56"/>
    <w:rsid w:val="2DA3078F"/>
    <w:rsid w:val="2DCD2EBC"/>
    <w:rsid w:val="2DF86CA2"/>
    <w:rsid w:val="2E046A5A"/>
    <w:rsid w:val="2E056A58"/>
    <w:rsid w:val="2E1450B4"/>
    <w:rsid w:val="2E87112A"/>
    <w:rsid w:val="2EA14B72"/>
    <w:rsid w:val="2EDE5031"/>
    <w:rsid w:val="2F043018"/>
    <w:rsid w:val="2F7C3DFF"/>
    <w:rsid w:val="2FC42BDA"/>
    <w:rsid w:val="30440D10"/>
    <w:rsid w:val="30665983"/>
    <w:rsid w:val="316C23C9"/>
    <w:rsid w:val="31845856"/>
    <w:rsid w:val="31E33CF0"/>
    <w:rsid w:val="321B6248"/>
    <w:rsid w:val="328240F0"/>
    <w:rsid w:val="3296670F"/>
    <w:rsid w:val="32C513F0"/>
    <w:rsid w:val="33022792"/>
    <w:rsid w:val="33530000"/>
    <w:rsid w:val="33607607"/>
    <w:rsid w:val="33B4365E"/>
    <w:rsid w:val="33F020B6"/>
    <w:rsid w:val="344D3B6C"/>
    <w:rsid w:val="3489778A"/>
    <w:rsid w:val="34D7570F"/>
    <w:rsid w:val="355A6925"/>
    <w:rsid w:val="357D5FA4"/>
    <w:rsid w:val="361E712D"/>
    <w:rsid w:val="366F4AE0"/>
    <w:rsid w:val="36706EB0"/>
    <w:rsid w:val="36A02280"/>
    <w:rsid w:val="36CA4688"/>
    <w:rsid w:val="376F147D"/>
    <w:rsid w:val="37A66936"/>
    <w:rsid w:val="37AB53FE"/>
    <w:rsid w:val="38235253"/>
    <w:rsid w:val="382D1595"/>
    <w:rsid w:val="385E7F01"/>
    <w:rsid w:val="387232F5"/>
    <w:rsid w:val="38730DB8"/>
    <w:rsid w:val="390073B2"/>
    <w:rsid w:val="392367BA"/>
    <w:rsid w:val="397C3FD0"/>
    <w:rsid w:val="39A94AC9"/>
    <w:rsid w:val="39B35CCB"/>
    <w:rsid w:val="39DC4280"/>
    <w:rsid w:val="3A1114EE"/>
    <w:rsid w:val="3ABF13E2"/>
    <w:rsid w:val="3AC12EF4"/>
    <w:rsid w:val="3AC66F27"/>
    <w:rsid w:val="3B293274"/>
    <w:rsid w:val="3B3B4C0A"/>
    <w:rsid w:val="3B3E0726"/>
    <w:rsid w:val="3B567CBE"/>
    <w:rsid w:val="3B587760"/>
    <w:rsid w:val="3B5E5C7B"/>
    <w:rsid w:val="3C5753E0"/>
    <w:rsid w:val="3C594622"/>
    <w:rsid w:val="3CA07CC0"/>
    <w:rsid w:val="3CE603B8"/>
    <w:rsid w:val="3CF26515"/>
    <w:rsid w:val="3D2F6E0D"/>
    <w:rsid w:val="3D3332BC"/>
    <w:rsid w:val="3D9B6E58"/>
    <w:rsid w:val="3DC65D58"/>
    <w:rsid w:val="3E0E7E70"/>
    <w:rsid w:val="3E5C698C"/>
    <w:rsid w:val="3E6F7593"/>
    <w:rsid w:val="3ED4609F"/>
    <w:rsid w:val="3F6E58FE"/>
    <w:rsid w:val="3F943572"/>
    <w:rsid w:val="3FA951B8"/>
    <w:rsid w:val="3FB54D4F"/>
    <w:rsid w:val="3FCE4851"/>
    <w:rsid w:val="3FDA0A3F"/>
    <w:rsid w:val="3FF54CDF"/>
    <w:rsid w:val="40355E95"/>
    <w:rsid w:val="403A7F1D"/>
    <w:rsid w:val="40B92706"/>
    <w:rsid w:val="40C63B98"/>
    <w:rsid w:val="40E25C3F"/>
    <w:rsid w:val="411554BD"/>
    <w:rsid w:val="418879EC"/>
    <w:rsid w:val="41A268C7"/>
    <w:rsid w:val="41F87D88"/>
    <w:rsid w:val="42626E8F"/>
    <w:rsid w:val="42754B75"/>
    <w:rsid w:val="42D06860"/>
    <w:rsid w:val="42D83E59"/>
    <w:rsid w:val="42E320B3"/>
    <w:rsid w:val="431B4F88"/>
    <w:rsid w:val="43410774"/>
    <w:rsid w:val="434A001A"/>
    <w:rsid w:val="43B42D28"/>
    <w:rsid w:val="43F26A6D"/>
    <w:rsid w:val="43FF0EB6"/>
    <w:rsid w:val="442D2F91"/>
    <w:rsid w:val="448D0131"/>
    <w:rsid w:val="44CC1263"/>
    <w:rsid w:val="457F5EEA"/>
    <w:rsid w:val="45A83739"/>
    <w:rsid w:val="46063E27"/>
    <w:rsid w:val="46400CFA"/>
    <w:rsid w:val="46B533F3"/>
    <w:rsid w:val="46D55A57"/>
    <w:rsid w:val="46E17049"/>
    <w:rsid w:val="470D47DF"/>
    <w:rsid w:val="47CD5F26"/>
    <w:rsid w:val="480B0759"/>
    <w:rsid w:val="48111527"/>
    <w:rsid w:val="481E211E"/>
    <w:rsid w:val="48951A3B"/>
    <w:rsid w:val="48BD248F"/>
    <w:rsid w:val="48F9356D"/>
    <w:rsid w:val="48FB58C9"/>
    <w:rsid w:val="49150755"/>
    <w:rsid w:val="49182100"/>
    <w:rsid w:val="495C5565"/>
    <w:rsid w:val="4970799C"/>
    <w:rsid w:val="49751587"/>
    <w:rsid w:val="4A0E0041"/>
    <w:rsid w:val="4A3738C2"/>
    <w:rsid w:val="4A5D5B11"/>
    <w:rsid w:val="4A8115CF"/>
    <w:rsid w:val="4B627BC4"/>
    <w:rsid w:val="4C404B18"/>
    <w:rsid w:val="4C410E5A"/>
    <w:rsid w:val="4C8A4ED5"/>
    <w:rsid w:val="4D111875"/>
    <w:rsid w:val="4D4D6D26"/>
    <w:rsid w:val="4D91158D"/>
    <w:rsid w:val="4DB9132B"/>
    <w:rsid w:val="4DC87F51"/>
    <w:rsid w:val="4E546E6D"/>
    <w:rsid w:val="4E60521B"/>
    <w:rsid w:val="4EA33FA0"/>
    <w:rsid w:val="4EA671AE"/>
    <w:rsid w:val="4ECF2B88"/>
    <w:rsid w:val="4EE122CB"/>
    <w:rsid w:val="4EEF723A"/>
    <w:rsid w:val="4F2168B8"/>
    <w:rsid w:val="4F4520B4"/>
    <w:rsid w:val="4F823199"/>
    <w:rsid w:val="4FBD5B2B"/>
    <w:rsid w:val="4FEA351A"/>
    <w:rsid w:val="500E383F"/>
    <w:rsid w:val="50145F88"/>
    <w:rsid w:val="50763048"/>
    <w:rsid w:val="50895A1E"/>
    <w:rsid w:val="50B21C4F"/>
    <w:rsid w:val="51322E3B"/>
    <w:rsid w:val="514556D7"/>
    <w:rsid w:val="51737045"/>
    <w:rsid w:val="51B3730B"/>
    <w:rsid w:val="51D37980"/>
    <w:rsid w:val="522805B6"/>
    <w:rsid w:val="52500DF4"/>
    <w:rsid w:val="53307F87"/>
    <w:rsid w:val="538D1A45"/>
    <w:rsid w:val="53E23475"/>
    <w:rsid w:val="54787BA2"/>
    <w:rsid w:val="54EC557E"/>
    <w:rsid w:val="552A663B"/>
    <w:rsid w:val="555329E1"/>
    <w:rsid w:val="558A7CA2"/>
    <w:rsid w:val="55F63EE4"/>
    <w:rsid w:val="566B561C"/>
    <w:rsid w:val="56F9502A"/>
    <w:rsid w:val="56FA17CE"/>
    <w:rsid w:val="57AC2C60"/>
    <w:rsid w:val="57B045E8"/>
    <w:rsid w:val="57C32352"/>
    <w:rsid w:val="584B74BA"/>
    <w:rsid w:val="58E06109"/>
    <w:rsid w:val="59434C2C"/>
    <w:rsid w:val="596F508F"/>
    <w:rsid w:val="59711CDF"/>
    <w:rsid w:val="598F6EC7"/>
    <w:rsid w:val="599D06E5"/>
    <w:rsid w:val="59B637F7"/>
    <w:rsid w:val="59DB541F"/>
    <w:rsid w:val="59F4679A"/>
    <w:rsid w:val="5A095890"/>
    <w:rsid w:val="5A180156"/>
    <w:rsid w:val="5A3440E7"/>
    <w:rsid w:val="5AA94557"/>
    <w:rsid w:val="5ACF5EAF"/>
    <w:rsid w:val="5B1F4814"/>
    <w:rsid w:val="5B633480"/>
    <w:rsid w:val="5B69347B"/>
    <w:rsid w:val="5BD633B2"/>
    <w:rsid w:val="5BF86F96"/>
    <w:rsid w:val="5C0C6266"/>
    <w:rsid w:val="5C2648E6"/>
    <w:rsid w:val="5CD10718"/>
    <w:rsid w:val="5D363590"/>
    <w:rsid w:val="5DCD24F3"/>
    <w:rsid w:val="5DF15E7D"/>
    <w:rsid w:val="5ECA561A"/>
    <w:rsid w:val="5F3C1CA1"/>
    <w:rsid w:val="5F426EC9"/>
    <w:rsid w:val="5F57534A"/>
    <w:rsid w:val="5F5B0F82"/>
    <w:rsid w:val="5FBD4E54"/>
    <w:rsid w:val="5FE67631"/>
    <w:rsid w:val="6007030B"/>
    <w:rsid w:val="602056ED"/>
    <w:rsid w:val="60224DF2"/>
    <w:rsid w:val="603543CF"/>
    <w:rsid w:val="6119109D"/>
    <w:rsid w:val="614D4221"/>
    <w:rsid w:val="626C6EEB"/>
    <w:rsid w:val="62CA0B9D"/>
    <w:rsid w:val="63414B33"/>
    <w:rsid w:val="646C503A"/>
    <w:rsid w:val="6520373E"/>
    <w:rsid w:val="65997057"/>
    <w:rsid w:val="65C721D9"/>
    <w:rsid w:val="66107EEC"/>
    <w:rsid w:val="66855117"/>
    <w:rsid w:val="66A73ED7"/>
    <w:rsid w:val="66AD48CB"/>
    <w:rsid w:val="67055FE2"/>
    <w:rsid w:val="67EC5750"/>
    <w:rsid w:val="67F240B5"/>
    <w:rsid w:val="68636EA2"/>
    <w:rsid w:val="686E067C"/>
    <w:rsid w:val="68C77EC2"/>
    <w:rsid w:val="68D52752"/>
    <w:rsid w:val="692B66D8"/>
    <w:rsid w:val="697D70FD"/>
    <w:rsid w:val="6A0F02FE"/>
    <w:rsid w:val="6A517CAC"/>
    <w:rsid w:val="6A757695"/>
    <w:rsid w:val="6A7B0C14"/>
    <w:rsid w:val="6A92576F"/>
    <w:rsid w:val="6AED2E0B"/>
    <w:rsid w:val="6AF040D7"/>
    <w:rsid w:val="6B8D739D"/>
    <w:rsid w:val="6BB311A6"/>
    <w:rsid w:val="6BB67D2A"/>
    <w:rsid w:val="6BE24363"/>
    <w:rsid w:val="6C5863C0"/>
    <w:rsid w:val="6C7740C4"/>
    <w:rsid w:val="6C9961D5"/>
    <w:rsid w:val="6CE1745B"/>
    <w:rsid w:val="6CEB6ACD"/>
    <w:rsid w:val="6D05692D"/>
    <w:rsid w:val="6D620992"/>
    <w:rsid w:val="6D77480A"/>
    <w:rsid w:val="6D7831F9"/>
    <w:rsid w:val="6DDB4952"/>
    <w:rsid w:val="6EB502DA"/>
    <w:rsid w:val="6EBC1149"/>
    <w:rsid w:val="6ECB7C51"/>
    <w:rsid w:val="6F191BC1"/>
    <w:rsid w:val="6F232EA2"/>
    <w:rsid w:val="6F540B10"/>
    <w:rsid w:val="6F8B3E2F"/>
    <w:rsid w:val="6FE10615"/>
    <w:rsid w:val="7004507B"/>
    <w:rsid w:val="70872724"/>
    <w:rsid w:val="70CE0C10"/>
    <w:rsid w:val="70EC7C9A"/>
    <w:rsid w:val="70F2257C"/>
    <w:rsid w:val="71493507"/>
    <w:rsid w:val="724F1A53"/>
    <w:rsid w:val="72563E87"/>
    <w:rsid w:val="72C119E6"/>
    <w:rsid w:val="72C946D2"/>
    <w:rsid w:val="72D807F9"/>
    <w:rsid w:val="73323D8C"/>
    <w:rsid w:val="733F0CDF"/>
    <w:rsid w:val="735E23F7"/>
    <w:rsid w:val="73D31B83"/>
    <w:rsid w:val="74416F4D"/>
    <w:rsid w:val="744747C8"/>
    <w:rsid w:val="744836CD"/>
    <w:rsid w:val="744C601C"/>
    <w:rsid w:val="7542577F"/>
    <w:rsid w:val="759E7348"/>
    <w:rsid w:val="763C5541"/>
    <w:rsid w:val="766B7770"/>
    <w:rsid w:val="768F4120"/>
    <w:rsid w:val="76B03C06"/>
    <w:rsid w:val="76CB4E80"/>
    <w:rsid w:val="76FF3D2A"/>
    <w:rsid w:val="773164D3"/>
    <w:rsid w:val="77755A43"/>
    <w:rsid w:val="77F70231"/>
    <w:rsid w:val="78313914"/>
    <w:rsid w:val="7862358D"/>
    <w:rsid w:val="78CB5E73"/>
    <w:rsid w:val="79B41AD2"/>
    <w:rsid w:val="7A271CE3"/>
    <w:rsid w:val="7A2D1927"/>
    <w:rsid w:val="7A5041FA"/>
    <w:rsid w:val="7AB033A0"/>
    <w:rsid w:val="7B1458F3"/>
    <w:rsid w:val="7B2D0191"/>
    <w:rsid w:val="7B7A0C4D"/>
    <w:rsid w:val="7BBE32EB"/>
    <w:rsid w:val="7C343156"/>
    <w:rsid w:val="7C903266"/>
    <w:rsid w:val="7CF26A59"/>
    <w:rsid w:val="7CF864AB"/>
    <w:rsid w:val="7D0A51BF"/>
    <w:rsid w:val="7D522DA2"/>
    <w:rsid w:val="7D5E28E8"/>
    <w:rsid w:val="7D704356"/>
    <w:rsid w:val="7E0029DB"/>
    <w:rsid w:val="7E5D29B3"/>
    <w:rsid w:val="7EE361A3"/>
    <w:rsid w:val="7F133E99"/>
    <w:rsid w:val="7FD61583"/>
    <w:rsid w:val="7FE452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f">
      <v:fill on="t" focussize="0,0"/>
      <v:stroke on="f"/>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9" w:semiHidden="0" w:name="heading 8"/>
    <w:lsdException w:qFormat="1" w:unhideWhenUsed="0" w:uiPriority="99" w:semiHidden="0" w:name="heading 9"/>
    <w:lsdException w:qFormat="1" w:unhideWhenUsed="0" w:uiPriority="0" w:semiHidden="0" w:name="index 1"/>
    <w:lsdException w:qFormat="1" w:unhideWhenUsed="0" w:uiPriority="0" w:semiHidden="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0" w:semiHidden="0" w:name="Normal Indent"/>
    <w:lsdException w:uiPriority="99" w:name="footnote text"/>
    <w:lsdException w:qFormat="1" w:uiPriority="0" w:semiHidden="0" w:name="annotation text"/>
    <w:lsdException w:qFormat="1" w:uiPriority="0" w:semiHidden="0" w:name="header"/>
    <w:lsdException w:qFormat="1" w:uiPriority="0" w:semiHidden="0" w:name="footer"/>
    <w:lsdException w:qFormat="1" w:unhideWhenUsed="0" w:uiPriority="99" w:semiHidden="0"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qFormat="1" w:unhideWhenUsed="0" w:uiPriority="0" w:semiHidden="0"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qFormat="1" w:unhideWhenUsed="0" w:uiPriority="0" w:semiHidden="0" w:name="Note Heading"/>
    <w:lsdException w:qFormat="1" w:uiPriority="99" w:semiHidden="0" w:name="Body Text 2"/>
    <w:lsdException w:qFormat="1" w:unhideWhenUsed="0" w:uiPriority="0" w:semiHidden="0" w:name="Body Text 3"/>
    <w:lsdException w:qFormat="1" w:unhideWhenUsed="0" w:uiPriority="99" w:semiHidden="0" w:name="Body Text Indent 2"/>
    <w:lsdException w:qFormat="1" w:unhideWhenUsed="0" w:uiPriority="0" w:semiHidden="0" w:name="Body Text Indent 3"/>
    <w:lsdException w:qFormat="1" w:unhideWhenUsed="0" w:uiPriority="99"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99" w:semiHidden="0" w:name="Table Grid"/>
    <w:lsdException w:qFormat="1" w:unhideWhenUsed="0" w:uiPriority="0" w:semiHidden="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3">
    <w:name w:val="heading 1"/>
    <w:basedOn w:val="1"/>
    <w:next w:val="1"/>
    <w:link w:val="199"/>
    <w:qFormat/>
    <w:uiPriority w:val="9"/>
    <w:pPr>
      <w:keepNext/>
      <w:widowControl/>
      <w:numPr>
        <w:ilvl w:val="0"/>
        <w:numId w:val="1"/>
      </w:numPr>
      <w:spacing w:before="200" w:after="200" w:line="360" w:lineRule="auto"/>
      <w:jc w:val="left"/>
      <w:outlineLvl w:val="0"/>
    </w:pPr>
    <w:rPr>
      <w:rFonts w:ascii="黑体" w:hAnsi="黑体" w:eastAsia="黑体"/>
      <w:sz w:val="32"/>
      <w:szCs w:val="20"/>
    </w:rPr>
  </w:style>
  <w:style w:type="paragraph" w:styleId="2">
    <w:name w:val="heading 2"/>
    <w:basedOn w:val="1"/>
    <w:next w:val="1"/>
    <w:link w:val="239"/>
    <w:qFormat/>
    <w:uiPriority w:val="0"/>
    <w:pPr>
      <w:keepNext/>
      <w:keepLines/>
      <w:numPr>
        <w:ilvl w:val="1"/>
        <w:numId w:val="1"/>
      </w:numPr>
      <w:adjustRightInd w:val="0"/>
      <w:snapToGrid w:val="0"/>
      <w:spacing w:before="200" w:after="200" w:line="360" w:lineRule="auto"/>
      <w:jc w:val="left"/>
      <w:outlineLvl w:val="1"/>
    </w:pPr>
    <w:rPr>
      <w:rFonts w:ascii="黑体" w:hAnsi="黑体" w:eastAsia="黑体"/>
      <w:bCs/>
      <w:sz w:val="28"/>
      <w:szCs w:val="32"/>
    </w:rPr>
  </w:style>
  <w:style w:type="paragraph" w:styleId="4">
    <w:name w:val="heading 3"/>
    <w:basedOn w:val="1"/>
    <w:next w:val="1"/>
    <w:link w:val="153"/>
    <w:qFormat/>
    <w:uiPriority w:val="9"/>
    <w:pPr>
      <w:numPr>
        <w:ilvl w:val="2"/>
        <w:numId w:val="1"/>
      </w:numPr>
      <w:spacing w:before="160" w:after="160" w:line="360" w:lineRule="auto"/>
      <w:jc w:val="left"/>
      <w:outlineLvl w:val="2"/>
    </w:pPr>
    <w:rPr>
      <w:rFonts w:ascii="黑体" w:hAnsi="黑体" w:eastAsia="黑体"/>
      <w:sz w:val="24"/>
      <w:szCs w:val="21"/>
    </w:rPr>
  </w:style>
  <w:style w:type="paragraph" w:styleId="5">
    <w:name w:val="heading 4"/>
    <w:basedOn w:val="1"/>
    <w:next w:val="1"/>
    <w:link w:val="254"/>
    <w:qFormat/>
    <w:uiPriority w:val="0"/>
    <w:pPr>
      <w:keepNext/>
      <w:keepLines/>
      <w:adjustRightInd w:val="0"/>
      <w:snapToGrid w:val="0"/>
      <w:spacing w:line="500" w:lineRule="exact"/>
      <w:ind w:firstLine="200" w:firstLineChars="200"/>
      <w:outlineLvl w:val="3"/>
    </w:pPr>
    <w:rPr>
      <w:rFonts w:ascii="Arial" w:hAnsi="Arial"/>
      <w:bCs/>
      <w:kern w:val="0"/>
      <w:sz w:val="24"/>
      <w:szCs w:val="28"/>
      <w:lang w:val="zh-CN"/>
    </w:rPr>
  </w:style>
  <w:style w:type="paragraph" w:styleId="6">
    <w:name w:val="heading 5"/>
    <w:basedOn w:val="1"/>
    <w:next w:val="1"/>
    <w:link w:val="76"/>
    <w:qFormat/>
    <w:uiPriority w:val="9"/>
    <w:pPr>
      <w:keepNext/>
      <w:keepLines/>
      <w:spacing w:before="280" w:after="290" w:line="376" w:lineRule="atLeast"/>
      <w:ind w:firstLine="200" w:firstLineChars="200"/>
      <w:outlineLvl w:val="4"/>
    </w:pPr>
    <w:rPr>
      <w:rFonts w:ascii="Times New Roman" w:hAnsi="Times New Roman"/>
      <w:b/>
      <w:bCs/>
      <w:kern w:val="0"/>
      <w:sz w:val="28"/>
      <w:szCs w:val="28"/>
    </w:rPr>
  </w:style>
  <w:style w:type="paragraph" w:styleId="7">
    <w:name w:val="heading 6"/>
    <w:basedOn w:val="1"/>
    <w:next w:val="1"/>
    <w:link w:val="124"/>
    <w:qFormat/>
    <w:uiPriority w:val="9"/>
    <w:pPr>
      <w:keepNext/>
      <w:keepLines/>
      <w:spacing w:before="240" w:after="64" w:line="320" w:lineRule="atLeast"/>
      <w:ind w:firstLine="200" w:firstLineChars="200"/>
      <w:outlineLvl w:val="5"/>
    </w:pPr>
    <w:rPr>
      <w:rFonts w:ascii="Cambria" w:hAnsi="Cambria"/>
      <w:b/>
      <w:bCs/>
      <w:kern w:val="0"/>
      <w:sz w:val="24"/>
      <w:szCs w:val="24"/>
    </w:rPr>
  </w:style>
  <w:style w:type="paragraph" w:styleId="8">
    <w:name w:val="heading 7"/>
    <w:basedOn w:val="1"/>
    <w:next w:val="1"/>
    <w:link w:val="118"/>
    <w:qFormat/>
    <w:uiPriority w:val="9"/>
    <w:pPr>
      <w:keepNext/>
      <w:keepLines/>
      <w:spacing w:before="240" w:after="64" w:line="320" w:lineRule="atLeast"/>
      <w:ind w:firstLine="200" w:firstLineChars="200"/>
      <w:outlineLvl w:val="6"/>
    </w:pPr>
    <w:rPr>
      <w:rFonts w:ascii="Times New Roman" w:hAnsi="Times New Roman"/>
      <w:b/>
      <w:bCs/>
      <w:kern w:val="0"/>
      <w:sz w:val="24"/>
      <w:szCs w:val="24"/>
    </w:rPr>
  </w:style>
  <w:style w:type="paragraph" w:styleId="9">
    <w:name w:val="heading 8"/>
    <w:basedOn w:val="1"/>
    <w:next w:val="1"/>
    <w:link w:val="84"/>
    <w:qFormat/>
    <w:uiPriority w:val="99"/>
    <w:pPr>
      <w:keepNext/>
      <w:keepLines/>
      <w:tabs>
        <w:tab w:val="left" w:pos="1440"/>
      </w:tabs>
      <w:spacing w:before="240" w:after="64" w:line="320" w:lineRule="auto"/>
      <w:ind w:left="1440" w:hanging="1440"/>
      <w:outlineLvl w:val="7"/>
    </w:pPr>
    <w:rPr>
      <w:rFonts w:ascii="Arial" w:hAnsi="Arial" w:eastAsia="黑体"/>
      <w:kern w:val="0"/>
      <w:sz w:val="24"/>
      <w:szCs w:val="24"/>
    </w:rPr>
  </w:style>
  <w:style w:type="paragraph" w:styleId="10">
    <w:name w:val="heading 9"/>
    <w:basedOn w:val="1"/>
    <w:next w:val="1"/>
    <w:link w:val="132"/>
    <w:qFormat/>
    <w:uiPriority w:val="99"/>
    <w:pPr>
      <w:keepNext/>
      <w:keepLines/>
      <w:tabs>
        <w:tab w:val="left" w:pos="1584"/>
      </w:tabs>
      <w:spacing w:before="240" w:after="64" w:line="320" w:lineRule="auto"/>
      <w:ind w:left="1584" w:hanging="1584"/>
      <w:outlineLvl w:val="8"/>
    </w:pPr>
    <w:rPr>
      <w:rFonts w:ascii="Arial" w:hAnsi="Arial" w:eastAsia="黑体"/>
      <w:kern w:val="0"/>
      <w:sz w:val="20"/>
      <w:szCs w:val="21"/>
    </w:rPr>
  </w:style>
  <w:style w:type="character" w:default="1" w:styleId="54">
    <w:name w:val="Default Paragraph Font"/>
    <w:semiHidden/>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rFonts w:cs="Calibri"/>
      <w:sz w:val="18"/>
      <w:szCs w:val="18"/>
    </w:rPr>
  </w:style>
  <w:style w:type="paragraph" w:styleId="12">
    <w:name w:val="table of authorities"/>
    <w:basedOn w:val="1"/>
    <w:next w:val="1"/>
    <w:qFormat/>
    <w:uiPriority w:val="0"/>
    <w:pPr>
      <w:ind w:left="420" w:leftChars="200"/>
    </w:pPr>
    <w:rPr>
      <w:rFonts w:ascii="Times New Roman" w:hAnsi="Times New Roman"/>
      <w:szCs w:val="24"/>
    </w:rPr>
  </w:style>
  <w:style w:type="paragraph" w:styleId="13">
    <w:name w:val="Note Heading"/>
    <w:basedOn w:val="1"/>
    <w:next w:val="1"/>
    <w:link w:val="196"/>
    <w:qFormat/>
    <w:uiPriority w:val="0"/>
    <w:pPr>
      <w:jc w:val="center"/>
    </w:pPr>
    <w:rPr>
      <w:rFonts w:ascii="Times New Roman" w:hAnsi="Times New Roman"/>
      <w:szCs w:val="20"/>
    </w:rPr>
  </w:style>
  <w:style w:type="paragraph" w:styleId="14">
    <w:name w:val="Normal Indent"/>
    <w:basedOn w:val="1"/>
    <w:link w:val="269"/>
    <w:unhideWhenUsed/>
    <w:qFormat/>
    <w:uiPriority w:val="0"/>
    <w:pPr>
      <w:ind w:firstLine="420" w:firstLineChars="200"/>
    </w:pPr>
    <w:rPr>
      <w:rFonts w:ascii="Times New Roman" w:hAnsi="Times New Roman"/>
      <w:kern w:val="0"/>
      <w:sz w:val="20"/>
      <w:szCs w:val="21"/>
    </w:rPr>
  </w:style>
  <w:style w:type="paragraph" w:styleId="15">
    <w:name w:val="caption"/>
    <w:basedOn w:val="1"/>
    <w:next w:val="1"/>
    <w:link w:val="165"/>
    <w:qFormat/>
    <w:uiPriority w:val="0"/>
    <w:pPr>
      <w:spacing w:line="500" w:lineRule="atLeast"/>
      <w:jc w:val="center"/>
    </w:pPr>
    <w:rPr>
      <w:rFonts w:ascii="宋体" w:hAnsi="宋体" w:eastAsia="黑体"/>
      <w:szCs w:val="20"/>
    </w:rPr>
  </w:style>
  <w:style w:type="paragraph" w:styleId="16">
    <w:name w:val="Document Map"/>
    <w:basedOn w:val="1"/>
    <w:link w:val="230"/>
    <w:unhideWhenUsed/>
    <w:qFormat/>
    <w:uiPriority w:val="99"/>
    <w:rPr>
      <w:rFonts w:ascii="宋体" w:hAnsi="Times New Roman"/>
      <w:kern w:val="0"/>
      <w:sz w:val="18"/>
      <w:szCs w:val="18"/>
    </w:rPr>
  </w:style>
  <w:style w:type="paragraph" w:styleId="17">
    <w:name w:val="annotation text"/>
    <w:basedOn w:val="1"/>
    <w:link w:val="240"/>
    <w:unhideWhenUsed/>
    <w:qFormat/>
    <w:uiPriority w:val="0"/>
    <w:pPr>
      <w:jc w:val="left"/>
    </w:pPr>
  </w:style>
  <w:style w:type="paragraph" w:styleId="18">
    <w:name w:val="Body Text 3"/>
    <w:basedOn w:val="1"/>
    <w:link w:val="226"/>
    <w:qFormat/>
    <w:uiPriority w:val="0"/>
    <w:rPr>
      <w:rFonts w:ascii="Times New Roman" w:hAnsi="Times New Roman"/>
      <w:sz w:val="18"/>
      <w:szCs w:val="24"/>
    </w:rPr>
  </w:style>
  <w:style w:type="paragraph" w:styleId="19">
    <w:name w:val="Body Text"/>
    <w:basedOn w:val="1"/>
    <w:link w:val="178"/>
    <w:unhideWhenUsed/>
    <w:qFormat/>
    <w:uiPriority w:val="0"/>
    <w:pPr>
      <w:spacing w:after="120"/>
    </w:pPr>
  </w:style>
  <w:style w:type="paragraph" w:styleId="20">
    <w:name w:val="Body Text Indent"/>
    <w:basedOn w:val="1"/>
    <w:link w:val="90"/>
    <w:qFormat/>
    <w:uiPriority w:val="0"/>
    <w:pPr>
      <w:spacing w:after="120"/>
      <w:ind w:left="420" w:leftChars="200"/>
    </w:pPr>
    <w:rPr>
      <w:rFonts w:ascii="Times New Roman" w:hAnsi="Times New Roman"/>
      <w:kern w:val="0"/>
      <w:sz w:val="20"/>
      <w:szCs w:val="24"/>
    </w:rPr>
  </w:style>
  <w:style w:type="paragraph" w:styleId="21">
    <w:name w:val="Block Text"/>
    <w:basedOn w:val="1"/>
    <w:qFormat/>
    <w:uiPriority w:val="99"/>
    <w:pPr>
      <w:spacing w:line="480" w:lineRule="exact"/>
      <w:ind w:left="-125" w:right="-56" w:firstLine="570"/>
    </w:pPr>
    <w:rPr>
      <w:rFonts w:ascii="等线" w:hAnsi="等线"/>
      <w:sz w:val="28"/>
      <w:szCs w:val="24"/>
    </w:rPr>
  </w:style>
  <w:style w:type="paragraph" w:styleId="22">
    <w:name w:val="toc 5"/>
    <w:basedOn w:val="1"/>
    <w:next w:val="1"/>
    <w:qFormat/>
    <w:uiPriority w:val="39"/>
    <w:pPr>
      <w:ind w:left="840"/>
      <w:jc w:val="left"/>
    </w:pPr>
    <w:rPr>
      <w:rFonts w:cs="Calibri"/>
      <w:sz w:val="18"/>
      <w:szCs w:val="18"/>
    </w:rPr>
  </w:style>
  <w:style w:type="paragraph" w:styleId="23">
    <w:name w:val="toc 3"/>
    <w:basedOn w:val="1"/>
    <w:next w:val="1"/>
    <w:qFormat/>
    <w:uiPriority w:val="39"/>
    <w:pPr>
      <w:ind w:left="420"/>
      <w:jc w:val="left"/>
    </w:pPr>
    <w:rPr>
      <w:rFonts w:cs="Calibri"/>
      <w:i/>
      <w:iCs/>
      <w:sz w:val="20"/>
      <w:szCs w:val="20"/>
    </w:rPr>
  </w:style>
  <w:style w:type="paragraph" w:styleId="24">
    <w:name w:val="Plain Text"/>
    <w:basedOn w:val="1"/>
    <w:link w:val="93"/>
    <w:qFormat/>
    <w:uiPriority w:val="99"/>
    <w:rPr>
      <w:rFonts w:ascii="宋体" w:hAnsi="Courier New"/>
      <w:kern w:val="0"/>
      <w:sz w:val="24"/>
      <w:szCs w:val="20"/>
    </w:rPr>
  </w:style>
  <w:style w:type="paragraph" w:styleId="25">
    <w:name w:val="toc 8"/>
    <w:basedOn w:val="1"/>
    <w:next w:val="1"/>
    <w:qFormat/>
    <w:uiPriority w:val="39"/>
    <w:pPr>
      <w:ind w:left="1470"/>
      <w:jc w:val="left"/>
    </w:pPr>
    <w:rPr>
      <w:rFonts w:cs="Calibri"/>
      <w:sz w:val="18"/>
      <w:szCs w:val="18"/>
    </w:rPr>
  </w:style>
  <w:style w:type="paragraph" w:styleId="26">
    <w:name w:val="Date"/>
    <w:basedOn w:val="1"/>
    <w:next w:val="1"/>
    <w:link w:val="61"/>
    <w:qFormat/>
    <w:uiPriority w:val="0"/>
    <w:rPr>
      <w:rFonts w:ascii="宋体" w:hAnsi="Times New Roman"/>
      <w:kern w:val="0"/>
      <w:sz w:val="20"/>
      <w:szCs w:val="20"/>
    </w:rPr>
  </w:style>
  <w:style w:type="paragraph" w:styleId="27">
    <w:name w:val="Body Text Indent 2"/>
    <w:basedOn w:val="1"/>
    <w:link w:val="101"/>
    <w:qFormat/>
    <w:uiPriority w:val="99"/>
    <w:pPr>
      <w:spacing w:after="120" w:line="480" w:lineRule="auto"/>
      <w:ind w:left="420" w:leftChars="200"/>
    </w:pPr>
    <w:rPr>
      <w:rFonts w:ascii="Times New Roman" w:hAnsi="Times New Roman"/>
      <w:kern w:val="0"/>
      <w:sz w:val="20"/>
      <w:szCs w:val="21"/>
    </w:rPr>
  </w:style>
  <w:style w:type="paragraph" w:styleId="28">
    <w:name w:val="Balloon Text"/>
    <w:basedOn w:val="1"/>
    <w:link w:val="154"/>
    <w:unhideWhenUsed/>
    <w:qFormat/>
    <w:uiPriority w:val="0"/>
    <w:rPr>
      <w:kern w:val="0"/>
      <w:sz w:val="18"/>
      <w:szCs w:val="18"/>
    </w:rPr>
  </w:style>
  <w:style w:type="paragraph" w:styleId="29">
    <w:name w:val="footer"/>
    <w:basedOn w:val="1"/>
    <w:link w:val="216"/>
    <w:unhideWhenUsed/>
    <w:qFormat/>
    <w:uiPriority w:val="0"/>
    <w:pPr>
      <w:tabs>
        <w:tab w:val="center" w:pos="4153"/>
        <w:tab w:val="right" w:pos="8306"/>
      </w:tabs>
      <w:snapToGrid w:val="0"/>
      <w:jc w:val="left"/>
    </w:pPr>
    <w:rPr>
      <w:kern w:val="0"/>
      <w:sz w:val="18"/>
      <w:szCs w:val="18"/>
    </w:rPr>
  </w:style>
  <w:style w:type="paragraph" w:styleId="30">
    <w:name w:val="header"/>
    <w:basedOn w:val="1"/>
    <w:link w:val="235"/>
    <w:unhideWhenUsed/>
    <w:qFormat/>
    <w:uiPriority w:val="0"/>
    <w:pPr>
      <w:pBdr>
        <w:bottom w:val="single" w:color="auto" w:sz="6" w:space="1"/>
      </w:pBdr>
      <w:tabs>
        <w:tab w:val="center" w:pos="4153"/>
        <w:tab w:val="right" w:pos="8306"/>
      </w:tabs>
      <w:snapToGrid w:val="0"/>
      <w:jc w:val="center"/>
    </w:pPr>
    <w:rPr>
      <w:kern w:val="0"/>
      <w:sz w:val="18"/>
      <w:szCs w:val="18"/>
    </w:rPr>
  </w:style>
  <w:style w:type="paragraph" w:styleId="31">
    <w:name w:val="toc 1"/>
    <w:basedOn w:val="1"/>
    <w:next w:val="1"/>
    <w:qFormat/>
    <w:uiPriority w:val="39"/>
    <w:pPr>
      <w:spacing w:before="120" w:after="120" w:line="500" w:lineRule="exact"/>
    </w:pPr>
    <w:rPr>
      <w:rFonts w:ascii="宋体" w:hAnsi="宋体" w:cs="Calibri"/>
      <w:b/>
      <w:bCs/>
      <w:caps/>
      <w:sz w:val="24"/>
      <w:szCs w:val="20"/>
    </w:rPr>
  </w:style>
  <w:style w:type="paragraph" w:styleId="32">
    <w:name w:val="List Continue 4"/>
    <w:basedOn w:val="1"/>
    <w:qFormat/>
    <w:uiPriority w:val="0"/>
    <w:pPr>
      <w:spacing w:after="120"/>
      <w:ind w:left="1680"/>
    </w:pPr>
    <w:rPr>
      <w:rFonts w:ascii="Times New Roman" w:hAnsi="Times New Roman"/>
      <w:szCs w:val="20"/>
    </w:rPr>
  </w:style>
  <w:style w:type="paragraph" w:styleId="33">
    <w:name w:val="toc 4"/>
    <w:basedOn w:val="1"/>
    <w:next w:val="1"/>
    <w:qFormat/>
    <w:uiPriority w:val="39"/>
    <w:pPr>
      <w:ind w:left="630"/>
      <w:jc w:val="left"/>
    </w:pPr>
    <w:rPr>
      <w:rFonts w:cs="Calibri"/>
      <w:sz w:val="18"/>
      <w:szCs w:val="18"/>
    </w:rPr>
  </w:style>
  <w:style w:type="paragraph" w:styleId="34">
    <w:name w:val="index heading"/>
    <w:basedOn w:val="1"/>
    <w:next w:val="35"/>
    <w:qFormat/>
    <w:uiPriority w:val="99"/>
    <w:rPr>
      <w:rFonts w:hint="eastAsia" w:ascii="Cambria" w:hAnsi="Cambria"/>
      <w:b/>
      <w:szCs w:val="24"/>
    </w:rPr>
  </w:style>
  <w:style w:type="paragraph" w:styleId="35">
    <w:name w:val="index 1"/>
    <w:basedOn w:val="1"/>
    <w:next w:val="1"/>
    <w:qFormat/>
    <w:uiPriority w:val="0"/>
    <w:pPr>
      <w:spacing w:line="380" w:lineRule="exact"/>
      <w:jc w:val="center"/>
    </w:pPr>
    <w:rPr>
      <w:rFonts w:ascii="Times New Roman" w:hAnsi="Times New Roman"/>
      <w:szCs w:val="24"/>
    </w:rPr>
  </w:style>
  <w:style w:type="paragraph" w:styleId="36">
    <w:name w:val="Subtitle"/>
    <w:basedOn w:val="1"/>
    <w:next w:val="1"/>
    <w:link w:val="464"/>
    <w:qFormat/>
    <w:uiPriority w:val="11"/>
    <w:pPr>
      <w:jc w:val="center"/>
    </w:pPr>
    <w:rPr>
      <w:rFonts w:ascii="Times New Roman" w:hAnsi="Times New Roman"/>
      <w:bCs/>
      <w:kern w:val="28"/>
      <w:szCs w:val="32"/>
    </w:rPr>
  </w:style>
  <w:style w:type="paragraph" w:styleId="37">
    <w:name w:val="List"/>
    <w:basedOn w:val="1"/>
    <w:unhideWhenUsed/>
    <w:qFormat/>
    <w:uiPriority w:val="99"/>
    <w:pPr>
      <w:ind w:left="200" w:hanging="200" w:hangingChars="200"/>
      <w:contextualSpacing/>
    </w:pPr>
  </w:style>
  <w:style w:type="paragraph" w:styleId="38">
    <w:name w:val="toc 6"/>
    <w:basedOn w:val="1"/>
    <w:next w:val="1"/>
    <w:qFormat/>
    <w:uiPriority w:val="39"/>
    <w:pPr>
      <w:ind w:left="1050"/>
      <w:jc w:val="left"/>
    </w:pPr>
    <w:rPr>
      <w:rFonts w:cs="Calibri"/>
      <w:sz w:val="18"/>
      <w:szCs w:val="18"/>
    </w:rPr>
  </w:style>
  <w:style w:type="paragraph" w:styleId="39">
    <w:name w:val="Body Text Indent 3"/>
    <w:basedOn w:val="1"/>
    <w:link w:val="256"/>
    <w:qFormat/>
    <w:uiPriority w:val="0"/>
    <w:pPr>
      <w:adjustRightInd w:val="0"/>
      <w:snapToGrid w:val="0"/>
      <w:spacing w:line="300" w:lineRule="auto"/>
      <w:ind w:firstLine="538" w:firstLineChars="192"/>
    </w:pPr>
    <w:rPr>
      <w:rFonts w:ascii="宋体" w:hAnsi="Times New Roman"/>
      <w:color w:val="FF0000"/>
      <w:sz w:val="28"/>
      <w:szCs w:val="24"/>
    </w:rPr>
  </w:style>
  <w:style w:type="paragraph" w:styleId="40">
    <w:name w:val="table of figures"/>
    <w:basedOn w:val="1"/>
    <w:next w:val="1"/>
    <w:qFormat/>
    <w:uiPriority w:val="0"/>
    <w:pPr>
      <w:spacing w:line="500" w:lineRule="exact"/>
    </w:pPr>
    <w:rPr>
      <w:rFonts w:ascii="宋体" w:hAnsi="宋体"/>
      <w:spacing w:val="-8"/>
      <w:kern w:val="0"/>
      <w:sz w:val="24"/>
      <w:szCs w:val="21"/>
    </w:rPr>
  </w:style>
  <w:style w:type="paragraph" w:styleId="41">
    <w:name w:val="toc 2"/>
    <w:basedOn w:val="1"/>
    <w:next w:val="1"/>
    <w:qFormat/>
    <w:uiPriority w:val="39"/>
    <w:pPr>
      <w:spacing w:line="500" w:lineRule="exact"/>
      <w:ind w:left="210"/>
    </w:pPr>
    <w:rPr>
      <w:rFonts w:ascii="宋体" w:hAnsi="宋体" w:cs="Calibri"/>
      <w:smallCaps/>
      <w:sz w:val="24"/>
      <w:szCs w:val="20"/>
    </w:rPr>
  </w:style>
  <w:style w:type="paragraph" w:styleId="42">
    <w:name w:val="toc 9"/>
    <w:basedOn w:val="1"/>
    <w:next w:val="1"/>
    <w:qFormat/>
    <w:uiPriority w:val="39"/>
    <w:pPr>
      <w:ind w:left="1680"/>
      <w:jc w:val="left"/>
    </w:pPr>
    <w:rPr>
      <w:rFonts w:cs="Calibri"/>
      <w:sz w:val="18"/>
      <w:szCs w:val="18"/>
    </w:rPr>
  </w:style>
  <w:style w:type="paragraph" w:styleId="43">
    <w:name w:val="Body Text 2"/>
    <w:basedOn w:val="1"/>
    <w:link w:val="188"/>
    <w:unhideWhenUsed/>
    <w:qFormat/>
    <w:uiPriority w:val="99"/>
    <w:pPr>
      <w:spacing w:after="120" w:line="480" w:lineRule="auto"/>
    </w:pPr>
    <w:rPr>
      <w:rFonts w:ascii="Times New Roman" w:hAnsi="Times New Roman"/>
      <w:kern w:val="0"/>
      <w:sz w:val="20"/>
      <w:szCs w:val="21"/>
    </w:rPr>
  </w:style>
  <w:style w:type="paragraph" w:styleId="44">
    <w:name w:val="HTML Preformatted"/>
    <w:basedOn w:val="1"/>
    <w:link w:val="112"/>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Pr>
      <w:rFonts w:ascii="黑体" w:hAnsi="Courier New"/>
      <w:b/>
      <w:bCs/>
      <w:kern w:val="0"/>
      <w:sz w:val="44"/>
      <w:szCs w:val="20"/>
    </w:rPr>
  </w:style>
  <w:style w:type="paragraph" w:styleId="45">
    <w:name w:val="Normal (Web)"/>
    <w:basedOn w:val="1"/>
    <w:link w:val="469"/>
    <w:unhideWhenUsed/>
    <w:qFormat/>
    <w:uiPriority w:val="99"/>
    <w:pPr>
      <w:widowControl/>
      <w:jc w:val="left"/>
    </w:pPr>
    <w:rPr>
      <w:rFonts w:ascii="Times New Roman" w:hAnsi="Times New Roman" w:cs="宋体"/>
      <w:kern w:val="0"/>
      <w:sz w:val="24"/>
      <w:szCs w:val="24"/>
    </w:rPr>
  </w:style>
  <w:style w:type="paragraph" w:styleId="46">
    <w:name w:val="index 2"/>
    <w:basedOn w:val="1"/>
    <w:next w:val="1"/>
    <w:qFormat/>
    <w:uiPriority w:val="0"/>
    <w:pPr>
      <w:ind w:left="200" w:leftChars="200"/>
    </w:pPr>
    <w:rPr>
      <w:rFonts w:ascii="Times New Roman" w:hAnsi="Times New Roman"/>
      <w:szCs w:val="24"/>
    </w:rPr>
  </w:style>
  <w:style w:type="paragraph" w:styleId="47">
    <w:name w:val="Title"/>
    <w:basedOn w:val="1"/>
    <w:link w:val="103"/>
    <w:qFormat/>
    <w:uiPriority w:val="99"/>
    <w:pPr>
      <w:spacing w:before="240" w:after="60"/>
      <w:jc w:val="center"/>
      <w:outlineLvl w:val="0"/>
    </w:pPr>
    <w:rPr>
      <w:rFonts w:ascii="Arial" w:hAnsi="Arial"/>
      <w:b/>
      <w:bCs/>
      <w:kern w:val="0"/>
      <w:sz w:val="32"/>
      <w:szCs w:val="32"/>
    </w:rPr>
  </w:style>
  <w:style w:type="paragraph" w:styleId="48">
    <w:name w:val="annotation subject"/>
    <w:basedOn w:val="17"/>
    <w:next w:val="17"/>
    <w:link w:val="249"/>
    <w:qFormat/>
    <w:uiPriority w:val="99"/>
    <w:rPr>
      <w:rFonts w:ascii="Times New Roman" w:hAnsi="Times New Roman"/>
      <w:b/>
      <w:bCs/>
      <w:kern w:val="0"/>
      <w:sz w:val="20"/>
      <w:szCs w:val="21"/>
    </w:rPr>
  </w:style>
  <w:style w:type="paragraph" w:styleId="49">
    <w:name w:val="Body Text First Indent"/>
    <w:basedOn w:val="19"/>
    <w:link w:val="234"/>
    <w:qFormat/>
    <w:uiPriority w:val="0"/>
    <w:pPr>
      <w:widowControl/>
      <w:ind w:firstLine="420" w:firstLineChars="100"/>
      <w:jc w:val="left"/>
    </w:pPr>
    <w:rPr>
      <w:rFonts w:ascii="宋体" w:hAnsi="宋体"/>
      <w:kern w:val="0"/>
      <w:sz w:val="24"/>
      <w:szCs w:val="24"/>
    </w:rPr>
  </w:style>
  <w:style w:type="paragraph" w:styleId="50">
    <w:name w:val="Body Text First Indent 2"/>
    <w:basedOn w:val="20"/>
    <w:link w:val="228"/>
    <w:qFormat/>
    <w:uiPriority w:val="99"/>
    <w:pPr>
      <w:ind w:firstLine="420" w:firstLineChars="200"/>
    </w:pPr>
  </w:style>
  <w:style w:type="table" w:styleId="52">
    <w:name w:val="Table Grid"/>
    <w:basedOn w:val="51"/>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3">
    <w:name w:val="Table Theme"/>
    <w:basedOn w:val="5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5">
    <w:name w:val="Strong"/>
    <w:qFormat/>
    <w:uiPriority w:val="22"/>
    <w:rPr>
      <w:b/>
      <w:bCs/>
    </w:rPr>
  </w:style>
  <w:style w:type="character" w:styleId="56">
    <w:name w:val="page number"/>
    <w:qFormat/>
    <w:uiPriority w:val="0"/>
  </w:style>
  <w:style w:type="character" w:styleId="57">
    <w:name w:val="FollowedHyperlink"/>
    <w:unhideWhenUsed/>
    <w:qFormat/>
    <w:uiPriority w:val="99"/>
    <w:rPr>
      <w:color w:val="800080"/>
      <w:u w:val="single"/>
    </w:rPr>
  </w:style>
  <w:style w:type="character" w:styleId="58">
    <w:name w:val="Emphasis"/>
    <w:qFormat/>
    <w:uiPriority w:val="20"/>
    <w:rPr>
      <w:i/>
      <w:iCs/>
    </w:rPr>
  </w:style>
  <w:style w:type="character" w:styleId="59">
    <w:name w:val="Hyperlink"/>
    <w:qFormat/>
    <w:uiPriority w:val="99"/>
    <w:rPr>
      <w:color w:val="0000FF"/>
      <w:u w:val="single"/>
    </w:rPr>
  </w:style>
  <w:style w:type="character" w:styleId="60">
    <w:name w:val="annotation reference"/>
    <w:qFormat/>
    <w:uiPriority w:val="0"/>
    <w:rPr>
      <w:sz w:val="21"/>
      <w:szCs w:val="21"/>
    </w:rPr>
  </w:style>
  <w:style w:type="character" w:customStyle="1" w:styleId="61">
    <w:name w:val="日期 字符"/>
    <w:link w:val="26"/>
    <w:qFormat/>
    <w:uiPriority w:val="99"/>
    <w:rPr>
      <w:rFonts w:ascii="宋体" w:hAnsi="Times New Roman" w:eastAsia="宋体" w:cs="Times New Roman"/>
      <w:szCs w:val="20"/>
    </w:rPr>
  </w:style>
  <w:style w:type="character" w:customStyle="1" w:styleId="62">
    <w:name w:val="标题 7 Char2"/>
    <w:qFormat/>
    <w:uiPriority w:val="9"/>
    <w:rPr>
      <w:rFonts w:ascii="Times New Roman" w:hAnsi="Times New Roman" w:eastAsia="宋体" w:cs="Times New Roman"/>
      <w:b/>
      <w:bCs/>
      <w:kern w:val="0"/>
      <w:sz w:val="24"/>
      <w:szCs w:val="24"/>
    </w:rPr>
  </w:style>
  <w:style w:type="character" w:customStyle="1" w:styleId="63">
    <w:name w:val="样式 正文首行缩进 + 华文中宋 小四 Char"/>
    <w:link w:val="64"/>
    <w:qFormat/>
    <w:uiPriority w:val="0"/>
    <w:rPr>
      <w:rFonts w:ascii="华文中宋" w:hAnsi="华文中宋" w:eastAsia="华文中宋"/>
      <w:kern w:val="2"/>
      <w:sz w:val="24"/>
      <w:szCs w:val="24"/>
    </w:rPr>
  </w:style>
  <w:style w:type="paragraph" w:customStyle="1" w:styleId="64">
    <w:name w:val="样式 正文首行缩进 + 华文中宋 小四"/>
    <w:basedOn w:val="49"/>
    <w:link w:val="63"/>
    <w:qFormat/>
    <w:uiPriority w:val="0"/>
    <w:pPr>
      <w:widowControl w:val="0"/>
      <w:spacing w:after="0" w:line="300" w:lineRule="auto"/>
      <w:ind w:firstLine="200" w:firstLineChars="200"/>
      <w:jc w:val="distribute"/>
    </w:pPr>
    <w:rPr>
      <w:rFonts w:ascii="华文中宋" w:hAnsi="华文中宋" w:eastAsia="华文中宋"/>
      <w:kern w:val="2"/>
    </w:rPr>
  </w:style>
  <w:style w:type="character" w:customStyle="1" w:styleId="65">
    <w:name w:val="页脚 Char"/>
    <w:qFormat/>
    <w:uiPriority w:val="99"/>
    <w:rPr>
      <w:kern w:val="2"/>
      <w:sz w:val="18"/>
      <w:szCs w:val="18"/>
    </w:rPr>
  </w:style>
  <w:style w:type="character" w:customStyle="1" w:styleId="66">
    <w:name w:val="标题 1 Char Char Char"/>
    <w:qFormat/>
    <w:uiPriority w:val="0"/>
    <w:rPr>
      <w:rFonts w:ascii="宋体" w:hAnsi="宋体"/>
      <w:bCs/>
      <w:sz w:val="28"/>
    </w:rPr>
  </w:style>
  <w:style w:type="character" w:customStyle="1" w:styleId="67">
    <w:name w:val="正文首行缩进 Char1"/>
    <w:qFormat/>
    <w:uiPriority w:val="99"/>
    <w:rPr>
      <w:rFonts w:ascii="宋体" w:hAnsi="宋体" w:eastAsia="宋体" w:cs="Times New Roman"/>
      <w:kern w:val="0"/>
      <w:sz w:val="24"/>
      <w:szCs w:val="24"/>
    </w:rPr>
  </w:style>
  <w:style w:type="character" w:customStyle="1" w:styleId="68">
    <w:name w:val="日期 Char"/>
    <w:qFormat/>
    <w:uiPriority w:val="99"/>
    <w:rPr>
      <w:rFonts w:ascii="宋体" w:hAnsi="Times New Roman" w:eastAsia="宋体" w:cs="Times New Roman"/>
      <w:szCs w:val="20"/>
    </w:rPr>
  </w:style>
  <w:style w:type="character" w:customStyle="1" w:styleId="69">
    <w:name w:val="引用 Char"/>
    <w:qFormat/>
    <w:uiPriority w:val="29"/>
    <w:rPr>
      <w:rFonts w:eastAsia="宋体" w:cs="Times New Roman"/>
      <w:i/>
      <w:iCs/>
      <w:color w:val="404040"/>
      <w:kern w:val="2"/>
      <w:sz w:val="24"/>
      <w:szCs w:val="22"/>
    </w:rPr>
  </w:style>
  <w:style w:type="character" w:customStyle="1" w:styleId="70">
    <w:name w:val="批注框文本 Char"/>
    <w:qFormat/>
    <w:uiPriority w:val="99"/>
    <w:rPr>
      <w:kern w:val="2"/>
      <w:sz w:val="18"/>
      <w:szCs w:val="18"/>
    </w:rPr>
  </w:style>
  <w:style w:type="character" w:customStyle="1" w:styleId="71">
    <w:name w:val="公示正文 字符"/>
    <w:link w:val="72"/>
    <w:qFormat/>
    <w:uiPriority w:val="0"/>
    <w:rPr>
      <w:rFonts w:ascii="宋体" w:hAnsi="宋体" w:eastAsia="宋体" w:cs="黑体"/>
      <w:kern w:val="0"/>
      <w:sz w:val="24"/>
      <w:szCs w:val="30"/>
    </w:rPr>
  </w:style>
  <w:style w:type="paragraph" w:customStyle="1" w:styleId="72">
    <w:name w:val="公示正文"/>
    <w:basedOn w:val="1"/>
    <w:link w:val="71"/>
    <w:qFormat/>
    <w:uiPriority w:val="0"/>
    <w:pPr>
      <w:adjustRightInd w:val="0"/>
      <w:snapToGrid w:val="0"/>
      <w:spacing w:line="400" w:lineRule="exact"/>
      <w:ind w:firstLine="200" w:firstLineChars="200"/>
    </w:pPr>
    <w:rPr>
      <w:rFonts w:ascii="宋体" w:hAnsi="宋体"/>
      <w:kern w:val="0"/>
      <w:sz w:val="24"/>
      <w:szCs w:val="30"/>
    </w:rPr>
  </w:style>
  <w:style w:type="character" w:customStyle="1" w:styleId="73">
    <w:name w:val="表头 Char"/>
    <w:link w:val="74"/>
    <w:qFormat/>
    <w:uiPriority w:val="0"/>
    <w:rPr>
      <w:rFonts w:ascii="Arial" w:hAnsi="Arial" w:eastAsia="黑体" w:cs="Arial"/>
      <w:szCs w:val="21"/>
    </w:rPr>
  </w:style>
  <w:style w:type="paragraph" w:customStyle="1" w:styleId="74">
    <w:name w:val="表头"/>
    <w:basedOn w:val="1"/>
    <w:next w:val="1"/>
    <w:link w:val="73"/>
    <w:qFormat/>
    <w:uiPriority w:val="0"/>
    <w:pPr>
      <w:widowControl/>
      <w:spacing w:beforeLines="25" w:after="100" w:afterAutospacing="1"/>
      <w:jc w:val="center"/>
    </w:pPr>
    <w:rPr>
      <w:rFonts w:ascii="Arial" w:hAnsi="Arial" w:eastAsia="黑体"/>
      <w:kern w:val="0"/>
      <w:sz w:val="20"/>
      <w:szCs w:val="21"/>
    </w:rPr>
  </w:style>
  <w:style w:type="character" w:customStyle="1" w:styleId="75">
    <w:name w:val="批注主题 Char"/>
    <w:qFormat/>
    <w:uiPriority w:val="0"/>
    <w:rPr>
      <w:rFonts w:ascii="Times New Roman" w:hAnsi="Times New Roman" w:eastAsia="宋体" w:cs="Times New Roman"/>
      <w:szCs w:val="21"/>
    </w:rPr>
  </w:style>
  <w:style w:type="character" w:customStyle="1" w:styleId="76">
    <w:name w:val="标题 5 字符1"/>
    <w:link w:val="6"/>
    <w:qFormat/>
    <w:uiPriority w:val="9"/>
    <w:rPr>
      <w:rFonts w:ascii="Times New Roman" w:hAnsi="Times New Roman" w:eastAsia="宋体" w:cs="Times New Roman"/>
      <w:b/>
      <w:bCs/>
      <w:kern w:val="0"/>
      <w:sz w:val="28"/>
      <w:szCs w:val="28"/>
    </w:rPr>
  </w:style>
  <w:style w:type="character" w:customStyle="1" w:styleId="77">
    <w:name w:val="缩进 Char"/>
    <w:link w:val="78"/>
    <w:qFormat/>
    <w:uiPriority w:val="0"/>
    <w:rPr>
      <w:sz w:val="24"/>
      <w:szCs w:val="24"/>
    </w:rPr>
  </w:style>
  <w:style w:type="paragraph" w:customStyle="1" w:styleId="78">
    <w:name w:val="缩进"/>
    <w:basedOn w:val="1"/>
    <w:link w:val="77"/>
    <w:qFormat/>
    <w:uiPriority w:val="0"/>
    <w:pPr>
      <w:spacing w:line="360" w:lineRule="auto"/>
      <w:ind w:firstLine="200" w:firstLineChars="200"/>
    </w:pPr>
    <w:rPr>
      <w:kern w:val="0"/>
      <w:sz w:val="24"/>
      <w:szCs w:val="24"/>
    </w:rPr>
  </w:style>
  <w:style w:type="character" w:customStyle="1" w:styleId="79">
    <w:name w:val="二级标题-书 Char"/>
    <w:link w:val="80"/>
    <w:qFormat/>
    <w:uiPriority w:val="0"/>
    <w:rPr>
      <w:rFonts w:ascii="Times New Roman" w:hAnsi="Times New Roman" w:eastAsia="宋体" w:cs="Times New Roman"/>
      <w:b/>
      <w:kern w:val="0"/>
      <w:sz w:val="30"/>
      <w:szCs w:val="20"/>
    </w:rPr>
  </w:style>
  <w:style w:type="paragraph" w:customStyle="1" w:styleId="80">
    <w:name w:val="二级标题-书"/>
    <w:basedOn w:val="1"/>
    <w:link w:val="79"/>
    <w:qFormat/>
    <w:uiPriority w:val="0"/>
    <w:pPr>
      <w:keepNext/>
      <w:widowControl/>
      <w:spacing w:before="260" w:after="260" w:line="415" w:lineRule="auto"/>
      <w:jc w:val="left"/>
      <w:outlineLvl w:val="1"/>
    </w:pPr>
    <w:rPr>
      <w:rFonts w:ascii="Times New Roman" w:hAnsi="Times New Roman"/>
      <w:b/>
      <w:kern w:val="0"/>
      <w:sz w:val="30"/>
      <w:szCs w:val="20"/>
    </w:rPr>
  </w:style>
  <w:style w:type="character" w:customStyle="1" w:styleId="81">
    <w:name w:val="标题 6 Char"/>
    <w:qFormat/>
    <w:uiPriority w:val="9"/>
    <w:rPr>
      <w:rFonts w:ascii="Cambria" w:hAnsi="Cambria" w:eastAsia="宋体" w:cs="Times New Roman"/>
      <w:b/>
      <w:bCs/>
      <w:kern w:val="2"/>
      <w:sz w:val="24"/>
      <w:szCs w:val="24"/>
    </w:rPr>
  </w:style>
  <w:style w:type="character" w:customStyle="1" w:styleId="82">
    <w:name w:val="00正文 Char Char"/>
    <w:link w:val="83"/>
    <w:qFormat/>
    <w:uiPriority w:val="0"/>
    <w:rPr>
      <w:rFonts w:ascii="Arial" w:hAnsi="宋体" w:eastAsia="Arial" w:cs="Arial"/>
      <w:bCs/>
      <w:kern w:val="2"/>
      <w:sz w:val="24"/>
      <w:szCs w:val="24"/>
      <w:lang w:val="en-US" w:eastAsia="zh-CN" w:bidi="ar-SA"/>
    </w:rPr>
  </w:style>
  <w:style w:type="paragraph" w:customStyle="1" w:styleId="83">
    <w:name w:val="00正文"/>
    <w:link w:val="82"/>
    <w:qFormat/>
    <w:uiPriority w:val="0"/>
    <w:pPr>
      <w:spacing w:line="360" w:lineRule="auto"/>
      <w:ind w:firstLine="480" w:firstLineChars="200"/>
      <w:jc w:val="both"/>
    </w:pPr>
    <w:rPr>
      <w:rFonts w:ascii="Arial" w:hAnsi="宋体" w:eastAsia="Arial" w:cs="Arial"/>
      <w:bCs/>
      <w:kern w:val="2"/>
      <w:sz w:val="24"/>
      <w:szCs w:val="24"/>
      <w:lang w:val="en-US" w:eastAsia="zh-CN" w:bidi="ar-SA"/>
    </w:rPr>
  </w:style>
  <w:style w:type="character" w:customStyle="1" w:styleId="84">
    <w:name w:val="标题 8 字符"/>
    <w:link w:val="9"/>
    <w:qFormat/>
    <w:uiPriority w:val="99"/>
    <w:rPr>
      <w:rFonts w:ascii="Arial" w:hAnsi="Arial" w:eastAsia="黑体" w:cs="Times New Roman"/>
      <w:sz w:val="24"/>
      <w:szCs w:val="24"/>
    </w:rPr>
  </w:style>
  <w:style w:type="character" w:customStyle="1" w:styleId="85">
    <w:name w:val="标题 4 Char32"/>
    <w:qFormat/>
    <w:uiPriority w:val="0"/>
    <w:rPr>
      <w:rFonts w:hint="default" w:ascii="Arial" w:hAnsi="Arial" w:eastAsia="黑体" w:cs="Arial"/>
      <w:b/>
      <w:kern w:val="2"/>
      <w:sz w:val="28"/>
      <w:szCs w:val="28"/>
    </w:rPr>
  </w:style>
  <w:style w:type="character" w:customStyle="1" w:styleId="86">
    <w:name w:val="标题 3 Char1"/>
    <w:qFormat/>
    <w:uiPriority w:val="9"/>
    <w:rPr>
      <w:rFonts w:ascii="黑体" w:hAnsi="黑体" w:eastAsia="黑体"/>
      <w:kern w:val="2"/>
      <w:sz w:val="24"/>
      <w:szCs w:val="21"/>
    </w:rPr>
  </w:style>
  <w:style w:type="character" w:customStyle="1" w:styleId="87">
    <w:name w:val="标题 7 字符"/>
    <w:semiHidden/>
    <w:qFormat/>
    <w:uiPriority w:val="9"/>
    <w:rPr>
      <w:b/>
      <w:bCs/>
      <w:sz w:val="24"/>
      <w:szCs w:val="24"/>
    </w:rPr>
  </w:style>
  <w:style w:type="character" w:customStyle="1" w:styleId="88">
    <w:name w:val="正文 楷体 Char"/>
    <w:link w:val="89"/>
    <w:qFormat/>
    <w:uiPriority w:val="0"/>
    <w:rPr>
      <w:rFonts w:ascii="楷体_GB2312" w:hAnsi="楷体_GB2312" w:eastAsia="楷体_GB2312"/>
      <w:sz w:val="24"/>
      <w:szCs w:val="24"/>
    </w:rPr>
  </w:style>
  <w:style w:type="paragraph" w:customStyle="1" w:styleId="89">
    <w:name w:val="正文 楷体"/>
    <w:basedOn w:val="1"/>
    <w:link w:val="88"/>
    <w:qFormat/>
    <w:uiPriority w:val="0"/>
    <w:pPr>
      <w:spacing w:line="500" w:lineRule="exact"/>
      <w:ind w:firstLine="200" w:firstLineChars="200"/>
    </w:pPr>
    <w:rPr>
      <w:rFonts w:ascii="楷体_GB2312" w:hAnsi="楷体_GB2312" w:eastAsia="楷体_GB2312"/>
      <w:kern w:val="0"/>
      <w:sz w:val="24"/>
      <w:szCs w:val="24"/>
    </w:rPr>
  </w:style>
  <w:style w:type="character" w:customStyle="1" w:styleId="90">
    <w:name w:val="正文文本缩进 字符1"/>
    <w:link w:val="20"/>
    <w:qFormat/>
    <w:uiPriority w:val="99"/>
    <w:rPr>
      <w:rFonts w:ascii="Times New Roman" w:hAnsi="Times New Roman" w:eastAsia="宋体" w:cs="Times New Roman"/>
      <w:kern w:val="0"/>
      <w:sz w:val="20"/>
      <w:szCs w:val="24"/>
    </w:rPr>
  </w:style>
  <w:style w:type="character" w:customStyle="1" w:styleId="91">
    <w:name w:val="标题 2 字符1"/>
    <w:qFormat/>
    <w:uiPriority w:val="9"/>
    <w:rPr>
      <w:rFonts w:ascii="宋体" w:hAnsi="宋体" w:eastAsia="黑体" w:cs="Times New Roman"/>
      <w:b/>
      <w:color w:val="000000"/>
      <w:kern w:val="10"/>
      <w:sz w:val="28"/>
      <w:szCs w:val="24"/>
      <w:lang w:val="zh-CN" w:eastAsia="zh-CN"/>
    </w:rPr>
  </w:style>
  <w:style w:type="character" w:customStyle="1" w:styleId="92">
    <w:name w:val="页脚 Char2"/>
    <w:qFormat/>
    <w:uiPriority w:val="99"/>
    <w:rPr>
      <w:sz w:val="18"/>
      <w:szCs w:val="18"/>
    </w:rPr>
  </w:style>
  <w:style w:type="character" w:customStyle="1" w:styleId="93">
    <w:name w:val="纯文本 字符1"/>
    <w:link w:val="24"/>
    <w:qFormat/>
    <w:uiPriority w:val="99"/>
    <w:rPr>
      <w:rFonts w:ascii="宋体" w:hAnsi="Courier New" w:eastAsia="宋体" w:cs="Times New Roman"/>
      <w:kern w:val="0"/>
      <w:sz w:val="24"/>
      <w:szCs w:val="20"/>
    </w:rPr>
  </w:style>
  <w:style w:type="character" w:customStyle="1" w:styleId="94">
    <w:name w:val="标题 3 Char"/>
    <w:qFormat/>
    <w:uiPriority w:val="9"/>
    <w:rPr>
      <w:rFonts w:eastAsia="黑体"/>
      <w:b/>
      <w:bCs/>
      <w:kern w:val="2"/>
      <w:sz w:val="24"/>
      <w:szCs w:val="32"/>
    </w:rPr>
  </w:style>
  <w:style w:type="character" w:customStyle="1" w:styleId="95">
    <w:name w:val="标题 4 Char5"/>
    <w:qFormat/>
    <w:uiPriority w:val="0"/>
    <w:rPr>
      <w:rFonts w:ascii="Arial" w:hAnsi="Arial" w:eastAsia="黑体" w:cs="Times New Roman"/>
      <w:b/>
      <w:bCs/>
      <w:kern w:val="0"/>
      <w:sz w:val="28"/>
      <w:szCs w:val="28"/>
      <w:lang w:val="zh-CN"/>
    </w:rPr>
  </w:style>
  <w:style w:type="character" w:customStyle="1" w:styleId="96">
    <w:name w:val="自标3 Char Char"/>
    <w:link w:val="97"/>
    <w:qFormat/>
    <w:uiPriority w:val="0"/>
    <w:rPr>
      <w:rFonts w:eastAsia="黑体"/>
      <w:b/>
      <w:bCs/>
      <w:sz w:val="24"/>
      <w:szCs w:val="21"/>
    </w:rPr>
  </w:style>
  <w:style w:type="paragraph" w:customStyle="1" w:styleId="97">
    <w:name w:val="自标3"/>
    <w:basedOn w:val="4"/>
    <w:link w:val="96"/>
    <w:qFormat/>
    <w:uiPriority w:val="0"/>
    <w:pPr>
      <w:keepNext/>
      <w:keepLines/>
      <w:numPr>
        <w:ilvl w:val="0"/>
        <w:numId w:val="0"/>
      </w:numPr>
      <w:spacing w:before="0" w:after="0"/>
      <w:jc w:val="both"/>
    </w:pPr>
    <w:rPr>
      <w:rFonts w:ascii="等线" w:hAnsi="等线"/>
      <w:b/>
      <w:bCs/>
      <w:kern w:val="0"/>
    </w:rPr>
  </w:style>
  <w:style w:type="character" w:customStyle="1" w:styleId="98">
    <w:name w:val="正文首行缩进 2 Char1"/>
    <w:qFormat/>
    <w:uiPriority w:val="0"/>
    <w:rPr>
      <w:szCs w:val="24"/>
    </w:rPr>
  </w:style>
  <w:style w:type="character" w:customStyle="1" w:styleId="99">
    <w:name w:val="标题 9 Char"/>
    <w:qFormat/>
    <w:uiPriority w:val="99"/>
    <w:rPr>
      <w:rFonts w:ascii="Arial" w:hAnsi="Arial" w:eastAsia="黑体" w:cs="Times New Roman"/>
      <w:szCs w:val="21"/>
    </w:rPr>
  </w:style>
  <w:style w:type="character" w:customStyle="1" w:styleId="100">
    <w:name w:val="纯文本 Char"/>
    <w:qFormat/>
    <w:uiPriority w:val="0"/>
    <w:rPr>
      <w:rFonts w:hint="eastAsia" w:ascii="宋体" w:hAnsi="Courier New" w:eastAsia="宋体" w:cs="宋体"/>
      <w:sz w:val="24"/>
    </w:rPr>
  </w:style>
  <w:style w:type="character" w:customStyle="1" w:styleId="101">
    <w:name w:val="正文文本缩进 2 字符1"/>
    <w:link w:val="27"/>
    <w:qFormat/>
    <w:uiPriority w:val="99"/>
    <w:rPr>
      <w:rFonts w:ascii="Times New Roman" w:hAnsi="Times New Roman" w:eastAsia="宋体" w:cs="Times New Roman"/>
      <w:kern w:val="0"/>
      <w:sz w:val="20"/>
      <w:szCs w:val="21"/>
    </w:rPr>
  </w:style>
  <w:style w:type="character" w:customStyle="1" w:styleId="102">
    <w:name w:val="font01"/>
    <w:qFormat/>
    <w:uiPriority w:val="0"/>
    <w:rPr>
      <w:rFonts w:hint="eastAsia" w:ascii="宋体" w:hAnsi="宋体" w:eastAsia="宋体" w:cs="宋体"/>
      <w:color w:val="000000"/>
      <w:sz w:val="21"/>
      <w:szCs w:val="21"/>
      <w:u w:val="none"/>
    </w:rPr>
  </w:style>
  <w:style w:type="character" w:customStyle="1" w:styleId="103">
    <w:name w:val="标题 字符"/>
    <w:link w:val="47"/>
    <w:qFormat/>
    <w:uiPriority w:val="99"/>
    <w:rPr>
      <w:rFonts w:ascii="Arial" w:hAnsi="Arial" w:eastAsia="宋体" w:cs="Times New Roman"/>
      <w:b/>
      <w:bCs/>
      <w:sz w:val="32"/>
      <w:szCs w:val="32"/>
    </w:rPr>
  </w:style>
  <w:style w:type="character" w:customStyle="1" w:styleId="104">
    <w:name w:val="正文的 Char"/>
    <w:link w:val="105"/>
    <w:qFormat/>
    <w:uiPriority w:val="0"/>
    <w:rPr>
      <w:rFonts w:ascii="宋体" w:hAnsi="宋体"/>
      <w:snapToGrid/>
      <w:sz w:val="24"/>
      <w:szCs w:val="24"/>
    </w:rPr>
  </w:style>
  <w:style w:type="paragraph" w:customStyle="1" w:styleId="105">
    <w:name w:val="正文的"/>
    <w:basedOn w:val="1"/>
    <w:link w:val="104"/>
    <w:qFormat/>
    <w:uiPriority w:val="0"/>
    <w:pPr>
      <w:adjustRightInd w:val="0"/>
      <w:snapToGrid w:val="0"/>
      <w:spacing w:line="360" w:lineRule="auto"/>
      <w:ind w:firstLine="480" w:firstLineChars="200"/>
    </w:pPr>
    <w:rPr>
      <w:rFonts w:ascii="宋体" w:hAnsi="宋体"/>
      <w:kern w:val="0"/>
      <w:sz w:val="24"/>
      <w:szCs w:val="24"/>
    </w:rPr>
  </w:style>
  <w:style w:type="character" w:customStyle="1" w:styleId="106">
    <w:name w:val="页脚 Char1"/>
    <w:qFormat/>
    <w:uiPriority w:val="99"/>
    <w:rPr>
      <w:sz w:val="18"/>
      <w:szCs w:val="18"/>
    </w:rPr>
  </w:style>
  <w:style w:type="character" w:customStyle="1" w:styleId="107">
    <w:name w:val="批注主题 Char1"/>
    <w:qFormat/>
    <w:uiPriority w:val="0"/>
    <w:rPr>
      <w:rFonts w:ascii="Calibri" w:hAnsi="Calibri"/>
      <w:b/>
      <w:bCs/>
      <w:szCs w:val="21"/>
    </w:rPr>
  </w:style>
  <w:style w:type="character" w:customStyle="1" w:styleId="108">
    <w:name w:val="YJ题注 Char"/>
    <w:link w:val="109"/>
    <w:qFormat/>
    <w:uiPriority w:val="0"/>
    <w:rPr>
      <w:rFonts w:ascii="黑体" w:hAnsi="黑体" w:eastAsia="黑体"/>
      <w:b/>
      <w:kern w:val="2"/>
      <w:sz w:val="21"/>
      <w:szCs w:val="22"/>
    </w:rPr>
  </w:style>
  <w:style w:type="paragraph" w:customStyle="1" w:styleId="109">
    <w:name w:val="YJ题注"/>
    <w:basedOn w:val="15"/>
    <w:link w:val="108"/>
    <w:qFormat/>
    <w:uiPriority w:val="0"/>
    <w:pPr>
      <w:spacing w:line="520" w:lineRule="exact"/>
    </w:pPr>
    <w:rPr>
      <w:rFonts w:ascii="黑体" w:hAnsi="黑体"/>
      <w:szCs w:val="22"/>
    </w:rPr>
  </w:style>
  <w:style w:type="character" w:customStyle="1" w:styleId="110">
    <w:name w:val="批注框文本 Char2"/>
    <w:qFormat/>
    <w:uiPriority w:val="99"/>
    <w:rPr>
      <w:rFonts w:ascii="Times New Roman" w:hAnsi="Times New Roman" w:eastAsia="宋体" w:cs="Times New Roman"/>
      <w:kern w:val="0"/>
      <w:sz w:val="18"/>
      <w:szCs w:val="18"/>
    </w:rPr>
  </w:style>
  <w:style w:type="character" w:customStyle="1" w:styleId="111">
    <w:name w:val="正文文本缩进 3 字符"/>
    <w:semiHidden/>
    <w:qFormat/>
    <w:uiPriority w:val="99"/>
    <w:rPr>
      <w:kern w:val="2"/>
      <w:sz w:val="16"/>
      <w:szCs w:val="16"/>
    </w:rPr>
  </w:style>
  <w:style w:type="character" w:customStyle="1" w:styleId="112">
    <w:name w:val="HTML 预设格式 字符1"/>
    <w:link w:val="44"/>
    <w:qFormat/>
    <w:uiPriority w:val="0"/>
    <w:rPr>
      <w:rFonts w:ascii="黑体" w:hAnsi="Courier New" w:eastAsia="宋体" w:cs="Courier New"/>
      <w:b/>
      <w:bCs/>
      <w:sz w:val="44"/>
    </w:rPr>
  </w:style>
  <w:style w:type="character" w:customStyle="1" w:styleId="113">
    <w:name w:val="明显引用 字符1"/>
    <w:link w:val="114"/>
    <w:qFormat/>
    <w:uiPriority w:val="30"/>
    <w:rPr>
      <w:rFonts w:ascii="Times New Roman" w:hAnsi="Times New Roman" w:eastAsia="宋体" w:cs="Times New Roman"/>
      <w:i/>
      <w:iCs/>
      <w:color w:val="4F81BD"/>
      <w:sz w:val="24"/>
    </w:rPr>
  </w:style>
  <w:style w:type="paragraph" w:customStyle="1" w:styleId="114">
    <w:name w:val="明显引用2"/>
    <w:basedOn w:val="1"/>
    <w:next w:val="1"/>
    <w:link w:val="113"/>
    <w:qFormat/>
    <w:uiPriority w:val="30"/>
    <w:pPr>
      <w:pBdr>
        <w:top w:val="single" w:color="4F81BD" w:sz="4" w:space="10"/>
        <w:bottom w:val="single" w:color="4F81BD" w:sz="4" w:space="10"/>
      </w:pBdr>
      <w:spacing w:before="360" w:after="360" w:line="500" w:lineRule="exact"/>
      <w:ind w:left="864" w:right="864" w:firstLine="200" w:firstLineChars="200"/>
      <w:jc w:val="center"/>
    </w:pPr>
    <w:rPr>
      <w:rFonts w:ascii="Times New Roman" w:hAnsi="Times New Roman"/>
      <w:i/>
      <w:iCs/>
      <w:color w:val="4F81BD"/>
      <w:kern w:val="0"/>
      <w:sz w:val="24"/>
      <w:szCs w:val="20"/>
    </w:rPr>
  </w:style>
  <w:style w:type="character" w:customStyle="1" w:styleId="115">
    <w:name w:val="MTDisplayEquation 字符"/>
    <w:link w:val="116"/>
    <w:qFormat/>
    <w:uiPriority w:val="0"/>
    <w:rPr>
      <w:rFonts w:ascii="Arial" w:hAnsi="Arial" w:eastAsia="宋体" w:cs="Times New Roman"/>
      <w:snapToGrid/>
      <w:spacing w:val="1"/>
      <w:position w:val="-3"/>
      <w:sz w:val="24"/>
      <w:szCs w:val="24"/>
      <w:lang w:val="zh-CN"/>
    </w:rPr>
  </w:style>
  <w:style w:type="paragraph" w:customStyle="1" w:styleId="116">
    <w:name w:val="MTDisplayEquation"/>
    <w:basedOn w:val="117"/>
    <w:next w:val="1"/>
    <w:link w:val="115"/>
    <w:qFormat/>
    <w:uiPriority w:val="0"/>
    <w:pPr>
      <w:tabs>
        <w:tab w:val="center" w:pos="4360"/>
        <w:tab w:val="right" w:pos="8720"/>
      </w:tabs>
      <w:ind w:firstLine="484"/>
      <w:jc w:val="center"/>
    </w:pPr>
    <w:rPr>
      <w:rFonts w:ascii="Arial" w:hAnsi="Arial"/>
      <w:spacing w:val="1"/>
      <w:kern w:val="0"/>
      <w:position w:val="-3"/>
      <w:lang w:val="zh-CN"/>
    </w:rPr>
  </w:style>
  <w:style w:type="paragraph" w:customStyle="1" w:styleId="117">
    <w:name w:val="YJ正文*"/>
    <w:basedOn w:val="1"/>
    <w:link w:val="233"/>
    <w:qFormat/>
    <w:uiPriority w:val="0"/>
    <w:pPr>
      <w:spacing w:line="500" w:lineRule="exact"/>
      <w:ind w:firstLine="200" w:firstLineChars="200"/>
    </w:pPr>
    <w:rPr>
      <w:rFonts w:ascii="宋体" w:hAnsi="宋体"/>
      <w:sz w:val="24"/>
      <w:szCs w:val="24"/>
    </w:rPr>
  </w:style>
  <w:style w:type="character" w:customStyle="1" w:styleId="118">
    <w:name w:val="标题 7 字符1"/>
    <w:link w:val="8"/>
    <w:qFormat/>
    <w:uiPriority w:val="9"/>
    <w:rPr>
      <w:rFonts w:ascii="Times New Roman" w:hAnsi="Times New Roman" w:eastAsia="宋体" w:cs="Times New Roman"/>
      <w:b/>
      <w:bCs/>
      <w:kern w:val="0"/>
      <w:sz w:val="24"/>
      <w:szCs w:val="24"/>
    </w:rPr>
  </w:style>
  <w:style w:type="character" w:customStyle="1" w:styleId="119">
    <w:name w:val="正文文本 Char2"/>
    <w:qFormat/>
    <w:uiPriority w:val="99"/>
  </w:style>
  <w:style w:type="character" w:customStyle="1" w:styleId="120">
    <w:name w:val="正文文本缩进 2 Char"/>
    <w:qFormat/>
    <w:uiPriority w:val="0"/>
    <w:rPr>
      <w:rFonts w:ascii="Times New Roman" w:hAnsi="Times New Roman"/>
      <w:kern w:val="2"/>
      <w:sz w:val="21"/>
      <w:szCs w:val="21"/>
    </w:rPr>
  </w:style>
  <w:style w:type="character" w:customStyle="1" w:styleId="121">
    <w:name w:val="环评正文 Char"/>
    <w:link w:val="122"/>
    <w:qFormat/>
    <w:uiPriority w:val="0"/>
    <w:rPr>
      <w:bCs/>
      <w:kern w:val="2"/>
      <w:sz w:val="24"/>
      <w:szCs w:val="24"/>
      <w:lang w:val="en-US" w:eastAsia="zh-CN" w:bidi="ar-SA"/>
    </w:rPr>
  </w:style>
  <w:style w:type="paragraph" w:customStyle="1" w:styleId="122">
    <w:name w:val="环评正文"/>
    <w:link w:val="121"/>
    <w:qFormat/>
    <w:uiPriority w:val="0"/>
    <w:pPr>
      <w:spacing w:line="400" w:lineRule="exact"/>
      <w:ind w:firstLine="200" w:firstLineChars="200"/>
    </w:pPr>
    <w:rPr>
      <w:rFonts w:ascii="Calibri" w:hAnsi="Calibri" w:eastAsia="宋体" w:cs="Times New Roman"/>
      <w:bCs/>
      <w:kern w:val="2"/>
      <w:sz w:val="24"/>
      <w:szCs w:val="24"/>
      <w:lang w:val="en-US" w:eastAsia="zh-CN" w:bidi="ar-SA"/>
    </w:rPr>
  </w:style>
  <w:style w:type="character" w:customStyle="1" w:styleId="123">
    <w:name w:val="标题 7 Char1"/>
    <w:qFormat/>
    <w:uiPriority w:val="9"/>
    <w:rPr>
      <w:rFonts w:cs="Times New Roman"/>
      <w:bCs/>
      <w:color w:val="auto"/>
      <w:sz w:val="20"/>
      <w:szCs w:val="20"/>
      <w:lang w:val="zh-CN" w:eastAsia="zh-CN"/>
    </w:rPr>
  </w:style>
  <w:style w:type="character" w:customStyle="1" w:styleId="124">
    <w:name w:val="标题 6 字符1"/>
    <w:link w:val="7"/>
    <w:qFormat/>
    <w:uiPriority w:val="9"/>
    <w:rPr>
      <w:rFonts w:ascii="Cambria" w:hAnsi="Cambria" w:eastAsia="宋体" w:cs="Times New Roman"/>
      <w:b/>
      <w:bCs/>
      <w:kern w:val="0"/>
      <w:sz w:val="24"/>
      <w:szCs w:val="24"/>
    </w:rPr>
  </w:style>
  <w:style w:type="character" w:customStyle="1" w:styleId="125">
    <w:name w:val="标题 4 Char1"/>
    <w:qFormat/>
    <w:uiPriority w:val="0"/>
    <w:rPr>
      <w:rFonts w:ascii="Arial" w:hAnsi="Arial" w:eastAsia="黑体"/>
      <w:b/>
      <w:bCs/>
      <w:kern w:val="2"/>
      <w:sz w:val="28"/>
      <w:szCs w:val="28"/>
    </w:rPr>
  </w:style>
  <w:style w:type="character" w:customStyle="1" w:styleId="126">
    <w:name w:val="占位符文本1"/>
    <w:unhideWhenUsed/>
    <w:qFormat/>
    <w:uiPriority w:val="99"/>
    <w:rPr>
      <w:color w:val="808080"/>
    </w:rPr>
  </w:style>
  <w:style w:type="character" w:customStyle="1" w:styleId="127">
    <w:name w:val="表格正文 Char Char"/>
    <w:link w:val="128"/>
    <w:qFormat/>
    <w:uiPriority w:val="0"/>
    <w:rPr>
      <w:rFonts w:ascii="宋体" w:hAnsi="宋体"/>
      <w:sz w:val="24"/>
      <w:szCs w:val="28"/>
    </w:rPr>
  </w:style>
  <w:style w:type="paragraph" w:customStyle="1" w:styleId="128">
    <w:name w:val="表格正文"/>
    <w:basedOn w:val="1"/>
    <w:link w:val="127"/>
    <w:qFormat/>
    <w:uiPriority w:val="0"/>
    <w:rPr>
      <w:rFonts w:ascii="宋体" w:hAnsi="宋体"/>
      <w:kern w:val="0"/>
      <w:sz w:val="24"/>
      <w:szCs w:val="28"/>
    </w:rPr>
  </w:style>
  <w:style w:type="character" w:customStyle="1" w:styleId="129">
    <w:name w:val="正文格式 Char Char"/>
    <w:link w:val="130"/>
    <w:qFormat/>
    <w:uiPriority w:val="0"/>
    <w:rPr>
      <w:sz w:val="26"/>
    </w:rPr>
  </w:style>
  <w:style w:type="paragraph" w:customStyle="1" w:styleId="130">
    <w:name w:val="正文格式"/>
    <w:basedOn w:val="1"/>
    <w:link w:val="129"/>
    <w:qFormat/>
    <w:uiPriority w:val="0"/>
    <w:pPr>
      <w:spacing w:line="520" w:lineRule="exact"/>
      <w:ind w:firstLine="520" w:firstLineChars="200"/>
    </w:pPr>
    <w:rPr>
      <w:kern w:val="0"/>
      <w:sz w:val="26"/>
      <w:szCs w:val="20"/>
    </w:rPr>
  </w:style>
  <w:style w:type="character" w:customStyle="1" w:styleId="131">
    <w:name w:val="Unresolved Mention"/>
    <w:unhideWhenUsed/>
    <w:qFormat/>
    <w:uiPriority w:val="99"/>
    <w:rPr>
      <w:color w:val="605E5C"/>
      <w:shd w:val="clear" w:color="auto" w:fill="E1DFDD"/>
    </w:rPr>
  </w:style>
  <w:style w:type="character" w:customStyle="1" w:styleId="132">
    <w:name w:val="标题 9 字符"/>
    <w:link w:val="10"/>
    <w:qFormat/>
    <w:uiPriority w:val="99"/>
    <w:rPr>
      <w:rFonts w:ascii="Arial" w:hAnsi="Arial" w:eastAsia="黑体" w:cs="Times New Roman"/>
      <w:szCs w:val="21"/>
    </w:rPr>
  </w:style>
  <w:style w:type="character" w:customStyle="1" w:styleId="133">
    <w:name w:val="标题 Char"/>
    <w:qFormat/>
    <w:uiPriority w:val="99"/>
    <w:rPr>
      <w:rFonts w:ascii="Arial" w:hAnsi="Arial" w:eastAsia="宋体" w:cs="Times New Roman"/>
      <w:b/>
      <w:bCs/>
      <w:sz w:val="32"/>
      <w:szCs w:val="32"/>
    </w:rPr>
  </w:style>
  <w:style w:type="character" w:customStyle="1" w:styleId="134">
    <w:name w:val="_Style 5"/>
    <w:qFormat/>
    <w:uiPriority w:val="0"/>
  </w:style>
  <w:style w:type="character" w:customStyle="1" w:styleId="135">
    <w:name w:val="页眉 字符1"/>
    <w:semiHidden/>
    <w:qFormat/>
    <w:uiPriority w:val="99"/>
    <w:rPr>
      <w:bCs/>
      <w:kern w:val="2"/>
      <w:sz w:val="18"/>
      <w:szCs w:val="18"/>
    </w:rPr>
  </w:style>
  <w:style w:type="character" w:customStyle="1" w:styleId="136">
    <w:name w:val="正文首行缩进 2 Char4"/>
    <w:qFormat/>
    <w:uiPriority w:val="0"/>
    <w:rPr>
      <w:rFonts w:eastAsia="宋体"/>
      <w:kern w:val="2"/>
      <w:sz w:val="24"/>
      <w:szCs w:val="24"/>
      <w:lang w:val="en-US" w:eastAsia="zh-CN" w:bidi="ar-SA"/>
    </w:rPr>
  </w:style>
  <w:style w:type="character" w:customStyle="1" w:styleId="137">
    <w:name w:val="标题 6 Char1"/>
    <w:qFormat/>
    <w:uiPriority w:val="9"/>
    <w:rPr>
      <w:rFonts w:ascii="Cambria" w:hAnsi="Cambria" w:cs="Times New Roman"/>
      <w:bCs/>
      <w:color w:val="auto"/>
      <w:sz w:val="20"/>
      <w:szCs w:val="20"/>
      <w:lang w:val="zh-CN" w:eastAsia="zh-CN"/>
    </w:rPr>
  </w:style>
  <w:style w:type="character" w:customStyle="1" w:styleId="138">
    <w:name w:val="0 Char"/>
    <w:link w:val="139"/>
    <w:semiHidden/>
    <w:qFormat/>
    <w:uiPriority w:val="0"/>
    <w:rPr>
      <w:rFonts w:ascii="Calibri" w:hAnsi="Calibri" w:eastAsia="宋体" w:cs="Times New Roman"/>
      <w:kern w:val="0"/>
      <w:sz w:val="24"/>
      <w:szCs w:val="20"/>
      <w:lang w:val="zh-CN"/>
    </w:rPr>
  </w:style>
  <w:style w:type="paragraph" w:customStyle="1" w:styleId="139">
    <w:name w:val="0"/>
    <w:basedOn w:val="1"/>
    <w:link w:val="138"/>
    <w:semiHidden/>
    <w:qFormat/>
    <w:uiPriority w:val="0"/>
    <w:pPr>
      <w:widowControl/>
      <w:snapToGrid w:val="0"/>
      <w:jc w:val="left"/>
    </w:pPr>
    <w:rPr>
      <w:kern w:val="0"/>
      <w:sz w:val="24"/>
      <w:szCs w:val="20"/>
      <w:lang w:val="zh-CN"/>
    </w:rPr>
  </w:style>
  <w:style w:type="character" w:customStyle="1" w:styleId="140">
    <w:name w:val="正文文本 2 Char"/>
    <w:qFormat/>
    <w:uiPriority w:val="99"/>
    <w:rPr>
      <w:rFonts w:ascii="Times New Roman" w:hAnsi="Times New Roman" w:eastAsia="宋体" w:cs="Times New Roman"/>
      <w:szCs w:val="21"/>
    </w:rPr>
  </w:style>
  <w:style w:type="character" w:customStyle="1" w:styleId="141">
    <w:name w:val="标题 5 Char2"/>
    <w:qFormat/>
    <w:uiPriority w:val="9"/>
    <w:rPr>
      <w:rFonts w:ascii="Times New Roman" w:hAnsi="Times New Roman" w:eastAsia="宋体" w:cs="Times New Roman"/>
      <w:b/>
      <w:bCs/>
      <w:kern w:val="0"/>
      <w:sz w:val="28"/>
      <w:szCs w:val="28"/>
    </w:rPr>
  </w:style>
  <w:style w:type="character" w:customStyle="1" w:styleId="142">
    <w:name w:val="正文01 Char"/>
    <w:link w:val="143"/>
    <w:qFormat/>
    <w:locked/>
    <w:uiPriority w:val="0"/>
    <w:rPr>
      <w:rFonts w:ascii="Times New Roman" w:hAnsi="Times New Roman" w:eastAsia="宋体"/>
      <w:bCs/>
      <w:sz w:val="24"/>
      <w:szCs w:val="24"/>
    </w:rPr>
  </w:style>
  <w:style w:type="paragraph" w:customStyle="1" w:styleId="143">
    <w:name w:val="正文01"/>
    <w:basedOn w:val="1"/>
    <w:link w:val="142"/>
    <w:qFormat/>
    <w:uiPriority w:val="0"/>
    <w:pPr>
      <w:spacing w:before="60" w:line="460" w:lineRule="exact"/>
      <w:ind w:firstLine="200" w:firstLineChars="200"/>
    </w:pPr>
    <w:rPr>
      <w:rFonts w:ascii="Times New Roman" w:hAnsi="Times New Roman"/>
      <w:bCs/>
      <w:kern w:val="0"/>
      <w:sz w:val="24"/>
      <w:szCs w:val="24"/>
    </w:rPr>
  </w:style>
  <w:style w:type="character" w:customStyle="1" w:styleId="144">
    <w:name w:val="样式3 字符"/>
    <w:link w:val="145"/>
    <w:qFormat/>
    <w:uiPriority w:val="0"/>
    <w:rPr>
      <w:rFonts w:ascii="宋体" w:hAnsi="宋体" w:cs="Arial"/>
      <w:b/>
      <w:bCs/>
      <w:sz w:val="24"/>
      <w:szCs w:val="24"/>
    </w:rPr>
  </w:style>
  <w:style w:type="paragraph" w:customStyle="1" w:styleId="145">
    <w:name w:val="样式3"/>
    <w:basedOn w:val="1"/>
    <w:link w:val="144"/>
    <w:qFormat/>
    <w:uiPriority w:val="0"/>
    <w:pPr>
      <w:spacing w:line="500" w:lineRule="exact"/>
      <w:ind w:firstLine="200" w:firstLineChars="200"/>
    </w:pPr>
    <w:rPr>
      <w:rFonts w:ascii="宋体" w:hAnsi="宋体" w:cs="Arial"/>
      <w:b/>
      <w:bCs/>
      <w:kern w:val="0"/>
      <w:sz w:val="24"/>
      <w:szCs w:val="24"/>
    </w:rPr>
  </w:style>
  <w:style w:type="character" w:customStyle="1" w:styleId="146">
    <w:name w:val="10"/>
    <w:qFormat/>
    <w:uiPriority w:val="0"/>
    <w:rPr>
      <w:rFonts w:hint="default" w:ascii="Calibri" w:hAnsi="Calibri" w:cs="Calibri"/>
    </w:rPr>
  </w:style>
  <w:style w:type="character" w:customStyle="1" w:styleId="147">
    <w:name w:val="文档结构图 Char1"/>
    <w:qFormat/>
    <w:uiPriority w:val="0"/>
    <w:rPr>
      <w:rFonts w:ascii="宋体" w:eastAsia="宋体"/>
      <w:sz w:val="18"/>
      <w:szCs w:val="18"/>
    </w:rPr>
  </w:style>
  <w:style w:type="character" w:customStyle="1" w:styleId="148">
    <w:name w:val="标题 4 Char4"/>
    <w:qFormat/>
    <w:uiPriority w:val="0"/>
    <w:rPr>
      <w:rFonts w:ascii="仿宋_GB2312" w:hAnsi="Arial" w:eastAsia="仿宋_GB2312" w:cs="Times New Roman"/>
      <w:bCs/>
      <w:kern w:val="0"/>
      <w:sz w:val="28"/>
      <w:szCs w:val="28"/>
    </w:rPr>
  </w:style>
  <w:style w:type="character" w:customStyle="1" w:styleId="149">
    <w:name w:val="正文(首行缩进) Char"/>
    <w:link w:val="150"/>
    <w:qFormat/>
    <w:locked/>
    <w:uiPriority w:val="0"/>
    <w:rPr>
      <w:rFonts w:ascii="Times New Roman" w:hAnsi="Times New Roman" w:eastAsia="宋体"/>
      <w:snapToGrid/>
      <w:color w:val="000000"/>
      <w:sz w:val="24"/>
      <w:szCs w:val="21"/>
    </w:rPr>
  </w:style>
  <w:style w:type="paragraph" w:customStyle="1" w:styleId="150">
    <w:name w:val="正文(首行缩进)"/>
    <w:basedOn w:val="1"/>
    <w:next w:val="1"/>
    <w:link w:val="149"/>
    <w:qFormat/>
    <w:uiPriority w:val="0"/>
    <w:pPr>
      <w:spacing w:line="360" w:lineRule="auto"/>
      <w:ind w:firstLine="540" w:firstLineChars="225"/>
    </w:pPr>
    <w:rPr>
      <w:rFonts w:ascii="Times New Roman" w:hAnsi="Times New Roman"/>
      <w:color w:val="000000"/>
      <w:kern w:val="0"/>
      <w:sz w:val="24"/>
      <w:szCs w:val="21"/>
    </w:rPr>
  </w:style>
  <w:style w:type="character" w:customStyle="1" w:styleId="151">
    <w:name w:val="A-z正文 Char"/>
    <w:link w:val="152"/>
    <w:qFormat/>
    <w:uiPriority w:val="0"/>
    <w:rPr>
      <w:rFonts w:ascii="Times New Roman" w:hAnsi="Times New Roman" w:cs="宋体"/>
      <w:kern w:val="2"/>
      <w:sz w:val="24"/>
    </w:rPr>
  </w:style>
  <w:style w:type="paragraph" w:customStyle="1" w:styleId="152">
    <w:name w:val="A-z正文"/>
    <w:basedOn w:val="1"/>
    <w:link w:val="151"/>
    <w:qFormat/>
    <w:uiPriority w:val="0"/>
    <w:pPr>
      <w:spacing w:line="360" w:lineRule="auto"/>
      <w:ind w:firstLine="200" w:firstLineChars="200"/>
    </w:pPr>
    <w:rPr>
      <w:rFonts w:ascii="Times New Roman" w:hAnsi="Times New Roman"/>
      <w:sz w:val="24"/>
      <w:szCs w:val="20"/>
    </w:rPr>
  </w:style>
  <w:style w:type="character" w:customStyle="1" w:styleId="153">
    <w:name w:val="标题 3 字符"/>
    <w:link w:val="4"/>
    <w:qFormat/>
    <w:uiPriority w:val="9"/>
    <w:rPr>
      <w:rFonts w:ascii="黑体" w:hAnsi="黑体" w:eastAsia="黑体"/>
      <w:kern w:val="2"/>
      <w:sz w:val="24"/>
      <w:szCs w:val="21"/>
    </w:rPr>
  </w:style>
  <w:style w:type="character" w:customStyle="1" w:styleId="154">
    <w:name w:val="批注框文本 字符"/>
    <w:link w:val="28"/>
    <w:qFormat/>
    <w:uiPriority w:val="0"/>
    <w:rPr>
      <w:sz w:val="18"/>
      <w:szCs w:val="18"/>
    </w:rPr>
  </w:style>
  <w:style w:type="character" w:customStyle="1" w:styleId="155">
    <w:name w:val="报告书正文 Char"/>
    <w:link w:val="156"/>
    <w:qFormat/>
    <w:uiPriority w:val="0"/>
    <w:rPr>
      <w:rFonts w:ascii="Times New Roman" w:hAnsi="Times New Roman" w:eastAsia="宋体" w:cs="Times New Roman"/>
      <w:sz w:val="24"/>
      <w:szCs w:val="20"/>
      <w:lang w:val="zh-CN"/>
    </w:rPr>
  </w:style>
  <w:style w:type="paragraph" w:customStyle="1" w:styleId="156">
    <w:name w:val="报告书正文"/>
    <w:basedOn w:val="1"/>
    <w:link w:val="155"/>
    <w:qFormat/>
    <w:uiPriority w:val="0"/>
    <w:pPr>
      <w:spacing w:line="360" w:lineRule="auto"/>
    </w:pPr>
    <w:rPr>
      <w:rFonts w:ascii="Times New Roman" w:hAnsi="Times New Roman"/>
      <w:kern w:val="0"/>
      <w:sz w:val="24"/>
      <w:szCs w:val="20"/>
      <w:lang w:val="zh-CN"/>
    </w:rPr>
  </w:style>
  <w:style w:type="character" w:customStyle="1" w:styleId="157">
    <w:name w:val="15"/>
    <w:qFormat/>
    <w:uiPriority w:val="0"/>
    <w:rPr>
      <w:rFonts w:hint="default" w:ascii="Calibri" w:hAnsi="Calibri" w:cs="Calibri"/>
      <w:color w:val="0000FF"/>
      <w:u w:val="single"/>
    </w:rPr>
  </w:style>
  <w:style w:type="character" w:customStyle="1" w:styleId="158">
    <w:name w:val="标题 2 Char"/>
    <w:qFormat/>
    <w:uiPriority w:val="9"/>
    <w:rPr>
      <w:rFonts w:ascii="宋体" w:hAnsi="宋体" w:eastAsia="黑体"/>
      <w:b/>
      <w:color w:val="000000"/>
      <w:kern w:val="10"/>
      <w:sz w:val="28"/>
      <w:szCs w:val="24"/>
    </w:rPr>
  </w:style>
  <w:style w:type="character" w:customStyle="1" w:styleId="159">
    <w:name w:val="标题 4 Char"/>
    <w:qFormat/>
    <w:uiPriority w:val="9"/>
    <w:rPr>
      <w:rFonts w:ascii="Cambria" w:hAnsi="Cambria" w:eastAsia="宋体" w:cs="Times New Roman"/>
      <w:b/>
      <w:bCs/>
      <w:kern w:val="2"/>
      <w:sz w:val="28"/>
      <w:szCs w:val="28"/>
    </w:rPr>
  </w:style>
  <w:style w:type="character" w:customStyle="1" w:styleId="160">
    <w:name w:val="font61"/>
    <w:qFormat/>
    <w:uiPriority w:val="0"/>
    <w:rPr>
      <w:rFonts w:hint="eastAsia" w:ascii="宋体" w:hAnsi="宋体" w:eastAsia="宋体" w:cs="宋体"/>
      <w:color w:val="000000"/>
      <w:sz w:val="21"/>
      <w:szCs w:val="21"/>
      <w:u w:val="none"/>
      <w:vertAlign w:val="superscript"/>
    </w:rPr>
  </w:style>
  <w:style w:type="character" w:customStyle="1" w:styleId="161">
    <w:name w:val="寇 字符"/>
    <w:link w:val="162"/>
    <w:qFormat/>
    <w:uiPriority w:val="0"/>
    <w:rPr>
      <w:rFonts w:ascii="宋体" w:hAnsi="宋体" w:eastAsia="宋体" w:cs="Times New Roman"/>
      <w:color w:val="FF0000"/>
      <w:kern w:val="2"/>
      <w:sz w:val="24"/>
      <w:szCs w:val="24"/>
    </w:rPr>
  </w:style>
  <w:style w:type="paragraph" w:customStyle="1" w:styleId="162">
    <w:name w:val="寇"/>
    <w:basedOn w:val="117"/>
    <w:link w:val="161"/>
    <w:qFormat/>
    <w:uiPriority w:val="0"/>
    <w:pPr>
      <w:ind w:firstLine="480"/>
    </w:pPr>
    <w:rPr>
      <w:color w:val="FF0000"/>
    </w:rPr>
  </w:style>
  <w:style w:type="character" w:customStyle="1" w:styleId="163">
    <w:name w:val="题注 字符1"/>
    <w:qFormat/>
    <w:uiPriority w:val="0"/>
    <w:rPr>
      <w:rFonts w:ascii="黑体" w:hAnsi="黑体" w:eastAsia="黑体"/>
      <w:kern w:val="2"/>
      <w:sz w:val="21"/>
    </w:rPr>
  </w:style>
  <w:style w:type="character" w:customStyle="1" w:styleId="164">
    <w:name w:val="标题 4 Char31"/>
    <w:qFormat/>
    <w:uiPriority w:val="0"/>
    <w:rPr>
      <w:rFonts w:ascii="Arial" w:hAnsi="Arial" w:eastAsia="黑体" w:cs="Arial"/>
      <w:b/>
      <w:kern w:val="2"/>
      <w:sz w:val="28"/>
      <w:szCs w:val="28"/>
    </w:rPr>
  </w:style>
  <w:style w:type="character" w:customStyle="1" w:styleId="165">
    <w:name w:val="题注 字符"/>
    <w:link w:val="15"/>
    <w:qFormat/>
    <w:uiPriority w:val="0"/>
    <w:rPr>
      <w:rFonts w:ascii="宋体" w:hAnsi="宋体" w:eastAsia="黑体"/>
      <w:kern w:val="2"/>
      <w:sz w:val="21"/>
    </w:rPr>
  </w:style>
  <w:style w:type="character" w:customStyle="1" w:styleId="166">
    <w:name w:val="书籍标题1"/>
    <w:qFormat/>
    <w:uiPriority w:val="33"/>
    <w:rPr>
      <w:b/>
      <w:bCs/>
      <w:i/>
      <w:iCs/>
      <w:spacing w:val="5"/>
    </w:rPr>
  </w:style>
  <w:style w:type="character" w:customStyle="1" w:styleId="167">
    <w:name w:val="font51"/>
    <w:qFormat/>
    <w:uiPriority w:val="0"/>
    <w:rPr>
      <w:rFonts w:hint="eastAsia" w:ascii="宋体" w:hAnsi="宋体" w:eastAsia="宋体" w:cs="宋体"/>
      <w:color w:val="000000"/>
      <w:sz w:val="21"/>
      <w:szCs w:val="21"/>
      <w:u w:val="none"/>
    </w:rPr>
  </w:style>
  <w:style w:type="character" w:customStyle="1" w:styleId="168">
    <w:name w:val="批注文字 Char1"/>
    <w:qFormat/>
    <w:uiPriority w:val="0"/>
    <w:rPr>
      <w:rFonts w:ascii="Calibri" w:hAnsi="Calibri"/>
      <w:szCs w:val="21"/>
    </w:rPr>
  </w:style>
  <w:style w:type="character" w:customStyle="1" w:styleId="169">
    <w:name w:val="标题 1 Char2"/>
    <w:qFormat/>
    <w:uiPriority w:val="9"/>
    <w:rPr>
      <w:rFonts w:ascii="Times New Roman" w:hAnsi="Times New Roman" w:eastAsia="黑体" w:cs="Arial"/>
      <w:sz w:val="32"/>
      <w:szCs w:val="20"/>
    </w:rPr>
  </w:style>
  <w:style w:type="character" w:customStyle="1" w:styleId="170">
    <w:name w:val="标题 2 Char1"/>
    <w:qFormat/>
    <w:uiPriority w:val="9"/>
    <w:rPr>
      <w:rFonts w:ascii="黑体" w:hAnsi="黑体" w:eastAsia="黑体"/>
      <w:bCs/>
      <w:kern w:val="2"/>
      <w:sz w:val="28"/>
      <w:szCs w:val="32"/>
    </w:rPr>
  </w:style>
  <w:style w:type="character" w:customStyle="1" w:styleId="171">
    <w:name w:val="5 表字-书 字符"/>
    <w:link w:val="172"/>
    <w:qFormat/>
    <w:uiPriority w:val="0"/>
    <w:rPr>
      <w:rFonts w:hAnsi="宋体" w:eastAsia="宋体"/>
      <w:sz w:val="21"/>
      <w:szCs w:val="21"/>
    </w:rPr>
  </w:style>
  <w:style w:type="paragraph" w:customStyle="1" w:styleId="172">
    <w:name w:val="5 表字-书"/>
    <w:basedOn w:val="1"/>
    <w:link w:val="171"/>
    <w:qFormat/>
    <w:uiPriority w:val="0"/>
    <w:pPr>
      <w:spacing w:line="300" w:lineRule="atLeast"/>
      <w:jc w:val="center"/>
      <w:textAlignment w:val="center"/>
    </w:pPr>
    <w:rPr>
      <w:rFonts w:hAnsi="宋体"/>
      <w:kern w:val="0"/>
      <w:szCs w:val="21"/>
    </w:rPr>
  </w:style>
  <w:style w:type="character" w:customStyle="1" w:styleId="173">
    <w:name w:val="批注文字 字符1"/>
    <w:qFormat/>
    <w:uiPriority w:val="0"/>
    <w:rPr>
      <w:rFonts w:ascii="Times New Roman" w:hAnsi="Times New Roman" w:eastAsia="宋体" w:cs="Times New Roman"/>
      <w:szCs w:val="21"/>
    </w:rPr>
  </w:style>
  <w:style w:type="character" w:customStyle="1" w:styleId="174">
    <w:name w:val="页眉 Char1"/>
    <w:qFormat/>
    <w:uiPriority w:val="99"/>
    <w:rPr>
      <w:sz w:val="18"/>
      <w:szCs w:val="18"/>
    </w:rPr>
  </w:style>
  <w:style w:type="character" w:customStyle="1" w:styleId="175">
    <w:name w:val="正文楷体 Char"/>
    <w:link w:val="176"/>
    <w:qFormat/>
    <w:uiPriority w:val="0"/>
    <w:rPr>
      <w:rFonts w:hAnsi="宋体"/>
      <w:sz w:val="24"/>
      <w:szCs w:val="24"/>
    </w:rPr>
  </w:style>
  <w:style w:type="paragraph" w:customStyle="1" w:styleId="176">
    <w:name w:val="正文楷体"/>
    <w:basedOn w:val="1"/>
    <w:link w:val="175"/>
    <w:qFormat/>
    <w:uiPriority w:val="0"/>
    <w:pPr>
      <w:spacing w:line="360" w:lineRule="auto"/>
      <w:ind w:firstLine="480" w:firstLineChars="200"/>
    </w:pPr>
    <w:rPr>
      <w:rFonts w:hAnsi="宋体"/>
      <w:kern w:val="0"/>
      <w:sz w:val="24"/>
      <w:szCs w:val="24"/>
    </w:rPr>
  </w:style>
  <w:style w:type="character" w:customStyle="1" w:styleId="177">
    <w:name w:val="明显引用 字符"/>
    <w:qFormat/>
    <w:uiPriority w:val="30"/>
    <w:rPr>
      <w:i/>
      <w:iCs/>
      <w:color w:val="4F81BD"/>
    </w:rPr>
  </w:style>
  <w:style w:type="character" w:customStyle="1" w:styleId="178">
    <w:name w:val="正文文本 字符"/>
    <w:link w:val="19"/>
    <w:qFormat/>
    <w:uiPriority w:val="99"/>
  </w:style>
  <w:style w:type="character" w:customStyle="1" w:styleId="179">
    <w:name w:val="正文 CDD 字符"/>
    <w:link w:val="180"/>
    <w:qFormat/>
    <w:uiPriority w:val="0"/>
    <w:rPr>
      <w:rFonts w:ascii="宋体" w:hAnsi="宋体"/>
      <w:kern w:val="2"/>
      <w:sz w:val="24"/>
    </w:rPr>
  </w:style>
  <w:style w:type="paragraph" w:customStyle="1" w:styleId="180">
    <w:name w:val="正文 CDD"/>
    <w:basedOn w:val="1"/>
    <w:link w:val="179"/>
    <w:qFormat/>
    <w:uiPriority w:val="0"/>
    <w:pPr>
      <w:widowControl/>
      <w:spacing w:line="500" w:lineRule="exact"/>
      <w:ind w:firstLine="480"/>
      <w:jc w:val="left"/>
    </w:pPr>
    <w:rPr>
      <w:rFonts w:ascii="宋体" w:hAnsi="宋体"/>
      <w:sz w:val="24"/>
      <w:szCs w:val="20"/>
    </w:rPr>
  </w:style>
  <w:style w:type="character" w:customStyle="1" w:styleId="181">
    <w:name w:val="font11"/>
    <w:qFormat/>
    <w:uiPriority w:val="0"/>
    <w:rPr>
      <w:rFonts w:hint="eastAsia" w:ascii="宋体" w:hAnsi="宋体" w:eastAsia="宋体"/>
      <w:color w:val="000000"/>
      <w:sz w:val="21"/>
      <w:szCs w:val="21"/>
      <w:u w:val="none"/>
      <w:vertAlign w:val="superscript"/>
    </w:rPr>
  </w:style>
  <w:style w:type="character" w:customStyle="1" w:styleId="182">
    <w:name w:val="标题 6 字符"/>
    <w:qFormat/>
    <w:uiPriority w:val="9"/>
    <w:rPr>
      <w:rFonts w:ascii="等线 Light" w:hAnsi="等线 Light" w:eastAsia="等线 Light" w:cs="Times New Roman"/>
      <w:b/>
      <w:bCs/>
      <w:sz w:val="24"/>
      <w:szCs w:val="24"/>
    </w:rPr>
  </w:style>
  <w:style w:type="character" w:customStyle="1" w:styleId="183">
    <w:name w:val="正文首行缩进 字符"/>
    <w:qFormat/>
    <w:uiPriority w:val="99"/>
  </w:style>
  <w:style w:type="character" w:customStyle="1" w:styleId="184">
    <w:name w:val="注释标题 字符"/>
    <w:semiHidden/>
    <w:qFormat/>
    <w:uiPriority w:val="99"/>
    <w:rPr>
      <w:kern w:val="2"/>
      <w:sz w:val="21"/>
      <w:szCs w:val="22"/>
    </w:rPr>
  </w:style>
  <w:style w:type="character" w:customStyle="1" w:styleId="185">
    <w:name w:val="正文文本缩进 2 Char1"/>
    <w:qFormat/>
    <w:uiPriority w:val="0"/>
    <w:rPr>
      <w:rFonts w:ascii="Times New Roman" w:hAnsi="Times New Roman"/>
    </w:rPr>
  </w:style>
  <w:style w:type="character" w:customStyle="1" w:styleId="186">
    <w:name w:val="正文文本 Char"/>
    <w:qFormat/>
    <w:uiPriority w:val="99"/>
    <w:rPr>
      <w:rFonts w:hint="eastAsia" w:ascii="宋体" w:hAnsi="宋体" w:eastAsia="宋体" w:cs="宋体"/>
      <w:sz w:val="24"/>
      <w:szCs w:val="24"/>
    </w:rPr>
  </w:style>
  <w:style w:type="character" w:customStyle="1" w:styleId="187">
    <w:name w:val="标题 6 Char2"/>
    <w:qFormat/>
    <w:uiPriority w:val="9"/>
    <w:rPr>
      <w:rFonts w:ascii="Cambria" w:hAnsi="Cambria" w:eastAsia="宋体" w:cs="Times New Roman"/>
      <w:b/>
      <w:bCs/>
      <w:sz w:val="24"/>
      <w:szCs w:val="24"/>
    </w:rPr>
  </w:style>
  <w:style w:type="character" w:customStyle="1" w:styleId="188">
    <w:name w:val="正文文本 2 字符"/>
    <w:link w:val="43"/>
    <w:qFormat/>
    <w:uiPriority w:val="99"/>
    <w:rPr>
      <w:rFonts w:ascii="Times New Roman" w:hAnsi="Times New Roman" w:eastAsia="宋体" w:cs="Times New Roman"/>
      <w:szCs w:val="21"/>
    </w:rPr>
  </w:style>
  <w:style w:type="character" w:customStyle="1" w:styleId="189">
    <w:name w:val="HTML 预设格式 字符"/>
    <w:semiHidden/>
    <w:qFormat/>
    <w:uiPriority w:val="99"/>
    <w:rPr>
      <w:rFonts w:ascii="Courier New" w:hAnsi="Courier New" w:cs="Courier New"/>
      <w:kern w:val="2"/>
    </w:rPr>
  </w:style>
  <w:style w:type="character" w:customStyle="1" w:styleId="190">
    <w:name w:val="MEL正文* 字符"/>
    <w:link w:val="191"/>
    <w:qFormat/>
    <w:uiPriority w:val="0"/>
    <w:rPr>
      <w:rFonts w:ascii="宋体" w:hAnsi="宋体"/>
      <w:sz w:val="24"/>
      <w:szCs w:val="24"/>
    </w:rPr>
  </w:style>
  <w:style w:type="paragraph" w:customStyle="1" w:styleId="191">
    <w:name w:val="MEL正文*"/>
    <w:basedOn w:val="1"/>
    <w:link w:val="190"/>
    <w:qFormat/>
    <w:uiPriority w:val="0"/>
    <w:pPr>
      <w:spacing w:line="500" w:lineRule="exact"/>
      <w:ind w:firstLine="200" w:firstLineChars="200"/>
    </w:pPr>
    <w:rPr>
      <w:rFonts w:ascii="宋体" w:hAnsi="宋体"/>
      <w:kern w:val="0"/>
      <w:sz w:val="24"/>
      <w:szCs w:val="24"/>
    </w:rPr>
  </w:style>
  <w:style w:type="character" w:customStyle="1" w:styleId="192">
    <w:name w:val="正文格式 Char"/>
    <w:qFormat/>
    <w:locked/>
    <w:uiPriority w:val="0"/>
    <w:rPr>
      <w:rFonts w:ascii="宋体" w:hAnsi="Times New Roman" w:eastAsia="宋体"/>
      <w:kern w:val="2"/>
      <w:sz w:val="24"/>
      <w:szCs w:val="24"/>
    </w:rPr>
  </w:style>
  <w:style w:type="character" w:customStyle="1" w:styleId="193">
    <w:name w:val="正文文本缩进 2 Char2"/>
    <w:qFormat/>
    <w:uiPriority w:val="99"/>
    <w:rPr>
      <w:rFonts w:ascii="Times New Roman" w:hAnsi="Times New Roman" w:eastAsia="宋体" w:cs="Times New Roman"/>
      <w:kern w:val="0"/>
      <w:sz w:val="20"/>
      <w:szCs w:val="21"/>
    </w:rPr>
  </w:style>
  <w:style w:type="character" w:customStyle="1" w:styleId="194">
    <w:name w:val="show-img-bd"/>
    <w:qFormat/>
    <w:uiPriority w:val="0"/>
  </w:style>
  <w:style w:type="character" w:customStyle="1" w:styleId="195">
    <w:name w:val="正文首行缩进 2 Char"/>
    <w:qFormat/>
    <w:uiPriority w:val="0"/>
    <w:rPr>
      <w:kern w:val="2"/>
      <w:sz w:val="21"/>
      <w:szCs w:val="24"/>
    </w:rPr>
  </w:style>
  <w:style w:type="character" w:customStyle="1" w:styleId="196">
    <w:name w:val="注释标题 字符1"/>
    <w:link w:val="13"/>
    <w:qFormat/>
    <w:uiPriority w:val="0"/>
    <w:rPr>
      <w:rFonts w:ascii="Times New Roman" w:hAnsi="Times New Roman" w:eastAsia="宋体"/>
      <w:kern w:val="2"/>
      <w:sz w:val="21"/>
    </w:rPr>
  </w:style>
  <w:style w:type="character" w:customStyle="1" w:styleId="197">
    <w:name w:val="不明显参考1"/>
    <w:qFormat/>
    <w:uiPriority w:val="31"/>
    <w:rPr>
      <w:smallCaps/>
      <w:color w:val="5A5A5A"/>
    </w:rPr>
  </w:style>
  <w:style w:type="character" w:customStyle="1" w:styleId="198">
    <w:name w:val="正文缩进 Char"/>
    <w:qFormat/>
    <w:uiPriority w:val="0"/>
    <w:rPr>
      <w:rFonts w:hint="eastAsia" w:ascii="宋体" w:hAnsi="宋体" w:eastAsia="宋体" w:cs="宋体"/>
      <w:spacing w:val="6"/>
      <w:kern w:val="2"/>
      <w:sz w:val="26"/>
      <w:szCs w:val="26"/>
    </w:rPr>
  </w:style>
  <w:style w:type="character" w:customStyle="1" w:styleId="199">
    <w:name w:val="标题 1 字符"/>
    <w:link w:val="3"/>
    <w:qFormat/>
    <w:uiPriority w:val="9"/>
    <w:rPr>
      <w:rFonts w:ascii="黑体" w:hAnsi="黑体" w:eastAsia="黑体"/>
      <w:kern w:val="2"/>
      <w:sz w:val="32"/>
    </w:rPr>
  </w:style>
  <w:style w:type="character" w:customStyle="1" w:styleId="200">
    <w:name w:val="文档结构图 Char2"/>
    <w:qFormat/>
    <w:uiPriority w:val="99"/>
    <w:rPr>
      <w:rFonts w:ascii="宋体" w:hAnsi="Times New Roman" w:eastAsia="宋体" w:cs="Times New Roman"/>
      <w:kern w:val="0"/>
      <w:sz w:val="18"/>
      <w:szCs w:val="18"/>
    </w:rPr>
  </w:style>
  <w:style w:type="character" w:customStyle="1" w:styleId="201">
    <w:name w:val="YJ-正文 Char"/>
    <w:link w:val="202"/>
    <w:qFormat/>
    <w:uiPriority w:val="0"/>
    <w:rPr>
      <w:rFonts w:ascii="宋体" w:hAnsi="宋体" w:eastAsia="宋体"/>
      <w:sz w:val="24"/>
      <w:szCs w:val="21"/>
    </w:rPr>
  </w:style>
  <w:style w:type="paragraph" w:customStyle="1" w:styleId="202">
    <w:name w:val="YJ-正文"/>
    <w:basedOn w:val="203"/>
    <w:link w:val="201"/>
    <w:qFormat/>
    <w:uiPriority w:val="0"/>
    <w:pPr>
      <w:spacing w:line="500" w:lineRule="exact"/>
      <w:ind w:firstLine="200" w:firstLineChars="200"/>
    </w:pPr>
    <w:rPr>
      <w:rFonts w:ascii="宋体" w:hAnsi="宋体"/>
      <w:sz w:val="24"/>
      <w:szCs w:val="21"/>
    </w:rPr>
  </w:style>
  <w:style w:type="paragraph" w:customStyle="1" w:styleId="203">
    <w:name w:val="YJ-表标题1"/>
    <w:basedOn w:val="1"/>
    <w:qFormat/>
    <w:uiPriority w:val="0"/>
    <w:pPr>
      <w:widowControl/>
      <w:spacing w:line="520" w:lineRule="exact"/>
      <w:jc w:val="left"/>
      <w:outlineLvl w:val="1"/>
    </w:pPr>
    <w:rPr>
      <w:b/>
      <w:kern w:val="0"/>
      <w:sz w:val="30"/>
    </w:rPr>
  </w:style>
  <w:style w:type="character" w:customStyle="1" w:styleId="204">
    <w:name w:val="页眉 Char"/>
    <w:qFormat/>
    <w:uiPriority w:val="0"/>
    <w:rPr>
      <w:kern w:val="2"/>
      <w:sz w:val="18"/>
      <w:szCs w:val="18"/>
    </w:rPr>
  </w:style>
  <w:style w:type="character" w:customStyle="1" w:styleId="205">
    <w:name w:val="标题 7 Char"/>
    <w:qFormat/>
    <w:uiPriority w:val="9"/>
    <w:rPr>
      <w:rFonts w:eastAsia="宋体" w:cs="Times New Roman"/>
      <w:b/>
      <w:bCs/>
      <w:kern w:val="2"/>
      <w:sz w:val="24"/>
      <w:szCs w:val="24"/>
    </w:rPr>
  </w:style>
  <w:style w:type="character" w:customStyle="1" w:styleId="206">
    <w:name w:val="标题1"/>
    <w:qFormat/>
    <w:uiPriority w:val="0"/>
  </w:style>
  <w:style w:type="character" w:customStyle="1" w:styleId="207">
    <w:name w:val="YJ表中字体 Char"/>
    <w:link w:val="208"/>
    <w:qFormat/>
    <w:uiPriority w:val="0"/>
    <w:rPr>
      <w:rFonts w:ascii="宋体" w:hAnsi="宋体" w:eastAsia="宋体"/>
      <w:sz w:val="21"/>
    </w:rPr>
  </w:style>
  <w:style w:type="paragraph" w:customStyle="1" w:styleId="208">
    <w:name w:val="YJ表中字体"/>
    <w:basedOn w:val="14"/>
    <w:link w:val="207"/>
    <w:qFormat/>
    <w:uiPriority w:val="0"/>
    <w:pPr>
      <w:tabs>
        <w:tab w:val="left" w:pos="8176"/>
      </w:tabs>
      <w:spacing w:line="240" w:lineRule="exact"/>
      <w:ind w:firstLine="0" w:firstLineChars="0"/>
      <w:jc w:val="center"/>
    </w:pPr>
    <w:rPr>
      <w:rFonts w:ascii="宋体" w:hAnsi="宋体"/>
      <w:sz w:val="21"/>
      <w:szCs w:val="20"/>
    </w:rPr>
  </w:style>
  <w:style w:type="character" w:customStyle="1" w:styleId="209">
    <w:name w:val="一级标题-书 Char"/>
    <w:link w:val="210"/>
    <w:qFormat/>
    <w:uiPriority w:val="0"/>
    <w:rPr>
      <w:rFonts w:ascii="Times New Roman" w:hAnsi="Times New Roman" w:eastAsia="宋体" w:cs="Arial"/>
      <w:b/>
      <w:sz w:val="32"/>
      <w:szCs w:val="20"/>
    </w:rPr>
  </w:style>
  <w:style w:type="paragraph" w:customStyle="1" w:styleId="210">
    <w:name w:val="一级标题-书"/>
    <w:basedOn w:val="1"/>
    <w:link w:val="209"/>
    <w:qFormat/>
    <w:uiPriority w:val="0"/>
    <w:pPr>
      <w:keepNext/>
      <w:widowControl/>
      <w:spacing w:line="600" w:lineRule="exact"/>
      <w:jc w:val="left"/>
      <w:outlineLvl w:val="0"/>
    </w:pPr>
    <w:rPr>
      <w:rFonts w:ascii="Times New Roman" w:hAnsi="Times New Roman"/>
      <w:b/>
      <w:kern w:val="0"/>
      <w:sz w:val="32"/>
      <w:szCs w:val="20"/>
    </w:rPr>
  </w:style>
  <w:style w:type="character" w:customStyle="1" w:styleId="211">
    <w:name w:val="4刘群正文* Char"/>
    <w:link w:val="212"/>
    <w:qFormat/>
    <w:uiPriority w:val="0"/>
    <w:rPr>
      <w:rFonts w:ascii="Times New Roman" w:hAnsi="Times New Roman" w:cs="Times New Roman"/>
      <w:sz w:val="24"/>
      <w:szCs w:val="24"/>
      <w:lang w:val="zh-CN"/>
    </w:rPr>
  </w:style>
  <w:style w:type="paragraph" w:customStyle="1" w:styleId="212">
    <w:name w:val="4刘群正文 *"/>
    <w:basedOn w:val="1"/>
    <w:link w:val="211"/>
    <w:qFormat/>
    <w:uiPriority w:val="0"/>
    <w:pPr>
      <w:spacing w:line="520" w:lineRule="exact"/>
      <w:ind w:firstLine="480" w:firstLineChars="200"/>
    </w:pPr>
    <w:rPr>
      <w:rFonts w:ascii="Times New Roman" w:hAnsi="Times New Roman"/>
      <w:kern w:val="0"/>
      <w:sz w:val="24"/>
      <w:szCs w:val="24"/>
      <w:lang w:val="zh-CN"/>
    </w:rPr>
  </w:style>
  <w:style w:type="character" w:customStyle="1" w:styleId="213">
    <w:name w:val="标题 1 Char"/>
    <w:qFormat/>
    <w:uiPriority w:val="9"/>
    <w:rPr>
      <w:rFonts w:ascii="宋体" w:hAnsi="宋体" w:eastAsia="黑体"/>
      <w:b/>
      <w:sz w:val="32"/>
      <w:szCs w:val="28"/>
    </w:rPr>
  </w:style>
  <w:style w:type="character" w:customStyle="1" w:styleId="214">
    <w:name w:val="3级标题 字符"/>
    <w:link w:val="215"/>
    <w:qFormat/>
    <w:uiPriority w:val="0"/>
    <w:rPr>
      <w:rFonts w:ascii="宋体" w:hAnsi="宋体" w:eastAsia="黑体" w:cs="宋体"/>
      <w:color w:val="000000"/>
      <w:spacing w:val="4"/>
      <w:kern w:val="2"/>
      <w:sz w:val="24"/>
      <w:szCs w:val="24"/>
    </w:rPr>
  </w:style>
  <w:style w:type="paragraph" w:customStyle="1" w:styleId="215">
    <w:name w:val="3级标题"/>
    <w:basedOn w:val="1"/>
    <w:link w:val="214"/>
    <w:qFormat/>
    <w:uiPriority w:val="0"/>
    <w:pPr>
      <w:adjustRightInd w:val="0"/>
      <w:snapToGrid w:val="0"/>
      <w:spacing w:before="160" w:after="160" w:line="360" w:lineRule="auto"/>
      <w:jc w:val="left"/>
      <w:outlineLvl w:val="2"/>
    </w:pPr>
    <w:rPr>
      <w:rFonts w:ascii="宋体" w:hAnsi="宋体" w:eastAsia="黑体" w:cs="宋体"/>
      <w:color w:val="000000"/>
      <w:spacing w:val="4"/>
      <w:sz w:val="24"/>
      <w:szCs w:val="24"/>
    </w:rPr>
  </w:style>
  <w:style w:type="character" w:customStyle="1" w:styleId="216">
    <w:name w:val="页脚 字符"/>
    <w:link w:val="29"/>
    <w:qFormat/>
    <w:uiPriority w:val="0"/>
    <w:rPr>
      <w:sz w:val="18"/>
      <w:szCs w:val="18"/>
    </w:rPr>
  </w:style>
  <w:style w:type="character" w:customStyle="1" w:styleId="217">
    <w:name w:val="font21"/>
    <w:qFormat/>
    <w:uiPriority w:val="0"/>
    <w:rPr>
      <w:rFonts w:hint="eastAsia" w:ascii="宋体" w:hAnsi="宋体" w:eastAsia="宋体"/>
      <w:color w:val="000000"/>
      <w:sz w:val="21"/>
      <w:szCs w:val="21"/>
      <w:u w:val="none"/>
    </w:rPr>
  </w:style>
  <w:style w:type="character" w:customStyle="1" w:styleId="218">
    <w:name w:val="纯文本 Char1"/>
    <w:qFormat/>
    <w:uiPriority w:val="0"/>
    <w:rPr>
      <w:rFonts w:hint="eastAsia" w:ascii="宋体" w:hAnsi="Courier New" w:eastAsia="宋体" w:cs="Courier New"/>
      <w:kern w:val="2"/>
      <w:sz w:val="21"/>
      <w:szCs w:val="21"/>
    </w:rPr>
  </w:style>
  <w:style w:type="character" w:customStyle="1" w:styleId="219">
    <w:name w:val="引用 字符"/>
    <w:qFormat/>
    <w:uiPriority w:val="29"/>
    <w:rPr>
      <w:i/>
      <w:iCs/>
      <w:color w:val="3F3F3F"/>
    </w:rPr>
  </w:style>
  <w:style w:type="character" w:customStyle="1" w:styleId="220">
    <w:name w:val="标题 2 Char2"/>
    <w:qFormat/>
    <w:uiPriority w:val="9"/>
    <w:rPr>
      <w:rFonts w:ascii="黑体" w:hAnsi="黑体" w:eastAsia="黑体" w:cs="Times New Roman"/>
      <w:bCs/>
      <w:sz w:val="28"/>
      <w:szCs w:val="32"/>
    </w:rPr>
  </w:style>
  <w:style w:type="character" w:customStyle="1" w:styleId="221">
    <w:name w:val="批注文字 Char"/>
    <w:qFormat/>
    <w:uiPriority w:val="0"/>
    <w:rPr>
      <w:kern w:val="2"/>
      <w:sz w:val="21"/>
      <w:szCs w:val="21"/>
    </w:rPr>
  </w:style>
  <w:style w:type="character" w:customStyle="1" w:styleId="222">
    <w:name w:val="附件 字符"/>
    <w:link w:val="223"/>
    <w:qFormat/>
    <w:uiPriority w:val="0"/>
    <w:rPr>
      <w:rFonts w:ascii="宋体" w:hAnsi="宋体" w:eastAsia="宋体"/>
      <w:b/>
      <w:kern w:val="2"/>
      <w:sz w:val="24"/>
      <w:szCs w:val="21"/>
    </w:rPr>
  </w:style>
  <w:style w:type="paragraph" w:customStyle="1" w:styleId="223">
    <w:name w:val="附件"/>
    <w:basedOn w:val="1"/>
    <w:link w:val="222"/>
    <w:qFormat/>
    <w:uiPriority w:val="0"/>
    <w:pPr>
      <w:ind w:firstLine="200" w:firstLineChars="200"/>
      <w:outlineLvl w:val="3"/>
    </w:pPr>
    <w:rPr>
      <w:rFonts w:ascii="宋体" w:hAnsi="宋体"/>
      <w:b/>
      <w:sz w:val="24"/>
      <w:szCs w:val="21"/>
    </w:rPr>
  </w:style>
  <w:style w:type="character" w:customStyle="1" w:styleId="224">
    <w:name w:val="明显参考11"/>
    <w:qFormat/>
    <w:uiPriority w:val="32"/>
    <w:rPr>
      <w:b/>
      <w:bCs/>
      <w:smallCaps/>
      <w:color w:val="4F81BD"/>
      <w:spacing w:val="5"/>
    </w:rPr>
  </w:style>
  <w:style w:type="character" w:customStyle="1" w:styleId="225">
    <w:name w:val="标题 5 Char1"/>
    <w:qFormat/>
    <w:uiPriority w:val="9"/>
    <w:rPr>
      <w:rFonts w:cs="Times New Roman"/>
      <w:bCs/>
      <w:color w:val="auto"/>
      <w:sz w:val="28"/>
      <w:szCs w:val="28"/>
      <w:lang w:val="zh-CN" w:eastAsia="zh-CN"/>
    </w:rPr>
  </w:style>
  <w:style w:type="character" w:customStyle="1" w:styleId="226">
    <w:name w:val="正文文本 3 字符1"/>
    <w:link w:val="18"/>
    <w:qFormat/>
    <w:uiPriority w:val="0"/>
    <w:rPr>
      <w:rFonts w:ascii="Times New Roman" w:hAnsi="Times New Roman" w:eastAsia="宋体"/>
      <w:kern w:val="2"/>
      <w:sz w:val="18"/>
      <w:szCs w:val="24"/>
    </w:rPr>
  </w:style>
  <w:style w:type="character" w:customStyle="1" w:styleId="227">
    <w:name w:val="正文文本缩进 2 字符"/>
    <w:qFormat/>
    <w:uiPriority w:val="99"/>
  </w:style>
  <w:style w:type="character" w:customStyle="1" w:styleId="228">
    <w:name w:val="正文文本首行缩进 2 字符"/>
    <w:link w:val="50"/>
    <w:qFormat/>
    <w:uiPriority w:val="99"/>
    <w:rPr>
      <w:rFonts w:ascii="Times New Roman" w:hAnsi="Times New Roman" w:eastAsia="宋体" w:cs="Times New Roman"/>
      <w:kern w:val="0"/>
      <w:sz w:val="20"/>
      <w:szCs w:val="24"/>
    </w:rPr>
  </w:style>
  <w:style w:type="character" w:customStyle="1" w:styleId="229">
    <w:name w:val="标题 1 Char1"/>
    <w:qFormat/>
    <w:uiPriority w:val="9"/>
    <w:rPr>
      <w:rFonts w:ascii="Times New Roman" w:hAnsi="Times New Roman" w:eastAsia="黑体" w:cs="Arial"/>
      <w:kern w:val="2"/>
      <w:sz w:val="32"/>
    </w:rPr>
  </w:style>
  <w:style w:type="character" w:customStyle="1" w:styleId="230">
    <w:name w:val="文档结构图 字符"/>
    <w:link w:val="16"/>
    <w:qFormat/>
    <w:uiPriority w:val="99"/>
    <w:rPr>
      <w:rFonts w:ascii="宋体" w:hAnsi="Times New Roman" w:eastAsia="宋体" w:cs="Times New Roman"/>
      <w:kern w:val="0"/>
      <w:sz w:val="18"/>
      <w:szCs w:val="18"/>
    </w:rPr>
  </w:style>
  <w:style w:type="character" w:customStyle="1" w:styleId="231">
    <w:name w:val="fontstyle01"/>
    <w:qFormat/>
    <w:uiPriority w:val="0"/>
    <w:rPr>
      <w:rFonts w:hint="eastAsia" w:ascii="宋体" w:hAnsi="宋体" w:eastAsia="宋体"/>
      <w:color w:val="000000"/>
      <w:sz w:val="22"/>
      <w:szCs w:val="22"/>
    </w:rPr>
  </w:style>
  <w:style w:type="character" w:customStyle="1" w:styleId="232">
    <w:name w:val="标题 4 Char2"/>
    <w:qFormat/>
    <w:uiPriority w:val="0"/>
    <w:rPr>
      <w:rFonts w:ascii="Arial" w:hAnsi="Arial" w:eastAsia="黑体" w:cs="Times New Roman"/>
      <w:bCs/>
      <w:color w:val="auto"/>
      <w:sz w:val="28"/>
      <w:szCs w:val="28"/>
      <w:lang w:val="zh-CN" w:eastAsia="zh-CN"/>
    </w:rPr>
  </w:style>
  <w:style w:type="character" w:customStyle="1" w:styleId="233">
    <w:name w:val="YJ正文* 字符"/>
    <w:link w:val="117"/>
    <w:qFormat/>
    <w:uiPriority w:val="0"/>
    <w:rPr>
      <w:rFonts w:ascii="宋体" w:hAnsi="宋体" w:eastAsia="宋体"/>
      <w:kern w:val="2"/>
      <w:sz w:val="24"/>
      <w:szCs w:val="24"/>
    </w:rPr>
  </w:style>
  <w:style w:type="character" w:customStyle="1" w:styleId="234">
    <w:name w:val="正文文本首行缩进 字符"/>
    <w:link w:val="49"/>
    <w:qFormat/>
    <w:uiPriority w:val="0"/>
    <w:rPr>
      <w:rFonts w:ascii="宋体" w:hAnsi="宋体" w:eastAsia="宋体" w:cs="Times New Roman"/>
      <w:kern w:val="0"/>
      <w:sz w:val="24"/>
      <w:szCs w:val="24"/>
    </w:rPr>
  </w:style>
  <w:style w:type="character" w:customStyle="1" w:styleId="235">
    <w:name w:val="页眉 字符"/>
    <w:link w:val="30"/>
    <w:qFormat/>
    <w:uiPriority w:val="0"/>
    <w:rPr>
      <w:sz w:val="18"/>
      <w:szCs w:val="18"/>
    </w:rPr>
  </w:style>
  <w:style w:type="character" w:customStyle="1" w:styleId="236">
    <w:name w:val="标题 3 字符1"/>
    <w:qFormat/>
    <w:uiPriority w:val="9"/>
    <w:rPr>
      <w:rFonts w:ascii="Times New Roman" w:hAnsi="Times New Roman" w:eastAsia="黑体" w:cs="Times New Roman"/>
      <w:b/>
      <w:bCs/>
      <w:sz w:val="24"/>
      <w:szCs w:val="32"/>
      <w:lang w:val="zh-CN" w:eastAsia="zh-CN"/>
    </w:rPr>
  </w:style>
  <w:style w:type="character" w:customStyle="1" w:styleId="237">
    <w:name w:val="标题 6 Char3"/>
    <w:qFormat/>
    <w:uiPriority w:val="9"/>
    <w:rPr>
      <w:rFonts w:ascii="Cambria" w:hAnsi="Cambria" w:eastAsia="宋体" w:cs="Times New Roman"/>
      <w:b/>
      <w:bCs/>
      <w:kern w:val="0"/>
      <w:sz w:val="24"/>
      <w:szCs w:val="24"/>
    </w:rPr>
  </w:style>
  <w:style w:type="character" w:customStyle="1" w:styleId="238">
    <w:name w:val="书籍标题11"/>
    <w:qFormat/>
    <w:uiPriority w:val="33"/>
    <w:rPr>
      <w:b/>
      <w:bCs/>
      <w:i/>
      <w:iCs/>
      <w:spacing w:val="5"/>
    </w:rPr>
  </w:style>
  <w:style w:type="character" w:customStyle="1" w:styleId="239">
    <w:name w:val="标题 2 字符"/>
    <w:link w:val="2"/>
    <w:qFormat/>
    <w:uiPriority w:val="0"/>
    <w:rPr>
      <w:rFonts w:ascii="黑体" w:hAnsi="黑体" w:eastAsia="黑体"/>
      <w:bCs/>
      <w:kern w:val="2"/>
      <w:sz w:val="28"/>
      <w:szCs w:val="32"/>
    </w:rPr>
  </w:style>
  <w:style w:type="character" w:customStyle="1" w:styleId="240">
    <w:name w:val="批注文字 字符"/>
    <w:link w:val="17"/>
    <w:qFormat/>
    <w:uiPriority w:val="0"/>
  </w:style>
  <w:style w:type="character" w:customStyle="1" w:styleId="241">
    <w:name w:val="正文文本缩进 Char1"/>
    <w:qFormat/>
    <w:uiPriority w:val="0"/>
    <w:rPr>
      <w:rFonts w:ascii="Calibri" w:hAnsi="Calibri" w:cs="Chiller"/>
      <w:b/>
      <w:color w:val="231F1F"/>
      <w:kern w:val="0"/>
      <w:sz w:val="24"/>
      <w:szCs w:val="24"/>
    </w:rPr>
  </w:style>
  <w:style w:type="character" w:customStyle="1" w:styleId="242">
    <w:name w:val="批注框文本 Char1"/>
    <w:qFormat/>
    <w:uiPriority w:val="99"/>
    <w:rPr>
      <w:rFonts w:ascii="Calibri" w:hAnsi="Calibri"/>
      <w:sz w:val="18"/>
      <w:szCs w:val="18"/>
    </w:rPr>
  </w:style>
  <w:style w:type="character" w:customStyle="1" w:styleId="243">
    <w:name w:val="标题 8 Char"/>
    <w:qFormat/>
    <w:uiPriority w:val="99"/>
    <w:rPr>
      <w:rFonts w:ascii="Arial" w:hAnsi="Arial" w:eastAsia="黑体" w:cs="Times New Roman"/>
      <w:sz w:val="24"/>
      <w:szCs w:val="24"/>
    </w:rPr>
  </w:style>
  <w:style w:type="character" w:customStyle="1" w:styleId="244">
    <w:name w:val="报告正文 Char1"/>
    <w:link w:val="245"/>
    <w:qFormat/>
    <w:uiPriority w:val="0"/>
    <w:rPr>
      <w:rFonts w:ascii="宋体" w:hAnsi="宋体" w:eastAsia="宋体" w:cs="宋体"/>
      <w:sz w:val="24"/>
      <w:szCs w:val="21"/>
    </w:rPr>
  </w:style>
  <w:style w:type="paragraph" w:customStyle="1" w:styleId="245">
    <w:name w:val="报告正文"/>
    <w:basedOn w:val="1"/>
    <w:link w:val="244"/>
    <w:qFormat/>
    <w:uiPriority w:val="0"/>
    <w:pPr>
      <w:widowControl/>
      <w:adjustRightInd w:val="0"/>
      <w:snapToGrid w:val="0"/>
      <w:spacing w:beforeLines="50"/>
      <w:ind w:firstLine="200" w:firstLineChars="200"/>
      <w:jc w:val="left"/>
    </w:pPr>
    <w:rPr>
      <w:rFonts w:ascii="宋体" w:hAnsi="宋体" w:cs="宋体"/>
      <w:kern w:val="0"/>
      <w:sz w:val="24"/>
      <w:szCs w:val="21"/>
    </w:rPr>
  </w:style>
  <w:style w:type="character" w:customStyle="1" w:styleId="246">
    <w:name w:val="表正文 Char1"/>
    <w:link w:val="247"/>
    <w:unhideWhenUsed/>
    <w:qFormat/>
    <w:uiPriority w:val="0"/>
  </w:style>
  <w:style w:type="paragraph" w:customStyle="1" w:styleId="247">
    <w:name w:val="正文缩进2"/>
    <w:basedOn w:val="1"/>
    <w:link w:val="246"/>
    <w:unhideWhenUsed/>
    <w:qFormat/>
    <w:uiPriority w:val="0"/>
    <w:pPr>
      <w:ind w:firstLine="420" w:firstLineChars="200"/>
    </w:pPr>
  </w:style>
  <w:style w:type="character" w:customStyle="1" w:styleId="248">
    <w:name w:val="正文首行缩进 2 Char2"/>
    <w:qFormat/>
    <w:uiPriority w:val="99"/>
    <w:rPr>
      <w:rFonts w:ascii="Times New Roman" w:hAnsi="Times New Roman" w:eastAsia="宋体" w:cs="Times New Roman"/>
      <w:kern w:val="0"/>
      <w:sz w:val="20"/>
      <w:szCs w:val="24"/>
    </w:rPr>
  </w:style>
  <w:style w:type="character" w:customStyle="1" w:styleId="249">
    <w:name w:val="批注主题 字符"/>
    <w:link w:val="48"/>
    <w:qFormat/>
    <w:uiPriority w:val="99"/>
    <w:rPr>
      <w:rFonts w:ascii="Times New Roman" w:hAnsi="Times New Roman" w:eastAsia="宋体" w:cs="Times New Roman"/>
      <w:b/>
      <w:bCs/>
      <w:kern w:val="0"/>
      <w:sz w:val="20"/>
      <w:szCs w:val="21"/>
    </w:rPr>
  </w:style>
  <w:style w:type="character" w:customStyle="1" w:styleId="250">
    <w:name w:val="正文缩进 Char1"/>
    <w:qFormat/>
    <w:uiPriority w:val="99"/>
    <w:rPr>
      <w:rFonts w:ascii="Times New Roman" w:hAnsi="Times New Roman" w:eastAsia="宋体" w:cs="Times New Roman"/>
      <w:szCs w:val="21"/>
    </w:rPr>
  </w:style>
  <w:style w:type="character" w:customStyle="1" w:styleId="251">
    <w:name w:val="标题 5 字符"/>
    <w:semiHidden/>
    <w:qFormat/>
    <w:uiPriority w:val="9"/>
    <w:rPr>
      <w:b/>
      <w:bCs/>
      <w:sz w:val="28"/>
      <w:szCs w:val="28"/>
    </w:rPr>
  </w:style>
  <w:style w:type="character" w:customStyle="1" w:styleId="252">
    <w:name w:val="批注主题 Char2"/>
    <w:qFormat/>
    <w:uiPriority w:val="99"/>
    <w:rPr>
      <w:rFonts w:ascii="Times New Roman" w:hAnsi="Times New Roman" w:eastAsia="宋体" w:cs="Times New Roman"/>
      <w:b/>
      <w:bCs/>
      <w:kern w:val="0"/>
      <w:sz w:val="20"/>
      <w:szCs w:val="21"/>
    </w:rPr>
  </w:style>
  <w:style w:type="character" w:customStyle="1" w:styleId="253">
    <w:name w:val="页眉 Char2"/>
    <w:qFormat/>
    <w:uiPriority w:val="99"/>
    <w:rPr>
      <w:sz w:val="18"/>
      <w:szCs w:val="18"/>
    </w:rPr>
  </w:style>
  <w:style w:type="character" w:customStyle="1" w:styleId="254">
    <w:name w:val="标题 4 字符1"/>
    <w:link w:val="5"/>
    <w:qFormat/>
    <w:uiPriority w:val="0"/>
    <w:rPr>
      <w:rFonts w:ascii="Arial" w:hAnsi="Arial"/>
      <w:bCs/>
      <w:sz w:val="24"/>
      <w:szCs w:val="28"/>
      <w:lang w:val="zh-CN"/>
    </w:rPr>
  </w:style>
  <w:style w:type="character" w:customStyle="1" w:styleId="255">
    <w:name w:val="批注文字 Char2"/>
    <w:qFormat/>
    <w:uiPriority w:val="0"/>
  </w:style>
  <w:style w:type="character" w:customStyle="1" w:styleId="256">
    <w:name w:val="正文文本缩进 3 字符1"/>
    <w:link w:val="39"/>
    <w:qFormat/>
    <w:uiPriority w:val="0"/>
    <w:rPr>
      <w:rFonts w:ascii="宋体" w:hAnsi="Times New Roman" w:eastAsia="宋体"/>
      <w:color w:val="FF0000"/>
      <w:kern w:val="2"/>
      <w:sz w:val="28"/>
      <w:szCs w:val="24"/>
    </w:rPr>
  </w:style>
  <w:style w:type="character" w:customStyle="1" w:styleId="257">
    <w:name w:val="标题 1 Char3"/>
    <w:qFormat/>
    <w:uiPriority w:val="9"/>
    <w:rPr>
      <w:rFonts w:ascii="黑体" w:hAnsi="黑体" w:eastAsia="黑体"/>
      <w:sz w:val="32"/>
    </w:rPr>
  </w:style>
  <w:style w:type="character" w:customStyle="1" w:styleId="258">
    <w:name w:val="正文文本 Char1"/>
    <w:qFormat/>
    <w:uiPriority w:val="99"/>
  </w:style>
  <w:style w:type="character" w:customStyle="1" w:styleId="259">
    <w:name w:val="三级标题-书 Char"/>
    <w:link w:val="260"/>
    <w:qFormat/>
    <w:uiPriority w:val="0"/>
    <w:rPr>
      <w:rFonts w:ascii="Times New Roman" w:hAnsi="Times New Roman" w:eastAsia="宋体" w:cs="Arial"/>
      <w:b/>
      <w:sz w:val="28"/>
      <w:szCs w:val="20"/>
    </w:rPr>
  </w:style>
  <w:style w:type="paragraph" w:customStyle="1" w:styleId="260">
    <w:name w:val="三级标题-书"/>
    <w:basedOn w:val="80"/>
    <w:link w:val="259"/>
    <w:qFormat/>
    <w:uiPriority w:val="0"/>
    <w:pPr>
      <w:spacing w:line="360" w:lineRule="auto"/>
      <w:outlineLvl w:val="2"/>
    </w:pPr>
    <w:rPr>
      <w:sz w:val="28"/>
    </w:rPr>
  </w:style>
  <w:style w:type="character" w:customStyle="1" w:styleId="261">
    <w:name w:val="正文文本缩进 Char"/>
    <w:qFormat/>
    <w:uiPriority w:val="0"/>
    <w:rPr>
      <w:kern w:val="2"/>
      <w:sz w:val="21"/>
      <w:szCs w:val="24"/>
    </w:rPr>
  </w:style>
  <w:style w:type="character" w:customStyle="1" w:styleId="262">
    <w:name w:val="不明显强调1"/>
    <w:qFormat/>
    <w:uiPriority w:val="19"/>
    <w:rPr>
      <w:i/>
      <w:iCs/>
      <w:color w:val="404040"/>
    </w:rPr>
  </w:style>
  <w:style w:type="character" w:customStyle="1" w:styleId="263">
    <w:name w:val="正文首行缩进 2 字符"/>
    <w:qFormat/>
    <w:uiPriority w:val="99"/>
  </w:style>
  <w:style w:type="character" w:customStyle="1" w:styleId="264">
    <w:name w:val="表字-书 Char Char"/>
    <w:qFormat/>
    <w:uiPriority w:val="0"/>
    <w:rPr>
      <w:rFonts w:ascii="宋体" w:hAnsi="宋体" w:eastAsia="宋体" w:cs="Arial"/>
      <w:szCs w:val="21"/>
    </w:rPr>
  </w:style>
  <w:style w:type="character" w:customStyle="1" w:styleId="265">
    <w:name w:val="标题 4 字符"/>
    <w:qFormat/>
    <w:uiPriority w:val="0"/>
    <w:rPr>
      <w:rFonts w:ascii="等线 Light" w:hAnsi="等线 Light" w:eastAsia="等线 Light" w:cs="Times New Roman"/>
      <w:b/>
      <w:bCs/>
      <w:sz w:val="28"/>
      <w:szCs w:val="28"/>
    </w:rPr>
  </w:style>
  <w:style w:type="character" w:customStyle="1" w:styleId="266">
    <w:name w:val="YJ附图附件 Char"/>
    <w:link w:val="267"/>
    <w:qFormat/>
    <w:uiPriority w:val="0"/>
    <w:rPr>
      <w:b/>
      <w:sz w:val="24"/>
      <w:lang w:val="zh-CN"/>
    </w:rPr>
  </w:style>
  <w:style w:type="paragraph" w:customStyle="1" w:styleId="267">
    <w:name w:val="YJ附图附件"/>
    <w:basedOn w:val="1"/>
    <w:link w:val="266"/>
    <w:qFormat/>
    <w:uiPriority w:val="0"/>
    <w:pPr>
      <w:widowControl/>
      <w:spacing w:line="520" w:lineRule="exact"/>
      <w:ind w:firstLine="200" w:firstLineChars="200"/>
      <w:jc w:val="left"/>
      <w:outlineLvl w:val="0"/>
    </w:pPr>
    <w:rPr>
      <w:b/>
      <w:kern w:val="0"/>
      <w:sz w:val="24"/>
      <w:szCs w:val="20"/>
      <w:lang w:val="zh-CN"/>
    </w:rPr>
  </w:style>
  <w:style w:type="character" w:customStyle="1" w:styleId="268">
    <w:name w:val="标题 5 Char3"/>
    <w:qFormat/>
    <w:uiPriority w:val="9"/>
    <w:rPr>
      <w:rFonts w:ascii="Times New Roman" w:hAnsi="Times New Roman" w:eastAsia="宋体" w:cs="Times New Roman"/>
      <w:b/>
      <w:bCs/>
      <w:kern w:val="0"/>
      <w:sz w:val="28"/>
      <w:szCs w:val="28"/>
    </w:rPr>
  </w:style>
  <w:style w:type="character" w:customStyle="1" w:styleId="269">
    <w:name w:val="正文缩进 字符"/>
    <w:link w:val="14"/>
    <w:qFormat/>
    <w:uiPriority w:val="0"/>
    <w:rPr>
      <w:rFonts w:ascii="Times New Roman" w:hAnsi="Times New Roman" w:eastAsia="宋体" w:cs="Times New Roman"/>
      <w:szCs w:val="21"/>
    </w:rPr>
  </w:style>
  <w:style w:type="character" w:customStyle="1" w:styleId="270">
    <w:name w:val="不明显参考11"/>
    <w:qFormat/>
    <w:uiPriority w:val="31"/>
    <w:rPr>
      <w:smallCaps/>
      <w:color w:val="5A5A5A"/>
    </w:rPr>
  </w:style>
  <w:style w:type="character" w:customStyle="1" w:styleId="271">
    <w:name w:val="纯文本 Char2"/>
    <w:qFormat/>
    <w:uiPriority w:val="99"/>
    <w:rPr>
      <w:rFonts w:ascii="宋体" w:hAnsi="Courier New" w:eastAsia="宋体" w:cs="Times New Roman"/>
      <w:kern w:val="0"/>
      <w:sz w:val="24"/>
      <w:szCs w:val="20"/>
    </w:rPr>
  </w:style>
  <w:style w:type="character" w:customStyle="1" w:styleId="272">
    <w:name w:val="ZQL-表图标题 Char"/>
    <w:link w:val="273"/>
    <w:qFormat/>
    <w:uiPriority w:val="0"/>
    <w:rPr>
      <w:b/>
    </w:rPr>
  </w:style>
  <w:style w:type="paragraph" w:customStyle="1" w:styleId="273">
    <w:name w:val="ZQL-表图标题"/>
    <w:basedOn w:val="1"/>
    <w:link w:val="272"/>
    <w:qFormat/>
    <w:uiPriority w:val="0"/>
    <w:pPr>
      <w:widowControl/>
      <w:adjustRightInd w:val="0"/>
      <w:snapToGrid w:val="0"/>
      <w:spacing w:line="500" w:lineRule="exact"/>
      <w:jc w:val="center"/>
      <w:outlineLvl w:val="1"/>
    </w:pPr>
    <w:rPr>
      <w:b/>
      <w:kern w:val="0"/>
      <w:sz w:val="20"/>
      <w:szCs w:val="20"/>
    </w:rPr>
  </w:style>
  <w:style w:type="character" w:customStyle="1" w:styleId="274">
    <w:name w:val="正文文本缩进 Char2"/>
    <w:qFormat/>
    <w:uiPriority w:val="99"/>
    <w:rPr>
      <w:rFonts w:ascii="Times New Roman" w:hAnsi="Times New Roman" w:eastAsia="宋体" w:cs="Times New Roman"/>
      <w:kern w:val="0"/>
      <w:sz w:val="20"/>
      <w:szCs w:val="24"/>
    </w:rPr>
  </w:style>
  <w:style w:type="character" w:customStyle="1" w:styleId="275">
    <w:name w:val="标题 5 Char"/>
    <w:qFormat/>
    <w:uiPriority w:val="9"/>
    <w:rPr>
      <w:rFonts w:eastAsia="宋体" w:cs="Times New Roman"/>
      <w:b/>
      <w:bCs/>
      <w:kern w:val="2"/>
      <w:sz w:val="28"/>
      <w:szCs w:val="28"/>
    </w:rPr>
  </w:style>
  <w:style w:type="character" w:customStyle="1" w:styleId="276">
    <w:name w:val="标题 7 Char3"/>
    <w:qFormat/>
    <w:uiPriority w:val="9"/>
    <w:rPr>
      <w:rFonts w:ascii="Times New Roman" w:hAnsi="Times New Roman" w:eastAsia="宋体" w:cs="Times New Roman"/>
      <w:b/>
      <w:bCs/>
      <w:kern w:val="0"/>
      <w:sz w:val="24"/>
      <w:szCs w:val="24"/>
    </w:rPr>
  </w:style>
  <w:style w:type="character" w:customStyle="1" w:styleId="277">
    <w:name w:val="MEL表字-书 字符"/>
    <w:link w:val="278"/>
    <w:qFormat/>
    <w:uiPriority w:val="0"/>
    <w:rPr>
      <w:rFonts w:ascii="宋体" w:hAnsi="宋体"/>
      <w:sz w:val="21"/>
      <w:szCs w:val="21"/>
    </w:rPr>
  </w:style>
  <w:style w:type="paragraph" w:customStyle="1" w:styleId="278">
    <w:name w:val="MEL表字-书"/>
    <w:basedOn w:val="1"/>
    <w:link w:val="277"/>
    <w:qFormat/>
    <w:uiPriority w:val="0"/>
    <w:pPr>
      <w:spacing w:line="240" w:lineRule="exact"/>
      <w:jc w:val="center"/>
    </w:pPr>
    <w:rPr>
      <w:rFonts w:ascii="宋体" w:hAnsi="宋体"/>
      <w:kern w:val="0"/>
      <w:szCs w:val="21"/>
    </w:rPr>
  </w:style>
  <w:style w:type="character" w:customStyle="1" w:styleId="279">
    <w:name w:val="明显引用 Char"/>
    <w:qFormat/>
    <w:uiPriority w:val="30"/>
    <w:rPr>
      <w:rFonts w:eastAsia="宋体" w:cs="Times New Roman"/>
      <w:i/>
      <w:iCs/>
      <w:color w:val="4F81BD"/>
      <w:kern w:val="2"/>
      <w:sz w:val="24"/>
      <w:szCs w:val="22"/>
    </w:rPr>
  </w:style>
  <w:style w:type="character" w:customStyle="1" w:styleId="280">
    <w:name w:val="引用 字符1"/>
    <w:link w:val="281"/>
    <w:qFormat/>
    <w:uiPriority w:val="29"/>
    <w:rPr>
      <w:rFonts w:ascii="Times New Roman" w:hAnsi="Times New Roman" w:eastAsia="宋体" w:cs="Times New Roman"/>
      <w:i/>
      <w:iCs/>
      <w:color w:val="404040"/>
      <w:sz w:val="24"/>
    </w:rPr>
  </w:style>
  <w:style w:type="paragraph" w:customStyle="1" w:styleId="281">
    <w:name w:val="引用2"/>
    <w:basedOn w:val="1"/>
    <w:next w:val="1"/>
    <w:link w:val="280"/>
    <w:qFormat/>
    <w:uiPriority w:val="29"/>
    <w:pPr>
      <w:spacing w:before="200" w:after="160" w:line="500" w:lineRule="exact"/>
      <w:ind w:left="864" w:right="864" w:firstLine="200" w:firstLineChars="200"/>
      <w:jc w:val="center"/>
    </w:pPr>
    <w:rPr>
      <w:rFonts w:ascii="Times New Roman" w:hAnsi="Times New Roman"/>
      <w:i/>
      <w:iCs/>
      <w:color w:val="404040"/>
      <w:kern w:val="0"/>
      <w:sz w:val="24"/>
      <w:szCs w:val="20"/>
    </w:rPr>
  </w:style>
  <w:style w:type="character" w:customStyle="1" w:styleId="282">
    <w:name w:val="文档结构图 Char"/>
    <w:qFormat/>
    <w:uiPriority w:val="0"/>
    <w:rPr>
      <w:rFonts w:ascii="宋体"/>
      <w:kern w:val="2"/>
      <w:sz w:val="18"/>
      <w:szCs w:val="18"/>
    </w:rPr>
  </w:style>
  <w:style w:type="character" w:customStyle="1" w:styleId="283">
    <w:name w:val="表格 Char"/>
    <w:link w:val="284"/>
    <w:qFormat/>
    <w:uiPriority w:val="0"/>
    <w:rPr>
      <w:rFonts w:ascii="宋体" w:hAnsi="Times New Roman"/>
      <w:spacing w:val="6"/>
      <w:szCs w:val="21"/>
    </w:rPr>
  </w:style>
  <w:style w:type="paragraph" w:customStyle="1" w:styleId="284">
    <w:name w:val="表格"/>
    <w:basedOn w:val="1"/>
    <w:link w:val="283"/>
    <w:qFormat/>
    <w:uiPriority w:val="0"/>
    <w:pPr>
      <w:spacing w:before="40" w:after="40"/>
      <w:jc w:val="center"/>
      <w:textAlignment w:val="center"/>
    </w:pPr>
    <w:rPr>
      <w:rFonts w:ascii="宋体" w:hAnsi="Times New Roman"/>
      <w:spacing w:val="6"/>
      <w:kern w:val="0"/>
      <w:sz w:val="20"/>
      <w:szCs w:val="21"/>
    </w:rPr>
  </w:style>
  <w:style w:type="character" w:customStyle="1" w:styleId="285">
    <w:name w:val="表字-书 Char"/>
    <w:link w:val="286"/>
    <w:qFormat/>
    <w:uiPriority w:val="0"/>
    <w:rPr>
      <w:rFonts w:ascii="宋体" w:hAnsi="宋体" w:eastAsia="宋体" w:cs="Arial"/>
      <w:szCs w:val="21"/>
    </w:rPr>
  </w:style>
  <w:style w:type="paragraph" w:customStyle="1" w:styleId="286">
    <w:name w:val="表字-书"/>
    <w:basedOn w:val="1"/>
    <w:link w:val="285"/>
    <w:qFormat/>
    <w:uiPriority w:val="0"/>
    <w:pPr>
      <w:spacing w:line="300" w:lineRule="atLeast"/>
      <w:jc w:val="center"/>
    </w:pPr>
    <w:rPr>
      <w:rFonts w:ascii="宋体" w:hAnsi="宋体"/>
      <w:kern w:val="0"/>
      <w:sz w:val="20"/>
      <w:szCs w:val="21"/>
    </w:rPr>
  </w:style>
  <w:style w:type="character" w:customStyle="1" w:styleId="287">
    <w:name w:val="明显参考1"/>
    <w:qFormat/>
    <w:uiPriority w:val="32"/>
    <w:rPr>
      <w:b/>
      <w:bCs/>
      <w:smallCaps/>
      <w:color w:val="4F81BD"/>
      <w:spacing w:val="5"/>
    </w:rPr>
  </w:style>
  <w:style w:type="character" w:customStyle="1" w:styleId="288">
    <w:name w:val="标题 4 Char3"/>
    <w:qFormat/>
    <w:uiPriority w:val="0"/>
    <w:rPr>
      <w:rFonts w:ascii="Arial" w:hAnsi="Arial" w:eastAsia="黑体"/>
      <w:b/>
      <w:bCs/>
      <w:kern w:val="2"/>
      <w:sz w:val="28"/>
      <w:szCs w:val="28"/>
      <w:lang w:val="en-US" w:eastAsia="zh-CN" w:bidi="ar-SA"/>
    </w:rPr>
  </w:style>
  <w:style w:type="character" w:customStyle="1" w:styleId="289">
    <w:name w:val="正文首行缩进 Char"/>
    <w:qFormat/>
    <w:uiPriority w:val="99"/>
    <w:rPr>
      <w:rFonts w:hint="eastAsia" w:ascii="宋体" w:hAnsi="宋体" w:eastAsia="宋体" w:cs="宋体"/>
      <w:sz w:val="24"/>
      <w:szCs w:val="24"/>
    </w:rPr>
  </w:style>
  <w:style w:type="character" w:customStyle="1" w:styleId="290">
    <w:name w:val="正文文本 3 字符"/>
    <w:semiHidden/>
    <w:qFormat/>
    <w:uiPriority w:val="99"/>
    <w:rPr>
      <w:kern w:val="2"/>
      <w:sz w:val="16"/>
      <w:szCs w:val="16"/>
    </w:rPr>
  </w:style>
  <w:style w:type="character" w:customStyle="1" w:styleId="291">
    <w:name w:val="正文文本缩进 字符"/>
    <w:qFormat/>
    <w:uiPriority w:val="0"/>
  </w:style>
  <w:style w:type="character" w:customStyle="1" w:styleId="292">
    <w:name w:val="批注文字 字符2"/>
    <w:semiHidden/>
    <w:qFormat/>
    <w:uiPriority w:val="99"/>
    <w:rPr>
      <w:rFonts w:ascii="等线" w:hAnsi="等线" w:eastAsia="等线" w:cs="Times New Roman"/>
    </w:rPr>
  </w:style>
  <w:style w:type="character" w:customStyle="1" w:styleId="293">
    <w:name w:val="纯文本 字符"/>
    <w:qFormat/>
    <w:uiPriority w:val="0"/>
    <w:rPr>
      <w:rFonts w:ascii="等线" w:hAnsi="Courier New" w:cs="Courier New"/>
    </w:rPr>
  </w:style>
  <w:style w:type="paragraph" w:customStyle="1" w:styleId="294">
    <w:name w:val="修订2"/>
    <w:unhideWhenUsed/>
    <w:qFormat/>
    <w:uiPriority w:val="99"/>
    <w:rPr>
      <w:rFonts w:ascii="Calibri" w:hAnsi="Calibri" w:eastAsia="宋体" w:cs="Times New Roman"/>
      <w:kern w:val="2"/>
      <w:sz w:val="21"/>
      <w:szCs w:val="21"/>
      <w:lang w:val="en-US" w:eastAsia="zh-CN" w:bidi="ar-SA"/>
    </w:rPr>
  </w:style>
  <w:style w:type="paragraph" w:customStyle="1" w:styleId="295">
    <w:name w:val="正文3"/>
    <w:basedOn w:val="1"/>
    <w:qFormat/>
    <w:uiPriority w:val="99"/>
    <w:pPr>
      <w:widowControl/>
    </w:pPr>
    <w:rPr>
      <w:rFonts w:ascii="Times New Roman" w:hAnsi="Times New Roman"/>
      <w:szCs w:val="21"/>
    </w:rPr>
  </w:style>
  <w:style w:type="paragraph" w:customStyle="1" w:styleId="296">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297">
    <w:name w:val="样式 标题 3 + (中文) 楷体_GB2312 小四 非加粗 段前: 10 磅 段后: 10 磅"/>
    <w:qFormat/>
    <w:uiPriority w:val="0"/>
    <w:pPr>
      <w:spacing w:line="360" w:lineRule="auto"/>
    </w:pPr>
    <w:rPr>
      <w:rFonts w:ascii="Calibri" w:hAnsi="Calibri" w:eastAsia="楷体_GB2312" w:cs="宋体"/>
      <w:b/>
      <w:bCs/>
      <w:sz w:val="24"/>
      <w:lang w:val="en-US" w:eastAsia="zh-CN" w:bidi="ar-SA"/>
    </w:rPr>
  </w:style>
  <w:style w:type="paragraph" w:customStyle="1" w:styleId="298">
    <w:name w:val="Char Char20 Char Char"/>
    <w:basedOn w:val="1"/>
    <w:qFormat/>
    <w:uiPriority w:val="99"/>
    <w:rPr>
      <w:rFonts w:ascii="Times New Roman" w:hAnsi="Times New Roman"/>
      <w:szCs w:val="24"/>
    </w:rPr>
  </w:style>
  <w:style w:type="paragraph" w:customStyle="1" w:styleId="299">
    <w:name w:val="正文8"/>
    <w:qFormat/>
    <w:uiPriority w:val="99"/>
    <w:pPr>
      <w:jc w:val="both"/>
    </w:pPr>
    <w:rPr>
      <w:rFonts w:ascii="Calibri" w:hAnsi="Calibri" w:eastAsia="宋体" w:cs="Times New Roman"/>
      <w:kern w:val="2"/>
      <w:sz w:val="21"/>
      <w:szCs w:val="21"/>
      <w:lang w:val="en-US" w:eastAsia="zh-CN" w:bidi="ar-SA"/>
    </w:rPr>
  </w:style>
  <w:style w:type="paragraph" w:customStyle="1" w:styleId="300">
    <w:name w:val="font6"/>
    <w:basedOn w:val="1"/>
    <w:qFormat/>
    <w:uiPriority w:val="99"/>
    <w:pPr>
      <w:widowControl/>
      <w:spacing w:before="100" w:beforeAutospacing="1" w:after="100" w:afterAutospacing="1"/>
      <w:jc w:val="left"/>
    </w:pPr>
    <w:rPr>
      <w:rFonts w:ascii="等线" w:hAnsi="等线" w:eastAsia="等线" w:cs="宋体"/>
      <w:kern w:val="0"/>
      <w:sz w:val="18"/>
      <w:szCs w:val="18"/>
    </w:rPr>
  </w:style>
  <w:style w:type="paragraph" w:customStyle="1" w:styleId="301">
    <w:name w:val="表"/>
    <w:basedOn w:val="1"/>
    <w:qFormat/>
    <w:uiPriority w:val="99"/>
    <w:pPr>
      <w:snapToGrid w:val="0"/>
      <w:spacing w:line="400" w:lineRule="exact"/>
      <w:jc w:val="center"/>
    </w:pPr>
    <w:rPr>
      <w:rFonts w:ascii="Times New Roman" w:hAnsi="Times New Roman"/>
      <w:spacing w:val="2"/>
      <w:szCs w:val="20"/>
    </w:rPr>
  </w:style>
  <w:style w:type="paragraph" w:styleId="302">
    <w:name w:val="List Paragraph"/>
    <w:basedOn w:val="1"/>
    <w:link w:val="502"/>
    <w:qFormat/>
    <w:uiPriority w:val="1"/>
    <w:pPr>
      <w:ind w:firstLine="420" w:firstLineChars="200"/>
    </w:pPr>
    <w:rPr>
      <w:rFonts w:ascii="Times New Roman" w:hAnsi="Times New Roman"/>
      <w:szCs w:val="21"/>
    </w:rPr>
  </w:style>
  <w:style w:type="paragraph" w:customStyle="1" w:styleId="303">
    <w:name w:val="样式 Arial 五号 非加粗 居中 行距: 固定值 12 磅"/>
    <w:basedOn w:val="1"/>
    <w:qFormat/>
    <w:uiPriority w:val="99"/>
    <w:pPr>
      <w:spacing w:line="240" w:lineRule="exact"/>
      <w:jc w:val="center"/>
    </w:pPr>
    <w:rPr>
      <w:rFonts w:ascii="Arial" w:hAnsi="宋体"/>
      <w:szCs w:val="20"/>
    </w:rPr>
  </w:style>
  <w:style w:type="paragraph" w:customStyle="1" w:styleId="304">
    <w:name w:val="正文秦斐"/>
    <w:basedOn w:val="1"/>
    <w:qFormat/>
    <w:uiPriority w:val="0"/>
    <w:pPr>
      <w:snapToGrid w:val="0"/>
      <w:spacing w:line="360" w:lineRule="auto"/>
      <w:ind w:firstLine="560" w:firstLineChars="200"/>
    </w:pPr>
    <w:rPr>
      <w:rFonts w:ascii="仿宋" w:hAnsi="仿宋" w:eastAsia="仿宋"/>
      <w:sz w:val="28"/>
      <w:szCs w:val="28"/>
    </w:rPr>
  </w:style>
  <w:style w:type="paragraph" w:customStyle="1" w:styleId="305">
    <w:name w:val="表格小"/>
    <w:basedOn w:val="1"/>
    <w:qFormat/>
    <w:uiPriority w:val="99"/>
    <w:pPr>
      <w:widowControl/>
      <w:jc w:val="center"/>
    </w:pPr>
    <w:rPr>
      <w:sz w:val="18"/>
      <w:szCs w:val="20"/>
    </w:rPr>
  </w:style>
  <w:style w:type="paragraph" w:customStyle="1" w:styleId="306">
    <w:name w:val="5级正文"/>
    <w:basedOn w:val="1"/>
    <w:next w:val="78"/>
    <w:qFormat/>
    <w:uiPriority w:val="99"/>
    <w:pPr>
      <w:numPr>
        <w:ilvl w:val="0"/>
        <w:numId w:val="2"/>
      </w:numPr>
      <w:spacing w:line="360" w:lineRule="auto"/>
      <w:outlineLvl w:val="4"/>
    </w:pPr>
    <w:rPr>
      <w:rFonts w:ascii="Times New Roman" w:hAnsi="Times New Roman"/>
      <w:b/>
      <w:sz w:val="24"/>
      <w:szCs w:val="24"/>
    </w:rPr>
  </w:style>
  <w:style w:type="paragraph" w:customStyle="1" w:styleId="307">
    <w:name w:val="正文4"/>
    <w:qFormat/>
    <w:uiPriority w:val="99"/>
    <w:pPr>
      <w:jc w:val="both"/>
    </w:pPr>
    <w:rPr>
      <w:rFonts w:ascii="Calibri" w:hAnsi="Calibri" w:eastAsia="宋体" w:cs="Times New Roman"/>
      <w:kern w:val="2"/>
      <w:sz w:val="21"/>
      <w:szCs w:val="21"/>
      <w:lang w:val="en-US" w:eastAsia="zh-CN" w:bidi="ar-SA"/>
    </w:rPr>
  </w:style>
  <w:style w:type="paragraph" w:customStyle="1" w:styleId="308">
    <w:name w:val="样式 正文首行缩进 + 首行缩进:  2 字符"/>
    <w:basedOn w:val="49"/>
    <w:qFormat/>
    <w:uiPriority w:val="0"/>
    <w:pPr>
      <w:widowControl w:val="0"/>
      <w:spacing w:after="0" w:line="520" w:lineRule="exact"/>
      <w:ind w:firstLine="520" w:firstLineChars="200"/>
      <w:jc w:val="both"/>
    </w:pPr>
    <w:rPr>
      <w:rFonts w:ascii="Times New Roman" w:hAnsi="Times New Roman" w:cs="宋体"/>
      <w:spacing w:val="10"/>
      <w:kern w:val="2"/>
      <w:sz w:val="26"/>
      <w:szCs w:val="20"/>
    </w:rPr>
  </w:style>
  <w:style w:type="paragraph" w:customStyle="1" w:styleId="309">
    <w:name w:val="燕山正文"/>
    <w:basedOn w:val="1"/>
    <w:qFormat/>
    <w:uiPriority w:val="0"/>
    <w:pPr>
      <w:tabs>
        <w:tab w:val="left" w:pos="4680"/>
      </w:tabs>
      <w:adjustRightInd w:val="0"/>
      <w:snapToGrid w:val="0"/>
      <w:spacing w:line="500" w:lineRule="exact"/>
      <w:ind w:firstLine="456" w:firstLineChars="200"/>
    </w:pPr>
    <w:rPr>
      <w:rFonts w:ascii="宋体" w:hAnsi="宋体"/>
      <w:snapToGrid w:val="0"/>
      <w:color w:val="000000"/>
      <w:spacing w:val="-6"/>
      <w:kern w:val="0"/>
      <w:sz w:val="24"/>
      <w:szCs w:val="24"/>
      <w:shd w:val="clear" w:color="auto" w:fill="FFFFFF"/>
    </w:rPr>
  </w:style>
  <w:style w:type="paragraph" w:customStyle="1" w:styleId="310">
    <w:name w:val="修订1"/>
    <w:unhideWhenUsed/>
    <w:qFormat/>
    <w:uiPriority w:val="99"/>
    <w:rPr>
      <w:rFonts w:ascii="Calibri" w:hAnsi="Calibri" w:eastAsia="宋体" w:cs="Times New Roman"/>
      <w:kern w:val="2"/>
      <w:sz w:val="21"/>
      <w:szCs w:val="21"/>
      <w:lang w:val="en-US" w:eastAsia="zh-CN" w:bidi="ar-SA"/>
    </w:rPr>
  </w:style>
  <w:style w:type="paragraph" w:customStyle="1" w:styleId="311">
    <w:name w:val="引用1"/>
    <w:basedOn w:val="1"/>
    <w:next w:val="1"/>
    <w:qFormat/>
    <w:uiPriority w:val="29"/>
    <w:pPr>
      <w:spacing w:before="200" w:after="160" w:line="500" w:lineRule="exact"/>
      <w:ind w:left="864" w:right="864" w:firstLine="200" w:firstLineChars="200"/>
      <w:jc w:val="center"/>
    </w:pPr>
    <w:rPr>
      <w:i/>
      <w:iCs/>
      <w:color w:val="404040"/>
      <w:sz w:val="24"/>
    </w:rPr>
  </w:style>
  <w:style w:type="paragraph" w:customStyle="1" w:styleId="312">
    <w:name w:val="表格后"/>
    <w:basedOn w:val="1"/>
    <w:next w:val="1"/>
    <w:qFormat/>
    <w:uiPriority w:val="0"/>
    <w:pPr>
      <w:spacing w:beforeLines="50" w:line="360" w:lineRule="auto"/>
      <w:ind w:firstLine="200" w:firstLineChars="200"/>
    </w:pPr>
    <w:rPr>
      <w:rFonts w:ascii="Times New Roman" w:hAnsi="Times New Roman"/>
      <w:sz w:val="24"/>
      <w:szCs w:val="24"/>
    </w:rPr>
  </w:style>
  <w:style w:type="paragraph" w:customStyle="1" w:styleId="313">
    <w:name w:val="0正文 塔中"/>
    <w:basedOn w:val="1"/>
    <w:qFormat/>
    <w:uiPriority w:val="99"/>
    <w:pPr>
      <w:spacing w:line="360" w:lineRule="auto"/>
      <w:ind w:firstLine="200" w:firstLineChars="200"/>
    </w:pPr>
    <w:rPr>
      <w:rFonts w:ascii="Times New Roman" w:hAnsi="Times New Roman"/>
      <w:sz w:val="24"/>
      <w:szCs w:val="24"/>
    </w:rPr>
  </w:style>
  <w:style w:type="paragraph" w:customStyle="1" w:styleId="314">
    <w:name w:val="标准"/>
    <w:basedOn w:val="1"/>
    <w:qFormat/>
    <w:uiPriority w:val="0"/>
    <w:pPr>
      <w:adjustRightInd w:val="0"/>
      <w:spacing w:before="120" w:line="336" w:lineRule="auto"/>
      <w:jc w:val="center"/>
    </w:pPr>
    <w:rPr>
      <w:rFonts w:hint="eastAsia" w:ascii="黑体" w:hAnsi="Times New Roman" w:eastAsia="黑体"/>
      <w:szCs w:val="20"/>
    </w:rPr>
  </w:style>
  <w:style w:type="paragraph" w:customStyle="1" w:styleId="315">
    <w:name w:val="4 正文"/>
    <w:basedOn w:val="1"/>
    <w:qFormat/>
    <w:uiPriority w:val="0"/>
    <w:pPr>
      <w:spacing w:line="500" w:lineRule="exact"/>
      <w:ind w:firstLine="200" w:firstLineChars="200"/>
    </w:pPr>
    <w:rPr>
      <w:rFonts w:ascii="Times New Roman" w:hAnsi="Times New Roman"/>
      <w:sz w:val="24"/>
      <w:szCs w:val="24"/>
      <w:lang w:val="zh-CN"/>
    </w:rPr>
  </w:style>
  <w:style w:type="paragraph" w:customStyle="1" w:styleId="316">
    <w:name w:val="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317">
    <w:name w:val="自标4"/>
    <w:basedOn w:val="5"/>
    <w:qFormat/>
    <w:uiPriority w:val="0"/>
    <w:pPr>
      <w:spacing w:line="360" w:lineRule="auto"/>
    </w:pPr>
    <w:rPr>
      <w:rFonts w:ascii="宋体"/>
      <w:b/>
      <w:kern w:val="2"/>
      <w:lang w:val="en-US"/>
    </w:rPr>
  </w:style>
  <w:style w:type="paragraph" w:customStyle="1" w:styleId="318">
    <w:name w:val="yf_正文"/>
    <w:basedOn w:val="1"/>
    <w:qFormat/>
    <w:uiPriority w:val="99"/>
    <w:pPr>
      <w:widowControl/>
      <w:spacing w:line="324" w:lineRule="auto"/>
      <w:ind w:firstLine="480" w:firstLineChars="200"/>
    </w:pPr>
    <w:rPr>
      <w:rFonts w:ascii="Times New Roman" w:hAnsi="Times New Roman"/>
      <w:sz w:val="24"/>
      <w:szCs w:val="24"/>
    </w:rPr>
  </w:style>
  <w:style w:type="paragraph" w:customStyle="1" w:styleId="319">
    <w:name w:val="图表标题"/>
    <w:basedOn w:val="1"/>
    <w:qFormat/>
    <w:uiPriority w:val="0"/>
    <w:pPr>
      <w:snapToGrid w:val="0"/>
      <w:spacing w:line="500" w:lineRule="exact"/>
      <w:jc w:val="center"/>
    </w:pPr>
    <w:rPr>
      <w:rFonts w:ascii="Times New Roman" w:hAnsi="Times New Roman"/>
      <w:b/>
      <w:bCs/>
      <w:kern w:val="0"/>
      <w:szCs w:val="21"/>
    </w:rPr>
  </w:style>
  <w:style w:type="paragraph" w:customStyle="1" w:styleId="320">
    <w:name w:val="Char Char3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321">
    <w:name w:val="例"/>
    <w:basedOn w:val="1"/>
    <w:qFormat/>
    <w:uiPriority w:val="0"/>
    <w:pPr>
      <w:widowControl/>
      <w:spacing w:line="500" w:lineRule="exact"/>
      <w:ind w:firstLine="720" w:firstLineChars="257"/>
    </w:pPr>
    <w:rPr>
      <w:rFonts w:ascii="仿宋_GB2312" w:hAnsi="Times New Roman" w:eastAsia="仿宋_GB2312"/>
      <w:bCs/>
      <w:sz w:val="28"/>
      <w:szCs w:val="24"/>
    </w:rPr>
  </w:style>
  <w:style w:type="paragraph" w:customStyle="1" w:styleId="322">
    <w:name w:val="表格内容"/>
    <w:basedOn w:val="1"/>
    <w:next w:val="1"/>
    <w:qFormat/>
    <w:uiPriority w:val="0"/>
    <w:pPr>
      <w:spacing w:line="240" w:lineRule="exact"/>
      <w:jc w:val="center"/>
    </w:pPr>
    <w:rPr>
      <w:rFonts w:ascii="宋体" w:hAnsi="宋体"/>
      <w:color w:val="000000"/>
      <w:w w:val="50"/>
      <w:sz w:val="18"/>
      <w:szCs w:val="18"/>
    </w:rPr>
  </w:style>
  <w:style w:type="paragraph" w:customStyle="1" w:styleId="323">
    <w:name w:val="样式 正文首行缩进 + 首行缩进:  2 字符1"/>
    <w:basedOn w:val="49"/>
    <w:qFormat/>
    <w:uiPriority w:val="0"/>
    <w:pPr>
      <w:widowControl w:val="0"/>
      <w:spacing w:after="0" w:line="360" w:lineRule="auto"/>
      <w:ind w:firstLine="480" w:firstLineChars="200"/>
      <w:jc w:val="both"/>
    </w:pPr>
    <w:rPr>
      <w:rFonts w:ascii="Times New Roman" w:hAnsi="Times New Roman"/>
      <w:kern w:val="2"/>
    </w:rPr>
  </w:style>
  <w:style w:type="paragraph" w:customStyle="1" w:styleId="324">
    <w:name w:val="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325">
    <w:name w:val="报告"/>
    <w:basedOn w:val="1"/>
    <w:qFormat/>
    <w:uiPriority w:val="99"/>
    <w:pPr>
      <w:adjustRightInd w:val="0"/>
      <w:spacing w:line="360" w:lineRule="auto"/>
      <w:ind w:firstLine="505"/>
      <w:textAlignment w:val="baseline"/>
    </w:pPr>
    <w:rPr>
      <w:rFonts w:ascii="Times New Roman" w:hAnsi="Times New Roman"/>
      <w:kern w:val="0"/>
      <w:sz w:val="24"/>
      <w:szCs w:val="20"/>
    </w:rPr>
  </w:style>
  <w:style w:type="paragraph" w:customStyle="1" w:styleId="326">
    <w:name w:val="样式 燕山正文 + 首行缩进:  3.5 字符2"/>
    <w:basedOn w:val="309"/>
    <w:qFormat/>
    <w:uiPriority w:val="0"/>
    <w:rPr>
      <w:szCs w:val="20"/>
    </w:rPr>
  </w:style>
  <w:style w:type="paragraph" w:customStyle="1" w:styleId="327">
    <w:name w:val="列出段落11"/>
    <w:basedOn w:val="1"/>
    <w:qFormat/>
    <w:uiPriority w:val="34"/>
    <w:pPr>
      <w:ind w:firstLine="420" w:firstLineChars="200"/>
    </w:pPr>
    <w:rPr>
      <w:szCs w:val="21"/>
    </w:rPr>
  </w:style>
  <w:style w:type="paragraph" w:customStyle="1" w:styleId="328">
    <w:name w:val="TOC 标题1"/>
    <w:basedOn w:val="3"/>
    <w:next w:val="1"/>
    <w:unhideWhenUsed/>
    <w:qFormat/>
    <w:uiPriority w:val="39"/>
    <w:pPr>
      <w:keepNext w:val="0"/>
      <w:keepLines/>
      <w:widowControl w:val="0"/>
      <w:numPr>
        <w:numId w:val="0"/>
      </w:numPr>
      <w:spacing w:before="240" w:after="0" w:line="259" w:lineRule="auto"/>
      <w:jc w:val="both"/>
      <w:outlineLvl w:val="9"/>
    </w:pPr>
    <w:rPr>
      <w:rFonts w:ascii="Cambria" w:hAnsi="Cambria" w:eastAsia="宋体"/>
      <w:color w:val="366091"/>
      <w:kern w:val="0"/>
      <w:szCs w:val="32"/>
    </w:rPr>
  </w:style>
  <w:style w:type="paragraph" w:customStyle="1" w:styleId="329">
    <w:name w:val="正文缩进1"/>
    <w:basedOn w:val="1"/>
    <w:qFormat/>
    <w:uiPriority w:val="0"/>
    <w:pPr>
      <w:ind w:firstLine="420" w:firstLineChars="200"/>
    </w:pPr>
    <w:rPr>
      <w:rFonts w:ascii="Times New Roman" w:hAnsi="Times New Roman"/>
      <w:szCs w:val="20"/>
    </w:rPr>
  </w:style>
  <w:style w:type="paragraph" w:customStyle="1" w:styleId="330">
    <w:name w:val="表格标题"/>
    <w:basedOn w:val="19"/>
    <w:qFormat/>
    <w:uiPriority w:val="0"/>
    <w:pPr>
      <w:spacing w:before="156" w:beforeLines="50" w:after="156" w:afterLines="50" w:line="360" w:lineRule="auto"/>
      <w:jc w:val="center"/>
    </w:pPr>
    <w:rPr>
      <w:rFonts w:ascii="黑体" w:hAnsi="Times New Roman" w:eastAsia="黑体"/>
      <w:kern w:val="40"/>
      <w:sz w:val="24"/>
      <w:szCs w:val="30"/>
    </w:rPr>
  </w:style>
  <w:style w:type="paragraph" w:customStyle="1" w:styleId="331">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332">
    <w:name w:val="JXU-正文"/>
    <w:qFormat/>
    <w:uiPriority w:val="99"/>
    <w:pPr>
      <w:widowControl w:val="0"/>
      <w:adjustRightInd w:val="0"/>
      <w:snapToGrid w:val="0"/>
      <w:spacing w:line="500" w:lineRule="exact"/>
      <w:ind w:firstLine="510"/>
    </w:pPr>
    <w:rPr>
      <w:rFonts w:ascii="Calibri" w:hAnsi="Calibri" w:eastAsia="宋体" w:cs="Times New Roman"/>
      <w:color w:val="000000"/>
      <w:kern w:val="2"/>
      <w:sz w:val="24"/>
      <w:szCs w:val="24"/>
      <w:lang w:val="en-US" w:eastAsia="zh-CN" w:bidi="ar-SA"/>
    </w:rPr>
  </w:style>
  <w:style w:type="paragraph" w:customStyle="1" w:styleId="333">
    <w:name w:val="正文 内容"/>
    <w:basedOn w:val="1"/>
    <w:qFormat/>
    <w:uiPriority w:val="0"/>
    <w:pPr>
      <w:autoSpaceDE w:val="0"/>
      <w:autoSpaceDN w:val="0"/>
      <w:adjustRightInd w:val="0"/>
      <w:snapToGrid w:val="0"/>
      <w:spacing w:line="360" w:lineRule="auto"/>
      <w:ind w:firstLine="200" w:firstLineChars="200"/>
    </w:pPr>
    <w:rPr>
      <w:kern w:val="0"/>
      <w:sz w:val="24"/>
      <w:szCs w:val="20"/>
    </w:rPr>
  </w:style>
  <w:style w:type="paragraph" w:customStyle="1" w:styleId="334">
    <w:name w:val="TOC Heading"/>
    <w:basedOn w:val="3"/>
    <w:next w:val="1"/>
    <w:qFormat/>
    <w:uiPriority w:val="39"/>
    <w:pPr>
      <w:keepLines/>
      <w:numPr>
        <w:numId w:val="0"/>
      </w:numPr>
      <w:spacing w:before="480" w:after="0" w:line="276" w:lineRule="auto"/>
      <w:outlineLvl w:val="9"/>
    </w:pPr>
    <w:rPr>
      <w:rFonts w:ascii="Cambria" w:hAnsi="Cambria" w:eastAsia="宋体"/>
      <w:b/>
      <w:bCs/>
      <w:color w:val="365F91"/>
      <w:kern w:val="0"/>
      <w:sz w:val="28"/>
      <w:szCs w:val="28"/>
    </w:rPr>
  </w:style>
  <w:style w:type="paragraph" w:customStyle="1" w:styleId="335">
    <w:name w:val="表内5中"/>
    <w:basedOn w:val="24"/>
    <w:qFormat/>
    <w:uiPriority w:val="0"/>
    <w:pPr>
      <w:spacing w:line="240" w:lineRule="exact"/>
      <w:jc w:val="center"/>
    </w:pPr>
    <w:rPr>
      <w:rFonts w:ascii="Times New Roman" w:hAnsi="Times New Roman"/>
      <w:kern w:val="2"/>
      <w:sz w:val="21"/>
      <w:szCs w:val="24"/>
    </w:rPr>
  </w:style>
  <w:style w:type="paragraph" w:customStyle="1" w:styleId="336">
    <w:name w:val="_Style 1"/>
    <w:basedOn w:val="1"/>
    <w:qFormat/>
    <w:uiPriority w:val="34"/>
    <w:pPr>
      <w:ind w:firstLine="420" w:firstLineChars="200"/>
    </w:pPr>
    <w:rPr>
      <w:rFonts w:ascii="Times New Roman" w:hAnsi="Times New Roman"/>
      <w:szCs w:val="21"/>
    </w:rPr>
  </w:style>
  <w:style w:type="paragraph" w:customStyle="1" w:styleId="337">
    <w:name w:val="13点"/>
    <w:basedOn w:val="1"/>
    <w:qFormat/>
    <w:uiPriority w:val="0"/>
    <w:pPr>
      <w:adjustRightInd w:val="0"/>
      <w:snapToGrid w:val="0"/>
      <w:ind w:left="-105" w:leftChars="-50" w:right="-105" w:rightChars="-50"/>
      <w:jc w:val="center"/>
    </w:pPr>
    <w:rPr>
      <w:rFonts w:ascii="宋体" w:hAnsi="宋体"/>
      <w:sz w:val="24"/>
      <w:szCs w:val="28"/>
    </w:rPr>
  </w:style>
  <w:style w:type="paragraph" w:customStyle="1" w:styleId="338">
    <w:name w:val="Char2"/>
    <w:basedOn w:val="1"/>
    <w:qFormat/>
    <w:uiPriority w:val="0"/>
    <w:rPr>
      <w:rFonts w:ascii="Times New Roman" w:hAnsi="Times New Roman"/>
      <w:szCs w:val="20"/>
    </w:rPr>
  </w:style>
  <w:style w:type="paragraph" w:customStyle="1" w:styleId="339">
    <w:name w:val="正文表标题"/>
    <w:next w:val="1"/>
    <w:qFormat/>
    <w:uiPriority w:val="99"/>
    <w:pPr>
      <w:spacing w:beforeLines="50" w:afterLines="50"/>
      <w:jc w:val="center"/>
    </w:pPr>
    <w:rPr>
      <w:rFonts w:ascii="黑体" w:hAnsi="Calibri" w:eastAsia="黑体" w:cs="Times New Roman"/>
      <w:sz w:val="21"/>
      <w:szCs w:val="22"/>
      <w:lang w:val="en-US" w:eastAsia="zh-CN" w:bidi="ar-SA"/>
    </w:rPr>
  </w:style>
  <w:style w:type="paragraph" w:customStyle="1" w:styleId="340">
    <w:name w:val="4刘群正文*"/>
    <w:basedOn w:val="1"/>
    <w:qFormat/>
    <w:uiPriority w:val="0"/>
    <w:pPr>
      <w:spacing w:line="520" w:lineRule="exact"/>
      <w:ind w:firstLine="480" w:firstLineChars="200"/>
    </w:pPr>
    <w:rPr>
      <w:rFonts w:ascii="Times New Roman" w:hAnsi="Times New Roman"/>
      <w:sz w:val="24"/>
      <w:szCs w:val="24"/>
    </w:rPr>
  </w:style>
  <w:style w:type="paragraph" w:customStyle="1" w:styleId="341">
    <w:name w:val="关键词"/>
    <w:qFormat/>
    <w:uiPriority w:val="0"/>
    <w:pPr>
      <w:widowControl w:val="0"/>
      <w:adjustRightInd w:val="0"/>
      <w:spacing w:line="360" w:lineRule="auto"/>
      <w:jc w:val="both"/>
      <w:textAlignment w:val="baseline"/>
    </w:pPr>
    <w:rPr>
      <w:rFonts w:ascii="Calibri" w:hAnsi="Calibri" w:eastAsia="黑体" w:cs="Times New Roman"/>
      <w:sz w:val="24"/>
      <w:szCs w:val="24"/>
      <w:lang w:val="en-US" w:eastAsia="zh-CN" w:bidi="ar-SA"/>
    </w:rPr>
  </w:style>
  <w:style w:type="paragraph" w:customStyle="1" w:styleId="342">
    <w:name w:val="Table Paragraph"/>
    <w:basedOn w:val="1"/>
    <w:qFormat/>
    <w:uiPriority w:val="1"/>
    <w:pPr>
      <w:autoSpaceDE w:val="0"/>
      <w:autoSpaceDN w:val="0"/>
      <w:adjustRightInd w:val="0"/>
      <w:jc w:val="center"/>
    </w:pPr>
    <w:rPr>
      <w:rFonts w:ascii="宋体" w:hAnsi="Times New Roman" w:cs="宋体"/>
      <w:kern w:val="0"/>
      <w:sz w:val="24"/>
      <w:szCs w:val="24"/>
    </w:rPr>
  </w:style>
  <w:style w:type="paragraph" w:customStyle="1" w:styleId="343">
    <w:name w:val="ht正文"/>
    <w:basedOn w:val="1"/>
    <w:qFormat/>
    <w:uiPriority w:val="99"/>
    <w:pPr>
      <w:spacing w:line="360" w:lineRule="auto"/>
      <w:ind w:firstLine="496" w:firstLineChars="200"/>
    </w:pPr>
    <w:rPr>
      <w:rFonts w:ascii="宋体" w:hAnsi="宋体" w:cs="宋体"/>
      <w:spacing w:val="4"/>
      <w:sz w:val="24"/>
      <w:szCs w:val="24"/>
    </w:rPr>
  </w:style>
  <w:style w:type="paragraph" w:customStyle="1" w:styleId="344">
    <w:name w:val="正文11"/>
    <w:qFormat/>
    <w:uiPriority w:val="0"/>
    <w:pPr>
      <w:jc w:val="both"/>
    </w:pPr>
    <w:rPr>
      <w:rFonts w:ascii="Calibri" w:hAnsi="Calibri" w:eastAsia="宋体" w:cs="Times New Roman"/>
      <w:kern w:val="2"/>
      <w:sz w:val="21"/>
      <w:szCs w:val="21"/>
      <w:lang w:val="en-US" w:eastAsia="zh-CN" w:bidi="ar-SA"/>
    </w:rPr>
  </w:style>
  <w:style w:type="paragraph" w:customStyle="1" w:styleId="345">
    <w:name w:val="WPS Plain"/>
    <w:qFormat/>
    <w:uiPriority w:val="99"/>
    <w:rPr>
      <w:rFonts w:ascii="Calibri" w:hAnsi="Calibri" w:eastAsia="宋体" w:cs="Times New Roman"/>
      <w:sz w:val="21"/>
      <w:szCs w:val="22"/>
      <w:lang w:val="en-US" w:eastAsia="zh-CN" w:bidi="ar-SA"/>
    </w:rPr>
  </w:style>
  <w:style w:type="paragraph" w:customStyle="1" w:styleId="346">
    <w:name w:val="正文5"/>
    <w:qFormat/>
    <w:uiPriority w:val="99"/>
    <w:pPr>
      <w:jc w:val="both"/>
    </w:pPr>
    <w:rPr>
      <w:rFonts w:ascii="Calibri" w:hAnsi="Calibri" w:eastAsia="宋体" w:cs="Times New Roman"/>
      <w:kern w:val="2"/>
      <w:sz w:val="21"/>
      <w:szCs w:val="21"/>
      <w:lang w:val="en-US" w:eastAsia="zh-CN" w:bidi="ar-SA"/>
    </w:rPr>
  </w:style>
  <w:style w:type="paragraph" w:customStyle="1" w:styleId="347">
    <w:name w:val="表格2"/>
    <w:qFormat/>
    <w:uiPriority w:val="0"/>
    <w:pPr>
      <w:spacing w:line="400" w:lineRule="exact"/>
      <w:jc w:val="center"/>
    </w:pPr>
    <w:rPr>
      <w:rFonts w:ascii="Calibri" w:hAnsi="Calibri" w:eastAsia="宋体" w:cs="Times New Roman"/>
      <w:sz w:val="21"/>
      <w:lang w:val="en-US" w:eastAsia="zh-CN" w:bidi="ar-SA"/>
    </w:rPr>
  </w:style>
  <w:style w:type="paragraph" w:customStyle="1" w:styleId="348">
    <w:name w:val="样式 标题 1 + (西文) Arial (中文) 黑体 三号 两端对齐 首行缩进:  0.87 厘米 段前: 6 磅..."/>
    <w:basedOn w:val="3"/>
    <w:qFormat/>
    <w:uiPriority w:val="0"/>
    <w:pPr>
      <w:pageBreakBefore/>
      <w:numPr>
        <w:numId w:val="0"/>
      </w:numPr>
      <w:spacing w:before="160" w:after="160" w:line="500" w:lineRule="exact"/>
      <w:ind w:firstLine="493"/>
      <w:jc w:val="both"/>
    </w:pPr>
    <w:rPr>
      <w:rFonts w:ascii="Arial" w:hAnsi="Arial" w:cs="宋体"/>
      <w:spacing w:val="16"/>
      <w:w w:val="90"/>
      <w:kern w:val="32"/>
      <w:szCs w:val="32"/>
    </w:rPr>
  </w:style>
  <w:style w:type="paragraph" w:customStyle="1" w:styleId="349">
    <w:name w:val="样式 样式 样式 样式 首行缩进:  2 字符1 + 首行缩进:  2 字符 + 首行缩进:  2 字符 + 首行缩进:  2 ..."/>
    <w:basedOn w:val="1"/>
    <w:qFormat/>
    <w:uiPriority w:val="0"/>
    <w:pPr>
      <w:ind w:firstLine="500" w:firstLineChars="200"/>
    </w:pPr>
    <w:rPr>
      <w:rFonts w:ascii="Times New Roman" w:hAnsi="Times New Roman" w:cs="宋体"/>
      <w:sz w:val="24"/>
      <w:szCs w:val="20"/>
    </w:rPr>
  </w:style>
  <w:style w:type="paragraph" w:customStyle="1" w:styleId="350">
    <w:name w:val="文本"/>
    <w:qFormat/>
    <w:uiPriority w:val="99"/>
    <w:pPr>
      <w:adjustRightInd w:val="0"/>
      <w:snapToGrid w:val="0"/>
      <w:spacing w:line="500" w:lineRule="exact"/>
      <w:ind w:firstLine="524" w:firstLineChars="200"/>
      <w:jc w:val="both"/>
    </w:pPr>
    <w:rPr>
      <w:rFonts w:ascii="仿宋_GB2312" w:hAnsi="Calibri" w:eastAsia="仿宋_GB2312" w:cs="Times New Roman"/>
      <w:sz w:val="24"/>
      <w:szCs w:val="22"/>
      <w:lang w:val="en-US" w:eastAsia="zh-CN" w:bidi="ar-SA"/>
    </w:rPr>
  </w:style>
  <w:style w:type="paragraph" w:customStyle="1" w:styleId="351">
    <w:name w:val="标题 2，二级标题"/>
    <w:basedOn w:val="2"/>
    <w:qFormat/>
    <w:uiPriority w:val="99"/>
    <w:pPr>
      <w:numPr>
        <w:ilvl w:val="0"/>
        <w:numId w:val="0"/>
      </w:numPr>
      <w:spacing w:before="260" w:after="260" w:line="415" w:lineRule="auto"/>
      <w:jc w:val="both"/>
    </w:pPr>
    <w:rPr>
      <w:rFonts w:ascii="Arial" w:hAnsi="Arial"/>
      <w:bCs w:val="0"/>
      <w:sz w:val="24"/>
      <w:szCs w:val="24"/>
    </w:rPr>
  </w:style>
  <w:style w:type="paragraph" w:customStyle="1" w:styleId="352">
    <w:name w:val="正文10"/>
    <w:qFormat/>
    <w:uiPriority w:val="0"/>
    <w:pPr>
      <w:jc w:val="both"/>
    </w:pPr>
    <w:rPr>
      <w:rFonts w:ascii="Calibri" w:hAnsi="Calibri" w:eastAsia="宋体" w:cs="Times New Roman"/>
      <w:kern w:val="2"/>
      <w:sz w:val="21"/>
      <w:szCs w:val="21"/>
      <w:lang w:val="en-US" w:eastAsia="zh-CN" w:bidi="ar-SA"/>
    </w:rPr>
  </w:style>
  <w:style w:type="paragraph" w:customStyle="1" w:styleId="353">
    <w:name w:val="明显引用1"/>
    <w:basedOn w:val="1"/>
    <w:next w:val="1"/>
    <w:qFormat/>
    <w:uiPriority w:val="30"/>
    <w:pPr>
      <w:pBdr>
        <w:top w:val="single" w:color="4F81BD" w:sz="4" w:space="10"/>
        <w:bottom w:val="single" w:color="4F81BD" w:sz="4" w:space="10"/>
      </w:pBdr>
      <w:spacing w:before="360" w:after="360" w:line="500" w:lineRule="exact"/>
      <w:ind w:left="864" w:right="864" w:firstLine="200" w:firstLineChars="200"/>
      <w:jc w:val="center"/>
    </w:pPr>
    <w:rPr>
      <w:i/>
      <w:iCs/>
      <w:color w:val="4F81BD"/>
      <w:sz w:val="24"/>
    </w:rPr>
  </w:style>
  <w:style w:type="paragraph" w:customStyle="1" w:styleId="354">
    <w:name w:val="xl66"/>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kern w:val="0"/>
      <w:szCs w:val="21"/>
    </w:rPr>
  </w:style>
  <w:style w:type="paragraph" w:customStyle="1" w:styleId="355">
    <w:name w:val="默认段落字体 Para Char"/>
    <w:basedOn w:val="1"/>
    <w:next w:val="1"/>
    <w:qFormat/>
    <w:uiPriority w:val="0"/>
    <w:pPr>
      <w:spacing w:line="360" w:lineRule="auto"/>
      <w:ind w:firstLine="200" w:firstLineChars="200"/>
    </w:pPr>
    <w:rPr>
      <w:rFonts w:ascii="宋体" w:hAnsi="宋体" w:cs="宋体"/>
      <w:sz w:val="24"/>
      <w:szCs w:val="21"/>
    </w:rPr>
  </w:style>
  <w:style w:type="paragraph" w:customStyle="1" w:styleId="356">
    <w:name w:val="图标题"/>
    <w:basedOn w:val="74"/>
    <w:qFormat/>
    <w:uiPriority w:val="99"/>
    <w:pPr>
      <w:spacing w:after="0" w:afterAutospacing="0" w:line="360" w:lineRule="auto"/>
    </w:pPr>
    <w:rPr>
      <w:bCs/>
      <w:sz w:val="24"/>
      <w:szCs w:val="24"/>
    </w:rPr>
  </w:style>
  <w:style w:type="paragraph" w:customStyle="1" w:styleId="357">
    <w:name w:val="正文21"/>
    <w:basedOn w:val="1"/>
    <w:qFormat/>
    <w:uiPriority w:val="99"/>
    <w:pPr>
      <w:widowControl/>
    </w:pPr>
    <w:rPr>
      <w:rFonts w:cs="宋体"/>
      <w:szCs w:val="21"/>
    </w:rPr>
  </w:style>
  <w:style w:type="paragraph" w:customStyle="1" w:styleId="358">
    <w:name w:val="TOC 标题11"/>
    <w:basedOn w:val="3"/>
    <w:next w:val="1"/>
    <w:unhideWhenUsed/>
    <w:qFormat/>
    <w:uiPriority w:val="39"/>
    <w:pPr>
      <w:keepLines/>
      <w:numPr>
        <w:numId w:val="0"/>
      </w:numPr>
      <w:spacing w:before="240" w:after="0" w:line="259" w:lineRule="auto"/>
      <w:outlineLvl w:val="9"/>
    </w:pPr>
    <w:rPr>
      <w:rFonts w:ascii="Cambria" w:hAnsi="Cambria" w:eastAsia="宋体"/>
      <w:b/>
      <w:color w:val="366091"/>
      <w:kern w:val="0"/>
      <w:szCs w:val="32"/>
    </w:rPr>
  </w:style>
  <w:style w:type="paragraph" w:customStyle="1" w:styleId="359">
    <w:name w:val="列出段落1"/>
    <w:basedOn w:val="1"/>
    <w:unhideWhenUsed/>
    <w:qFormat/>
    <w:uiPriority w:val="99"/>
    <w:pPr>
      <w:ind w:firstLine="420" w:firstLineChars="200"/>
    </w:pPr>
    <w:rPr>
      <w:szCs w:val="21"/>
    </w:rPr>
  </w:style>
  <w:style w:type="paragraph" w:customStyle="1" w:styleId="360">
    <w:name w:val="列出段落12"/>
    <w:basedOn w:val="1"/>
    <w:qFormat/>
    <w:uiPriority w:val="99"/>
    <w:pPr>
      <w:ind w:firstLine="420" w:firstLineChars="200"/>
    </w:pPr>
    <w:rPr>
      <w:szCs w:val="21"/>
    </w:rPr>
  </w:style>
  <w:style w:type="paragraph" w:customStyle="1" w:styleId="361">
    <w:name w:val="正文SK"/>
    <w:basedOn w:val="1"/>
    <w:next w:val="1"/>
    <w:qFormat/>
    <w:uiPriority w:val="99"/>
    <w:rPr>
      <w:rFonts w:ascii="Times New Roman" w:hAnsi="Times New Roman"/>
      <w:sz w:val="24"/>
      <w:szCs w:val="24"/>
    </w:rPr>
  </w:style>
  <w:style w:type="paragraph" w:customStyle="1" w:styleId="362">
    <w:name w:val="正文6"/>
    <w:qFormat/>
    <w:uiPriority w:val="99"/>
    <w:pPr>
      <w:jc w:val="both"/>
    </w:pPr>
    <w:rPr>
      <w:rFonts w:ascii="Calibri" w:hAnsi="Calibri" w:eastAsia="宋体" w:cs="Times New Roman"/>
      <w:kern w:val="2"/>
      <w:sz w:val="21"/>
      <w:szCs w:val="21"/>
      <w:lang w:val="en-US" w:eastAsia="zh-CN" w:bidi="ar-SA"/>
    </w:rPr>
  </w:style>
  <w:style w:type="paragraph" w:customStyle="1" w:styleId="363">
    <w:name w:val="图表名称"/>
    <w:qFormat/>
    <w:uiPriority w:val="99"/>
    <w:pPr>
      <w:adjustRightInd w:val="0"/>
      <w:snapToGrid w:val="0"/>
      <w:spacing w:line="520" w:lineRule="exact"/>
      <w:jc w:val="center"/>
    </w:pPr>
    <w:rPr>
      <w:rFonts w:ascii="仿宋_GB2312" w:hAnsi="Calibri" w:eastAsia="仿宋_GB2312" w:cs="Times New Roman"/>
      <w:b/>
      <w:sz w:val="24"/>
      <w:szCs w:val="22"/>
      <w:lang w:val="en-US" w:eastAsia="zh-CN" w:bidi="ar-SA"/>
    </w:rPr>
  </w:style>
  <w:style w:type="paragraph" w:customStyle="1" w:styleId="364">
    <w:name w:val="列出段落6"/>
    <w:basedOn w:val="1"/>
    <w:unhideWhenUsed/>
    <w:qFormat/>
    <w:uiPriority w:val="99"/>
    <w:pPr>
      <w:ind w:firstLine="420" w:firstLineChars="200"/>
    </w:pPr>
    <w:rPr>
      <w:rFonts w:ascii="Times New Roman" w:hAnsi="Times New Roman"/>
      <w:szCs w:val="21"/>
    </w:rPr>
  </w:style>
  <w:style w:type="paragraph" w:customStyle="1" w:styleId="365">
    <w:name w:val="！正文"/>
    <w:basedOn w:val="1"/>
    <w:qFormat/>
    <w:uiPriority w:val="99"/>
    <w:pPr>
      <w:spacing w:line="360" w:lineRule="auto"/>
      <w:ind w:firstLine="200" w:firstLineChars="200"/>
    </w:pPr>
    <w:rPr>
      <w:rFonts w:cs="宋体"/>
      <w:sz w:val="24"/>
      <w:szCs w:val="24"/>
    </w:rPr>
  </w:style>
  <w:style w:type="paragraph" w:customStyle="1" w:styleId="366">
    <w:name w:val="6 表中字体"/>
    <w:basedOn w:val="1"/>
    <w:qFormat/>
    <w:uiPriority w:val="0"/>
    <w:pPr>
      <w:jc w:val="center"/>
      <w:textAlignment w:val="center"/>
    </w:pPr>
    <w:rPr>
      <w:rFonts w:ascii="Times New Roman" w:hAnsi="Times New Roman"/>
      <w:kern w:val="0"/>
      <w:szCs w:val="21"/>
    </w:rPr>
  </w:style>
  <w:style w:type="paragraph" w:customStyle="1" w:styleId="367">
    <w:name w:val="表标题"/>
    <w:basedOn w:val="1"/>
    <w:qFormat/>
    <w:uiPriority w:val="0"/>
    <w:pPr>
      <w:ind w:firstLine="100" w:firstLineChars="100"/>
      <w:jc w:val="left"/>
    </w:pPr>
    <w:rPr>
      <w:rFonts w:eastAsia="黑体"/>
      <w:sz w:val="24"/>
      <w:szCs w:val="21"/>
    </w:rPr>
  </w:style>
  <w:style w:type="paragraph" w:customStyle="1" w:styleId="368">
    <w:name w:val="p0"/>
    <w:basedOn w:val="1"/>
    <w:qFormat/>
    <w:uiPriority w:val="0"/>
    <w:pPr>
      <w:widowControl/>
    </w:pPr>
    <w:rPr>
      <w:rFonts w:ascii="Arial" w:hAnsi="Arial"/>
      <w:kern w:val="0"/>
      <w:szCs w:val="21"/>
    </w:rPr>
  </w:style>
  <w:style w:type="paragraph" w:customStyle="1" w:styleId="369">
    <w:name w:val="表内5"/>
    <w:basedOn w:val="309"/>
    <w:qFormat/>
    <w:uiPriority w:val="0"/>
    <w:pPr>
      <w:spacing w:line="240" w:lineRule="auto"/>
      <w:ind w:firstLine="0" w:firstLineChars="0"/>
      <w:jc w:val="center"/>
    </w:pPr>
    <w:rPr>
      <w:sz w:val="21"/>
      <w:szCs w:val="21"/>
    </w:rPr>
  </w:style>
  <w:style w:type="paragraph" w:customStyle="1" w:styleId="370">
    <w:name w:val="正文7"/>
    <w:qFormat/>
    <w:uiPriority w:val="99"/>
    <w:pPr>
      <w:jc w:val="both"/>
    </w:pPr>
    <w:rPr>
      <w:rFonts w:ascii="Calibri" w:hAnsi="Calibri" w:eastAsia="宋体" w:cs="Times New Roman"/>
      <w:kern w:val="2"/>
      <w:sz w:val="21"/>
      <w:szCs w:val="21"/>
      <w:lang w:val="en-US" w:eastAsia="zh-CN" w:bidi="ar-SA"/>
    </w:rPr>
  </w:style>
  <w:style w:type="paragraph" w:customStyle="1" w:styleId="371">
    <w:name w:val="样式 样式 正文首行缩进 + 首行缩进:  1 字符 + 13 磅 首行缩进:  2 字符"/>
    <w:basedOn w:val="1"/>
    <w:qFormat/>
    <w:uiPriority w:val="0"/>
    <w:pPr>
      <w:spacing w:line="500" w:lineRule="exact"/>
      <w:ind w:firstLine="200" w:firstLineChars="200"/>
    </w:pPr>
    <w:rPr>
      <w:rFonts w:ascii="Times New Roman" w:hAnsi="Times New Roman" w:cs="宋体"/>
      <w:sz w:val="26"/>
      <w:szCs w:val="20"/>
    </w:rPr>
  </w:style>
  <w:style w:type="paragraph" w:customStyle="1" w:styleId="372">
    <w:name w:val="纯文本1"/>
    <w:basedOn w:val="1"/>
    <w:qFormat/>
    <w:uiPriority w:val="0"/>
    <w:pPr>
      <w:adjustRightInd w:val="0"/>
      <w:jc w:val="left"/>
      <w:textAlignment w:val="baseline"/>
    </w:pPr>
    <w:rPr>
      <w:rFonts w:ascii="宋体" w:hAnsi="Courier New"/>
      <w:sz w:val="24"/>
      <w:szCs w:val="20"/>
    </w:rPr>
  </w:style>
  <w:style w:type="paragraph" w:customStyle="1" w:styleId="373">
    <w:name w:val="正文9"/>
    <w:qFormat/>
    <w:uiPriority w:val="0"/>
    <w:pPr>
      <w:jc w:val="both"/>
    </w:pPr>
    <w:rPr>
      <w:rFonts w:ascii="Calibri" w:hAnsi="Calibri" w:eastAsia="宋体" w:cs="Times New Roman"/>
      <w:kern w:val="2"/>
      <w:sz w:val="21"/>
      <w:szCs w:val="21"/>
      <w:lang w:val="en-US" w:eastAsia="zh-CN" w:bidi="ar-SA"/>
    </w:rPr>
  </w:style>
  <w:style w:type="paragraph" w:customStyle="1" w:styleId="374">
    <w:name w:val="列出段落4"/>
    <w:basedOn w:val="1"/>
    <w:qFormat/>
    <w:uiPriority w:val="99"/>
    <w:pPr>
      <w:ind w:firstLine="420" w:firstLineChars="200"/>
    </w:pPr>
    <w:rPr>
      <w:rFonts w:ascii="Times New Roman" w:hAnsi="Times New Roman"/>
      <w:szCs w:val="21"/>
    </w:rPr>
  </w:style>
  <w:style w:type="paragraph" w:customStyle="1" w:styleId="375">
    <w:name w:val="列出段落5"/>
    <w:basedOn w:val="1"/>
    <w:unhideWhenUsed/>
    <w:qFormat/>
    <w:uiPriority w:val="99"/>
    <w:pPr>
      <w:ind w:firstLine="420" w:firstLineChars="200"/>
    </w:pPr>
    <w:rPr>
      <w:rFonts w:ascii="Times New Roman" w:hAnsi="Times New Roman"/>
      <w:szCs w:val="21"/>
    </w:rPr>
  </w:style>
  <w:style w:type="paragraph" w:customStyle="1" w:styleId="376">
    <w:name w:val="表格文字"/>
    <w:basedOn w:val="1"/>
    <w:qFormat/>
    <w:uiPriority w:val="0"/>
    <w:pPr>
      <w:autoSpaceDE w:val="0"/>
      <w:autoSpaceDN w:val="0"/>
      <w:adjustRightInd w:val="0"/>
      <w:jc w:val="center"/>
    </w:pPr>
    <w:rPr>
      <w:rFonts w:ascii="宋体" w:hAnsi="宋体"/>
      <w:szCs w:val="21"/>
    </w:rPr>
  </w:style>
  <w:style w:type="paragraph" w:customStyle="1" w:styleId="377">
    <w:name w:val="表题 Char"/>
    <w:basedOn w:val="1"/>
    <w:qFormat/>
    <w:uiPriority w:val="0"/>
    <w:pPr>
      <w:spacing w:line="360" w:lineRule="auto"/>
      <w:jc w:val="center"/>
    </w:pPr>
    <w:rPr>
      <w:rFonts w:ascii="黑体" w:hAnsi="Times New Roman" w:eastAsia="黑体"/>
      <w:bCs/>
      <w:sz w:val="24"/>
      <w:szCs w:val="24"/>
    </w:rPr>
  </w:style>
  <w:style w:type="paragraph" w:customStyle="1" w:styleId="378">
    <w:name w:val="font5"/>
    <w:basedOn w:val="1"/>
    <w:qFormat/>
    <w:uiPriority w:val="0"/>
    <w:pPr>
      <w:widowControl/>
      <w:spacing w:before="100" w:beforeAutospacing="1" w:after="100" w:afterAutospacing="1"/>
      <w:jc w:val="left"/>
    </w:pPr>
    <w:rPr>
      <w:rFonts w:hint="eastAsia" w:ascii="宋体" w:hAnsi="宋体" w:cs="Arial Unicode MS"/>
      <w:kern w:val="0"/>
      <w:sz w:val="20"/>
      <w:szCs w:val="20"/>
    </w:rPr>
  </w:style>
  <w:style w:type="paragraph" w:customStyle="1" w:styleId="379">
    <w:name w:val="无间隔2"/>
    <w:qFormat/>
    <w:uiPriority w:val="1"/>
    <w:pPr>
      <w:widowControl w:val="0"/>
      <w:jc w:val="both"/>
    </w:pPr>
    <w:rPr>
      <w:rFonts w:ascii="Calibri" w:hAnsi="Calibri" w:eastAsia="宋体" w:cs="Times New Roman"/>
      <w:kern w:val="2"/>
      <w:sz w:val="21"/>
      <w:szCs w:val="22"/>
      <w:lang w:val="en-US" w:eastAsia="zh-CN" w:bidi="ar-SA"/>
    </w:rPr>
  </w:style>
  <w:style w:type="paragraph" w:customStyle="1" w:styleId="380">
    <w:name w:val="_Style 2"/>
    <w:basedOn w:val="1"/>
    <w:qFormat/>
    <w:uiPriority w:val="99"/>
    <w:pPr>
      <w:ind w:firstLine="420" w:firstLineChars="200"/>
    </w:pPr>
    <w:rPr>
      <w:rFonts w:ascii="Times New Roman" w:hAnsi="Times New Roman"/>
      <w:szCs w:val="21"/>
    </w:rPr>
  </w:style>
  <w:style w:type="paragraph" w:customStyle="1" w:styleId="381">
    <w:name w:val="表内文字"/>
    <w:basedOn w:val="1"/>
    <w:link w:val="470"/>
    <w:qFormat/>
    <w:uiPriority w:val="0"/>
    <w:pPr>
      <w:adjustRightInd w:val="0"/>
      <w:snapToGrid w:val="0"/>
      <w:spacing w:line="360" w:lineRule="auto"/>
      <w:jc w:val="center"/>
    </w:pPr>
    <w:rPr>
      <w:rFonts w:ascii="Times New Roman" w:hAnsi="Times New Roman"/>
      <w:szCs w:val="21"/>
    </w:rPr>
  </w:style>
  <w:style w:type="paragraph" w:customStyle="1" w:styleId="382">
    <w:name w:val="YJ文中标题"/>
    <w:basedOn w:val="1"/>
    <w:qFormat/>
    <w:uiPriority w:val="99"/>
    <w:pPr>
      <w:snapToGrid w:val="0"/>
      <w:spacing w:line="520" w:lineRule="exact"/>
      <w:ind w:firstLine="200" w:firstLineChars="200"/>
      <w:jc w:val="left"/>
    </w:pPr>
    <w:rPr>
      <w:rFonts w:ascii="Times New Roman" w:hAnsi="Times New Roman"/>
      <w:b/>
      <w:sz w:val="24"/>
      <w:szCs w:val="20"/>
    </w:rPr>
  </w:style>
  <w:style w:type="paragraph" w:customStyle="1" w:styleId="383">
    <w:name w:val="表头 02"/>
    <w:basedOn w:val="1"/>
    <w:qFormat/>
    <w:uiPriority w:val="0"/>
    <w:pPr>
      <w:suppressLineNumbers/>
      <w:suppressAutoHyphens/>
      <w:adjustRightInd w:val="0"/>
      <w:snapToGrid w:val="0"/>
      <w:spacing w:line="500" w:lineRule="exact"/>
      <w:contextualSpacing/>
      <w:jc w:val="center"/>
      <w:textAlignment w:val="center"/>
    </w:pPr>
    <w:rPr>
      <w:rFonts w:ascii="黑体" w:hAnsi="黑体" w:eastAsia="黑体" w:cs="宋体"/>
      <w:b/>
      <w:bCs/>
      <w:color w:val="FF0000"/>
      <w:kern w:val="0"/>
      <w:szCs w:val="21"/>
    </w:rPr>
  </w:style>
  <w:style w:type="paragraph" w:customStyle="1" w:styleId="384">
    <w:name w:val="9点"/>
    <w:basedOn w:val="1"/>
    <w:qFormat/>
    <w:uiPriority w:val="0"/>
    <w:pPr>
      <w:tabs>
        <w:tab w:val="left" w:pos="1290"/>
      </w:tabs>
      <w:adjustRightInd w:val="0"/>
      <w:snapToGrid w:val="0"/>
      <w:spacing w:line="300" w:lineRule="auto"/>
      <w:ind w:left="1290" w:hanging="720"/>
      <w:jc w:val="center"/>
    </w:pPr>
    <w:rPr>
      <w:rFonts w:ascii="宋体" w:hAnsi="Times New Roman"/>
      <w:sz w:val="24"/>
      <w:szCs w:val="20"/>
    </w:rPr>
  </w:style>
  <w:style w:type="paragraph" w:customStyle="1" w:styleId="385">
    <w:name w:val="样式 表头 + 段后: 6 磅"/>
    <w:basedOn w:val="74"/>
    <w:qFormat/>
    <w:uiPriority w:val="0"/>
    <w:pPr>
      <w:keepNext/>
      <w:widowControl w:val="0"/>
      <w:spacing w:before="60" w:beforeLines="0" w:after="120" w:afterAutospacing="0" w:line="400" w:lineRule="exact"/>
      <w:ind w:firstLine="493"/>
      <w:jc w:val="left"/>
    </w:pPr>
    <w:rPr>
      <w:rFonts w:ascii="Times New Roman" w:hAnsi="Times New Roman"/>
      <w:color w:val="000000"/>
      <w:spacing w:val="8"/>
      <w:kern w:val="21"/>
    </w:rPr>
  </w:style>
  <w:style w:type="paragraph" w:customStyle="1" w:styleId="386">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87">
    <w:name w:val="无间隔1"/>
    <w:qFormat/>
    <w:uiPriority w:val="1"/>
    <w:pPr>
      <w:widowControl w:val="0"/>
      <w:jc w:val="both"/>
    </w:pPr>
    <w:rPr>
      <w:rFonts w:ascii="Calibri" w:hAnsi="Calibri" w:eastAsia="宋体" w:cs="Times New Roman"/>
      <w:kern w:val="2"/>
      <w:sz w:val="21"/>
      <w:szCs w:val="22"/>
      <w:lang w:val="en-US" w:eastAsia="zh-CN" w:bidi="ar-SA"/>
    </w:rPr>
  </w:style>
  <w:style w:type="paragraph" w:customStyle="1" w:styleId="388">
    <w:name w:val="Char Char2 Char Char Char Char Char Char Char Char Char Char Char Char Char Char Char Char"/>
    <w:basedOn w:val="1"/>
    <w:qFormat/>
    <w:uiPriority w:val="99"/>
    <w:rPr>
      <w:rFonts w:ascii="Times New Roman" w:hAnsi="Times New Roman"/>
      <w:szCs w:val="21"/>
    </w:rPr>
  </w:style>
  <w:style w:type="paragraph" w:customStyle="1" w:styleId="389">
    <w:name w:val="Char1"/>
    <w:basedOn w:val="1"/>
    <w:qFormat/>
    <w:uiPriority w:val="99"/>
    <w:rPr>
      <w:rFonts w:ascii="Times New Roman" w:hAnsi="Times New Roman"/>
      <w:szCs w:val="24"/>
    </w:rPr>
  </w:style>
  <w:style w:type="paragraph" w:customStyle="1" w:styleId="390">
    <w:name w:val="表中字体"/>
    <w:basedOn w:val="14"/>
    <w:qFormat/>
    <w:uiPriority w:val="0"/>
    <w:pPr>
      <w:spacing w:line="240" w:lineRule="exact"/>
      <w:ind w:firstLine="0" w:firstLineChars="0"/>
      <w:jc w:val="center"/>
    </w:pPr>
    <w:rPr>
      <w:sz w:val="21"/>
    </w:rPr>
  </w:style>
  <w:style w:type="paragraph" w:customStyle="1" w:styleId="391">
    <w:name w:val="ZQL正文*"/>
    <w:basedOn w:val="1"/>
    <w:qFormat/>
    <w:uiPriority w:val="0"/>
    <w:pPr>
      <w:adjustRightInd w:val="0"/>
      <w:snapToGrid w:val="0"/>
      <w:spacing w:line="500" w:lineRule="exact"/>
      <w:ind w:firstLine="200" w:firstLineChars="200"/>
    </w:pPr>
    <w:rPr>
      <w:rFonts w:ascii="Times New Roman" w:hAnsi="Times New Roman"/>
      <w:sz w:val="24"/>
      <w:szCs w:val="24"/>
    </w:rPr>
  </w:style>
  <w:style w:type="paragraph" w:customStyle="1" w:styleId="392">
    <w:name w:val="正文12"/>
    <w:qFormat/>
    <w:uiPriority w:val="0"/>
    <w:pPr>
      <w:jc w:val="both"/>
    </w:pPr>
    <w:rPr>
      <w:rFonts w:ascii="Calibri" w:hAnsi="Calibri" w:eastAsia="宋体" w:cs="Times New Roman"/>
      <w:kern w:val="2"/>
      <w:sz w:val="21"/>
      <w:szCs w:val="21"/>
      <w:lang w:val="en-US" w:eastAsia="zh-CN" w:bidi="ar-SA"/>
    </w:rPr>
  </w:style>
  <w:style w:type="paragraph" w:customStyle="1" w:styleId="393">
    <w:name w:val="列出段落7"/>
    <w:basedOn w:val="1"/>
    <w:qFormat/>
    <w:uiPriority w:val="99"/>
    <w:pPr>
      <w:ind w:firstLine="420" w:firstLineChars="200"/>
    </w:pPr>
    <w:rPr>
      <w:szCs w:val="21"/>
    </w:rPr>
  </w:style>
  <w:style w:type="paragraph" w:customStyle="1" w:styleId="394">
    <w:name w:val="1"/>
    <w:unhideWhenUsed/>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95">
    <w:name w:val="xl2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18"/>
      <w:szCs w:val="18"/>
    </w:rPr>
  </w:style>
  <w:style w:type="paragraph" w:customStyle="1" w:styleId="396">
    <w:name w:val="表题"/>
    <w:basedOn w:val="14"/>
    <w:qFormat/>
    <w:uiPriority w:val="99"/>
    <w:pPr>
      <w:adjustRightInd w:val="0"/>
      <w:snapToGrid w:val="0"/>
      <w:spacing w:line="500" w:lineRule="exact"/>
      <w:ind w:firstLine="0" w:firstLineChars="0"/>
      <w:jc w:val="center"/>
    </w:pPr>
    <w:rPr>
      <w:rFonts w:cs="宋体"/>
      <w:b/>
      <w:bCs/>
    </w:rPr>
  </w:style>
  <w:style w:type="paragraph" w:customStyle="1" w:styleId="397">
    <w:name w:val="列出段落3"/>
    <w:basedOn w:val="1"/>
    <w:unhideWhenUsed/>
    <w:qFormat/>
    <w:uiPriority w:val="99"/>
    <w:pPr>
      <w:ind w:firstLine="420" w:firstLineChars="200"/>
    </w:pPr>
    <w:rPr>
      <w:rFonts w:ascii="Times New Roman" w:hAnsi="Times New Roman"/>
      <w:szCs w:val="21"/>
    </w:rPr>
  </w:style>
  <w:style w:type="paragraph" w:customStyle="1" w:styleId="398">
    <w:name w:val="居中四号"/>
    <w:qFormat/>
    <w:uiPriority w:val="0"/>
    <w:pPr>
      <w:spacing w:line="300" w:lineRule="auto"/>
      <w:jc w:val="center"/>
    </w:pPr>
    <w:rPr>
      <w:rFonts w:ascii="Calibri" w:hAnsi="Calibri" w:eastAsia="宋体" w:cs="Times New Roman"/>
      <w:sz w:val="28"/>
      <w:lang w:val="en-US" w:eastAsia="zh-CN" w:bidi="ar-SA"/>
    </w:rPr>
  </w:style>
  <w:style w:type="paragraph" w:customStyle="1" w:styleId="399">
    <w:name w:val="正文1"/>
    <w:basedOn w:val="1"/>
    <w:qFormat/>
    <w:uiPriority w:val="99"/>
    <w:pPr>
      <w:widowControl/>
    </w:pPr>
    <w:rPr>
      <w:rFonts w:ascii="Times New Roman" w:hAnsi="Times New Roman"/>
      <w:szCs w:val="21"/>
    </w:rPr>
  </w:style>
  <w:style w:type="paragraph" w:customStyle="1" w:styleId="400">
    <w:name w:val="表、图名"/>
    <w:basedOn w:val="1"/>
    <w:link w:val="445"/>
    <w:qFormat/>
    <w:uiPriority w:val="0"/>
    <w:pPr>
      <w:adjustRightInd w:val="0"/>
      <w:snapToGrid w:val="0"/>
      <w:spacing w:line="520" w:lineRule="exact"/>
      <w:ind w:left="-6" w:firstLine="560"/>
    </w:pPr>
    <w:rPr>
      <w:rFonts w:hint="eastAsia" w:ascii="黑体" w:hAnsi="Times New Roman" w:eastAsia="黑体"/>
      <w:szCs w:val="24"/>
    </w:rPr>
  </w:style>
  <w:style w:type="paragraph" w:customStyle="1" w:styleId="401">
    <w:name w:val="Char Char Char Char Char Char Char Char"/>
    <w:basedOn w:val="1"/>
    <w:qFormat/>
    <w:uiPriority w:val="0"/>
    <w:rPr>
      <w:rFonts w:ascii="Times New Roman" w:hAnsi="Times New Roman"/>
      <w:szCs w:val="20"/>
    </w:rPr>
  </w:style>
  <w:style w:type="paragraph" w:customStyle="1" w:styleId="402">
    <w:name w:val="标准条文"/>
    <w:basedOn w:val="1"/>
    <w:next w:val="1"/>
    <w:qFormat/>
    <w:uiPriority w:val="99"/>
    <w:pPr>
      <w:autoSpaceDE w:val="0"/>
      <w:autoSpaceDN w:val="0"/>
      <w:adjustRightInd w:val="0"/>
      <w:jc w:val="left"/>
    </w:pPr>
    <w:rPr>
      <w:rFonts w:ascii="黑体" w:eastAsia="黑体"/>
      <w:kern w:val="0"/>
      <w:sz w:val="24"/>
      <w:szCs w:val="24"/>
    </w:rPr>
  </w:style>
  <w:style w:type="paragraph" w:customStyle="1" w:styleId="403">
    <w:name w:val="样式 正文首行缩进 + 首行缩进:  1 字符"/>
    <w:basedOn w:val="49"/>
    <w:qFormat/>
    <w:uiPriority w:val="0"/>
    <w:pPr>
      <w:widowControl w:val="0"/>
      <w:spacing w:after="0" w:line="520" w:lineRule="exact"/>
      <w:ind w:firstLine="200" w:firstLineChars="200"/>
      <w:jc w:val="both"/>
    </w:pPr>
    <w:rPr>
      <w:rFonts w:ascii="Times New Roman" w:hAnsi="Times New Roman" w:cs="宋体"/>
      <w:kern w:val="2"/>
    </w:rPr>
  </w:style>
  <w:style w:type="paragraph" w:customStyle="1" w:styleId="404">
    <w:name w:val="报告正文 + 首行缩进:  2 字符 Char"/>
    <w:basedOn w:val="1"/>
    <w:qFormat/>
    <w:uiPriority w:val="0"/>
    <w:pPr>
      <w:spacing w:line="360" w:lineRule="auto"/>
      <w:ind w:firstLine="578" w:firstLineChars="200"/>
    </w:pPr>
    <w:rPr>
      <w:rFonts w:ascii="Times New Roman" w:hAnsi="Times New Roman"/>
      <w:bCs/>
    </w:rPr>
  </w:style>
  <w:style w:type="paragraph" w:customStyle="1" w:styleId="405">
    <w:name w:val="列出段落2"/>
    <w:basedOn w:val="1"/>
    <w:unhideWhenUsed/>
    <w:qFormat/>
    <w:uiPriority w:val="34"/>
    <w:pPr>
      <w:ind w:firstLine="420" w:firstLineChars="200"/>
    </w:pPr>
    <w:rPr>
      <w:szCs w:val="21"/>
    </w:rPr>
  </w:style>
  <w:style w:type="paragraph" w:customStyle="1" w:styleId="406">
    <w:name w:val="正文2"/>
    <w:qFormat/>
    <w:uiPriority w:val="0"/>
    <w:pPr>
      <w:jc w:val="both"/>
    </w:pPr>
    <w:rPr>
      <w:rFonts w:ascii="Calibri" w:hAnsi="Calibri" w:eastAsia="宋体" w:cs="Times New Roman"/>
      <w:kern w:val="2"/>
      <w:sz w:val="21"/>
      <w:szCs w:val="21"/>
      <w:lang w:val="en-US" w:eastAsia="zh-CN" w:bidi="ar-SA"/>
    </w:rPr>
  </w:style>
  <w:style w:type="paragraph" w:customStyle="1" w:styleId="407">
    <w:name w:val="xl63"/>
    <w:basedOn w:val="1"/>
    <w:qFormat/>
    <w:uiPriority w:val="0"/>
    <w:pPr>
      <w:widowControl/>
      <w:spacing w:before="100" w:after="100"/>
      <w:jc w:val="center"/>
      <w:textAlignment w:val="center"/>
    </w:pPr>
    <w:rPr>
      <w:rFonts w:hint="eastAsia" w:ascii="黑体" w:hAnsi="宋体" w:eastAsia="黑体"/>
      <w:kern w:val="0"/>
      <w:sz w:val="24"/>
      <w:szCs w:val="20"/>
    </w:rPr>
  </w:style>
  <w:style w:type="paragraph" w:customStyle="1" w:styleId="408">
    <w:name w:val="表中文字"/>
    <w:basedOn w:val="1"/>
    <w:qFormat/>
    <w:uiPriority w:val="0"/>
    <w:pPr>
      <w:jc w:val="center"/>
    </w:pPr>
    <w:rPr>
      <w:rFonts w:ascii="Times New Roman" w:hAnsi="Times New Roman"/>
      <w:szCs w:val="20"/>
    </w:rPr>
  </w:style>
  <w:style w:type="paragraph" w:customStyle="1" w:styleId="409">
    <w:name w:val="Char Char Char Char"/>
    <w:basedOn w:val="1"/>
    <w:qFormat/>
    <w:uiPriority w:val="99"/>
    <w:rPr>
      <w:rFonts w:ascii="Times New Roman" w:hAnsi="Times New Roman"/>
      <w:szCs w:val="24"/>
    </w:rPr>
  </w:style>
  <w:style w:type="table" w:customStyle="1" w:styleId="410">
    <w:name w:val="报告书表格样式11"/>
    <w:basedOn w:val="51"/>
    <w:qFormat/>
    <w:uiPriority w:val="0"/>
    <w:rPr>
      <w:rFonts w:ascii="Times New Roman" w:hAnsi="Times New Roman"/>
    </w:rPr>
    <w:tblPr>
      <w:tblBorders>
        <w:top w:val="single" w:color="auto" w:sz="12" w:space="0"/>
        <w:bottom w:val="single" w:color="auto" w:sz="12" w:space="0"/>
        <w:insideH w:val="single" w:color="auto" w:sz="6" w:space="0"/>
        <w:insideV w:val="single" w:color="auto" w:sz="6" w:space="0"/>
      </w:tblBorders>
    </w:tblPr>
  </w:style>
  <w:style w:type="table" w:customStyle="1" w:styleId="411">
    <w:name w:val="样式24"/>
    <w:basedOn w:val="51"/>
    <w:qFormat/>
    <w:uiPriority w:val="99"/>
    <w:pPr>
      <w:jc w:val="center"/>
    </w:pPr>
    <w:rPr>
      <w:rFonts w:ascii="Times New Roman" w:hAnsi="Times New Roman"/>
      <w:sz w:val="21"/>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12">
    <w:name w:val="样式11"/>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13">
    <w:name w:val="网格型4"/>
    <w:basedOn w:val="51"/>
    <w:qFormat/>
    <w:uiPriority w:val="39"/>
    <w:rPr>
      <w:rFonts w:ascii="等线" w:hAnsi="等线" w:eastAsia="等线"/>
      <w:kern w:val="2"/>
      <w:sz w:val="21"/>
      <w:szCs w:val="22"/>
    </w:rPr>
    <w:tblPr>
      <w:tblBorders>
        <w:top w:val="single" w:color="auto" w:sz="12" w:space="0"/>
        <w:bottom w:val="single" w:color="auto" w:sz="12" w:space="0"/>
        <w:insideH w:val="single" w:color="auto" w:sz="4" w:space="0"/>
        <w:insideV w:val="single" w:color="auto" w:sz="4" w:space="0"/>
      </w:tblBorders>
    </w:tblPr>
  </w:style>
  <w:style w:type="table" w:customStyle="1" w:styleId="414">
    <w:name w:val="网格型浅色1"/>
    <w:basedOn w:val="51"/>
    <w:qFormat/>
    <w:uiPriority w:val="40"/>
    <w:rPr>
      <w:rFonts w:ascii="Times New Roman" w:hAnsi="Times New Roman"/>
    </w:rPr>
    <w:tblPr>
      <w:jc w:val="center"/>
      <w:tblBorders>
        <w:top w:val="single" w:color="000000" w:sz="12" w:space="0"/>
        <w:bottom w:val="single" w:color="000000" w:sz="12" w:space="0"/>
        <w:insideH w:val="single" w:color="000000" w:sz="4" w:space="0"/>
        <w:insideV w:val="single" w:color="000000" w:sz="4" w:space="0"/>
      </w:tblBorders>
    </w:tblPr>
    <w:trPr>
      <w:jc w:val="center"/>
    </w:trPr>
    <w:tcPr>
      <w:shd w:val="clear" w:color="auto" w:fill="auto"/>
      <w:vAlign w:val="center"/>
    </w:tcPr>
  </w:style>
  <w:style w:type="table" w:customStyle="1" w:styleId="415">
    <w:name w:val="样式13"/>
    <w:basedOn w:val="51"/>
    <w:qFormat/>
    <w:uiPriority w:val="99"/>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16">
    <w:name w:val="报告书表格样式13"/>
    <w:basedOn w:val="51"/>
    <w:qFormat/>
    <w:uiPriority w:val="0"/>
    <w:pPr>
      <w:jc w:val="center"/>
    </w:pPr>
    <w:rPr>
      <w:rFonts w:ascii="Times New Roman" w:hAnsi="Times New Roman"/>
    </w:rPr>
    <w:tblPr>
      <w:tblBorders>
        <w:top w:val="single" w:color="auto" w:sz="12" w:space="0"/>
        <w:bottom w:val="single" w:color="auto" w:sz="12" w:space="0"/>
        <w:insideH w:val="single" w:color="auto" w:sz="6" w:space="0"/>
        <w:insideV w:val="single" w:color="auto" w:sz="6" w:space="0"/>
      </w:tblBorders>
      <w:tblCellMar>
        <w:left w:w="28" w:type="dxa"/>
        <w:right w:w="28" w:type="dxa"/>
      </w:tblCellMar>
    </w:tblPr>
    <w:tcPr>
      <w:vAlign w:val="center"/>
    </w:tcPr>
  </w:style>
  <w:style w:type="table" w:customStyle="1" w:styleId="417">
    <w:name w:val="样式23"/>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18">
    <w:name w:val="报告书表格样式1"/>
    <w:basedOn w:val="51"/>
    <w:qFormat/>
    <w:uiPriority w:val="0"/>
    <w:pPr>
      <w:adjustRightInd w:val="0"/>
      <w:snapToGrid w:val="0"/>
      <w:spacing w:line="300" w:lineRule="exact"/>
      <w:jc w:val="center"/>
    </w:pPr>
    <w:rPr>
      <w:rFonts w:ascii="宋体" w:hAnsi="宋体"/>
    </w:rPr>
    <w:tblPr>
      <w:jc w:val="center"/>
      <w:tblBorders>
        <w:top w:val="single" w:color="auto" w:sz="12" w:space="0"/>
        <w:bottom w:val="single" w:color="auto" w:sz="12" w:space="0"/>
        <w:insideH w:val="single" w:color="auto" w:sz="6" w:space="0"/>
        <w:insideV w:val="single" w:color="auto" w:sz="6" w:space="0"/>
      </w:tblBorders>
    </w:tblPr>
    <w:trPr>
      <w:cantSplit/>
      <w:jc w:val="center"/>
    </w:trPr>
    <w:tcPr>
      <w:vAlign w:val="center"/>
    </w:tcPr>
  </w:style>
  <w:style w:type="table" w:customStyle="1" w:styleId="419">
    <w:name w:val="样式14"/>
    <w:basedOn w:val="51"/>
    <w:qFormat/>
    <w:uiPriority w:val="99"/>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0">
    <w:name w:val="样式21"/>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1">
    <w:name w:val="表格主题1"/>
    <w:basedOn w:val="5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2">
    <w:name w:val="样式12"/>
    <w:basedOn w:val="51"/>
    <w:qFormat/>
    <w:uiPriority w:val="99"/>
    <w:pPr>
      <w:adjustRightInd w:val="0"/>
      <w:snapToGrid w:val="0"/>
      <w:spacing w:line="300" w:lineRule="exact"/>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3">
    <w:name w:val="报告书表格样式2"/>
    <w:basedOn w:val="51"/>
    <w:qFormat/>
    <w:uiPriority w:val="0"/>
    <w:rPr>
      <w:rFonts w:ascii="Times New Roman" w:hAnsi="Times New Roman"/>
    </w:rPr>
    <w:tblPr>
      <w:tblBorders>
        <w:top w:val="single" w:color="auto" w:sz="12" w:space="0"/>
        <w:bottom w:val="single" w:color="auto" w:sz="12" w:space="0"/>
        <w:insideH w:val="single" w:color="auto" w:sz="6" w:space="0"/>
        <w:insideV w:val="single" w:color="auto" w:sz="6" w:space="0"/>
      </w:tblBorders>
    </w:tblPr>
  </w:style>
  <w:style w:type="table" w:customStyle="1" w:styleId="424">
    <w:name w:val="网格型浅色3"/>
    <w:basedOn w:val="51"/>
    <w:qFormat/>
    <w:uiPriority w:val="40"/>
    <w:rPr>
      <w:rFonts w:ascii="Times New Roman" w:hAnsi="Times New Roman"/>
    </w:rPr>
    <w:tblPr>
      <w:jc w:val="center"/>
      <w:tblBorders>
        <w:top w:val="single" w:color="000000" w:sz="12" w:space="0"/>
        <w:bottom w:val="single" w:color="000000" w:sz="12" w:space="0"/>
        <w:insideH w:val="single" w:color="000000" w:sz="4" w:space="0"/>
        <w:insideV w:val="single" w:color="000000" w:sz="4" w:space="0"/>
      </w:tblBorders>
    </w:tblPr>
    <w:trPr>
      <w:jc w:val="center"/>
    </w:trPr>
    <w:tcPr>
      <w:shd w:val="clear" w:color="auto" w:fill="auto"/>
      <w:vAlign w:val="center"/>
    </w:tcPr>
  </w:style>
  <w:style w:type="table" w:customStyle="1" w:styleId="425">
    <w:name w:val="报告书表格样式"/>
    <w:basedOn w:val="51"/>
    <w:qFormat/>
    <w:uiPriority w:val="0"/>
    <w:pPr>
      <w:adjustRightInd w:val="0"/>
      <w:snapToGrid w:val="0"/>
      <w:spacing w:line="300" w:lineRule="exact"/>
      <w:jc w:val="center"/>
    </w:pPr>
    <w:rPr>
      <w:rFonts w:ascii="宋体" w:hAnsi="宋体"/>
    </w:rPr>
    <w:tblPr>
      <w:jc w:val="center"/>
      <w:tblBorders>
        <w:top w:val="single" w:color="auto" w:sz="12" w:space="0"/>
        <w:bottom w:val="single" w:color="auto" w:sz="12" w:space="0"/>
        <w:insideH w:val="single" w:color="auto" w:sz="6" w:space="0"/>
        <w:insideV w:val="single" w:color="auto" w:sz="6" w:space="0"/>
      </w:tblBorders>
    </w:tblPr>
    <w:trPr>
      <w:cantSplit/>
      <w:jc w:val="center"/>
    </w:trPr>
    <w:tcPr>
      <w:vAlign w:val="center"/>
    </w:tcPr>
  </w:style>
  <w:style w:type="table" w:customStyle="1" w:styleId="426">
    <w:name w:val="网格型3"/>
    <w:basedOn w:val="5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7">
    <w:name w:val="网格型浅色2"/>
    <w:basedOn w:val="51"/>
    <w:qFormat/>
    <w:uiPriority w:val="40"/>
    <w:rPr>
      <w:rFonts w:ascii="Times New Roman" w:hAnsi="Times New Roman"/>
    </w:rPr>
    <w:tblPr>
      <w:jc w:val="center"/>
      <w:tblBorders>
        <w:top w:val="single" w:color="000000" w:sz="12" w:space="0"/>
        <w:bottom w:val="single" w:color="000000" w:sz="12" w:space="0"/>
        <w:insideH w:val="single" w:color="000000" w:sz="4" w:space="0"/>
        <w:insideV w:val="single" w:color="000000" w:sz="4" w:space="0"/>
      </w:tblBorders>
    </w:tblPr>
    <w:trPr>
      <w:jc w:val="center"/>
    </w:trPr>
    <w:tcPr>
      <w:shd w:val="clear" w:color="auto" w:fill="auto"/>
      <w:vAlign w:val="center"/>
    </w:tcPr>
  </w:style>
  <w:style w:type="table" w:customStyle="1" w:styleId="428">
    <w:name w:val="网格型1"/>
    <w:basedOn w:val="5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9">
    <w:name w:val="报告书表格样式111"/>
    <w:basedOn w:val="51"/>
    <w:qFormat/>
    <w:uiPriority w:val="0"/>
    <w:pPr>
      <w:jc w:val="center"/>
    </w:pPr>
    <w:rPr>
      <w:rFonts w:ascii="Times New Roman" w:hAnsi="Times New Roman"/>
    </w:rPr>
    <w:tblPr>
      <w:tblBorders>
        <w:top w:val="single" w:color="auto" w:sz="12" w:space="0"/>
        <w:bottom w:val="single" w:color="auto" w:sz="12" w:space="0"/>
        <w:insideH w:val="single" w:color="auto" w:sz="6" w:space="0"/>
        <w:insideV w:val="single" w:color="auto" w:sz="6" w:space="0"/>
      </w:tblBorders>
      <w:tblCellMar>
        <w:left w:w="28" w:type="dxa"/>
        <w:right w:w="28" w:type="dxa"/>
      </w:tblCellMar>
    </w:tblPr>
    <w:tcPr>
      <w:vAlign w:val="center"/>
    </w:tcPr>
  </w:style>
  <w:style w:type="table" w:customStyle="1" w:styleId="430">
    <w:name w:val="样式25"/>
    <w:basedOn w:val="51"/>
    <w:qFormat/>
    <w:uiPriority w:val="99"/>
    <w:pPr>
      <w:jc w:val="center"/>
    </w:pPr>
    <w:rPr>
      <w:rFonts w:ascii="Times New Roman" w:hAnsi="Times New Roman"/>
      <w:sz w:val="21"/>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31">
    <w:name w:val="样式2"/>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32">
    <w:name w:val="报告书表格样式4"/>
    <w:basedOn w:val="51"/>
    <w:qFormat/>
    <w:uiPriority w:val="0"/>
    <w:pPr>
      <w:adjustRightInd w:val="0"/>
      <w:snapToGrid w:val="0"/>
      <w:spacing w:line="300" w:lineRule="exact"/>
      <w:jc w:val="center"/>
    </w:pPr>
    <w:rPr>
      <w:rFonts w:ascii="宋体" w:hAnsi="宋体"/>
      <w:sz w:val="21"/>
    </w:rPr>
    <w:tblPr>
      <w:jc w:val="center"/>
      <w:tblBorders>
        <w:top w:val="single" w:color="auto" w:sz="12" w:space="0"/>
        <w:bottom w:val="single" w:color="auto" w:sz="12" w:space="0"/>
        <w:insideH w:val="single" w:color="auto" w:sz="6" w:space="0"/>
        <w:insideV w:val="single" w:color="auto" w:sz="6" w:space="0"/>
      </w:tblBorders>
    </w:tblPr>
    <w:trPr>
      <w:cantSplit/>
      <w:jc w:val="center"/>
    </w:trPr>
    <w:tcPr>
      <w:vAlign w:val="center"/>
    </w:tcPr>
  </w:style>
  <w:style w:type="table" w:customStyle="1" w:styleId="433">
    <w:name w:val="样式22"/>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34">
    <w:name w:val="报告书表格样式12"/>
    <w:basedOn w:val="51"/>
    <w:qFormat/>
    <w:uiPriority w:val="0"/>
    <w:pPr>
      <w:jc w:val="center"/>
    </w:pPr>
    <w:rPr>
      <w:rFonts w:ascii="Times New Roman" w:hAnsi="Times New Roman"/>
    </w:rPr>
    <w:tblPr>
      <w:tblBorders>
        <w:top w:val="single" w:color="auto" w:sz="12" w:space="0"/>
        <w:bottom w:val="single" w:color="auto" w:sz="12" w:space="0"/>
        <w:insideH w:val="single" w:color="auto" w:sz="6" w:space="0"/>
        <w:insideV w:val="single" w:color="auto" w:sz="6" w:space="0"/>
      </w:tblBorders>
      <w:tblCellMar>
        <w:left w:w="28" w:type="dxa"/>
        <w:right w:w="28" w:type="dxa"/>
      </w:tblCellMar>
    </w:tblPr>
    <w:tcPr>
      <w:vAlign w:val="center"/>
    </w:tcPr>
  </w:style>
  <w:style w:type="table" w:customStyle="1" w:styleId="435">
    <w:name w:val="样式1"/>
    <w:basedOn w:val="51"/>
    <w:qFormat/>
    <w:uiPriority w:val="99"/>
    <w:pPr>
      <w:jc w:val="center"/>
    </w:p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36">
    <w:name w:val="Grid Table Light1"/>
    <w:basedOn w:val="51"/>
    <w:qFormat/>
    <w:uiPriority w:val="40"/>
    <w:rPr>
      <w:rFonts w:ascii="Times New Roman" w:hAnsi="Times New Roman"/>
    </w:rPr>
    <w:tblPr>
      <w:jc w:val="center"/>
      <w:tblBorders>
        <w:top w:val="single" w:color="000000" w:sz="12" w:space="0"/>
        <w:bottom w:val="single" w:color="000000" w:sz="12" w:space="0"/>
        <w:insideH w:val="single" w:color="000000" w:sz="4" w:space="0"/>
        <w:insideV w:val="single" w:color="000000" w:sz="4" w:space="0"/>
      </w:tblBorders>
    </w:tblPr>
    <w:trPr>
      <w:jc w:val="center"/>
    </w:trPr>
    <w:tcPr>
      <w:shd w:val="clear" w:color="auto" w:fill="auto"/>
      <w:vAlign w:val="center"/>
    </w:tcPr>
  </w:style>
  <w:style w:type="table" w:customStyle="1" w:styleId="437">
    <w:name w:val="YJ-表格"/>
    <w:basedOn w:val="51"/>
    <w:qFormat/>
    <w:uiPriority w:val="99"/>
    <w:pPr>
      <w:jc w:val="center"/>
    </w:pPr>
    <w:rPr>
      <w:rFonts w:ascii="宋体"/>
    </w:rPr>
    <w:tblPr>
      <w:jc w:val="center"/>
      <w:tblBorders>
        <w:top w:val="single" w:color="auto" w:sz="12" w:space="0"/>
        <w:bottom w:val="single" w:color="auto" w:sz="12" w:space="0"/>
        <w:insideH w:val="single" w:color="auto" w:sz="12" w:space="0"/>
        <w:insideV w:val="single" w:color="auto" w:sz="12" w:space="0"/>
      </w:tblBorders>
    </w:tblPr>
    <w:trPr>
      <w:jc w:val="center"/>
    </w:trPr>
    <w:tcPr>
      <w:vAlign w:val="center"/>
    </w:tcPr>
  </w:style>
  <w:style w:type="table" w:customStyle="1" w:styleId="438">
    <w:name w:val="网格型2"/>
    <w:basedOn w:val="5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9">
    <w:name w:val="网格型!1"/>
    <w:basedOn w:val="5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0">
    <w:name w:val="报告书表格样式3"/>
    <w:basedOn w:val="51"/>
    <w:qFormat/>
    <w:uiPriority w:val="0"/>
    <w:rPr>
      <w:rFonts w:ascii="Times New Roman" w:hAnsi="Times New Roman"/>
    </w:rPr>
    <w:tblPr>
      <w:tblBorders>
        <w:top w:val="single" w:color="auto" w:sz="12" w:space="0"/>
        <w:bottom w:val="single" w:color="auto" w:sz="12" w:space="0"/>
        <w:insideH w:val="single" w:color="auto" w:sz="6" w:space="0"/>
        <w:insideV w:val="single" w:color="auto" w:sz="6" w:space="0"/>
      </w:tblBorders>
    </w:tblPr>
  </w:style>
  <w:style w:type="character" w:customStyle="1" w:styleId="441">
    <w:name w:val="font31"/>
    <w:qFormat/>
    <w:uiPriority w:val="0"/>
    <w:rPr>
      <w:rFonts w:hint="default" w:ascii="Times New Roman" w:hAnsi="Times New Roman" w:cs="Times New Roman"/>
      <w:color w:val="000000"/>
      <w:sz w:val="24"/>
      <w:szCs w:val="24"/>
      <w:u w:val="none"/>
    </w:rPr>
  </w:style>
  <w:style w:type="paragraph" w:customStyle="1" w:styleId="442">
    <w:name w:val="CDD图中的文字"/>
    <w:basedOn w:val="1"/>
    <w:qFormat/>
    <w:uiPriority w:val="0"/>
    <w:pPr>
      <w:spacing w:line="240" w:lineRule="exact"/>
      <w:jc w:val="center"/>
    </w:pPr>
    <w:rPr>
      <w:rFonts w:ascii="宋体" w:hAnsi="等线"/>
      <w:sz w:val="18"/>
      <w:szCs w:val="21"/>
    </w:rPr>
  </w:style>
  <w:style w:type="paragraph" w:customStyle="1" w:styleId="443">
    <w:name w:val="111"/>
    <w:basedOn w:val="117"/>
    <w:qFormat/>
    <w:uiPriority w:val="0"/>
    <w:pPr>
      <w:overflowPunct w:val="0"/>
    </w:pPr>
  </w:style>
  <w:style w:type="paragraph" w:customStyle="1" w:styleId="444">
    <w:name w:val="样式 小四 行距: 1.5 倍行距"/>
    <w:basedOn w:val="1"/>
    <w:qFormat/>
    <w:uiPriority w:val="0"/>
    <w:pPr>
      <w:spacing w:line="360" w:lineRule="auto"/>
      <w:ind w:firstLine="200" w:firstLineChars="200"/>
    </w:pPr>
    <w:rPr>
      <w:rFonts w:ascii="Times New Roman" w:hAnsi="Times New Roman" w:cs="宋体"/>
      <w:sz w:val="28"/>
      <w:szCs w:val="20"/>
    </w:rPr>
  </w:style>
  <w:style w:type="character" w:customStyle="1" w:styleId="445">
    <w:name w:val="表、图名 Char"/>
    <w:link w:val="400"/>
    <w:qFormat/>
    <w:uiPriority w:val="0"/>
    <w:rPr>
      <w:rFonts w:ascii="黑体" w:hAnsi="Times New Roman" w:eastAsia="黑体"/>
      <w:kern w:val="2"/>
      <w:sz w:val="21"/>
      <w:szCs w:val="24"/>
    </w:rPr>
  </w:style>
  <w:style w:type="character" w:customStyle="1" w:styleId="446">
    <w:name w:val="样式4 Char Char"/>
    <w:semiHidden/>
    <w:qFormat/>
    <w:uiPriority w:val="0"/>
    <w:rPr>
      <w:rFonts w:ascii="Arial" w:hAnsi="Arial" w:eastAsia="宋体"/>
      <w:kern w:val="2"/>
      <w:sz w:val="24"/>
      <w:szCs w:val="24"/>
      <w:lang w:val="en-US" w:eastAsia="zh-CN" w:bidi="ar-SA"/>
    </w:rPr>
  </w:style>
  <w:style w:type="character" w:customStyle="1" w:styleId="447">
    <w:name w:val="表头 Char2"/>
    <w:qFormat/>
    <w:locked/>
    <w:uiPriority w:val="0"/>
    <w:rPr>
      <w:rFonts w:ascii="Arial" w:hAnsi="Arial" w:eastAsia="黑体"/>
      <w:bCs/>
      <w:kern w:val="2"/>
      <w:sz w:val="21"/>
      <w:szCs w:val="28"/>
      <w:lang w:val="en-US" w:eastAsia="zh-CN" w:bidi="ar-SA"/>
    </w:rPr>
  </w:style>
  <w:style w:type="character" w:customStyle="1" w:styleId="448">
    <w:name w:val="fontstyle21"/>
    <w:qFormat/>
    <w:uiPriority w:val="0"/>
    <w:rPr>
      <w:rFonts w:hint="default" w:ascii="Helvetica" w:hAnsi="Helvetica"/>
      <w:color w:val="000000"/>
      <w:sz w:val="30"/>
      <w:szCs w:val="30"/>
    </w:rPr>
  </w:style>
  <w:style w:type="paragraph" w:customStyle="1" w:styleId="449">
    <w:name w:val="表格标题样式"/>
    <w:basedOn w:val="1"/>
    <w:qFormat/>
    <w:uiPriority w:val="0"/>
    <w:pPr>
      <w:widowControl/>
      <w:spacing w:line="300" w:lineRule="auto"/>
      <w:jc w:val="center"/>
      <w:textAlignment w:val="baseline"/>
    </w:pPr>
    <w:rPr>
      <w:rFonts w:ascii="黑体" w:hAnsi="黑体" w:eastAsia="黑体"/>
      <w:kern w:val="0"/>
      <w:sz w:val="24"/>
      <w:szCs w:val="24"/>
    </w:rPr>
  </w:style>
  <w:style w:type="paragraph" w:customStyle="1" w:styleId="450">
    <w:name w:val="03_正文"/>
    <w:basedOn w:val="1"/>
    <w:qFormat/>
    <w:uiPriority w:val="0"/>
    <w:pPr>
      <w:adjustRightInd w:val="0"/>
      <w:snapToGrid w:val="0"/>
      <w:spacing w:line="360" w:lineRule="auto"/>
      <w:ind w:firstLine="200" w:firstLineChars="200"/>
    </w:pPr>
    <w:rPr>
      <w:rFonts w:ascii="宋体"/>
      <w:color w:val="000000"/>
      <w:spacing w:val="5"/>
      <w:sz w:val="25"/>
      <w:szCs w:val="25"/>
    </w:rPr>
  </w:style>
  <w:style w:type="paragraph" w:customStyle="1" w:styleId="451">
    <w:name w:val="表表格内的文字"/>
    <w:basedOn w:val="452"/>
    <w:qFormat/>
    <w:uiPriority w:val="0"/>
    <w:pPr>
      <w:snapToGrid/>
      <w:spacing w:line="240" w:lineRule="auto"/>
      <w:jc w:val="center"/>
    </w:pPr>
    <w:rPr>
      <w:rFonts w:ascii="Times New Roman" w:hAnsi="Times New Roman" w:cs="Times New Roman"/>
      <w:kern w:val="0"/>
      <w:sz w:val="21"/>
      <w:szCs w:val="21"/>
    </w:rPr>
  </w:style>
  <w:style w:type="paragraph" w:customStyle="1" w:styleId="452">
    <w:name w:val="说明书正文"/>
    <w:basedOn w:val="1"/>
    <w:qFormat/>
    <w:uiPriority w:val="0"/>
    <w:pPr>
      <w:adjustRightInd w:val="0"/>
      <w:snapToGrid w:val="0"/>
      <w:spacing w:line="300" w:lineRule="auto"/>
      <w:textAlignment w:val="baseline"/>
    </w:pPr>
    <w:rPr>
      <w:rFonts w:ascii="宋体" w:hAnsi="宋体" w:cs="宋体"/>
      <w:sz w:val="28"/>
      <w:szCs w:val="28"/>
    </w:rPr>
  </w:style>
  <w:style w:type="paragraph" w:customStyle="1" w:styleId="453">
    <w:name w:val="CM3"/>
    <w:basedOn w:val="386"/>
    <w:next w:val="386"/>
    <w:qFormat/>
    <w:uiPriority w:val="0"/>
    <w:rPr>
      <w:rFonts w:ascii="ST Song Std" w:eastAsia="ST Song Std" w:cs="Times New Roman"/>
      <w:color w:val="auto"/>
    </w:rPr>
  </w:style>
  <w:style w:type="paragraph" w:customStyle="1" w:styleId="454">
    <w:name w:val="表格内"/>
    <w:basedOn w:val="1"/>
    <w:link w:val="459"/>
    <w:qFormat/>
    <w:uiPriority w:val="0"/>
    <w:pPr>
      <w:snapToGrid w:val="0"/>
      <w:spacing w:line="360" w:lineRule="exact"/>
      <w:jc w:val="center"/>
    </w:pPr>
    <w:rPr>
      <w:rFonts w:ascii="Times New Roman" w:hAnsi="Times New Roman"/>
      <w:szCs w:val="21"/>
    </w:rPr>
  </w:style>
  <w:style w:type="paragraph" w:customStyle="1" w:styleId="455">
    <w:name w:val="a)"/>
    <w:basedOn w:val="1"/>
    <w:qFormat/>
    <w:uiPriority w:val="0"/>
    <w:pPr>
      <w:tabs>
        <w:tab w:val="left" w:pos="1134"/>
      </w:tabs>
      <w:adjustRightInd w:val="0"/>
      <w:spacing w:line="360" w:lineRule="auto"/>
      <w:ind w:firstLine="567"/>
      <w:textAlignment w:val="baseline"/>
    </w:pPr>
    <w:rPr>
      <w:rFonts w:ascii="Times New Roman" w:hAnsi="Times New Roman"/>
      <w:kern w:val="0"/>
      <w:sz w:val="28"/>
      <w:szCs w:val="20"/>
    </w:rPr>
  </w:style>
  <w:style w:type="paragraph" w:customStyle="1" w:styleId="456">
    <w:name w:val="首行缩进2"/>
    <w:basedOn w:val="1"/>
    <w:qFormat/>
    <w:uiPriority w:val="0"/>
    <w:pPr>
      <w:spacing w:line="360" w:lineRule="auto"/>
      <w:ind w:firstLine="200" w:firstLineChars="200"/>
    </w:pPr>
    <w:rPr>
      <w:rFonts w:ascii="Times New Roman" w:hAnsi="Times New Roman"/>
      <w:sz w:val="24"/>
      <w:szCs w:val="28"/>
    </w:rPr>
  </w:style>
  <w:style w:type="paragraph" w:customStyle="1" w:styleId="457">
    <w:name w:val="CM2"/>
    <w:basedOn w:val="386"/>
    <w:next w:val="386"/>
    <w:qFormat/>
    <w:uiPriority w:val="0"/>
    <w:pPr>
      <w:spacing w:line="580" w:lineRule="atLeast"/>
    </w:pPr>
    <w:rPr>
      <w:rFonts w:ascii="ST Song Std" w:eastAsia="ST Song Std" w:cs="Times New Roman"/>
      <w:color w:val="auto"/>
    </w:rPr>
  </w:style>
  <w:style w:type="paragraph" w:customStyle="1" w:styleId="458">
    <w:name w:val="CM1"/>
    <w:basedOn w:val="386"/>
    <w:next w:val="386"/>
    <w:qFormat/>
    <w:uiPriority w:val="0"/>
    <w:pPr>
      <w:spacing w:line="623" w:lineRule="atLeast"/>
    </w:pPr>
    <w:rPr>
      <w:rFonts w:ascii="ST Song Std" w:eastAsia="ST Song Std" w:cs="Times New Roman"/>
      <w:color w:val="auto"/>
    </w:rPr>
  </w:style>
  <w:style w:type="character" w:customStyle="1" w:styleId="459">
    <w:name w:val="表格内 字符"/>
    <w:link w:val="454"/>
    <w:qFormat/>
    <w:uiPriority w:val="0"/>
    <w:rPr>
      <w:rFonts w:ascii="Times New Roman" w:hAnsi="Times New Roman"/>
      <w:kern w:val="2"/>
      <w:sz w:val="21"/>
      <w:szCs w:val="21"/>
    </w:rPr>
  </w:style>
  <w:style w:type="character" w:customStyle="1" w:styleId="460">
    <w:name w:val="脚注文本 字符1"/>
    <w:semiHidden/>
    <w:qFormat/>
    <w:uiPriority w:val="99"/>
    <w:rPr>
      <w:rFonts w:eastAsia="宋体"/>
      <w:sz w:val="18"/>
      <w:szCs w:val="18"/>
    </w:rPr>
  </w:style>
  <w:style w:type="character" w:customStyle="1" w:styleId="461">
    <w:name w:val="FL正文字体 字符"/>
    <w:link w:val="462"/>
    <w:qFormat/>
    <w:uiPriority w:val="0"/>
    <w:rPr>
      <w:rFonts w:ascii="宋体" w:hAnsi="宋体"/>
      <w:color w:val="FF0000"/>
      <w:sz w:val="24"/>
      <w:szCs w:val="24"/>
    </w:rPr>
  </w:style>
  <w:style w:type="paragraph" w:customStyle="1" w:styleId="462">
    <w:name w:val="FL正文字体"/>
    <w:basedOn w:val="117"/>
    <w:link w:val="461"/>
    <w:qFormat/>
    <w:uiPriority w:val="0"/>
    <w:pPr>
      <w:ind w:firstLine="480"/>
    </w:pPr>
    <w:rPr>
      <w:color w:val="FF0000"/>
      <w:kern w:val="0"/>
    </w:rPr>
  </w:style>
  <w:style w:type="table" w:customStyle="1" w:styleId="463">
    <w:name w:val="样式231"/>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464">
    <w:name w:val="副标题 字符"/>
    <w:link w:val="36"/>
    <w:qFormat/>
    <w:uiPriority w:val="11"/>
    <w:rPr>
      <w:rFonts w:ascii="Times New Roman" w:hAnsi="Times New Roman"/>
      <w:bCs/>
      <w:kern w:val="28"/>
      <w:sz w:val="21"/>
      <w:szCs w:val="32"/>
    </w:rPr>
  </w:style>
  <w:style w:type="paragraph" w:customStyle="1" w:styleId="465">
    <w:name w:val="xl8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66">
    <w:name w:val="CDD正文"/>
    <w:basedOn w:val="1"/>
    <w:link w:val="467"/>
    <w:qFormat/>
    <w:uiPriority w:val="0"/>
    <w:pPr>
      <w:suppressLineNumbers/>
      <w:suppressAutoHyphens/>
      <w:spacing w:line="500" w:lineRule="exact"/>
      <w:ind w:firstLine="200" w:firstLineChars="200"/>
      <w:contextualSpacing/>
      <w:textAlignment w:val="top"/>
      <w:outlineLvl w:val="3"/>
    </w:pPr>
    <w:rPr>
      <w:rFonts w:ascii="宋体" w:hAnsi="宋体"/>
      <w:b/>
      <w:kern w:val="0"/>
      <w:sz w:val="24"/>
      <w:szCs w:val="20"/>
    </w:rPr>
  </w:style>
  <w:style w:type="character" w:customStyle="1" w:styleId="467">
    <w:name w:val="CDD正文 Char"/>
    <w:link w:val="466"/>
    <w:qFormat/>
    <w:uiPriority w:val="0"/>
    <w:rPr>
      <w:rFonts w:ascii="宋体" w:hAnsi="宋体"/>
      <w:b/>
      <w:sz w:val="24"/>
    </w:rPr>
  </w:style>
  <w:style w:type="table" w:customStyle="1" w:styleId="468">
    <w:name w:val="网格型5"/>
    <w:basedOn w:val="51"/>
    <w:unhideWhenUsed/>
    <w:qFormat/>
    <w:uiPriority w:val="99"/>
    <w:pPr>
      <w:widowControl w:val="0"/>
      <w:jc w:val="both"/>
    </w:pPr>
    <w:rPr>
      <w:rFonts w:ascii="宋体" w:hAnsi="宋体"/>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character" w:customStyle="1" w:styleId="469">
    <w:name w:val="普通(网站) 字符"/>
    <w:link w:val="45"/>
    <w:qFormat/>
    <w:locked/>
    <w:uiPriority w:val="0"/>
    <w:rPr>
      <w:rFonts w:ascii="Times New Roman" w:hAnsi="Times New Roman" w:cs="宋体"/>
      <w:sz w:val="24"/>
      <w:szCs w:val="24"/>
    </w:rPr>
  </w:style>
  <w:style w:type="character" w:customStyle="1" w:styleId="470">
    <w:name w:val="表内文字 字符"/>
    <w:link w:val="381"/>
    <w:qFormat/>
    <w:uiPriority w:val="0"/>
    <w:rPr>
      <w:rFonts w:ascii="Times New Roman" w:hAnsi="Times New Roman"/>
      <w:kern w:val="2"/>
      <w:sz w:val="21"/>
      <w:szCs w:val="21"/>
    </w:rPr>
  </w:style>
  <w:style w:type="paragraph" w:customStyle="1" w:styleId="471">
    <w:name w:val="样式 样式 标题 5表格标题标题 5 CharBlock Label + 首行缩进:  2 字符 + 首行缩进:  0.88 厘米"/>
    <w:basedOn w:val="1"/>
    <w:qFormat/>
    <w:uiPriority w:val="0"/>
    <w:pPr>
      <w:keepNext/>
      <w:keepLines/>
      <w:adjustRightInd w:val="0"/>
      <w:spacing w:before="100" w:after="100"/>
      <w:jc w:val="left"/>
      <w:textAlignment w:val="baseline"/>
      <w:outlineLvl w:val="4"/>
    </w:pPr>
    <w:rPr>
      <w:rFonts w:ascii="Arial" w:hAnsi="Arial" w:eastAsia="黑体" w:cs="宋体"/>
      <w:color w:val="000000"/>
      <w:kern w:val="0"/>
      <w:sz w:val="24"/>
      <w:szCs w:val="20"/>
    </w:rPr>
  </w:style>
  <w:style w:type="table" w:customStyle="1" w:styleId="472">
    <w:name w:val="网格型!11"/>
    <w:basedOn w:val="5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3">
    <w:name w:val="Placeholder Text"/>
    <w:basedOn w:val="54"/>
    <w:unhideWhenUsed/>
    <w:qFormat/>
    <w:uiPriority w:val="99"/>
    <w:rPr>
      <w:color w:val="808080"/>
    </w:rPr>
  </w:style>
  <w:style w:type="paragraph" w:customStyle="1" w:styleId="474">
    <w:name w:val="Revision"/>
    <w:hidden/>
    <w:unhideWhenUsed/>
    <w:qFormat/>
    <w:uiPriority w:val="99"/>
    <w:rPr>
      <w:rFonts w:ascii="Calibri" w:hAnsi="Calibri" w:eastAsia="宋体" w:cs="Times New Roman"/>
      <w:kern w:val="2"/>
      <w:sz w:val="21"/>
      <w:szCs w:val="22"/>
      <w:lang w:val="en-US" w:eastAsia="zh-CN" w:bidi="ar-SA"/>
    </w:rPr>
  </w:style>
  <w:style w:type="character" w:customStyle="1" w:styleId="475">
    <w:name w:val="标题2"/>
    <w:qFormat/>
    <w:uiPriority w:val="0"/>
  </w:style>
  <w:style w:type="paragraph" w:customStyle="1" w:styleId="476">
    <w:name w:val="Char Char Char Char Char 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477">
    <w:name w:val="Char3"/>
    <w:basedOn w:val="1"/>
    <w:qFormat/>
    <w:uiPriority w:val="0"/>
    <w:pPr>
      <w:widowControl/>
      <w:spacing w:after="160" w:line="240" w:lineRule="exact"/>
      <w:jc w:val="left"/>
    </w:pPr>
    <w:rPr>
      <w:rFonts w:ascii="Verdana" w:hAnsi="Verdana"/>
      <w:kern w:val="0"/>
      <w:sz w:val="20"/>
      <w:szCs w:val="20"/>
      <w:lang w:eastAsia="en-US"/>
    </w:rPr>
  </w:style>
  <w:style w:type="paragraph" w:customStyle="1" w:styleId="478">
    <w:name w:val="正文缩进3"/>
    <w:basedOn w:val="1"/>
    <w:qFormat/>
    <w:uiPriority w:val="0"/>
    <w:pPr>
      <w:ind w:firstLine="420" w:firstLineChars="200"/>
    </w:pPr>
    <w:rPr>
      <w:rFonts w:ascii="Times New Roman" w:hAnsi="Times New Roman"/>
      <w:szCs w:val="20"/>
    </w:rPr>
  </w:style>
  <w:style w:type="paragraph" w:customStyle="1" w:styleId="479">
    <w:name w:val="Char1 Char 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480">
    <w:name w:val="纯文本2"/>
    <w:basedOn w:val="1"/>
    <w:qFormat/>
    <w:uiPriority w:val="0"/>
    <w:pPr>
      <w:adjustRightInd w:val="0"/>
      <w:jc w:val="left"/>
      <w:textAlignment w:val="baseline"/>
    </w:pPr>
    <w:rPr>
      <w:rFonts w:ascii="宋体" w:hAnsi="Courier New"/>
      <w:sz w:val="24"/>
      <w:szCs w:val="20"/>
    </w:rPr>
  </w:style>
  <w:style w:type="paragraph" w:customStyle="1" w:styleId="481">
    <w:name w:val="Char Char Char Char Char Char Char Char1"/>
    <w:basedOn w:val="1"/>
    <w:qFormat/>
    <w:uiPriority w:val="0"/>
    <w:rPr>
      <w:rFonts w:ascii="Times New Roman" w:hAnsi="Times New Roman"/>
      <w:szCs w:val="20"/>
    </w:rPr>
  </w:style>
  <w:style w:type="character" w:customStyle="1" w:styleId="482">
    <w:name w:val="efq04cym70"/>
    <w:basedOn w:val="54"/>
    <w:qFormat/>
    <w:uiPriority w:val="0"/>
  </w:style>
  <w:style w:type="character" w:customStyle="1" w:styleId="483">
    <w:name w:val="s2bt9i"/>
    <w:basedOn w:val="54"/>
    <w:qFormat/>
    <w:uiPriority w:val="0"/>
  </w:style>
  <w:style w:type="paragraph" w:customStyle="1" w:styleId="484">
    <w:name w:val="msonormal"/>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485">
    <w:name w:val="xl65"/>
    <w:basedOn w:val="1"/>
    <w:qFormat/>
    <w:uiPriority w:val="0"/>
    <w:pPr>
      <w:widowControl/>
      <w:pBdr>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86">
    <w:name w:val="xl67"/>
    <w:basedOn w:val="1"/>
    <w:qFormat/>
    <w:uiPriority w:val="0"/>
    <w:pPr>
      <w:widowControl/>
      <w:pBdr>
        <w:bottom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87">
    <w:name w:val="xl68"/>
    <w:basedOn w:val="1"/>
    <w:qFormat/>
    <w:uiPriority w:val="0"/>
    <w:pPr>
      <w:widowControl/>
      <w:pBdr>
        <w:bottom w:val="single" w:color="auto" w:sz="12"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88">
    <w:name w:val="xl69"/>
    <w:basedOn w:val="1"/>
    <w:qFormat/>
    <w:uiPriority w:val="0"/>
    <w:pPr>
      <w:widowControl/>
      <w:pBdr>
        <w:top w:val="single" w:color="auto" w:sz="12" w:space="0"/>
        <w:left w:val="single" w:color="auto" w:sz="8" w:space="0"/>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89">
    <w:name w:val="xl70"/>
    <w:basedOn w:val="1"/>
    <w:qFormat/>
    <w:uiPriority w:val="0"/>
    <w:pPr>
      <w:widowControl/>
      <w:pBdr>
        <w:top w:val="single" w:color="auto" w:sz="12" w:space="0"/>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0">
    <w:name w:val="xl71"/>
    <w:basedOn w:val="1"/>
    <w:qFormat/>
    <w:uiPriority w:val="0"/>
    <w:pPr>
      <w:widowControl/>
      <w:pBdr>
        <w:top w:val="single" w:color="auto" w:sz="12"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1">
    <w:name w:val="xl72"/>
    <w:basedOn w:val="1"/>
    <w:qFormat/>
    <w:uiPriority w:val="0"/>
    <w:pPr>
      <w:widowControl/>
      <w:pBdr>
        <w:top w:val="single" w:color="auto" w:sz="12" w:space="0"/>
        <w:left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2">
    <w:name w:val="xl73"/>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3">
    <w:name w:val="xl74"/>
    <w:basedOn w:val="1"/>
    <w:qFormat/>
    <w:uiPriority w:val="0"/>
    <w:pPr>
      <w:widowControl/>
      <w:pBdr>
        <w:top w:val="single" w:color="auto" w:sz="12" w:space="0"/>
        <w:bottom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4">
    <w:name w:val="xl75"/>
    <w:basedOn w:val="1"/>
    <w:qFormat/>
    <w:uiPriority w:val="0"/>
    <w:pPr>
      <w:widowControl/>
      <w:pBdr>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495">
    <w:name w:val="xl76"/>
    <w:basedOn w:val="1"/>
    <w:qFormat/>
    <w:uiPriority w:val="0"/>
    <w:pPr>
      <w:widowControl/>
      <w:pBdr>
        <w:bottom w:val="single" w:color="auto" w:sz="12" w:space="0"/>
        <w:right w:val="single" w:color="auto" w:sz="8" w:space="0"/>
      </w:pBdr>
      <w:spacing w:before="100" w:beforeAutospacing="1" w:after="100" w:afterAutospacing="1"/>
      <w:jc w:val="center"/>
    </w:pPr>
    <w:rPr>
      <w:rFonts w:ascii="宋体" w:hAnsi="宋体" w:cs="宋体"/>
      <w:kern w:val="0"/>
      <w:szCs w:val="21"/>
    </w:rPr>
  </w:style>
  <w:style w:type="paragraph" w:customStyle="1" w:styleId="496">
    <w:name w:val="xl77"/>
    <w:basedOn w:val="1"/>
    <w:qFormat/>
    <w:uiPriority w:val="0"/>
    <w:pPr>
      <w:widowControl/>
      <w:pBdr>
        <w:top w:val="single" w:color="auto" w:sz="8" w:space="0"/>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7">
    <w:name w:val="xl78"/>
    <w:basedOn w:val="1"/>
    <w:qFormat/>
    <w:uiPriority w:val="0"/>
    <w:pPr>
      <w:widowControl/>
      <w:pBdr>
        <w:top w:val="single" w:color="auto" w:sz="8" w:space="0"/>
        <w:bottom w:val="single" w:color="auto" w:sz="12" w:space="0"/>
      </w:pBdr>
      <w:spacing w:before="100" w:beforeAutospacing="1" w:after="100" w:afterAutospacing="1"/>
      <w:jc w:val="center"/>
      <w:textAlignment w:val="center"/>
    </w:pPr>
    <w:rPr>
      <w:rFonts w:ascii="宋体" w:hAnsi="宋体" w:cs="宋体"/>
      <w:kern w:val="0"/>
      <w:szCs w:val="21"/>
    </w:rPr>
  </w:style>
  <w:style w:type="paragraph" w:customStyle="1" w:styleId="498">
    <w:name w:val="xl79"/>
    <w:basedOn w:val="1"/>
    <w:qFormat/>
    <w:uiPriority w:val="0"/>
    <w:pPr>
      <w:widowControl/>
      <w:pBdr>
        <w:top w:val="single" w:color="auto" w:sz="8" w:space="0"/>
        <w:left w:val="single" w:color="auto" w:sz="8" w:space="0"/>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499">
    <w:name w:val="xl80"/>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500">
    <w:name w:val="xl81"/>
    <w:basedOn w:val="1"/>
    <w:qFormat/>
    <w:uiPriority w:val="0"/>
    <w:pPr>
      <w:widowControl/>
      <w:pBdr>
        <w:bottom w:val="single" w:color="auto" w:sz="8" w:space="0"/>
        <w:right w:val="single" w:color="auto" w:sz="8" w:space="0"/>
      </w:pBdr>
      <w:spacing w:before="100" w:beforeAutospacing="1" w:after="100" w:afterAutospacing="1"/>
      <w:jc w:val="center"/>
    </w:pPr>
    <w:rPr>
      <w:rFonts w:ascii="宋体" w:hAnsi="宋体" w:cs="宋体"/>
      <w:kern w:val="0"/>
      <w:szCs w:val="21"/>
    </w:rPr>
  </w:style>
  <w:style w:type="table" w:customStyle="1" w:styleId="501">
    <w:name w:val="网格型6"/>
    <w:basedOn w:val="51"/>
    <w:unhideWhenUsed/>
    <w:qFormat/>
    <w:uiPriority w:val="99"/>
    <w:pPr>
      <w:widowControl w:val="0"/>
      <w:jc w:val="both"/>
    </w:pPr>
    <w:rPr>
      <w:rFonts w:ascii="宋体" w:hAnsi="宋体"/>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character" w:customStyle="1" w:styleId="502">
    <w:name w:val="列表段落 字符"/>
    <w:link w:val="302"/>
    <w:qFormat/>
    <w:uiPriority w:val="1"/>
    <w:rPr>
      <w:rFonts w:ascii="Times New Roman" w:hAnsi="Times New Roman"/>
      <w:kern w:val="2"/>
      <w:sz w:val="21"/>
      <w:szCs w:val="21"/>
    </w:rPr>
  </w:style>
  <w:style w:type="character" w:customStyle="1" w:styleId="503">
    <w:name w:val="表格1 Char"/>
    <w:link w:val="504"/>
    <w:qFormat/>
    <w:uiPriority w:val="0"/>
    <w:rPr>
      <w:rFonts w:ascii="Times New Roman" w:hAnsi="Times New Roman" w:eastAsia="方正仿宋_GBK"/>
      <w:color w:val="000000"/>
      <w:sz w:val="21"/>
      <w:szCs w:val="24"/>
    </w:rPr>
  </w:style>
  <w:style w:type="paragraph" w:customStyle="1" w:styleId="504">
    <w:name w:val="表格1"/>
    <w:basedOn w:val="1"/>
    <w:link w:val="503"/>
    <w:qFormat/>
    <w:uiPriority w:val="0"/>
    <w:pPr>
      <w:adjustRightInd w:val="0"/>
      <w:snapToGrid w:val="0"/>
      <w:jc w:val="center"/>
    </w:pPr>
    <w:rPr>
      <w:rFonts w:ascii="Times New Roman" w:hAnsi="Times New Roman" w:eastAsia="方正仿宋_GBK"/>
      <w:color w:val="000000"/>
      <w:kern w:val="0"/>
      <w:szCs w:val="24"/>
    </w:rPr>
  </w:style>
  <w:style w:type="paragraph" w:customStyle="1" w:styleId="505">
    <w:name w:val="xl64"/>
    <w:basedOn w:val="1"/>
    <w:qFormat/>
    <w:uiPriority w:val="0"/>
    <w:pPr>
      <w:widowControl/>
      <w:pBdr>
        <w:bottom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506">
    <w:name w:val="xl82"/>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textAlignment w:val="center"/>
    </w:pPr>
    <w:rPr>
      <w:rFonts w:ascii="宋体" w:hAnsi="宋体" w:cs="宋体"/>
      <w:kern w:val="0"/>
      <w:szCs w:val="21"/>
    </w:rPr>
  </w:style>
  <w:style w:type="paragraph" w:customStyle="1" w:styleId="507">
    <w:name w:val="xl84"/>
    <w:basedOn w:val="1"/>
    <w:qFormat/>
    <w:uiPriority w:val="0"/>
    <w:pPr>
      <w:widowControl/>
      <w:pBdr>
        <w:bottom w:val="single" w:color="auto" w:sz="8" w:space="0"/>
        <w:right w:val="single" w:color="auto" w:sz="8" w:space="0"/>
      </w:pBdr>
      <w:spacing w:before="100" w:beforeAutospacing="1" w:after="100" w:afterAutospacing="1"/>
      <w:jc w:val="center"/>
      <w:textAlignment w:val="center"/>
    </w:pPr>
    <w:rPr>
      <w:rFonts w:ascii="宋体" w:hAnsi="宋体" w:cs="宋体"/>
      <w:color w:val="FF0000"/>
      <w:kern w:val="0"/>
      <w:szCs w:val="21"/>
    </w:rPr>
  </w:style>
  <w:style w:type="table" w:customStyle="1" w:styleId="508">
    <w:name w:val="样式6"/>
    <w:basedOn w:val="51"/>
    <w:qFormat/>
    <w:uiPriority w:val="99"/>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CellMar>
        <w:left w:w="28" w:type="dxa"/>
        <w:right w:w="28" w:type="dxa"/>
      </w:tblCellMar>
    </w:tblPr>
    <w:tcPr>
      <w:vAlign w:val="center"/>
    </w:tcPr>
  </w:style>
  <w:style w:type="character" w:customStyle="1" w:styleId="509">
    <w:name w:val="正文文本缩进 3 字符2"/>
    <w:basedOn w:val="54"/>
    <w:semiHidden/>
    <w:qFormat/>
    <w:uiPriority w:val="99"/>
    <w:rPr>
      <w:rFonts w:ascii="宋体" w:hAnsi="宋体" w:eastAsia="等线" w:cs="宋体"/>
      <w:sz w:val="16"/>
      <w:szCs w:val="16"/>
    </w:rPr>
  </w:style>
  <w:style w:type="character" w:customStyle="1" w:styleId="510">
    <w:name w:val="正文文本缩进 字符2"/>
    <w:basedOn w:val="54"/>
    <w:semiHidden/>
    <w:qFormat/>
    <w:uiPriority w:val="99"/>
    <w:rPr>
      <w:rFonts w:ascii="宋体" w:hAnsi="宋体" w:eastAsia="等线" w:cs="宋体"/>
    </w:rPr>
  </w:style>
  <w:style w:type="character" w:customStyle="1" w:styleId="511">
    <w:name w:val="正文文本首行缩进 2 字符1"/>
    <w:basedOn w:val="510"/>
    <w:semiHidden/>
    <w:qFormat/>
    <w:uiPriority w:val="99"/>
    <w:rPr>
      <w:rFonts w:ascii="宋体" w:hAnsi="宋体" w:eastAsia="等线" w:cs="宋体"/>
    </w:rPr>
  </w:style>
  <w:style w:type="character" w:customStyle="1" w:styleId="512">
    <w:name w:val="批注框文本 字符1"/>
    <w:basedOn w:val="54"/>
    <w:semiHidden/>
    <w:qFormat/>
    <w:uiPriority w:val="99"/>
    <w:rPr>
      <w:rFonts w:ascii="宋体" w:hAnsi="宋体" w:eastAsia="等线" w:cs="宋体"/>
      <w:sz w:val="18"/>
      <w:szCs w:val="18"/>
    </w:rPr>
  </w:style>
  <w:style w:type="character" w:customStyle="1" w:styleId="513">
    <w:name w:val="正文文本 2 字符1"/>
    <w:basedOn w:val="54"/>
    <w:semiHidden/>
    <w:qFormat/>
    <w:uiPriority w:val="99"/>
    <w:rPr>
      <w:rFonts w:ascii="宋体" w:hAnsi="宋体" w:eastAsia="等线" w:cs="宋体"/>
    </w:rPr>
  </w:style>
  <w:style w:type="character" w:customStyle="1" w:styleId="514">
    <w:name w:val="文档结构图 字符1"/>
    <w:basedOn w:val="54"/>
    <w:semiHidden/>
    <w:qFormat/>
    <w:uiPriority w:val="99"/>
    <w:rPr>
      <w:rFonts w:ascii="Microsoft YaHei UI" w:hAnsi="宋体" w:eastAsia="Microsoft YaHei UI" w:cs="宋体"/>
      <w:sz w:val="18"/>
      <w:szCs w:val="18"/>
    </w:rPr>
  </w:style>
  <w:style w:type="character" w:customStyle="1" w:styleId="515">
    <w:name w:val="日期 字符1"/>
    <w:basedOn w:val="54"/>
    <w:semiHidden/>
    <w:qFormat/>
    <w:uiPriority w:val="99"/>
    <w:rPr>
      <w:rFonts w:ascii="宋体" w:hAnsi="宋体" w:eastAsia="等线" w:cs="宋体"/>
    </w:rPr>
  </w:style>
  <w:style w:type="character" w:customStyle="1" w:styleId="516">
    <w:name w:val="正文文本 3 字符2"/>
    <w:basedOn w:val="54"/>
    <w:semiHidden/>
    <w:qFormat/>
    <w:uiPriority w:val="99"/>
    <w:rPr>
      <w:rFonts w:ascii="宋体" w:hAnsi="宋体" w:eastAsia="等线" w:cs="宋体"/>
      <w:sz w:val="16"/>
      <w:szCs w:val="16"/>
    </w:rPr>
  </w:style>
  <w:style w:type="character" w:customStyle="1" w:styleId="517">
    <w:name w:val="批注文字 字符3"/>
    <w:basedOn w:val="54"/>
    <w:semiHidden/>
    <w:qFormat/>
    <w:uiPriority w:val="99"/>
    <w:rPr>
      <w:rFonts w:ascii="宋体" w:hAnsi="宋体" w:eastAsia="等线" w:cs="宋体"/>
    </w:rPr>
  </w:style>
  <w:style w:type="character" w:customStyle="1" w:styleId="518">
    <w:name w:val="批注主题 字符1"/>
    <w:basedOn w:val="517"/>
    <w:semiHidden/>
    <w:qFormat/>
    <w:uiPriority w:val="99"/>
    <w:rPr>
      <w:rFonts w:ascii="宋体" w:hAnsi="宋体" w:eastAsia="等线" w:cs="宋体"/>
      <w:b/>
      <w:bCs/>
    </w:rPr>
  </w:style>
  <w:style w:type="character" w:customStyle="1" w:styleId="519">
    <w:name w:val="正文文本 字符1"/>
    <w:basedOn w:val="54"/>
    <w:semiHidden/>
    <w:qFormat/>
    <w:uiPriority w:val="99"/>
    <w:rPr>
      <w:rFonts w:ascii="宋体" w:hAnsi="宋体" w:eastAsia="等线" w:cs="宋体"/>
    </w:rPr>
  </w:style>
  <w:style w:type="character" w:customStyle="1" w:styleId="520">
    <w:name w:val="正文文本首行缩进 字符1"/>
    <w:basedOn w:val="519"/>
    <w:semiHidden/>
    <w:qFormat/>
    <w:uiPriority w:val="99"/>
    <w:rPr>
      <w:rFonts w:ascii="宋体" w:hAnsi="宋体" w:eastAsia="等线" w:cs="宋体"/>
    </w:rPr>
  </w:style>
  <w:style w:type="character" w:customStyle="1" w:styleId="521">
    <w:name w:val="纯文本 字符2"/>
    <w:basedOn w:val="54"/>
    <w:semiHidden/>
    <w:qFormat/>
    <w:uiPriority w:val="99"/>
    <w:rPr>
      <w:rFonts w:hAnsi="Courier New" w:cs="Courier New" w:asciiTheme="minorEastAsia"/>
    </w:rPr>
  </w:style>
  <w:style w:type="character" w:customStyle="1" w:styleId="522">
    <w:name w:val="标题 字符1"/>
    <w:basedOn w:val="54"/>
    <w:qFormat/>
    <w:uiPriority w:val="10"/>
    <w:rPr>
      <w:rFonts w:asciiTheme="majorHAnsi" w:hAnsiTheme="majorHAnsi" w:eastAsiaTheme="majorEastAsia" w:cstheme="majorBidi"/>
      <w:b/>
      <w:bCs/>
      <w:sz w:val="32"/>
      <w:szCs w:val="32"/>
    </w:rPr>
  </w:style>
  <w:style w:type="character" w:customStyle="1" w:styleId="523">
    <w:name w:val="注释标题 字符2"/>
    <w:basedOn w:val="54"/>
    <w:semiHidden/>
    <w:qFormat/>
    <w:uiPriority w:val="99"/>
    <w:rPr>
      <w:rFonts w:ascii="宋体" w:hAnsi="宋体" w:eastAsia="等线" w:cs="宋体"/>
    </w:rPr>
  </w:style>
  <w:style w:type="character" w:customStyle="1" w:styleId="524">
    <w:name w:val="正文文本缩进 2 字符2"/>
    <w:basedOn w:val="54"/>
    <w:semiHidden/>
    <w:qFormat/>
    <w:uiPriority w:val="99"/>
    <w:rPr>
      <w:rFonts w:ascii="宋体" w:hAnsi="宋体" w:eastAsia="等线" w:cs="宋体"/>
    </w:rPr>
  </w:style>
  <w:style w:type="character" w:customStyle="1" w:styleId="525">
    <w:name w:val="HTML 预设格式 字符2"/>
    <w:basedOn w:val="54"/>
    <w:semiHidden/>
    <w:qFormat/>
    <w:uiPriority w:val="99"/>
    <w:rPr>
      <w:rFonts w:ascii="Courier New" w:hAnsi="Courier New" w:eastAsia="等线" w:cs="Courier New"/>
      <w:sz w:val="20"/>
      <w:szCs w:val="20"/>
    </w:rPr>
  </w:style>
  <w:style w:type="character" w:customStyle="1" w:styleId="526">
    <w:name w:val="冯莉表字-书 字符"/>
    <w:link w:val="527"/>
    <w:qFormat/>
    <w:uiPriority w:val="0"/>
    <w:rPr>
      <w:rFonts w:ascii="宋体" w:hAnsi="宋体"/>
      <w:sz w:val="21"/>
      <w:szCs w:val="21"/>
    </w:rPr>
  </w:style>
  <w:style w:type="paragraph" w:customStyle="1" w:styleId="527">
    <w:name w:val="冯莉表字-书"/>
    <w:basedOn w:val="1"/>
    <w:link w:val="526"/>
    <w:qFormat/>
    <w:uiPriority w:val="0"/>
    <w:pPr>
      <w:spacing w:line="300" w:lineRule="exact"/>
      <w:contextualSpacing/>
      <w:jc w:val="center"/>
    </w:pPr>
    <w:rPr>
      <w:rFonts w:ascii="宋体" w:hAnsi="宋体"/>
      <w:kern w:val="0"/>
      <w:szCs w:val="21"/>
    </w:rPr>
  </w:style>
  <w:style w:type="table" w:customStyle="1" w:styleId="528">
    <w:name w:val="网格型7"/>
    <w:basedOn w:val="51"/>
    <w:unhideWhenUsed/>
    <w:qFormat/>
    <w:uiPriority w:val="99"/>
    <w:pPr>
      <w:widowControl w:val="0"/>
      <w:jc w:val="both"/>
    </w:pPr>
    <w:rPr>
      <w:rFonts w:ascii="宋体" w:hAnsi="宋体"/>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paragraph" w:customStyle="1" w:styleId="529">
    <w:name w:val="图中文字02"/>
    <w:basedOn w:val="1"/>
    <w:link w:val="530"/>
    <w:qFormat/>
    <w:uiPriority w:val="0"/>
    <w:pPr>
      <w:spacing w:line="240" w:lineRule="atLeast"/>
      <w:jc w:val="center"/>
    </w:pPr>
    <w:rPr>
      <w:rFonts w:ascii="等线" w:hAnsi="等线" w:eastAsia="仿宋"/>
      <w:sz w:val="18"/>
      <w:szCs w:val="21"/>
    </w:rPr>
  </w:style>
  <w:style w:type="character" w:customStyle="1" w:styleId="530">
    <w:name w:val="图中文字02 字符"/>
    <w:link w:val="529"/>
    <w:qFormat/>
    <w:uiPriority w:val="0"/>
    <w:rPr>
      <w:rFonts w:ascii="等线" w:hAnsi="等线" w:eastAsia="仿宋"/>
      <w:kern w:val="2"/>
      <w:sz w:val="18"/>
      <w:szCs w:val="21"/>
    </w:rPr>
  </w:style>
  <w:style w:type="table" w:customStyle="1" w:styleId="531">
    <w:name w:val="网格型8"/>
    <w:basedOn w:val="51"/>
    <w:unhideWhenUsed/>
    <w:qFormat/>
    <w:uiPriority w:val="99"/>
    <w:pPr>
      <w:widowControl w:val="0"/>
      <w:jc w:val="both"/>
    </w:pPr>
    <w:rPr>
      <w:rFonts w:ascii="宋体" w:hAnsi="宋体"/>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paragraph" w:customStyle="1" w:styleId="532">
    <w:name w:val="东方工业区表"/>
    <w:basedOn w:val="1"/>
    <w:qFormat/>
    <w:uiPriority w:val="0"/>
    <w:pPr>
      <w:snapToGrid w:val="0"/>
      <w:jc w:val="center"/>
    </w:pPr>
    <w:rPr>
      <w:rFonts w:ascii="楷体_GB2312" w:hAnsi="宋体" w:eastAsia="楷体_GB2312"/>
      <w:szCs w:val="21"/>
      <w:lang w:val="it-IT"/>
    </w:rPr>
  </w:style>
  <w:style w:type="paragraph" w:customStyle="1" w:styleId="533">
    <w:name w:val="Table Text"/>
    <w:basedOn w:val="1"/>
    <w:semiHidden/>
    <w:qFormat/>
    <w:uiPriority w:val="0"/>
    <w:rPr>
      <w:rFonts w:ascii="宋体" w:hAnsi="宋体" w:cs="宋体"/>
      <w:sz w:val="18"/>
      <w:szCs w:val="18"/>
      <w:lang w:eastAsia="en-US"/>
    </w:rPr>
  </w:style>
  <w:style w:type="paragraph" w:customStyle="1" w:styleId="534">
    <w:name w:val="Char Char Char Char Char Char Char Char Char1 Char"/>
    <w:basedOn w:val="1"/>
    <w:next w:val="535"/>
    <w:qFormat/>
    <w:uiPriority w:val="0"/>
    <w:pPr>
      <w:spacing w:line="360" w:lineRule="auto"/>
      <w:ind w:firstLine="200" w:firstLineChars="200"/>
    </w:pPr>
    <w:rPr>
      <w:rFonts w:ascii="Times New Roman" w:hAnsi="宋体" w:cs="宋体"/>
      <w:kern w:val="0"/>
      <w:sz w:val="24"/>
      <w:szCs w:val="24"/>
    </w:rPr>
  </w:style>
  <w:style w:type="paragraph" w:customStyle="1" w:styleId="535">
    <w:name w:val="正文文本首行缩进1"/>
    <w:next w:val="1"/>
    <w:qFormat/>
    <w:uiPriority w:val="0"/>
    <w:pPr>
      <w:widowControl w:val="0"/>
      <w:spacing w:after="120"/>
      <w:ind w:firstLine="420"/>
      <w:jc w:val="both"/>
    </w:pPr>
    <w:rPr>
      <w:rFonts w:ascii="Times New Roman" w:hAnsi="Times New Roman" w:eastAsia="宋体" w:cs="Times New Roman"/>
      <w:sz w:val="21"/>
      <w:szCs w:val="22"/>
      <w:lang w:val="en-US" w:eastAsia="zh-CN" w:bidi="ar-SA"/>
    </w:rPr>
  </w:style>
  <w:style w:type="table" w:customStyle="1" w:styleId="536">
    <w:name w:val="网格型9"/>
    <w:basedOn w:val="51"/>
    <w:autoRedefine/>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1" Type="http://schemas.openxmlformats.org/officeDocument/2006/relationships/fontTable" Target="fontTable.xml"/><Relationship Id="rId80" Type="http://schemas.openxmlformats.org/officeDocument/2006/relationships/customXml" Target="../customXml/item2.xml"/><Relationship Id="rId8" Type="http://schemas.openxmlformats.org/officeDocument/2006/relationships/theme" Target="theme/theme1.xml"/><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wmf"/><Relationship Id="rId74" Type="http://schemas.openxmlformats.org/officeDocument/2006/relationships/oleObject" Target="embeddings/oleObject2.bin"/><Relationship Id="rId73" Type="http://schemas.openxmlformats.org/officeDocument/2006/relationships/image" Target="media/image60.png"/><Relationship Id="rId72" Type="http://schemas.openxmlformats.org/officeDocument/2006/relationships/image" Target="media/image59.wmf"/><Relationship Id="rId71" Type="http://schemas.openxmlformats.org/officeDocument/2006/relationships/oleObject" Target="embeddings/Microsoft_Visio_2003-2010___5.vsd"/><Relationship Id="rId70" Type="http://schemas.openxmlformats.org/officeDocument/2006/relationships/image" Target="media/image58.png"/><Relationship Id="rId7" Type="http://schemas.openxmlformats.org/officeDocument/2006/relationships/footer" Target="footer4.xml"/><Relationship Id="rId69" Type="http://schemas.openxmlformats.org/officeDocument/2006/relationships/image" Target="media/image57.jpeg"/><Relationship Id="rId68" Type="http://schemas.openxmlformats.org/officeDocument/2006/relationships/image" Target="media/image56.jpeg"/><Relationship Id="rId67" Type="http://schemas.openxmlformats.org/officeDocument/2006/relationships/image" Target="media/image55.jpeg"/><Relationship Id="rId66" Type="http://schemas.openxmlformats.org/officeDocument/2006/relationships/image" Target="media/image54.jpeg"/><Relationship Id="rId65" Type="http://schemas.openxmlformats.org/officeDocument/2006/relationships/image" Target="media/image53.jpeg"/><Relationship Id="rId64" Type="http://schemas.openxmlformats.org/officeDocument/2006/relationships/image" Target="media/image52.jpe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3.xml"/><Relationship Id="rId59" Type="http://schemas.openxmlformats.org/officeDocument/2006/relationships/image" Target="media/image47.jpeg"/><Relationship Id="rId58" Type="http://schemas.openxmlformats.org/officeDocument/2006/relationships/image" Target="media/image46.jpeg"/><Relationship Id="rId57" Type="http://schemas.openxmlformats.org/officeDocument/2006/relationships/image" Target="media/image45.jpeg"/><Relationship Id="rId56" Type="http://schemas.openxmlformats.org/officeDocument/2006/relationships/image" Target="media/image44.wmf"/><Relationship Id="rId55" Type="http://schemas.openxmlformats.org/officeDocument/2006/relationships/image" Target="media/image43.wmf"/><Relationship Id="rId54" Type="http://schemas.openxmlformats.org/officeDocument/2006/relationships/image" Target="media/image42.wmf"/><Relationship Id="rId53" Type="http://schemas.openxmlformats.org/officeDocument/2006/relationships/image" Target="media/image41.wmf"/><Relationship Id="rId52" Type="http://schemas.openxmlformats.org/officeDocument/2006/relationships/oleObject" Target="embeddings/oleObject1.bin"/><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footer" Target="footer2.xml"/><Relationship Id="rId49" Type="http://schemas.openxmlformats.org/officeDocument/2006/relationships/image" Target="media/image38.wmf"/><Relationship Id="rId48" Type="http://schemas.openxmlformats.org/officeDocument/2006/relationships/image" Target="media/image37.wmf"/><Relationship Id="rId47" Type="http://schemas.openxmlformats.org/officeDocument/2006/relationships/image" Target="media/image36.jpeg"/><Relationship Id="rId46" Type="http://schemas.openxmlformats.org/officeDocument/2006/relationships/image" Target="media/image35.jpeg"/><Relationship Id="rId45" Type="http://schemas.openxmlformats.org/officeDocument/2006/relationships/image" Target="media/image34.png"/><Relationship Id="rId44" Type="http://schemas.openxmlformats.org/officeDocument/2006/relationships/image" Target="media/image33.jpeg"/><Relationship Id="rId43" Type="http://schemas.openxmlformats.org/officeDocument/2006/relationships/image" Target="media/image32.jpe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footer" Target="footer1.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emf"/><Relationship Id="rId33" Type="http://schemas.openxmlformats.org/officeDocument/2006/relationships/package" Target="embeddings/Microsoft_Visio___4.vsdx"/><Relationship Id="rId32" Type="http://schemas.openxmlformats.org/officeDocument/2006/relationships/image" Target="media/image22.emf"/><Relationship Id="rId31" Type="http://schemas.openxmlformats.org/officeDocument/2006/relationships/package" Target="embeddings/Microsoft_Visio___3.vsdx"/><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emf"/><Relationship Id="rId27" Type="http://schemas.openxmlformats.org/officeDocument/2006/relationships/package" Target="embeddings/Microsoft_Visio___2.vsdx"/><Relationship Id="rId26" Type="http://schemas.openxmlformats.org/officeDocument/2006/relationships/image" Target="media/image18.emf"/><Relationship Id="rId25" Type="http://schemas.openxmlformats.org/officeDocument/2006/relationships/package" Target="embeddings/Microsoft_Visio___1.vsdx"/><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emf"/><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59CD36-8200-403B-A1C2-920AB846A502}">
  <ds:schemaRefs/>
</ds:datastoreItem>
</file>

<file path=docProps/app.xml><?xml version="1.0" encoding="utf-8"?>
<Properties xmlns="http://schemas.openxmlformats.org/officeDocument/2006/extended-properties" xmlns:vt="http://schemas.openxmlformats.org/officeDocument/2006/docPropsVTypes">
  <Template>Normal</Template>
  <Pages>225</Pages>
  <Words>132430</Words>
  <Characters>154704</Characters>
  <Lines>1262</Lines>
  <Paragraphs>355</Paragraphs>
  <TotalTime>5427</TotalTime>
  <ScaleCrop>false</ScaleCrop>
  <LinksUpToDate>false</LinksUpToDate>
  <CharactersWithSpaces>155640</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2024-03-13T03:27:00Z</dcterms:created>
  <dc:creator>YJ</dc:creator>
  <cp:lastModifiedBy>欣</cp:lastModifiedBy>
  <cp:lastPrinted>2024-03-13T03:27:00Z</cp:lastPrinted>
  <dcterms:modified xsi:type="dcterms:W3CDTF">2024-10-21T07:58:34Z</dcterms:modified>
  <cp:revision>574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2052-12.1.0.18276</vt:lpwstr>
  </property>
  <property fmtid="{D5CDD505-2E9C-101B-9397-08002B2CF9AE}" pid="4" name="ICV">
    <vt:lpwstr>85710318EEA94FEFA17B89C6EC8BC872</vt:lpwstr>
  </property>
</Properties>
</file>